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39871B">
      <w:pPr>
        <w:bidi w:val="0"/>
        <w:rPr>
          <w:rFonts w:hint="default" w:ascii="Times New Roman" w:hAnsi="Times New Roman" w:eastAsia="宋体" w:cs="Times New Roman"/>
          <w:color w:val="auto"/>
          <w:highlight w:val="none"/>
          <w:lang w:val="en-US" w:eastAsia="zh-CN"/>
        </w:rPr>
      </w:pPr>
    </w:p>
    <w:p w14:paraId="62D6C980">
      <w:pPr>
        <w:bidi w:val="0"/>
        <w:rPr>
          <w:rFonts w:hint="default" w:ascii="Times New Roman" w:hAnsi="Times New Roman" w:cs="Times New Roman"/>
          <w:color w:val="auto"/>
          <w:highlight w:val="none"/>
        </w:rPr>
      </w:pPr>
    </w:p>
    <w:p w14:paraId="5CF34D7E">
      <w:pPr>
        <w:bidi w:val="0"/>
        <w:rPr>
          <w:rFonts w:hint="default" w:ascii="Times New Roman" w:hAnsi="Times New Roman" w:cs="Times New Roman"/>
          <w:color w:val="auto"/>
          <w:highlight w:val="none"/>
        </w:rPr>
      </w:pPr>
    </w:p>
    <w:p w14:paraId="761F6F66">
      <w:pPr>
        <w:bidi w:val="0"/>
        <w:rPr>
          <w:rFonts w:hint="default" w:ascii="Times New Roman" w:hAnsi="Times New Roman" w:cs="Times New Roman"/>
          <w:color w:val="auto"/>
          <w:highlight w:val="none"/>
        </w:rPr>
      </w:pPr>
    </w:p>
    <w:p w14:paraId="14F6662E">
      <w:pPr>
        <w:pStyle w:val="2"/>
        <w:keepNext w:val="0"/>
        <w:keepLines w:val="0"/>
        <w:pageBreakBefore w:val="0"/>
        <w:widowControl w:val="0"/>
        <w:kinsoku/>
        <w:wordWrap/>
        <w:overflowPunct/>
        <w:topLinePunct w:val="0"/>
        <w:autoSpaceDE/>
        <w:autoSpaceDN/>
        <w:bidi w:val="0"/>
        <w:adjustRightInd/>
        <w:snapToGrid/>
        <w:spacing w:line="800" w:lineRule="exact"/>
        <w:textAlignment w:val="auto"/>
        <w:rPr>
          <w:rFonts w:hint="default" w:ascii="Times New Roman" w:hAnsi="Times New Roman" w:cs="Times New Roman"/>
          <w:color w:val="auto"/>
          <w:sz w:val="72"/>
          <w:szCs w:val="72"/>
          <w:highlight w:val="none"/>
        </w:rPr>
      </w:pPr>
      <w:bookmarkStart w:id="0" w:name="_Toc4611"/>
      <w:r>
        <w:rPr>
          <w:rFonts w:hint="default" w:ascii="Times New Roman" w:hAnsi="Times New Roman" w:cs="Times New Roman"/>
          <w:color w:val="auto"/>
          <w:sz w:val="72"/>
          <w:szCs w:val="72"/>
          <w:highlight w:val="none"/>
        </w:rPr>
        <w:t>建设项目环境影响报表</w:t>
      </w:r>
      <w:bookmarkEnd w:id="0"/>
    </w:p>
    <w:p w14:paraId="75C1D027">
      <w:pPr>
        <w:keepNext w:val="0"/>
        <w:keepLines w:val="0"/>
        <w:pageBreakBefore w:val="0"/>
        <w:widowControl w:val="0"/>
        <w:kinsoku/>
        <w:wordWrap/>
        <w:overflowPunct/>
        <w:topLinePunct w:val="0"/>
        <w:autoSpaceDE/>
        <w:autoSpaceDN/>
        <w:bidi w:val="0"/>
        <w:adjustRightInd/>
        <w:snapToGrid/>
        <w:spacing w:line="800" w:lineRule="exact"/>
        <w:ind w:firstLine="0" w:firstLineChars="0"/>
        <w:jc w:val="center"/>
        <w:textAlignment w:val="auto"/>
        <w:rPr>
          <w:rFonts w:hint="default" w:ascii="Times New Roman" w:hAnsi="Times New Roman" w:cs="Times New Roman"/>
          <w:b/>
          <w:bCs/>
          <w:color w:val="auto"/>
          <w:sz w:val="48"/>
          <w:szCs w:val="48"/>
          <w:highlight w:val="none"/>
        </w:rPr>
      </w:pPr>
      <w:r>
        <w:rPr>
          <w:rFonts w:hint="default" w:ascii="Times New Roman" w:hAnsi="Times New Roman" w:cs="Times New Roman"/>
          <w:b/>
          <w:bCs/>
          <w:color w:val="auto"/>
          <w:sz w:val="48"/>
          <w:szCs w:val="48"/>
          <w:highlight w:val="none"/>
        </w:rPr>
        <w:t>（</w:t>
      </w:r>
      <w:r>
        <w:rPr>
          <w:rFonts w:hint="default" w:ascii="Times New Roman" w:hAnsi="Times New Roman" w:cs="Times New Roman"/>
          <w:b/>
          <w:bCs/>
          <w:color w:val="auto"/>
          <w:sz w:val="48"/>
          <w:szCs w:val="48"/>
          <w:highlight w:val="none"/>
          <w:lang w:val="en-US" w:eastAsia="zh-CN"/>
        </w:rPr>
        <w:t>污染影响</w:t>
      </w:r>
      <w:r>
        <w:rPr>
          <w:rFonts w:hint="default" w:ascii="Times New Roman" w:hAnsi="Times New Roman" w:cs="Times New Roman"/>
          <w:b/>
          <w:bCs/>
          <w:color w:val="auto"/>
          <w:sz w:val="48"/>
          <w:szCs w:val="48"/>
          <w:highlight w:val="none"/>
        </w:rPr>
        <w:t>类）</w:t>
      </w:r>
    </w:p>
    <w:p w14:paraId="087D3825">
      <w:pPr>
        <w:pStyle w:val="21"/>
        <w:keepNext w:val="0"/>
        <w:keepLines w:val="0"/>
        <w:pageBreakBefore w:val="0"/>
        <w:widowControl w:val="0"/>
        <w:kinsoku/>
        <w:wordWrap/>
        <w:overflowPunct/>
        <w:topLinePunct w:val="0"/>
        <w:autoSpaceDE/>
        <w:autoSpaceDN/>
        <w:bidi w:val="0"/>
        <w:adjustRightInd/>
        <w:snapToGrid/>
        <w:spacing w:after="0" w:line="800" w:lineRule="exact"/>
        <w:ind w:left="0" w:leftChars="0" w:firstLine="0" w:firstLineChars="0"/>
        <w:jc w:val="center"/>
        <w:textAlignment w:val="auto"/>
        <w:rPr>
          <w:rFonts w:hint="eastAsia" w:eastAsia="宋体"/>
          <w:lang w:eastAsia="zh-CN"/>
        </w:rPr>
      </w:pPr>
      <w:r>
        <w:rPr>
          <w:rFonts w:hint="eastAsia" w:cs="Times New Roman"/>
          <w:b/>
          <w:bCs/>
          <w:color w:val="auto"/>
          <w:sz w:val="48"/>
          <w:szCs w:val="48"/>
          <w:highlight w:val="none"/>
          <w:lang w:eastAsia="zh-CN"/>
        </w:rPr>
        <w:t>（报批稿）</w:t>
      </w:r>
    </w:p>
    <w:p w14:paraId="05209716">
      <w:pPr>
        <w:pStyle w:val="31"/>
        <w:ind w:left="0" w:leftChars="0" w:firstLine="0" w:firstLineChars="0"/>
        <w:jc w:val="center"/>
        <w:rPr>
          <w:rFonts w:hint="eastAsia" w:eastAsia="宋体"/>
          <w:b w:val="0"/>
          <w:bCs w:val="0"/>
          <w:color w:val="auto"/>
          <w:highlight w:val="none"/>
          <w:lang w:eastAsia="zh-CN"/>
        </w:rPr>
      </w:pPr>
    </w:p>
    <w:p w14:paraId="23B0132D">
      <w:pPr>
        <w:bidi w:val="0"/>
        <w:rPr>
          <w:rFonts w:hint="default" w:ascii="Times New Roman" w:hAnsi="Times New Roman" w:cs="Times New Roman"/>
          <w:color w:val="auto"/>
          <w:highlight w:val="none"/>
        </w:rPr>
      </w:pPr>
    </w:p>
    <w:p w14:paraId="583BFD43">
      <w:pPr>
        <w:bidi w:val="0"/>
        <w:rPr>
          <w:rFonts w:hint="default" w:ascii="Times New Roman" w:hAnsi="Times New Roman" w:cs="Times New Roman"/>
          <w:color w:val="auto"/>
          <w:highlight w:val="none"/>
        </w:rPr>
      </w:pPr>
    </w:p>
    <w:p w14:paraId="6CD02651">
      <w:pPr>
        <w:bidi w:val="0"/>
        <w:ind w:left="0" w:leftChars="0" w:firstLine="0" w:firstLineChars="0"/>
        <w:rPr>
          <w:rFonts w:hint="default" w:ascii="Times New Roman" w:hAnsi="Times New Roman" w:cs="Times New Roman"/>
          <w:i w:val="0"/>
          <w:iCs w:val="0"/>
          <w:color w:val="auto"/>
          <w:sz w:val="36"/>
          <w:szCs w:val="36"/>
          <w:highlight w:val="none"/>
          <w:u w:val="single"/>
        </w:rPr>
      </w:pPr>
    </w:p>
    <w:p w14:paraId="360219AD">
      <w:pPr>
        <w:keepNext w:val="0"/>
        <w:keepLines w:val="0"/>
        <w:pageBreakBefore w:val="0"/>
        <w:widowControl w:val="0"/>
        <w:kinsoku/>
        <w:wordWrap/>
        <w:overflowPunct/>
        <w:topLinePunct w:val="0"/>
        <w:autoSpaceDE/>
        <w:autoSpaceDN/>
        <w:bidi w:val="0"/>
        <w:adjustRightInd/>
        <w:snapToGrid/>
        <w:spacing w:line="840" w:lineRule="exact"/>
        <w:ind w:left="1957" w:leftChars="232" w:hanging="1400" w:hangingChars="500"/>
        <w:textAlignment w:val="auto"/>
        <w:rPr>
          <w:rFonts w:hint="default" w:ascii="Times New Roman" w:hAnsi="Times New Roman" w:eastAsia="宋体" w:cs="Times New Roman"/>
          <w:i w:val="0"/>
          <w:iCs w:val="0"/>
          <w:color w:val="auto"/>
          <w:sz w:val="28"/>
          <w:szCs w:val="28"/>
          <w:highlight w:val="none"/>
          <w:u w:val="single"/>
          <w:lang w:val="en-US" w:eastAsia="zh-CN"/>
        </w:rPr>
      </w:pPr>
      <w:r>
        <w:rPr>
          <w:rFonts w:hint="default" w:ascii="Times New Roman" w:hAnsi="Times New Roman" w:cs="Times New Roman"/>
          <w:i w:val="0"/>
          <w:iCs w:val="0"/>
          <w:color w:val="auto"/>
          <w:sz w:val="28"/>
          <w:szCs w:val="28"/>
          <w:highlight w:val="none"/>
          <w:u w:val="none"/>
        </w:rPr>
        <w:t>项目名称：</w:t>
      </w:r>
      <w:r>
        <w:rPr>
          <w:rFonts w:hint="default" w:ascii="Times New Roman" w:hAnsi="Times New Roman" w:cs="Times New Roman"/>
          <w:i w:val="0"/>
          <w:iCs w:val="0"/>
          <w:color w:val="auto"/>
          <w:sz w:val="28"/>
          <w:szCs w:val="28"/>
          <w:highlight w:val="none"/>
          <w:u w:val="single"/>
        </w:rPr>
        <w:t>新疆金象赛瑞化工科技有限公司</w:t>
      </w:r>
      <w:r>
        <w:rPr>
          <w:rFonts w:hint="eastAsia" w:cs="Times New Roman"/>
          <w:i w:val="0"/>
          <w:iCs w:val="0"/>
          <w:color w:val="auto"/>
          <w:sz w:val="28"/>
          <w:szCs w:val="28"/>
          <w:highlight w:val="none"/>
          <w:u w:val="single"/>
          <w:lang w:val="en-US" w:eastAsia="zh-CN"/>
        </w:rPr>
        <w:t>硝酸储罐A、D</w:t>
      </w:r>
      <w:r>
        <w:rPr>
          <w:rFonts w:hint="default" w:ascii="Times New Roman" w:hAnsi="Times New Roman" w:cs="Times New Roman"/>
          <w:i w:val="0"/>
          <w:iCs w:val="0"/>
          <w:color w:val="auto"/>
          <w:sz w:val="28"/>
          <w:szCs w:val="28"/>
          <w:highlight w:val="none"/>
          <w:u w:val="single"/>
        </w:rPr>
        <w:t>建设项目</w:t>
      </w:r>
      <w:r>
        <w:rPr>
          <w:rFonts w:hint="eastAsia" w:cs="Times New Roman"/>
          <w:i w:val="0"/>
          <w:iCs w:val="0"/>
          <w:color w:val="auto"/>
          <w:sz w:val="28"/>
          <w:szCs w:val="28"/>
          <w:highlight w:val="none"/>
          <w:u w:val="single"/>
          <w:lang w:val="en-US" w:eastAsia="zh-CN"/>
        </w:rPr>
        <w:t xml:space="preserve">                                         </w:t>
      </w:r>
    </w:p>
    <w:p w14:paraId="6BE1D155">
      <w:pPr>
        <w:keepNext w:val="0"/>
        <w:keepLines w:val="0"/>
        <w:pageBreakBefore w:val="0"/>
        <w:widowControl w:val="0"/>
        <w:kinsoku/>
        <w:wordWrap/>
        <w:overflowPunct/>
        <w:topLinePunct w:val="0"/>
        <w:autoSpaceDE/>
        <w:autoSpaceDN/>
        <w:bidi w:val="0"/>
        <w:adjustRightInd/>
        <w:snapToGrid/>
        <w:spacing w:line="840" w:lineRule="exact"/>
        <w:textAlignment w:val="auto"/>
        <w:rPr>
          <w:rFonts w:hint="default" w:ascii="Times New Roman" w:hAnsi="Times New Roman" w:eastAsia="宋体" w:cs="Times New Roman"/>
          <w:i w:val="0"/>
          <w:iCs w:val="0"/>
          <w:color w:val="auto"/>
          <w:sz w:val="28"/>
          <w:szCs w:val="28"/>
          <w:highlight w:val="none"/>
          <w:u w:val="single"/>
          <w:lang w:val="en-US" w:eastAsia="zh-CN"/>
        </w:rPr>
      </w:pPr>
      <w:r>
        <w:rPr>
          <w:rFonts w:hint="default" w:ascii="Times New Roman" w:hAnsi="Times New Roman" w:cs="Times New Roman"/>
          <w:i w:val="0"/>
          <w:iCs w:val="0"/>
          <w:color w:val="auto"/>
          <w:sz w:val="28"/>
          <w:szCs w:val="28"/>
          <w:highlight w:val="none"/>
          <w:u w:val="none"/>
        </w:rPr>
        <w:t>建设单位（盖章）：</w:t>
      </w:r>
      <w:r>
        <w:rPr>
          <w:rFonts w:hint="default" w:ascii="Times New Roman" w:hAnsi="Times New Roman" w:cs="Times New Roman"/>
          <w:i w:val="0"/>
          <w:iCs w:val="0"/>
          <w:color w:val="auto"/>
          <w:sz w:val="28"/>
          <w:szCs w:val="28"/>
          <w:highlight w:val="none"/>
          <w:u w:val="single"/>
        </w:rPr>
        <w:t>新疆金象赛瑞化工科技有限公司</w:t>
      </w:r>
      <w:r>
        <w:rPr>
          <w:rFonts w:hint="eastAsia" w:cs="Times New Roman"/>
          <w:i w:val="0"/>
          <w:iCs w:val="0"/>
          <w:color w:val="auto"/>
          <w:spacing w:val="-17"/>
          <w:sz w:val="28"/>
          <w:szCs w:val="28"/>
          <w:highlight w:val="none"/>
          <w:u w:val="single"/>
          <w:lang w:val="en-US" w:eastAsia="zh-CN"/>
        </w:rPr>
        <w:t xml:space="preserve">              </w:t>
      </w:r>
    </w:p>
    <w:p w14:paraId="0C3F4E56">
      <w:pPr>
        <w:keepNext w:val="0"/>
        <w:keepLines w:val="0"/>
        <w:pageBreakBefore w:val="0"/>
        <w:widowControl w:val="0"/>
        <w:kinsoku/>
        <w:wordWrap/>
        <w:overflowPunct/>
        <w:topLinePunct w:val="0"/>
        <w:autoSpaceDE/>
        <w:autoSpaceDN/>
        <w:bidi w:val="0"/>
        <w:adjustRightInd/>
        <w:snapToGrid/>
        <w:spacing w:line="840" w:lineRule="exact"/>
        <w:ind w:left="0" w:leftChars="0" w:firstLine="560" w:firstLineChars="200"/>
        <w:textAlignment w:val="auto"/>
        <w:rPr>
          <w:rFonts w:hint="default" w:ascii="Times New Roman" w:hAnsi="Times New Roman" w:cs="Times New Roman"/>
          <w:i w:val="0"/>
          <w:iCs w:val="0"/>
          <w:color w:val="auto"/>
          <w:sz w:val="28"/>
          <w:szCs w:val="28"/>
          <w:highlight w:val="none"/>
          <w:u w:val="single"/>
          <w:lang w:val="en-US" w:eastAsia="zh-CN"/>
        </w:rPr>
      </w:pPr>
      <w:r>
        <w:rPr>
          <w:rFonts w:hint="default" w:ascii="Times New Roman" w:hAnsi="Times New Roman" w:cs="Times New Roman"/>
          <w:i w:val="0"/>
          <w:iCs w:val="0"/>
          <w:color w:val="auto"/>
          <w:sz w:val="28"/>
          <w:szCs w:val="28"/>
          <w:highlight w:val="none"/>
          <w:u w:val="none"/>
        </w:rPr>
        <w:t>编制日期：</w:t>
      </w:r>
      <w:r>
        <w:rPr>
          <w:rFonts w:hint="default" w:ascii="Times New Roman" w:hAnsi="Times New Roman" w:cs="Times New Roman"/>
          <w:i w:val="0"/>
          <w:iCs w:val="0"/>
          <w:color w:val="auto"/>
          <w:sz w:val="28"/>
          <w:szCs w:val="28"/>
          <w:highlight w:val="none"/>
          <w:u w:val="single"/>
        </w:rPr>
        <w:t xml:space="preserve">         </w:t>
      </w:r>
      <w:r>
        <w:rPr>
          <w:rFonts w:hint="eastAsia" w:cs="Times New Roman"/>
          <w:i w:val="0"/>
          <w:iCs w:val="0"/>
          <w:color w:val="auto"/>
          <w:sz w:val="28"/>
          <w:szCs w:val="28"/>
          <w:highlight w:val="none"/>
          <w:u w:val="single"/>
          <w:lang w:val="en-US" w:eastAsia="zh-CN"/>
        </w:rPr>
        <w:t xml:space="preserve">      </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sz w:val="28"/>
          <w:szCs w:val="28"/>
          <w:highlight w:val="none"/>
          <w:u w:val="single"/>
          <w:lang w:val="en-US" w:eastAsia="zh-CN"/>
        </w:rPr>
        <w:t>202</w:t>
      </w:r>
      <w:r>
        <w:rPr>
          <w:rFonts w:hint="eastAsia" w:cs="Times New Roman"/>
          <w:i w:val="0"/>
          <w:iCs w:val="0"/>
          <w:color w:val="auto"/>
          <w:sz w:val="28"/>
          <w:szCs w:val="28"/>
          <w:highlight w:val="none"/>
          <w:u w:val="single"/>
          <w:lang w:val="en-US" w:eastAsia="zh-CN"/>
        </w:rPr>
        <w:t>5</w:t>
      </w:r>
      <w:r>
        <w:rPr>
          <w:rFonts w:hint="default" w:ascii="Times New Roman" w:hAnsi="Times New Roman" w:cs="Times New Roman"/>
          <w:i w:val="0"/>
          <w:iCs w:val="0"/>
          <w:color w:val="auto"/>
          <w:sz w:val="28"/>
          <w:szCs w:val="28"/>
          <w:highlight w:val="none"/>
          <w:u w:val="single"/>
          <w:lang w:val="en-US" w:eastAsia="zh-CN"/>
        </w:rPr>
        <w:t>年</w:t>
      </w:r>
      <w:r>
        <w:rPr>
          <w:rFonts w:hint="eastAsia" w:cs="Times New Roman"/>
          <w:i w:val="0"/>
          <w:iCs w:val="0"/>
          <w:color w:val="auto"/>
          <w:sz w:val="28"/>
          <w:szCs w:val="28"/>
          <w:highlight w:val="none"/>
          <w:u w:val="single"/>
          <w:lang w:val="en-US" w:eastAsia="zh-CN"/>
        </w:rPr>
        <w:t>7</w:t>
      </w:r>
      <w:r>
        <w:rPr>
          <w:rFonts w:hint="default" w:ascii="Times New Roman" w:hAnsi="Times New Roman" w:cs="Times New Roman"/>
          <w:i w:val="0"/>
          <w:iCs w:val="0"/>
          <w:color w:val="auto"/>
          <w:sz w:val="28"/>
          <w:szCs w:val="28"/>
          <w:highlight w:val="none"/>
          <w:u w:val="single"/>
          <w:lang w:val="en-US" w:eastAsia="zh-CN"/>
        </w:rPr>
        <w:t>月</w:t>
      </w:r>
      <w:r>
        <w:rPr>
          <w:rFonts w:hint="default" w:ascii="Times New Roman" w:hAnsi="Times New Roman" w:cs="Times New Roman"/>
          <w:i w:val="0"/>
          <w:iCs w:val="0"/>
          <w:color w:val="auto"/>
          <w:sz w:val="28"/>
          <w:szCs w:val="28"/>
          <w:highlight w:val="none"/>
          <w:u w:val="single"/>
        </w:rPr>
        <w:t xml:space="preserve">      </w:t>
      </w:r>
      <w:r>
        <w:rPr>
          <w:rFonts w:hint="eastAsia" w:cs="Times New Roman"/>
          <w:i w:val="0"/>
          <w:iCs w:val="0"/>
          <w:color w:val="auto"/>
          <w:sz w:val="28"/>
          <w:szCs w:val="28"/>
          <w:highlight w:val="none"/>
          <w:u w:val="single"/>
          <w:lang w:val="en-US" w:eastAsia="zh-CN"/>
        </w:rPr>
        <w:t xml:space="preserve">  </w:t>
      </w:r>
      <w:r>
        <w:rPr>
          <w:rFonts w:hint="default" w:ascii="Times New Roman" w:hAnsi="Times New Roman" w:cs="Times New Roman"/>
          <w:i w:val="0"/>
          <w:iCs w:val="0"/>
          <w:color w:val="auto"/>
          <w:sz w:val="28"/>
          <w:szCs w:val="28"/>
          <w:highlight w:val="none"/>
          <w:u w:val="single"/>
        </w:rPr>
        <w:t xml:space="preserve">   </w:t>
      </w:r>
      <w:r>
        <w:rPr>
          <w:rFonts w:hint="eastAsia" w:cs="Times New Roman"/>
          <w:i w:val="0"/>
          <w:iCs w:val="0"/>
          <w:color w:val="auto"/>
          <w:sz w:val="28"/>
          <w:szCs w:val="28"/>
          <w:highlight w:val="none"/>
          <w:u w:val="single"/>
          <w:lang w:val="en-US" w:eastAsia="zh-CN"/>
        </w:rPr>
        <w:t xml:space="preserve">   </w:t>
      </w:r>
      <w:r>
        <w:rPr>
          <w:rFonts w:hint="default" w:ascii="Times New Roman" w:hAnsi="Times New Roman" w:cs="Times New Roman"/>
          <w:i w:val="0"/>
          <w:iCs w:val="0"/>
          <w:color w:val="auto"/>
          <w:sz w:val="28"/>
          <w:szCs w:val="28"/>
          <w:highlight w:val="none"/>
          <w:u w:val="single"/>
          <w:lang w:val="en-US" w:eastAsia="zh-CN"/>
        </w:rPr>
        <w:t xml:space="preserve">    </w:t>
      </w:r>
    </w:p>
    <w:p w14:paraId="5A9B86E8">
      <w:pPr>
        <w:rPr>
          <w:rFonts w:hint="default" w:ascii="Times New Roman" w:hAnsi="Times New Roman" w:cs="Times New Roman"/>
          <w:i w:val="0"/>
          <w:iCs w:val="0"/>
          <w:color w:val="auto"/>
          <w:sz w:val="32"/>
          <w:szCs w:val="32"/>
          <w:highlight w:val="none"/>
          <w:u w:val="single"/>
          <w:lang w:val="en-US" w:eastAsia="zh-CN"/>
        </w:rPr>
      </w:pPr>
    </w:p>
    <w:p w14:paraId="063931C4">
      <w:pPr>
        <w:pStyle w:val="32"/>
        <w:rPr>
          <w:rFonts w:hint="default"/>
          <w:lang w:val="en-US" w:eastAsia="zh-CN"/>
        </w:rPr>
      </w:pPr>
    </w:p>
    <w:p w14:paraId="0E99071C">
      <w:pPr>
        <w:bidi w:val="0"/>
        <w:rPr>
          <w:rFonts w:hint="default" w:ascii="Times New Roman" w:hAnsi="Times New Roman" w:cs="Times New Roman"/>
          <w:color w:val="auto"/>
          <w:highlight w:val="none"/>
        </w:rPr>
      </w:pPr>
      <w:bookmarkStart w:id="1" w:name="_Hlk57884087"/>
    </w:p>
    <w:p w14:paraId="7996379A">
      <w:pPr>
        <w:bidi w:val="0"/>
        <w:rPr>
          <w:rFonts w:hint="default" w:ascii="Times New Roman" w:hAnsi="Times New Roman" w:cs="Times New Roman"/>
          <w:color w:val="auto"/>
          <w:highlight w:val="none"/>
        </w:rPr>
      </w:pPr>
    </w:p>
    <w:p w14:paraId="6EC75828">
      <w:pPr>
        <w:bidi w:val="0"/>
        <w:rPr>
          <w:rFonts w:hint="default" w:ascii="Times New Roman" w:hAnsi="Times New Roman" w:cs="Times New Roman"/>
          <w:color w:val="auto"/>
          <w:highlight w:val="none"/>
        </w:rPr>
      </w:pPr>
    </w:p>
    <w:p w14:paraId="75DC3D9F">
      <w:pPr>
        <w:bidi w:val="0"/>
        <w:rPr>
          <w:rFonts w:hint="default" w:ascii="Times New Roman" w:hAnsi="Times New Roman" w:cs="Times New Roman"/>
          <w:color w:val="auto"/>
          <w:highlight w:val="none"/>
        </w:rPr>
      </w:pPr>
    </w:p>
    <w:bookmarkEnd w:id="1"/>
    <w:p w14:paraId="69B9B2A9">
      <w:pPr>
        <w:ind w:left="0" w:leftChars="0" w:firstLine="0" w:firstLineChars="0"/>
        <w:jc w:val="center"/>
        <w:rPr>
          <w:rFonts w:hint="default" w:ascii="Times New Roman" w:hAnsi="Times New Roman" w:cs="Times New Roman"/>
          <w:color w:val="auto"/>
          <w:sz w:val="36"/>
          <w:szCs w:val="36"/>
          <w:highlight w:val="none"/>
        </w:rPr>
      </w:pPr>
      <w:r>
        <w:rPr>
          <w:rFonts w:hint="default" w:ascii="Times New Roman" w:hAnsi="Times New Roman" w:cs="Times New Roman"/>
          <w:color w:val="auto"/>
          <w:sz w:val="36"/>
          <w:szCs w:val="36"/>
          <w:highlight w:val="none"/>
        </w:rPr>
        <w:t>中华人民共和国生态环境部制</w:t>
      </w:r>
    </w:p>
    <w:p w14:paraId="60DE0B91">
      <w:pPr>
        <w:rPr>
          <w:rFonts w:hint="default" w:ascii="Times New Roman" w:hAnsi="Times New Roman" w:cs="Times New Roman"/>
          <w:color w:val="auto"/>
          <w:sz w:val="36"/>
          <w:szCs w:val="36"/>
          <w:highlight w:val="none"/>
        </w:rPr>
      </w:pPr>
      <w:r>
        <w:rPr>
          <w:rFonts w:hint="default" w:ascii="Times New Roman" w:hAnsi="Times New Roman" w:cs="Times New Roman"/>
          <w:color w:val="auto"/>
          <w:sz w:val="36"/>
          <w:szCs w:val="36"/>
          <w:highlight w:val="none"/>
        </w:rPr>
        <w:br w:type="page"/>
      </w:r>
    </w:p>
    <w:p w14:paraId="7886CE10">
      <w:pPr>
        <w:rPr>
          <w:rFonts w:hint="default"/>
        </w:rPr>
      </w:pPr>
      <w:r>
        <w:rPr>
          <w:rFonts w:hint="default"/>
        </w:rPr>
        <w:br w:type="page"/>
      </w:r>
    </w:p>
    <w:p w14:paraId="6FC2C7CB">
      <w:pPr>
        <w:ind w:left="0" w:leftChars="0" w:firstLine="0" w:firstLineChars="0"/>
        <w:rPr>
          <w:rFonts w:hint="default"/>
        </w:rPr>
      </w:pPr>
      <w:r>
        <w:drawing>
          <wp:inline distT="0" distB="0" distL="114300" distR="114300">
            <wp:extent cx="5273675" cy="7441565"/>
            <wp:effectExtent l="0" t="0" r="3175" b="698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0"/>
                    <a:stretch>
                      <a:fillRect/>
                    </a:stretch>
                  </pic:blipFill>
                  <pic:spPr>
                    <a:xfrm>
                      <a:off x="0" y="0"/>
                      <a:ext cx="5273675" cy="7441565"/>
                    </a:xfrm>
                    <a:prstGeom prst="rect">
                      <a:avLst/>
                    </a:prstGeom>
                    <a:noFill/>
                    <a:ln>
                      <a:noFill/>
                    </a:ln>
                  </pic:spPr>
                </pic:pic>
              </a:graphicData>
            </a:graphic>
          </wp:inline>
        </w:drawing>
      </w:r>
      <w:r>
        <w:rPr>
          <w:rFonts w:hint="default"/>
        </w:rPr>
        <w:br w:type="page"/>
      </w:r>
    </w:p>
    <w:tbl>
      <w:tblPr>
        <w:tblStyle w:val="22"/>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1"/>
        <w:gridCol w:w="4536"/>
      </w:tblGrid>
      <w:tr w14:paraId="6911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0" w:hRule="atLeast"/>
          <w:jc w:val="center"/>
        </w:trPr>
        <w:tc>
          <w:tcPr>
            <w:tcW w:w="4341" w:type="dxa"/>
            <w:noWrap w:val="0"/>
            <w:vAlign w:val="center"/>
          </w:tcPr>
          <w:p w14:paraId="6F200A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color w:val="auto"/>
                <w:kern w:val="0"/>
                <w:sz w:val="24"/>
                <w:szCs w:val="24"/>
                <w:highlight w:val="none"/>
                <w:lang w:val="en-US" w:eastAsia="zh-CN" w:bidi="ar-SA"/>
              </w:rPr>
            </w:pPr>
            <w:r>
              <w:rPr>
                <w:rFonts w:hint="default" w:ascii="Times New Roman" w:hAnsi="Times New Roman" w:eastAsia="宋体" w:cs="Times New Roman"/>
                <w:b/>
                <w:color w:val="auto"/>
                <w:kern w:val="0"/>
                <w:sz w:val="24"/>
                <w:szCs w:val="24"/>
                <w:highlight w:val="none"/>
                <w:lang w:val="en-US" w:eastAsia="zh-CN" w:bidi="ar-SA"/>
              </w:rPr>
              <w:drawing>
                <wp:inline distT="0" distB="0" distL="114300" distR="114300">
                  <wp:extent cx="2592070" cy="2275205"/>
                  <wp:effectExtent l="0" t="0" r="17780" b="10795"/>
                  <wp:docPr id="2" name="图片 2" descr="d92c77e9b564f0b9e2fbf018763a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92c77e9b564f0b9e2fbf018763a7a9"/>
                          <pic:cNvPicPr>
                            <a:picLocks noChangeAspect="1"/>
                          </pic:cNvPicPr>
                        </pic:nvPicPr>
                        <pic:blipFill>
                          <a:blip r:embed="rId11"/>
                          <a:stretch>
                            <a:fillRect/>
                          </a:stretch>
                        </pic:blipFill>
                        <pic:spPr>
                          <a:xfrm>
                            <a:off x="0" y="0"/>
                            <a:ext cx="2592070" cy="2275205"/>
                          </a:xfrm>
                          <a:prstGeom prst="rect">
                            <a:avLst/>
                          </a:prstGeom>
                        </pic:spPr>
                      </pic:pic>
                    </a:graphicData>
                  </a:graphic>
                </wp:inline>
              </w:drawing>
            </w:r>
          </w:p>
        </w:tc>
        <w:tc>
          <w:tcPr>
            <w:tcW w:w="4536" w:type="dxa"/>
            <w:noWrap w:val="0"/>
            <w:vAlign w:val="center"/>
          </w:tcPr>
          <w:p w14:paraId="052322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lang w:val="en-US" w:eastAsia="zh-CN" w:bidi="ar-SA"/>
              </w:rPr>
              <w:drawing>
                <wp:inline distT="0" distB="0" distL="114300" distR="114300">
                  <wp:extent cx="2743200" cy="2265045"/>
                  <wp:effectExtent l="0" t="0" r="0" b="1905"/>
                  <wp:docPr id="17" name="图片 17" descr="51582be6ebfc8e62da2051fc888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1582be6ebfc8e62da2051fc8884389"/>
                          <pic:cNvPicPr>
                            <a:picLocks noChangeAspect="1"/>
                          </pic:cNvPicPr>
                        </pic:nvPicPr>
                        <pic:blipFill>
                          <a:blip r:embed="rId12"/>
                          <a:stretch>
                            <a:fillRect/>
                          </a:stretch>
                        </pic:blipFill>
                        <pic:spPr>
                          <a:xfrm>
                            <a:off x="0" y="0"/>
                            <a:ext cx="2743200" cy="2265045"/>
                          </a:xfrm>
                          <a:prstGeom prst="rect">
                            <a:avLst/>
                          </a:prstGeom>
                        </pic:spPr>
                      </pic:pic>
                    </a:graphicData>
                  </a:graphic>
                </wp:inline>
              </w:drawing>
            </w:r>
          </w:p>
        </w:tc>
      </w:tr>
      <w:tr w14:paraId="3CA0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1" w:type="dxa"/>
            <w:noWrap w:val="0"/>
            <w:vAlign w:val="center"/>
          </w:tcPr>
          <w:p w14:paraId="47A3B4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eastAsia" w:cs="Times New Roman"/>
                <w:b w:val="0"/>
                <w:bCs/>
                <w:color w:val="auto"/>
                <w:kern w:val="0"/>
                <w:sz w:val="24"/>
                <w:szCs w:val="24"/>
                <w:highlight w:val="none"/>
                <w:lang w:val="en-US" w:eastAsia="zh-CN" w:bidi="ar-SA"/>
              </w:rPr>
              <w:t>A储罐区现状1</w:t>
            </w:r>
          </w:p>
        </w:tc>
        <w:tc>
          <w:tcPr>
            <w:tcW w:w="4536" w:type="dxa"/>
            <w:noWrap w:val="0"/>
            <w:vAlign w:val="center"/>
          </w:tcPr>
          <w:p w14:paraId="04C471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eastAsia" w:cs="Times New Roman"/>
                <w:b w:val="0"/>
                <w:bCs/>
                <w:color w:val="auto"/>
                <w:kern w:val="0"/>
                <w:sz w:val="24"/>
                <w:szCs w:val="24"/>
                <w:highlight w:val="none"/>
                <w:lang w:val="en-US" w:eastAsia="zh-CN" w:bidi="ar-SA"/>
              </w:rPr>
              <w:t>A储罐区现状2</w:t>
            </w:r>
          </w:p>
        </w:tc>
      </w:tr>
      <w:tr w14:paraId="2D2E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jc w:val="center"/>
        </w:trPr>
        <w:tc>
          <w:tcPr>
            <w:tcW w:w="4341" w:type="dxa"/>
            <w:shd w:val="clear" w:color="auto" w:fill="auto"/>
            <w:noWrap w:val="0"/>
            <w:vAlign w:val="center"/>
          </w:tcPr>
          <w:p w14:paraId="2A99B2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lang w:val="en-US" w:eastAsia="zh-CN" w:bidi="ar-SA"/>
              </w:rPr>
              <w:drawing>
                <wp:inline distT="0" distB="0" distL="114300" distR="114300">
                  <wp:extent cx="2736215" cy="2394585"/>
                  <wp:effectExtent l="0" t="0" r="6985" b="5715"/>
                  <wp:docPr id="16" name="图片 16" descr="4f7b682fa053cbf4a26d1414dea0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f7b682fa053cbf4a26d1414dea024e"/>
                          <pic:cNvPicPr>
                            <a:picLocks noChangeAspect="1"/>
                          </pic:cNvPicPr>
                        </pic:nvPicPr>
                        <pic:blipFill>
                          <a:blip r:embed="rId13"/>
                          <a:stretch>
                            <a:fillRect/>
                          </a:stretch>
                        </pic:blipFill>
                        <pic:spPr>
                          <a:xfrm>
                            <a:off x="0" y="0"/>
                            <a:ext cx="2736215" cy="2394585"/>
                          </a:xfrm>
                          <a:prstGeom prst="rect">
                            <a:avLst/>
                          </a:prstGeom>
                        </pic:spPr>
                      </pic:pic>
                    </a:graphicData>
                  </a:graphic>
                </wp:inline>
              </w:drawing>
            </w:r>
          </w:p>
        </w:tc>
        <w:tc>
          <w:tcPr>
            <w:tcW w:w="4536" w:type="dxa"/>
            <w:noWrap w:val="0"/>
            <w:vAlign w:val="center"/>
          </w:tcPr>
          <w:p w14:paraId="6E387E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lang w:val="en-US" w:eastAsia="zh-CN"/>
              </w:rPr>
            </w:pPr>
            <w:r>
              <w:rPr>
                <w:rFonts w:hint="default"/>
                <w:lang w:val="en-US" w:eastAsia="zh-CN"/>
              </w:rPr>
              <w:drawing>
                <wp:inline distT="0" distB="0" distL="114300" distR="114300">
                  <wp:extent cx="2743200" cy="2322830"/>
                  <wp:effectExtent l="0" t="0" r="0" b="1270"/>
                  <wp:docPr id="18" name="图片 18" descr="6bf79174dfb1a8c9648b9af57980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bf79174dfb1a8c9648b9af579800f3"/>
                          <pic:cNvPicPr>
                            <a:picLocks noChangeAspect="1"/>
                          </pic:cNvPicPr>
                        </pic:nvPicPr>
                        <pic:blipFill>
                          <a:blip r:embed="rId14"/>
                          <a:stretch>
                            <a:fillRect/>
                          </a:stretch>
                        </pic:blipFill>
                        <pic:spPr>
                          <a:xfrm>
                            <a:off x="0" y="0"/>
                            <a:ext cx="2743200" cy="2322830"/>
                          </a:xfrm>
                          <a:prstGeom prst="rect">
                            <a:avLst/>
                          </a:prstGeom>
                        </pic:spPr>
                      </pic:pic>
                    </a:graphicData>
                  </a:graphic>
                </wp:inline>
              </w:drawing>
            </w:r>
          </w:p>
        </w:tc>
      </w:tr>
      <w:tr w14:paraId="5ACF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1" w:type="dxa"/>
            <w:shd w:val="clear" w:color="auto" w:fill="auto"/>
            <w:noWrap w:val="0"/>
            <w:vAlign w:val="center"/>
          </w:tcPr>
          <w:p w14:paraId="2AFB1B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eastAsia" w:cs="Times New Roman"/>
                <w:b w:val="0"/>
                <w:bCs/>
                <w:color w:val="auto"/>
                <w:kern w:val="0"/>
                <w:sz w:val="24"/>
                <w:szCs w:val="24"/>
                <w:highlight w:val="none"/>
                <w:lang w:val="en-US" w:eastAsia="zh-CN" w:bidi="ar-SA"/>
              </w:rPr>
              <w:t>D储罐区现状1</w:t>
            </w:r>
          </w:p>
        </w:tc>
        <w:tc>
          <w:tcPr>
            <w:tcW w:w="4536" w:type="dxa"/>
            <w:noWrap w:val="0"/>
            <w:vAlign w:val="center"/>
          </w:tcPr>
          <w:p w14:paraId="6E76D6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eastAsia" w:cs="Times New Roman"/>
                <w:b w:val="0"/>
                <w:bCs/>
                <w:color w:val="auto"/>
                <w:kern w:val="0"/>
                <w:sz w:val="24"/>
                <w:szCs w:val="24"/>
                <w:highlight w:val="none"/>
                <w:lang w:val="en-US" w:eastAsia="zh-CN" w:bidi="ar-SA"/>
              </w:rPr>
              <w:t>D储罐区现状2</w:t>
            </w:r>
          </w:p>
        </w:tc>
      </w:tr>
      <w:tr w14:paraId="3A88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6" w:hRule="atLeast"/>
          <w:jc w:val="center"/>
        </w:trPr>
        <w:tc>
          <w:tcPr>
            <w:tcW w:w="4341" w:type="dxa"/>
            <w:noWrap w:val="0"/>
            <w:vAlign w:val="center"/>
          </w:tcPr>
          <w:p w14:paraId="41972B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lang w:val="en-US" w:eastAsia="zh-CN" w:bidi="ar-SA"/>
              </w:rPr>
              <w:drawing>
                <wp:inline distT="0" distB="0" distL="114300" distR="114300">
                  <wp:extent cx="2614930" cy="2108200"/>
                  <wp:effectExtent l="0" t="0" r="13970" b="6350"/>
                  <wp:docPr id="6" name="图片 6" descr="7cc9cf2e62bc73eaf65e9a06743c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cc9cf2e62bc73eaf65e9a06743ceaa"/>
                          <pic:cNvPicPr>
                            <a:picLocks noChangeAspect="1"/>
                          </pic:cNvPicPr>
                        </pic:nvPicPr>
                        <pic:blipFill>
                          <a:blip r:embed="rId15"/>
                          <a:stretch>
                            <a:fillRect/>
                          </a:stretch>
                        </pic:blipFill>
                        <pic:spPr>
                          <a:xfrm>
                            <a:off x="0" y="0"/>
                            <a:ext cx="2614930" cy="2108200"/>
                          </a:xfrm>
                          <a:prstGeom prst="rect">
                            <a:avLst/>
                          </a:prstGeom>
                        </pic:spPr>
                      </pic:pic>
                    </a:graphicData>
                  </a:graphic>
                </wp:inline>
              </w:drawing>
            </w:r>
          </w:p>
        </w:tc>
        <w:tc>
          <w:tcPr>
            <w:tcW w:w="4536" w:type="dxa"/>
            <w:noWrap w:val="0"/>
            <w:vAlign w:val="center"/>
          </w:tcPr>
          <w:p w14:paraId="7BEA8A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lang w:val="en-US" w:eastAsia="zh-CN" w:bidi="ar-SA"/>
              </w:rPr>
              <w:drawing>
                <wp:inline distT="0" distB="0" distL="114300" distR="114300">
                  <wp:extent cx="2743200" cy="2037715"/>
                  <wp:effectExtent l="0" t="0" r="0" b="635"/>
                  <wp:docPr id="7" name="图片 7" descr="456ce1fcf573f63cc4b8ecb31726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56ce1fcf573f63cc4b8ecb317261a4"/>
                          <pic:cNvPicPr>
                            <a:picLocks noChangeAspect="1"/>
                          </pic:cNvPicPr>
                        </pic:nvPicPr>
                        <pic:blipFill>
                          <a:blip r:embed="rId16"/>
                          <a:stretch>
                            <a:fillRect/>
                          </a:stretch>
                        </pic:blipFill>
                        <pic:spPr>
                          <a:xfrm>
                            <a:off x="0" y="0"/>
                            <a:ext cx="2743200" cy="2037715"/>
                          </a:xfrm>
                          <a:prstGeom prst="rect">
                            <a:avLst/>
                          </a:prstGeom>
                        </pic:spPr>
                      </pic:pic>
                    </a:graphicData>
                  </a:graphic>
                </wp:inline>
              </w:drawing>
            </w:r>
          </w:p>
        </w:tc>
      </w:tr>
      <w:tr w14:paraId="0AEF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1" w:type="dxa"/>
            <w:noWrap w:val="0"/>
            <w:vAlign w:val="center"/>
          </w:tcPr>
          <w:p w14:paraId="7087FD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kern w:val="0"/>
                <w:sz w:val="24"/>
                <w:szCs w:val="24"/>
                <w:highlight w:val="none"/>
                <w:lang w:val="en-US" w:eastAsia="zh-CN" w:bidi="ar-SA"/>
              </w:rPr>
              <w:t>储罐A、D东侧液氨储罐区</w:t>
            </w:r>
          </w:p>
        </w:tc>
        <w:tc>
          <w:tcPr>
            <w:tcW w:w="4536" w:type="dxa"/>
            <w:noWrap w:val="0"/>
            <w:vAlign w:val="center"/>
          </w:tcPr>
          <w:p w14:paraId="00281A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eastAsia" w:cs="Times New Roman"/>
                <w:b w:val="0"/>
                <w:bCs/>
                <w:color w:val="auto"/>
                <w:kern w:val="0"/>
                <w:sz w:val="24"/>
                <w:szCs w:val="24"/>
                <w:highlight w:val="none"/>
                <w:lang w:val="en-US" w:eastAsia="zh-CN" w:bidi="ar-SA"/>
              </w:rPr>
              <w:t>储罐A、D东侧事故池</w:t>
            </w:r>
          </w:p>
        </w:tc>
      </w:tr>
      <w:tr w14:paraId="021D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7" w:type="dxa"/>
            <w:gridSpan w:val="2"/>
            <w:noWrap w:val="0"/>
            <w:vAlign w:val="center"/>
          </w:tcPr>
          <w:p w14:paraId="0B2D05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bCs w:val="0"/>
                <w:color w:val="auto"/>
                <w:kern w:val="0"/>
                <w:sz w:val="24"/>
                <w:szCs w:val="24"/>
                <w:highlight w:val="none"/>
                <w:lang w:val="en-US" w:eastAsia="zh-CN" w:bidi="ar-SA"/>
              </w:rPr>
              <w:t>项目区现场勘查图</w:t>
            </w:r>
            <w:r>
              <w:rPr>
                <w:rFonts w:hint="eastAsia" w:cs="Times New Roman"/>
                <w:b/>
                <w:bCs w:val="0"/>
                <w:color w:val="auto"/>
                <w:kern w:val="0"/>
                <w:sz w:val="24"/>
                <w:szCs w:val="24"/>
                <w:highlight w:val="none"/>
                <w:lang w:val="en-US" w:eastAsia="zh-CN" w:bidi="ar-SA"/>
              </w:rPr>
              <w:t>1</w:t>
            </w:r>
          </w:p>
        </w:tc>
      </w:tr>
    </w:tbl>
    <w:p w14:paraId="6D0E9FA0">
      <w:pPr>
        <w:rPr>
          <w:rFonts w:hint="default"/>
        </w:rPr>
      </w:pPr>
      <w:r>
        <w:rPr>
          <w:rFonts w:hint="default"/>
        </w:rPr>
        <w:br w:type="page"/>
      </w:r>
    </w:p>
    <w:tbl>
      <w:tblPr>
        <w:tblStyle w:val="22"/>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1"/>
        <w:gridCol w:w="4536"/>
      </w:tblGrid>
      <w:tr w14:paraId="0609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0" w:hRule="atLeast"/>
          <w:jc w:val="center"/>
        </w:trPr>
        <w:tc>
          <w:tcPr>
            <w:tcW w:w="4341" w:type="dxa"/>
            <w:shd w:val="clear" w:color="auto" w:fill="auto"/>
            <w:noWrap w:val="0"/>
            <w:vAlign w:val="center"/>
          </w:tcPr>
          <w:p w14:paraId="0AB1A6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lang w:val="en-US" w:eastAsia="zh-CN" w:bidi="ar-SA"/>
              </w:rPr>
              <w:drawing>
                <wp:inline distT="0" distB="0" distL="114300" distR="114300">
                  <wp:extent cx="2613025" cy="2188845"/>
                  <wp:effectExtent l="0" t="0" r="15875" b="1905"/>
                  <wp:docPr id="14" name="图片 14" descr="2a2cfd5610509a9ebf8705eb5ff7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a2cfd5610509a9ebf8705eb5ff72a1"/>
                          <pic:cNvPicPr>
                            <a:picLocks noChangeAspect="1"/>
                          </pic:cNvPicPr>
                        </pic:nvPicPr>
                        <pic:blipFill>
                          <a:blip r:embed="rId17"/>
                          <a:stretch>
                            <a:fillRect/>
                          </a:stretch>
                        </pic:blipFill>
                        <pic:spPr>
                          <a:xfrm>
                            <a:off x="0" y="0"/>
                            <a:ext cx="2613025" cy="2188845"/>
                          </a:xfrm>
                          <a:prstGeom prst="rect">
                            <a:avLst/>
                          </a:prstGeom>
                        </pic:spPr>
                      </pic:pic>
                    </a:graphicData>
                  </a:graphic>
                </wp:inline>
              </w:drawing>
            </w:r>
          </w:p>
        </w:tc>
        <w:tc>
          <w:tcPr>
            <w:tcW w:w="4536" w:type="dxa"/>
            <w:shd w:val="clear" w:color="auto" w:fill="auto"/>
            <w:noWrap w:val="0"/>
            <w:vAlign w:val="center"/>
          </w:tcPr>
          <w:p w14:paraId="1EBE34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drawing>
                <wp:inline distT="0" distB="0" distL="114300" distR="114300">
                  <wp:extent cx="2743200" cy="2161540"/>
                  <wp:effectExtent l="0" t="0" r="0" b="10160"/>
                  <wp:docPr id="24" name="图片 24" descr="bac70846ce3479b29b24dff7bae03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ac70846ce3479b29b24dff7bae030ec"/>
                          <pic:cNvPicPr>
                            <a:picLocks noChangeAspect="1"/>
                          </pic:cNvPicPr>
                        </pic:nvPicPr>
                        <pic:blipFill>
                          <a:blip r:embed="rId18"/>
                          <a:stretch>
                            <a:fillRect/>
                          </a:stretch>
                        </pic:blipFill>
                        <pic:spPr>
                          <a:xfrm>
                            <a:off x="0" y="0"/>
                            <a:ext cx="2743200" cy="2161540"/>
                          </a:xfrm>
                          <a:prstGeom prst="rect">
                            <a:avLst/>
                          </a:prstGeom>
                        </pic:spPr>
                      </pic:pic>
                    </a:graphicData>
                  </a:graphic>
                </wp:inline>
              </w:drawing>
            </w:r>
          </w:p>
        </w:tc>
      </w:tr>
      <w:tr w14:paraId="5F82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1" w:type="dxa"/>
            <w:shd w:val="clear" w:color="auto" w:fill="auto"/>
            <w:noWrap w:val="0"/>
            <w:vAlign w:val="center"/>
          </w:tcPr>
          <w:p w14:paraId="46CFB1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eastAsia" w:cs="Times New Roman"/>
                <w:b w:val="0"/>
                <w:bCs/>
                <w:color w:val="auto"/>
                <w:kern w:val="0"/>
                <w:sz w:val="24"/>
                <w:szCs w:val="24"/>
                <w:highlight w:val="none"/>
                <w:lang w:val="en-US" w:eastAsia="zh-CN" w:bidi="ar-SA"/>
              </w:rPr>
              <w:t>储罐A西侧空地</w:t>
            </w:r>
          </w:p>
        </w:tc>
        <w:tc>
          <w:tcPr>
            <w:tcW w:w="4536" w:type="dxa"/>
            <w:shd w:val="clear" w:color="auto" w:fill="auto"/>
            <w:noWrap w:val="0"/>
            <w:vAlign w:val="center"/>
          </w:tcPr>
          <w:p w14:paraId="68D6EE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eastAsia" w:cs="Times New Roman"/>
                <w:b w:val="0"/>
                <w:bCs/>
                <w:color w:val="auto"/>
                <w:kern w:val="0"/>
                <w:sz w:val="24"/>
                <w:szCs w:val="24"/>
                <w:highlight w:val="none"/>
                <w:lang w:val="en-US" w:eastAsia="zh-CN" w:bidi="ar-SA"/>
              </w:rPr>
              <w:t>储罐D西侧液体肥生产车间</w:t>
            </w:r>
          </w:p>
        </w:tc>
      </w:tr>
      <w:tr w14:paraId="6C64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jc w:val="center"/>
        </w:trPr>
        <w:tc>
          <w:tcPr>
            <w:tcW w:w="4341" w:type="dxa"/>
            <w:noWrap w:val="0"/>
            <w:vAlign w:val="center"/>
          </w:tcPr>
          <w:p w14:paraId="3C3A48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lang w:val="en-US" w:eastAsia="zh-CN" w:bidi="ar-SA"/>
              </w:rPr>
              <w:drawing>
                <wp:inline distT="0" distB="0" distL="114300" distR="114300">
                  <wp:extent cx="2614930" cy="2022475"/>
                  <wp:effectExtent l="0" t="0" r="13970" b="15875"/>
                  <wp:docPr id="19" name="图片 19" descr="2e27bcaee7903df1b5ebf903d0af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e27bcaee7903df1b5ebf903d0afed0"/>
                          <pic:cNvPicPr>
                            <a:picLocks noChangeAspect="1"/>
                          </pic:cNvPicPr>
                        </pic:nvPicPr>
                        <pic:blipFill>
                          <a:blip r:embed="rId19"/>
                          <a:stretch>
                            <a:fillRect/>
                          </a:stretch>
                        </pic:blipFill>
                        <pic:spPr>
                          <a:xfrm>
                            <a:off x="0" y="0"/>
                            <a:ext cx="2614930" cy="2022475"/>
                          </a:xfrm>
                          <a:prstGeom prst="rect">
                            <a:avLst/>
                          </a:prstGeom>
                        </pic:spPr>
                      </pic:pic>
                    </a:graphicData>
                  </a:graphic>
                </wp:inline>
              </w:drawing>
            </w:r>
          </w:p>
        </w:tc>
        <w:tc>
          <w:tcPr>
            <w:tcW w:w="4536" w:type="dxa"/>
            <w:noWrap w:val="0"/>
            <w:vAlign w:val="center"/>
          </w:tcPr>
          <w:p w14:paraId="2DD122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lang w:val="en-US" w:eastAsia="zh-CN"/>
              </w:rPr>
            </w:pPr>
            <w:r>
              <w:rPr>
                <w:rFonts w:hint="default"/>
                <w:lang w:val="en-US" w:eastAsia="zh-CN"/>
              </w:rPr>
              <w:drawing>
                <wp:inline distT="0" distB="0" distL="114300" distR="114300">
                  <wp:extent cx="2743200" cy="1990090"/>
                  <wp:effectExtent l="0" t="0" r="0" b="10160"/>
                  <wp:docPr id="23" name="图片 23" descr="73a428c147d1929a08ec84a78e74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3a428c147d1929a08ec84a78e746c3"/>
                          <pic:cNvPicPr>
                            <a:picLocks noChangeAspect="1"/>
                          </pic:cNvPicPr>
                        </pic:nvPicPr>
                        <pic:blipFill>
                          <a:blip r:embed="rId20"/>
                          <a:stretch>
                            <a:fillRect/>
                          </a:stretch>
                        </pic:blipFill>
                        <pic:spPr>
                          <a:xfrm>
                            <a:off x="0" y="0"/>
                            <a:ext cx="2743200" cy="1990090"/>
                          </a:xfrm>
                          <a:prstGeom prst="rect">
                            <a:avLst/>
                          </a:prstGeom>
                        </pic:spPr>
                      </pic:pic>
                    </a:graphicData>
                  </a:graphic>
                </wp:inline>
              </w:drawing>
            </w:r>
          </w:p>
        </w:tc>
      </w:tr>
      <w:tr w14:paraId="3350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1" w:type="dxa"/>
            <w:noWrap w:val="0"/>
            <w:vAlign w:val="center"/>
          </w:tcPr>
          <w:p w14:paraId="428652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eastAsia" w:ascii="Times New Roman" w:hAnsi="Times New Roman" w:eastAsia="宋体" w:cs="Times New Roman"/>
                <w:b w:val="0"/>
                <w:bCs/>
                <w:color w:val="auto"/>
                <w:kern w:val="0"/>
                <w:sz w:val="24"/>
                <w:szCs w:val="24"/>
                <w:highlight w:val="none"/>
                <w:lang w:val="en-US" w:eastAsia="zh-CN" w:bidi="ar-SA"/>
              </w:rPr>
              <w:t>储罐A南侧空地</w:t>
            </w:r>
          </w:p>
        </w:tc>
        <w:tc>
          <w:tcPr>
            <w:tcW w:w="4536" w:type="dxa"/>
            <w:noWrap w:val="0"/>
            <w:vAlign w:val="center"/>
          </w:tcPr>
          <w:p w14:paraId="7180C8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eastAsia" w:ascii="Times New Roman" w:hAnsi="Times New Roman" w:eastAsia="宋体" w:cs="Times New Roman"/>
                <w:b w:val="0"/>
                <w:bCs/>
                <w:color w:val="auto"/>
                <w:kern w:val="0"/>
                <w:sz w:val="24"/>
                <w:szCs w:val="24"/>
                <w:highlight w:val="none"/>
                <w:lang w:val="en-US" w:eastAsia="zh-CN" w:bidi="ar-SA"/>
              </w:rPr>
              <w:t>储罐D南侧储罐C</w:t>
            </w:r>
          </w:p>
        </w:tc>
      </w:tr>
      <w:tr w14:paraId="4A7E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6" w:hRule="atLeast"/>
          <w:jc w:val="center"/>
        </w:trPr>
        <w:tc>
          <w:tcPr>
            <w:tcW w:w="4341" w:type="dxa"/>
            <w:noWrap w:val="0"/>
            <w:vAlign w:val="center"/>
          </w:tcPr>
          <w:p w14:paraId="6F721B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lang w:val="en-US" w:eastAsia="zh-CN" w:bidi="ar-SA"/>
              </w:rPr>
              <w:drawing>
                <wp:inline distT="0" distB="0" distL="114300" distR="114300">
                  <wp:extent cx="2614930" cy="2127250"/>
                  <wp:effectExtent l="0" t="0" r="13970" b="6350"/>
                  <wp:docPr id="20" name="图片 20" descr="9e385f4dd7bb5b98fe6adc92c830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e385f4dd7bb5b98fe6adc92c8309ca"/>
                          <pic:cNvPicPr>
                            <a:picLocks noChangeAspect="1"/>
                          </pic:cNvPicPr>
                        </pic:nvPicPr>
                        <pic:blipFill>
                          <a:blip r:embed="rId21"/>
                          <a:stretch>
                            <a:fillRect/>
                          </a:stretch>
                        </pic:blipFill>
                        <pic:spPr>
                          <a:xfrm>
                            <a:off x="0" y="0"/>
                            <a:ext cx="2614930" cy="2127250"/>
                          </a:xfrm>
                          <a:prstGeom prst="rect">
                            <a:avLst/>
                          </a:prstGeom>
                        </pic:spPr>
                      </pic:pic>
                    </a:graphicData>
                  </a:graphic>
                </wp:inline>
              </w:drawing>
            </w:r>
          </w:p>
        </w:tc>
        <w:tc>
          <w:tcPr>
            <w:tcW w:w="4536" w:type="dxa"/>
            <w:shd w:val="clear" w:color="auto" w:fill="auto"/>
            <w:noWrap w:val="0"/>
            <w:vAlign w:val="center"/>
          </w:tcPr>
          <w:p w14:paraId="6E10B1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kern w:val="2"/>
                <w:sz w:val="24"/>
                <w:szCs w:val="24"/>
                <w:lang w:val="en-US" w:eastAsia="zh-CN" w:bidi="ar-SA"/>
              </w:rPr>
            </w:pPr>
            <w:r>
              <w:rPr>
                <w:rFonts w:hint="default"/>
                <w:lang w:val="en-US" w:eastAsia="zh-CN"/>
              </w:rPr>
              <w:drawing>
                <wp:inline distT="0" distB="0" distL="114300" distR="114300">
                  <wp:extent cx="2736215" cy="2074545"/>
                  <wp:effectExtent l="0" t="0" r="6985" b="1905"/>
                  <wp:docPr id="22" name="图片 22" descr="c09a90986d2e30a32fa50df4268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09a90986d2e30a32fa50df42683409"/>
                          <pic:cNvPicPr>
                            <a:picLocks noChangeAspect="1"/>
                          </pic:cNvPicPr>
                        </pic:nvPicPr>
                        <pic:blipFill>
                          <a:blip r:embed="rId22"/>
                          <a:stretch>
                            <a:fillRect/>
                          </a:stretch>
                        </pic:blipFill>
                        <pic:spPr>
                          <a:xfrm>
                            <a:off x="0" y="0"/>
                            <a:ext cx="2736215" cy="2074545"/>
                          </a:xfrm>
                          <a:prstGeom prst="rect">
                            <a:avLst/>
                          </a:prstGeom>
                        </pic:spPr>
                      </pic:pic>
                    </a:graphicData>
                  </a:graphic>
                </wp:inline>
              </w:drawing>
            </w:r>
          </w:p>
        </w:tc>
      </w:tr>
      <w:tr w14:paraId="5789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1" w:type="dxa"/>
            <w:noWrap w:val="0"/>
            <w:vAlign w:val="center"/>
          </w:tcPr>
          <w:p w14:paraId="3A6F2C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储罐A北侧储罐B</w:t>
            </w:r>
          </w:p>
        </w:tc>
        <w:tc>
          <w:tcPr>
            <w:tcW w:w="4536" w:type="dxa"/>
            <w:shd w:val="clear" w:color="auto" w:fill="auto"/>
            <w:noWrap w:val="0"/>
            <w:vAlign w:val="center"/>
          </w:tcPr>
          <w:p w14:paraId="2E921C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eastAsia" w:ascii="Times New Roman" w:hAnsi="Times New Roman" w:eastAsia="宋体" w:cs="Times New Roman"/>
                <w:b w:val="0"/>
                <w:bCs/>
                <w:color w:val="auto"/>
                <w:kern w:val="0"/>
                <w:sz w:val="24"/>
                <w:szCs w:val="24"/>
                <w:highlight w:val="none"/>
                <w:lang w:val="en-US" w:eastAsia="zh-CN" w:bidi="ar-SA"/>
              </w:rPr>
              <w:t>储罐D北侧厂区道路</w:t>
            </w:r>
          </w:p>
        </w:tc>
      </w:tr>
      <w:tr w14:paraId="1E9E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7" w:type="dxa"/>
            <w:gridSpan w:val="2"/>
            <w:noWrap w:val="0"/>
            <w:vAlign w:val="center"/>
          </w:tcPr>
          <w:p w14:paraId="2BAEBC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bCs w:val="0"/>
                <w:color w:val="auto"/>
                <w:kern w:val="0"/>
                <w:sz w:val="24"/>
                <w:szCs w:val="24"/>
                <w:highlight w:val="none"/>
                <w:lang w:val="en-US" w:eastAsia="zh-CN" w:bidi="ar-SA"/>
              </w:rPr>
              <w:t>项目区现场勘查图</w:t>
            </w:r>
            <w:r>
              <w:rPr>
                <w:rFonts w:hint="eastAsia" w:cs="Times New Roman"/>
                <w:b/>
                <w:bCs w:val="0"/>
                <w:color w:val="auto"/>
                <w:kern w:val="0"/>
                <w:sz w:val="24"/>
                <w:szCs w:val="24"/>
                <w:highlight w:val="none"/>
                <w:lang w:val="en-US" w:eastAsia="zh-CN" w:bidi="ar-SA"/>
              </w:rPr>
              <w:t>2</w:t>
            </w:r>
          </w:p>
        </w:tc>
      </w:tr>
    </w:tbl>
    <w:p w14:paraId="185927D9">
      <w:pPr>
        <w:pStyle w:val="20"/>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2" w:name="_Toc27932"/>
    </w:p>
    <w:p w14:paraId="6C936536">
      <w:pPr>
        <w:pStyle w:val="20"/>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bookmarkEnd w:id="2"/>
    </w:p>
    <w:tbl>
      <w:tblPr>
        <w:tblStyle w:val="22"/>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71"/>
        <w:gridCol w:w="2307"/>
        <w:gridCol w:w="1875"/>
        <w:gridCol w:w="3101"/>
      </w:tblGrid>
      <w:tr w14:paraId="1F6D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1" w:type="dxa"/>
            <w:tcBorders>
              <w:tl2br w:val="nil"/>
              <w:tr2bl w:val="nil"/>
            </w:tcBorders>
            <w:noWrap w:val="0"/>
            <w:tcMar>
              <w:top w:w="16" w:type="dxa"/>
              <w:left w:w="16" w:type="dxa"/>
              <w:right w:w="16" w:type="dxa"/>
            </w:tcMar>
            <w:vAlign w:val="center"/>
          </w:tcPr>
          <w:p w14:paraId="7B7AC64F">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建设项目名称</w:t>
            </w:r>
          </w:p>
        </w:tc>
        <w:tc>
          <w:tcPr>
            <w:tcW w:w="7283" w:type="dxa"/>
            <w:gridSpan w:val="3"/>
            <w:tcBorders>
              <w:tl2br w:val="nil"/>
              <w:tr2bl w:val="nil"/>
            </w:tcBorders>
            <w:noWrap w:val="0"/>
            <w:vAlign w:val="center"/>
          </w:tcPr>
          <w:p w14:paraId="75DAD668">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新疆金象赛瑞化工科技有限公司硝酸储罐A、D建设项目</w:t>
            </w:r>
          </w:p>
        </w:tc>
      </w:tr>
      <w:tr w14:paraId="4459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1" w:type="dxa"/>
            <w:tcBorders>
              <w:tl2br w:val="nil"/>
              <w:tr2bl w:val="nil"/>
            </w:tcBorders>
            <w:noWrap w:val="0"/>
            <w:tcMar>
              <w:top w:w="16" w:type="dxa"/>
              <w:left w:w="16" w:type="dxa"/>
              <w:right w:w="16" w:type="dxa"/>
            </w:tcMar>
            <w:vAlign w:val="center"/>
          </w:tcPr>
          <w:p w14:paraId="174B6AD1">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项目代码</w:t>
            </w:r>
          </w:p>
        </w:tc>
        <w:tc>
          <w:tcPr>
            <w:tcW w:w="7283" w:type="dxa"/>
            <w:gridSpan w:val="3"/>
            <w:tcBorders>
              <w:tl2br w:val="nil"/>
              <w:tr2bl w:val="nil"/>
            </w:tcBorders>
            <w:noWrap w:val="0"/>
            <w:vAlign w:val="center"/>
          </w:tcPr>
          <w:p w14:paraId="3762901F">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2501-652302-07-02-980843</w:t>
            </w:r>
          </w:p>
        </w:tc>
      </w:tr>
      <w:tr w14:paraId="0D2D2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1" w:type="dxa"/>
            <w:tcBorders>
              <w:tl2br w:val="nil"/>
              <w:tr2bl w:val="nil"/>
            </w:tcBorders>
            <w:noWrap w:val="0"/>
            <w:tcMar>
              <w:top w:w="16" w:type="dxa"/>
              <w:left w:w="16" w:type="dxa"/>
              <w:right w:w="16" w:type="dxa"/>
            </w:tcMar>
            <w:vAlign w:val="center"/>
          </w:tcPr>
          <w:p w14:paraId="577233AA">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建设单位联系人</w:t>
            </w:r>
          </w:p>
        </w:tc>
        <w:tc>
          <w:tcPr>
            <w:tcW w:w="2307" w:type="dxa"/>
            <w:tcBorders>
              <w:tl2br w:val="nil"/>
              <w:tr2bl w:val="nil"/>
            </w:tcBorders>
            <w:noWrap w:val="0"/>
            <w:vAlign w:val="center"/>
          </w:tcPr>
          <w:p w14:paraId="17824355">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875" w:type="dxa"/>
            <w:tcBorders>
              <w:tl2br w:val="nil"/>
              <w:tr2bl w:val="nil"/>
            </w:tcBorders>
            <w:noWrap w:val="0"/>
            <w:vAlign w:val="center"/>
          </w:tcPr>
          <w:p w14:paraId="5ED779E9">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联系方式</w:t>
            </w:r>
          </w:p>
        </w:tc>
        <w:tc>
          <w:tcPr>
            <w:tcW w:w="3101" w:type="dxa"/>
            <w:tcBorders>
              <w:tl2br w:val="nil"/>
              <w:tr2bl w:val="nil"/>
            </w:tcBorders>
            <w:noWrap w:val="0"/>
            <w:vAlign w:val="center"/>
          </w:tcPr>
          <w:p w14:paraId="76B21D1F">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1574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1" w:type="dxa"/>
            <w:tcBorders>
              <w:tl2br w:val="nil"/>
              <w:tr2bl w:val="nil"/>
            </w:tcBorders>
            <w:noWrap w:val="0"/>
            <w:tcMar>
              <w:top w:w="16" w:type="dxa"/>
              <w:left w:w="16" w:type="dxa"/>
              <w:right w:w="16" w:type="dxa"/>
            </w:tcMar>
            <w:vAlign w:val="center"/>
          </w:tcPr>
          <w:p w14:paraId="00A91A0D">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p>
        </w:tc>
        <w:tc>
          <w:tcPr>
            <w:tcW w:w="7283" w:type="dxa"/>
            <w:gridSpan w:val="3"/>
            <w:tcBorders>
              <w:tl2br w:val="nil"/>
              <w:tr2bl w:val="nil"/>
            </w:tcBorders>
            <w:noWrap w:val="0"/>
            <w:vAlign w:val="center"/>
          </w:tcPr>
          <w:p w14:paraId="4C5C340B">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本项目位于</w:t>
            </w:r>
            <w:r>
              <w:rPr>
                <w:rFonts w:hint="default" w:ascii="Times New Roman" w:hAnsi="Times New Roman" w:eastAsia="宋体" w:cs="Times New Roman"/>
                <w:bCs/>
                <w:color w:val="auto"/>
                <w:kern w:val="0"/>
                <w:sz w:val="24"/>
                <w:szCs w:val="24"/>
                <w:highlight w:val="none"/>
                <w:lang w:val="en-US" w:eastAsia="zh-CN"/>
              </w:rPr>
              <w:t>新疆维吾尔自治区昌吉回族自治州</w:t>
            </w:r>
            <w:r>
              <w:rPr>
                <w:rFonts w:hint="default" w:ascii="Times New Roman" w:hAnsi="Times New Roman" w:eastAsia="宋体" w:cs="Times New Roman"/>
                <w:color w:val="auto"/>
                <w:highlight w:val="none"/>
                <w:lang w:val="en-US" w:eastAsia="zh-CN"/>
              </w:rPr>
              <w:t>阜康产业园</w:t>
            </w:r>
            <w:r>
              <w:rPr>
                <w:rFonts w:hint="eastAsia" w:ascii="Times New Roman" w:hAnsi="Times New Roman" w:cs="Times New Roman"/>
                <w:color w:val="auto"/>
                <w:highlight w:val="none"/>
                <w:lang w:val="en-US" w:eastAsia="zh-CN"/>
              </w:rPr>
              <w:t>西区（S303北侧乌准铁路南侧瑶池220KV变电站西侧）</w:t>
            </w:r>
            <w:r>
              <w:rPr>
                <w:rFonts w:hint="eastAsia"/>
              </w:rPr>
              <w:t>新疆金象赛瑞化工科技有限</w:t>
            </w:r>
            <w:r>
              <w:rPr>
                <w:rFonts w:hint="eastAsia"/>
                <w:lang w:eastAsia="zh-CN"/>
              </w:rPr>
              <w:t>公司</w:t>
            </w:r>
            <w:r>
              <w:rPr>
                <w:rFonts w:hint="eastAsia" w:cs="Times New Roman"/>
                <w:color w:val="auto"/>
                <w:highlight w:val="none"/>
                <w:lang w:val="en-US" w:eastAsia="zh-CN"/>
              </w:rPr>
              <w:t>厂区内</w:t>
            </w:r>
          </w:p>
        </w:tc>
      </w:tr>
      <w:tr w14:paraId="2FD6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1" w:type="dxa"/>
            <w:tcBorders>
              <w:tl2br w:val="nil"/>
              <w:tr2bl w:val="nil"/>
            </w:tcBorders>
            <w:noWrap w:val="0"/>
            <w:tcMar>
              <w:top w:w="16" w:type="dxa"/>
              <w:left w:w="16" w:type="dxa"/>
              <w:right w:w="16" w:type="dxa"/>
            </w:tcMar>
            <w:vAlign w:val="center"/>
          </w:tcPr>
          <w:p w14:paraId="463D6BDD">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地理坐标</w:t>
            </w:r>
          </w:p>
        </w:tc>
        <w:tc>
          <w:tcPr>
            <w:tcW w:w="7283" w:type="dxa"/>
            <w:gridSpan w:val="3"/>
            <w:tcBorders>
              <w:tl2br w:val="nil"/>
              <w:tr2bl w:val="nil"/>
            </w:tcBorders>
            <w:noWrap w:val="0"/>
            <w:vAlign w:val="center"/>
          </w:tcPr>
          <w:p w14:paraId="33E99ECA">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硝酸储罐A</w:t>
            </w:r>
            <w:r>
              <w:rPr>
                <w:rFonts w:hint="default" w:ascii="Times New Roman" w:hAnsi="Times New Roman" w:cs="Times New Roman"/>
                <w:color w:val="auto"/>
                <w:sz w:val="24"/>
                <w:szCs w:val="24"/>
                <w:highlight w:val="none"/>
                <w:lang w:val="en-US" w:eastAsia="zh-CN"/>
              </w:rPr>
              <w:t>东经</w:t>
            </w:r>
            <w:r>
              <w:rPr>
                <w:rFonts w:hint="eastAsia" w:cs="Times New Roman"/>
                <w:color w:val="auto"/>
                <w:sz w:val="24"/>
                <w:szCs w:val="24"/>
                <w:highlight w:val="none"/>
                <w:u w:val="single"/>
                <w:lang w:val="en-US" w:eastAsia="zh-CN"/>
              </w:rPr>
              <w:t>88</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18</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32.031</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lang w:val="en-US" w:eastAsia="zh-CN"/>
              </w:rPr>
              <w:t>北纬</w:t>
            </w:r>
            <w:r>
              <w:rPr>
                <w:rFonts w:hint="eastAsia" w:cs="Times New Roman"/>
                <w:color w:val="auto"/>
                <w:sz w:val="24"/>
                <w:szCs w:val="24"/>
                <w:highlight w:val="none"/>
                <w:u w:val="single"/>
                <w:lang w:val="en-US" w:eastAsia="zh-CN"/>
              </w:rPr>
              <w:t>44</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8</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41.916</w:t>
            </w:r>
            <w:r>
              <w:rPr>
                <w:rFonts w:hint="default" w:ascii="Times New Roman" w:hAnsi="Times New Roman" w:cs="Times New Roman"/>
                <w:color w:val="auto"/>
                <w:sz w:val="24"/>
                <w:szCs w:val="24"/>
                <w:highlight w:val="none"/>
              </w:rPr>
              <w:t>秒）</w:t>
            </w:r>
          </w:p>
          <w:p w14:paraId="7F3EECD3">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硝酸储罐D</w:t>
            </w:r>
            <w:r>
              <w:rPr>
                <w:rFonts w:hint="default" w:ascii="Times New Roman" w:hAnsi="Times New Roman" w:cs="Times New Roman"/>
                <w:color w:val="auto"/>
                <w:sz w:val="24"/>
                <w:szCs w:val="24"/>
                <w:highlight w:val="none"/>
                <w:lang w:val="en-US" w:eastAsia="zh-CN"/>
              </w:rPr>
              <w:t>东经</w:t>
            </w:r>
            <w:r>
              <w:rPr>
                <w:rFonts w:hint="eastAsia" w:cs="Times New Roman"/>
                <w:color w:val="auto"/>
                <w:sz w:val="24"/>
                <w:szCs w:val="24"/>
                <w:highlight w:val="none"/>
                <w:u w:val="single"/>
                <w:lang w:val="en-US" w:eastAsia="zh-CN"/>
              </w:rPr>
              <w:t>88</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18</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31.876</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lang w:val="en-US" w:eastAsia="zh-CN"/>
              </w:rPr>
              <w:t>北纬</w:t>
            </w:r>
            <w:r>
              <w:rPr>
                <w:rFonts w:hint="eastAsia" w:cs="Times New Roman"/>
                <w:color w:val="auto"/>
                <w:sz w:val="24"/>
                <w:szCs w:val="24"/>
                <w:highlight w:val="none"/>
                <w:u w:val="single"/>
                <w:lang w:val="en-US" w:eastAsia="zh-CN"/>
              </w:rPr>
              <w:t>44</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8</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44.001</w:t>
            </w:r>
            <w:r>
              <w:rPr>
                <w:rFonts w:hint="default" w:ascii="Times New Roman" w:hAnsi="Times New Roman" w:cs="Times New Roman"/>
                <w:color w:val="auto"/>
                <w:sz w:val="24"/>
                <w:szCs w:val="24"/>
                <w:highlight w:val="none"/>
              </w:rPr>
              <w:t>秒）</w:t>
            </w:r>
          </w:p>
        </w:tc>
      </w:tr>
      <w:tr w14:paraId="4C9E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1" w:type="dxa"/>
            <w:tcBorders>
              <w:tl2br w:val="nil"/>
              <w:tr2bl w:val="nil"/>
            </w:tcBorders>
            <w:noWrap w:val="0"/>
            <w:tcMar>
              <w:top w:w="16" w:type="dxa"/>
              <w:left w:w="16" w:type="dxa"/>
              <w:right w:w="16" w:type="dxa"/>
            </w:tcMar>
            <w:vAlign w:val="center"/>
          </w:tcPr>
          <w:p w14:paraId="459AA0EB">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国民经济</w:t>
            </w:r>
          </w:p>
          <w:p w14:paraId="01B24D87">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行业类别</w:t>
            </w:r>
          </w:p>
        </w:tc>
        <w:tc>
          <w:tcPr>
            <w:tcW w:w="2307" w:type="dxa"/>
            <w:tcBorders>
              <w:tl2br w:val="nil"/>
              <w:tr2bl w:val="nil"/>
            </w:tcBorders>
            <w:noWrap w:val="0"/>
            <w:vAlign w:val="center"/>
          </w:tcPr>
          <w:p w14:paraId="4AAC67C0">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G5942</w:t>
            </w:r>
          </w:p>
          <w:p w14:paraId="31BE0234">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危险化学品仓储</w:t>
            </w:r>
          </w:p>
        </w:tc>
        <w:tc>
          <w:tcPr>
            <w:tcW w:w="1875" w:type="dxa"/>
            <w:tcBorders>
              <w:tl2br w:val="nil"/>
              <w:tr2bl w:val="nil"/>
            </w:tcBorders>
            <w:noWrap w:val="0"/>
            <w:vAlign w:val="center"/>
          </w:tcPr>
          <w:p w14:paraId="3591BABE">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建设项目</w:t>
            </w:r>
          </w:p>
          <w:p w14:paraId="7D495F84">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行业类别</w:t>
            </w:r>
          </w:p>
        </w:tc>
        <w:tc>
          <w:tcPr>
            <w:tcW w:w="3101" w:type="dxa"/>
            <w:tcBorders>
              <w:tl2br w:val="nil"/>
              <w:tr2bl w:val="nil"/>
            </w:tcBorders>
            <w:noWrap w:val="0"/>
            <w:vAlign w:val="center"/>
          </w:tcPr>
          <w:p w14:paraId="5B46B021">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sz w:val="24"/>
                <w:szCs w:val="24"/>
                <w:highlight w:val="none"/>
                <w:lang w:val="en-US" w:eastAsia="zh-CN"/>
              </w:rPr>
            </w:pPr>
            <w:r>
              <w:rPr>
                <w:color w:val="auto"/>
                <w:sz w:val="24"/>
                <w:szCs w:val="24"/>
                <w:highlight w:val="none"/>
              </w:rPr>
              <w:t>五十三、装卸搬运和仓储业149危险品仓储594（不含加油站的油库；不含加气站的气库）其他（含有毒、有害、危险品的仓储；含液化天然气库）</w:t>
            </w:r>
          </w:p>
        </w:tc>
      </w:tr>
      <w:tr w14:paraId="0F2E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1" w:type="dxa"/>
            <w:tcBorders>
              <w:tl2br w:val="nil"/>
              <w:tr2bl w:val="nil"/>
            </w:tcBorders>
            <w:noWrap w:val="0"/>
            <w:tcMar>
              <w:top w:w="16" w:type="dxa"/>
              <w:left w:w="16" w:type="dxa"/>
              <w:right w:w="16" w:type="dxa"/>
            </w:tcMar>
            <w:vAlign w:val="center"/>
          </w:tcPr>
          <w:p w14:paraId="08B332F1">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建设性质</w:t>
            </w:r>
          </w:p>
        </w:tc>
        <w:tc>
          <w:tcPr>
            <w:tcW w:w="2307" w:type="dxa"/>
            <w:tcBorders>
              <w:tl2br w:val="nil"/>
              <w:tr2bl w:val="nil"/>
            </w:tcBorders>
            <w:noWrap w:val="0"/>
            <w:vAlign w:val="center"/>
          </w:tcPr>
          <w:p w14:paraId="04652207">
            <w:pPr>
              <w:pStyle w:val="33"/>
              <w:keepNext w:val="0"/>
              <w:keepLines w:val="0"/>
              <w:pageBreakBefore w:val="0"/>
              <w:suppressLineNumbers w:val="0"/>
              <w:kinsoku/>
              <w:wordWrap/>
              <w:overflowPunct w:val="0"/>
              <w:topLinePunct w:val="0"/>
              <w:bidi w:val="0"/>
              <w:spacing w:beforeAutospacing="0" w:afterAutospacing="0"/>
              <w:ind w:left="0" w:right="0"/>
              <w:jc w:val="left"/>
              <w:textAlignment w:val="auto"/>
              <w:rPr>
                <w:rFonts w:hint="default" w:ascii="Times New Roman" w:hAnsi="Times New Roman" w:cs="Times New Roman"/>
                <w:color w:val="auto"/>
                <w:highlight w:val="none"/>
              </w:rPr>
            </w:pP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highlight w:val="none"/>
              </w:rPr>
              <w:t>新建（迁建）</w:t>
            </w:r>
          </w:p>
          <w:p w14:paraId="07F102CE">
            <w:pPr>
              <w:pStyle w:val="33"/>
              <w:keepNext w:val="0"/>
              <w:keepLines w:val="0"/>
              <w:pageBreakBefore w:val="0"/>
              <w:suppressLineNumbers w:val="0"/>
              <w:kinsoku/>
              <w:wordWrap/>
              <w:overflowPunct w:val="0"/>
              <w:topLinePunct w:val="0"/>
              <w:bidi w:val="0"/>
              <w:spacing w:beforeAutospacing="0" w:afterAutospacing="0"/>
              <w:ind w:left="0" w:right="0"/>
              <w:jc w:val="left"/>
              <w:textAlignment w:val="auto"/>
              <w:rPr>
                <w:rFonts w:hint="default" w:ascii="Times New Roman" w:hAnsi="Times New Roman" w:cs="Times New Roman"/>
                <w:color w:val="auto"/>
                <w:highlight w:val="none"/>
              </w:rPr>
            </w:pP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highlight w:val="none"/>
              </w:rPr>
              <w:t>改建</w:t>
            </w:r>
          </w:p>
          <w:p w14:paraId="2C3B41DA">
            <w:pPr>
              <w:pStyle w:val="33"/>
              <w:keepNext w:val="0"/>
              <w:keepLines w:val="0"/>
              <w:pageBreakBefore w:val="0"/>
              <w:suppressLineNumbers w:val="0"/>
              <w:kinsoku/>
              <w:wordWrap/>
              <w:overflowPunct w:val="0"/>
              <w:topLinePunct w:val="0"/>
              <w:bidi w:val="0"/>
              <w:spacing w:beforeAutospacing="0" w:afterAutospacing="0"/>
              <w:ind w:left="0" w:right="0"/>
              <w:jc w:val="left"/>
              <w:textAlignment w:val="auto"/>
              <w:rPr>
                <w:rFonts w:hint="default" w:ascii="Times New Roman" w:hAnsi="Times New Roman" w:cs="Times New Roman"/>
                <w:color w:val="auto"/>
                <w:highlight w:val="none"/>
              </w:rPr>
            </w:pP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highlight w:val="none"/>
              </w:rPr>
              <w:t>扩建</w:t>
            </w:r>
          </w:p>
          <w:p w14:paraId="0FE43E9D">
            <w:pPr>
              <w:pStyle w:val="33"/>
              <w:keepNext w:val="0"/>
              <w:keepLines w:val="0"/>
              <w:pageBreakBefore w:val="0"/>
              <w:suppressLineNumbers w:val="0"/>
              <w:kinsoku/>
              <w:wordWrap/>
              <w:overflowPunct w:val="0"/>
              <w:topLinePunct w:val="0"/>
              <w:bidi w:val="0"/>
              <w:spacing w:beforeAutospacing="0" w:afterAutospacing="0"/>
              <w:ind w:left="0" w:right="0"/>
              <w:jc w:val="left"/>
              <w:textAlignment w:val="auto"/>
              <w:rPr>
                <w:rFonts w:hint="default" w:ascii="Times New Roman" w:hAnsi="Times New Roman" w:cs="Times New Roman"/>
                <w:color w:val="auto"/>
                <w:highlight w:val="none"/>
              </w:rPr>
            </w:pP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highlight w:val="none"/>
              </w:rPr>
              <w:t>技术改造</w:t>
            </w:r>
          </w:p>
        </w:tc>
        <w:tc>
          <w:tcPr>
            <w:tcW w:w="1875" w:type="dxa"/>
            <w:tcBorders>
              <w:tl2br w:val="nil"/>
              <w:tr2bl w:val="nil"/>
            </w:tcBorders>
            <w:noWrap w:val="0"/>
            <w:vAlign w:val="center"/>
          </w:tcPr>
          <w:p w14:paraId="7B7C338B">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w:t>
            </w:r>
          </w:p>
          <w:p w14:paraId="7DE181C8">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申报情形</w:t>
            </w:r>
          </w:p>
        </w:tc>
        <w:tc>
          <w:tcPr>
            <w:tcW w:w="3101" w:type="dxa"/>
            <w:tcBorders>
              <w:tl2br w:val="nil"/>
              <w:tr2bl w:val="nil"/>
            </w:tcBorders>
            <w:noWrap w:val="0"/>
            <w:vAlign w:val="center"/>
          </w:tcPr>
          <w:p w14:paraId="1F38CC86">
            <w:pPr>
              <w:pStyle w:val="33"/>
              <w:keepNext w:val="0"/>
              <w:keepLines w:val="0"/>
              <w:pageBreakBefore w:val="0"/>
              <w:suppressLineNumbers w:val="0"/>
              <w:kinsoku/>
              <w:wordWrap/>
              <w:overflowPunct w:val="0"/>
              <w:topLinePunct w:val="0"/>
              <w:bidi w:val="0"/>
              <w:spacing w:beforeAutospacing="0" w:afterAutospacing="0"/>
              <w:ind w:left="0" w:right="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color w:val="auto"/>
                <w:highlight w:val="none"/>
              </w:rPr>
              <w:t>首次申报项目</w:t>
            </w:r>
          </w:p>
          <w:p w14:paraId="5008BBA9">
            <w:pPr>
              <w:pStyle w:val="33"/>
              <w:keepNext w:val="0"/>
              <w:keepLines w:val="0"/>
              <w:pageBreakBefore w:val="0"/>
              <w:suppressLineNumbers w:val="0"/>
              <w:kinsoku/>
              <w:wordWrap/>
              <w:overflowPunct w:val="0"/>
              <w:topLinePunct w:val="0"/>
              <w:bidi w:val="0"/>
              <w:spacing w:beforeAutospacing="0" w:afterAutospacing="0"/>
              <w:ind w:left="0" w:right="0"/>
              <w:jc w:val="left"/>
              <w:textAlignment w:val="auto"/>
              <w:rPr>
                <w:rFonts w:hint="default" w:ascii="Times New Roman" w:hAnsi="Times New Roman" w:cs="Times New Roman"/>
                <w:color w:val="auto"/>
                <w:highlight w:val="none"/>
              </w:rPr>
            </w:pP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highlight w:val="none"/>
              </w:rPr>
              <w:t>不予批准后再次申报项目</w:t>
            </w:r>
          </w:p>
          <w:p w14:paraId="5D854299">
            <w:pPr>
              <w:pStyle w:val="33"/>
              <w:keepNext w:val="0"/>
              <w:keepLines w:val="0"/>
              <w:pageBreakBefore w:val="0"/>
              <w:suppressLineNumbers w:val="0"/>
              <w:kinsoku/>
              <w:wordWrap/>
              <w:overflowPunct w:val="0"/>
              <w:topLinePunct w:val="0"/>
              <w:bidi w:val="0"/>
              <w:spacing w:beforeAutospacing="0" w:afterAutospacing="0"/>
              <w:ind w:left="0" w:right="0"/>
              <w:jc w:val="left"/>
              <w:textAlignment w:val="auto"/>
              <w:rPr>
                <w:rFonts w:hint="default" w:ascii="Times New Roman" w:hAnsi="Times New Roman" w:cs="Times New Roman"/>
                <w:color w:val="auto"/>
                <w:highlight w:val="none"/>
              </w:rPr>
            </w:pP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highlight w:val="none"/>
              </w:rPr>
              <w:t>超五年重新审核项目</w:t>
            </w:r>
          </w:p>
          <w:p w14:paraId="198208EA">
            <w:pPr>
              <w:pStyle w:val="33"/>
              <w:keepNext w:val="0"/>
              <w:keepLines w:val="0"/>
              <w:pageBreakBefore w:val="0"/>
              <w:suppressLineNumbers w:val="0"/>
              <w:kinsoku/>
              <w:wordWrap/>
              <w:overflowPunct w:val="0"/>
              <w:topLinePunct w:val="0"/>
              <w:bidi w:val="0"/>
              <w:spacing w:beforeAutospacing="0" w:afterAutospacing="0"/>
              <w:ind w:left="0" w:right="0"/>
              <w:jc w:val="left"/>
              <w:textAlignment w:val="auto"/>
              <w:rPr>
                <w:rFonts w:hint="default" w:ascii="Times New Roman" w:hAnsi="Times New Roman" w:cs="Times New Roman"/>
                <w:color w:val="auto"/>
                <w:highlight w:val="none"/>
              </w:rPr>
            </w:pP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highlight w:val="none"/>
              </w:rPr>
              <w:t>重大变动重新报批项目</w:t>
            </w:r>
          </w:p>
        </w:tc>
      </w:tr>
      <w:tr w14:paraId="29E5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1" w:type="dxa"/>
            <w:tcBorders>
              <w:tl2br w:val="nil"/>
              <w:tr2bl w:val="nil"/>
            </w:tcBorders>
            <w:noWrap w:val="0"/>
            <w:tcMar>
              <w:top w:w="16" w:type="dxa"/>
              <w:left w:w="16" w:type="dxa"/>
              <w:right w:w="16" w:type="dxa"/>
            </w:tcMar>
            <w:vAlign w:val="center"/>
          </w:tcPr>
          <w:p w14:paraId="084D0F1C">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项目审批（核准/</w:t>
            </w:r>
          </w:p>
          <w:p w14:paraId="4D3A7A7D">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备案）部门（选填）</w:t>
            </w:r>
          </w:p>
        </w:tc>
        <w:tc>
          <w:tcPr>
            <w:tcW w:w="2307" w:type="dxa"/>
            <w:tcBorders>
              <w:tl2br w:val="nil"/>
              <w:tr2bl w:val="nil"/>
            </w:tcBorders>
            <w:noWrap w:val="0"/>
            <w:vAlign w:val="center"/>
          </w:tcPr>
          <w:p w14:paraId="2014E8B1">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阜康市商务和工业信息化局</w:t>
            </w:r>
          </w:p>
        </w:tc>
        <w:tc>
          <w:tcPr>
            <w:tcW w:w="1875" w:type="dxa"/>
            <w:tcBorders>
              <w:tl2br w:val="nil"/>
              <w:tr2bl w:val="nil"/>
            </w:tcBorders>
            <w:noWrap w:val="0"/>
            <w:vAlign w:val="center"/>
          </w:tcPr>
          <w:p w14:paraId="5022B5BB">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项目审批（核准/</w:t>
            </w:r>
          </w:p>
          <w:p w14:paraId="3965A01A">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备案）文号（选填）</w:t>
            </w:r>
          </w:p>
        </w:tc>
        <w:tc>
          <w:tcPr>
            <w:tcW w:w="3101" w:type="dxa"/>
            <w:tcBorders>
              <w:tl2br w:val="nil"/>
              <w:tr2bl w:val="nil"/>
            </w:tcBorders>
            <w:noWrap w:val="0"/>
            <w:vAlign w:val="center"/>
          </w:tcPr>
          <w:p w14:paraId="0ECD68DD">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阜商工信技备</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2025</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01号</w:t>
            </w:r>
          </w:p>
        </w:tc>
      </w:tr>
      <w:tr w14:paraId="196B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1" w:type="dxa"/>
            <w:tcBorders>
              <w:tl2br w:val="nil"/>
              <w:tr2bl w:val="nil"/>
            </w:tcBorders>
            <w:noWrap w:val="0"/>
            <w:tcMar>
              <w:top w:w="16" w:type="dxa"/>
              <w:left w:w="16" w:type="dxa"/>
              <w:right w:w="16" w:type="dxa"/>
            </w:tcMar>
            <w:vAlign w:val="center"/>
          </w:tcPr>
          <w:p w14:paraId="6D91ADC3">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总投资（万元）</w:t>
            </w:r>
          </w:p>
        </w:tc>
        <w:tc>
          <w:tcPr>
            <w:tcW w:w="2307" w:type="dxa"/>
            <w:tcBorders>
              <w:tl2br w:val="nil"/>
              <w:tr2bl w:val="nil"/>
            </w:tcBorders>
            <w:noWrap w:val="0"/>
            <w:vAlign w:val="center"/>
          </w:tcPr>
          <w:p w14:paraId="720D3396">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400</w:t>
            </w:r>
          </w:p>
        </w:tc>
        <w:tc>
          <w:tcPr>
            <w:tcW w:w="1875" w:type="dxa"/>
            <w:tcBorders>
              <w:tl2br w:val="nil"/>
              <w:tr2bl w:val="nil"/>
            </w:tcBorders>
            <w:noWrap w:val="0"/>
            <w:tcMar>
              <w:top w:w="16" w:type="dxa"/>
              <w:left w:w="16" w:type="dxa"/>
              <w:right w:w="16" w:type="dxa"/>
            </w:tcMar>
            <w:vAlign w:val="center"/>
          </w:tcPr>
          <w:p w14:paraId="49250B5A">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环保投资（万元）</w:t>
            </w:r>
          </w:p>
        </w:tc>
        <w:tc>
          <w:tcPr>
            <w:tcW w:w="3101" w:type="dxa"/>
            <w:tcBorders>
              <w:tl2br w:val="nil"/>
              <w:tr2bl w:val="nil"/>
            </w:tcBorders>
            <w:noWrap w:val="0"/>
            <w:vAlign w:val="center"/>
          </w:tcPr>
          <w:p w14:paraId="6FE313A4">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30.4</w:t>
            </w:r>
          </w:p>
        </w:tc>
      </w:tr>
      <w:tr w14:paraId="1635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1" w:type="dxa"/>
            <w:tcBorders>
              <w:tl2br w:val="nil"/>
              <w:tr2bl w:val="nil"/>
            </w:tcBorders>
            <w:noWrap w:val="0"/>
            <w:tcMar>
              <w:top w:w="16" w:type="dxa"/>
              <w:left w:w="16" w:type="dxa"/>
              <w:right w:w="16" w:type="dxa"/>
            </w:tcMar>
            <w:vAlign w:val="center"/>
          </w:tcPr>
          <w:p w14:paraId="48A90FFD">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环保投资占比（%）</w:t>
            </w:r>
          </w:p>
        </w:tc>
        <w:tc>
          <w:tcPr>
            <w:tcW w:w="2307" w:type="dxa"/>
            <w:tcBorders>
              <w:tl2br w:val="nil"/>
              <w:tr2bl w:val="nil"/>
            </w:tcBorders>
            <w:noWrap w:val="0"/>
            <w:vAlign w:val="center"/>
          </w:tcPr>
          <w:p w14:paraId="2FE8E287">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7.6</w:t>
            </w:r>
          </w:p>
        </w:tc>
        <w:tc>
          <w:tcPr>
            <w:tcW w:w="1875" w:type="dxa"/>
            <w:tcBorders>
              <w:tl2br w:val="nil"/>
              <w:tr2bl w:val="nil"/>
            </w:tcBorders>
            <w:noWrap w:val="0"/>
            <w:tcMar>
              <w:top w:w="16" w:type="dxa"/>
              <w:left w:w="16" w:type="dxa"/>
              <w:right w:w="16" w:type="dxa"/>
            </w:tcMar>
            <w:vAlign w:val="center"/>
          </w:tcPr>
          <w:p w14:paraId="4BDE8443">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施工工期</w:t>
            </w:r>
          </w:p>
        </w:tc>
        <w:tc>
          <w:tcPr>
            <w:tcW w:w="3101" w:type="dxa"/>
            <w:tcBorders>
              <w:tl2br w:val="nil"/>
              <w:tr2bl w:val="nil"/>
            </w:tcBorders>
            <w:noWrap w:val="0"/>
            <w:vAlign w:val="center"/>
          </w:tcPr>
          <w:p w14:paraId="233B8808">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6个月</w:t>
            </w:r>
          </w:p>
        </w:tc>
      </w:tr>
      <w:tr w14:paraId="0C98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1" w:type="dxa"/>
            <w:tcBorders>
              <w:tl2br w:val="nil"/>
              <w:tr2bl w:val="nil"/>
            </w:tcBorders>
            <w:noWrap w:val="0"/>
            <w:tcMar>
              <w:top w:w="16" w:type="dxa"/>
              <w:left w:w="16" w:type="dxa"/>
              <w:right w:w="16" w:type="dxa"/>
            </w:tcMar>
            <w:vAlign w:val="center"/>
          </w:tcPr>
          <w:p w14:paraId="4E026C65">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是否开工建设</w:t>
            </w:r>
          </w:p>
        </w:tc>
        <w:tc>
          <w:tcPr>
            <w:tcW w:w="2307" w:type="dxa"/>
            <w:tcBorders>
              <w:tl2br w:val="nil"/>
              <w:tr2bl w:val="nil"/>
            </w:tcBorders>
            <w:noWrap w:val="0"/>
            <w:vAlign w:val="center"/>
          </w:tcPr>
          <w:p w14:paraId="143262D3">
            <w:pPr>
              <w:pStyle w:val="33"/>
              <w:keepNext w:val="0"/>
              <w:keepLines w:val="0"/>
              <w:pageBreakBefore w:val="0"/>
              <w:suppressLineNumbers w:val="0"/>
              <w:kinsoku/>
              <w:wordWrap/>
              <w:overflowPunct w:val="0"/>
              <w:topLinePunct w:val="0"/>
              <w:bidi w:val="0"/>
              <w:spacing w:beforeAutospacing="0" w:afterAutospacing="0"/>
              <w:ind w:left="0" w:right="0" w:firstLine="240" w:firstLineChars="1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否</w:t>
            </w:r>
          </w:p>
          <w:p w14:paraId="4AADF8F7">
            <w:pPr>
              <w:pStyle w:val="33"/>
              <w:keepNext w:val="0"/>
              <w:keepLines w:val="0"/>
              <w:pageBreakBefore w:val="0"/>
              <w:suppressLineNumbers w:val="0"/>
              <w:kinsoku/>
              <w:wordWrap/>
              <w:overflowPunct w:val="0"/>
              <w:topLinePunct w:val="0"/>
              <w:bidi w:val="0"/>
              <w:spacing w:beforeAutospacing="0" w:afterAutospacing="0"/>
              <w:ind w:left="0" w:right="0" w:firstLine="240" w:firstLineChars="10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是</w:t>
            </w:r>
            <w:r>
              <w:rPr>
                <w:rFonts w:hint="default" w:ascii="Times New Roman" w:hAnsi="Times New Roman" w:cs="Times New Roman"/>
                <w:color w:val="000000" w:themeColor="text1"/>
                <w:highlight w:val="none"/>
                <w:u w:val="none"/>
                <w:lang w:val="en-US" w:eastAsia="zh-CN"/>
                <w14:textFill>
                  <w14:solidFill>
                    <w14:schemeClr w14:val="tx1"/>
                  </w14:solidFill>
                </w14:textFill>
              </w:rPr>
              <w:t xml:space="preserve">      </w:t>
            </w:r>
          </w:p>
        </w:tc>
        <w:tc>
          <w:tcPr>
            <w:tcW w:w="1875" w:type="dxa"/>
            <w:tcBorders>
              <w:tl2br w:val="nil"/>
              <w:tr2bl w:val="nil"/>
            </w:tcBorders>
            <w:noWrap w:val="0"/>
            <w:vAlign w:val="center"/>
          </w:tcPr>
          <w:p w14:paraId="3CBB1AEE">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用地（用海）</w:t>
            </w:r>
          </w:p>
          <w:p w14:paraId="11AC191E">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面积（m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tc>
        <w:tc>
          <w:tcPr>
            <w:tcW w:w="3101" w:type="dxa"/>
            <w:tcBorders>
              <w:tl2br w:val="nil"/>
              <w:tr2bl w:val="nil"/>
            </w:tcBorders>
            <w:noWrap w:val="0"/>
            <w:vAlign w:val="center"/>
          </w:tcPr>
          <w:p w14:paraId="0208476E">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367.52</w:t>
            </w:r>
          </w:p>
        </w:tc>
      </w:tr>
      <w:tr w14:paraId="5139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1" w:type="dxa"/>
            <w:tcBorders>
              <w:tl2br w:val="nil"/>
              <w:tr2bl w:val="nil"/>
            </w:tcBorders>
            <w:noWrap w:val="0"/>
            <w:vAlign w:val="center"/>
          </w:tcPr>
          <w:p w14:paraId="1C9C7C1F">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专项评价</w:t>
            </w:r>
          </w:p>
          <w:p w14:paraId="21C3BA90">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设置情况</w:t>
            </w:r>
          </w:p>
        </w:tc>
        <w:tc>
          <w:tcPr>
            <w:tcW w:w="7283" w:type="dxa"/>
            <w:gridSpan w:val="3"/>
            <w:tcBorders>
              <w:tl2br w:val="nil"/>
              <w:tr2bl w:val="nil"/>
            </w:tcBorders>
            <w:noWrap w:val="0"/>
            <w:vAlign w:val="center"/>
          </w:tcPr>
          <w:p w14:paraId="70E084DE">
            <w:pPr>
              <w:autoSpaceDE w:val="0"/>
              <w:autoSpaceDN w:val="0"/>
              <w:adjustRightInd w:val="0"/>
              <w:snapToGrid w:val="0"/>
              <w:spacing w:line="360" w:lineRule="auto"/>
              <w:ind w:firstLine="480" w:firstLineChars="200"/>
              <w:jc w:val="left"/>
              <w:rPr>
                <w:kern w:val="0"/>
                <w:sz w:val="24"/>
              </w:rPr>
            </w:pPr>
            <w:r>
              <w:rPr>
                <w:rFonts w:hint="eastAsia"/>
                <w:kern w:val="0"/>
                <w:sz w:val="24"/>
              </w:rPr>
              <w:t>依据《建设项目环境影响报告表编制技术指南（污染影响类）》专项评价设置原则表，具体专项评价设置原则及本项目判定情况见下表。</w:t>
            </w:r>
          </w:p>
          <w:p w14:paraId="65B5078E">
            <w:pPr>
              <w:autoSpaceDE w:val="0"/>
              <w:autoSpaceDN w:val="0"/>
              <w:adjustRightInd w:val="0"/>
              <w:snapToGrid w:val="0"/>
              <w:jc w:val="center"/>
              <w:rPr>
                <w:b/>
                <w:kern w:val="0"/>
                <w:szCs w:val="21"/>
              </w:rPr>
            </w:pPr>
            <w:r>
              <w:rPr>
                <w:rFonts w:hint="eastAsia"/>
                <w:b/>
                <w:kern w:val="0"/>
                <w:szCs w:val="21"/>
              </w:rPr>
              <w:t>表1-1 专项评价设置原则表</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2618"/>
              <w:gridCol w:w="2527"/>
              <w:gridCol w:w="708"/>
            </w:tblGrid>
            <w:tr w14:paraId="016A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shd w:val="clear" w:color="auto" w:fill="auto"/>
                  <w:noWrap w:val="0"/>
                  <w:vAlign w:val="center"/>
                </w:tcPr>
                <w:p w14:paraId="435D6834">
                  <w:pPr>
                    <w:autoSpaceDE w:val="0"/>
                    <w:autoSpaceDN w:val="0"/>
                    <w:adjustRightInd w:val="0"/>
                    <w:snapToGrid w:val="0"/>
                    <w:ind w:left="0" w:leftChars="0" w:firstLine="0" w:firstLineChars="0"/>
                    <w:jc w:val="center"/>
                    <w:rPr>
                      <w:b/>
                      <w:bCs/>
                      <w:kern w:val="0"/>
                      <w:sz w:val="21"/>
                      <w:szCs w:val="21"/>
                    </w:rPr>
                  </w:pPr>
                  <w:r>
                    <w:rPr>
                      <w:rFonts w:hint="eastAsia"/>
                      <w:b/>
                      <w:bCs/>
                      <w:kern w:val="0"/>
                      <w:sz w:val="21"/>
                      <w:szCs w:val="21"/>
                    </w:rPr>
                    <w:t>专项评价的类别</w:t>
                  </w:r>
                </w:p>
              </w:tc>
              <w:tc>
                <w:tcPr>
                  <w:tcW w:w="2618" w:type="dxa"/>
                  <w:shd w:val="clear" w:color="auto" w:fill="auto"/>
                  <w:noWrap w:val="0"/>
                  <w:vAlign w:val="center"/>
                </w:tcPr>
                <w:p w14:paraId="27B8B150">
                  <w:pPr>
                    <w:autoSpaceDE w:val="0"/>
                    <w:autoSpaceDN w:val="0"/>
                    <w:adjustRightInd w:val="0"/>
                    <w:snapToGrid w:val="0"/>
                    <w:ind w:left="0" w:leftChars="0" w:firstLine="0" w:firstLineChars="0"/>
                    <w:jc w:val="center"/>
                    <w:rPr>
                      <w:b/>
                      <w:bCs/>
                      <w:kern w:val="0"/>
                      <w:sz w:val="21"/>
                      <w:szCs w:val="21"/>
                    </w:rPr>
                  </w:pPr>
                  <w:r>
                    <w:rPr>
                      <w:rFonts w:hint="eastAsia"/>
                      <w:b/>
                      <w:bCs/>
                      <w:kern w:val="0"/>
                      <w:sz w:val="21"/>
                      <w:szCs w:val="21"/>
                    </w:rPr>
                    <w:t>设置原则</w:t>
                  </w:r>
                </w:p>
              </w:tc>
              <w:tc>
                <w:tcPr>
                  <w:tcW w:w="2527" w:type="dxa"/>
                  <w:shd w:val="clear" w:color="auto" w:fill="auto"/>
                  <w:noWrap w:val="0"/>
                  <w:vAlign w:val="center"/>
                </w:tcPr>
                <w:p w14:paraId="39D8DBD0">
                  <w:pPr>
                    <w:autoSpaceDE w:val="0"/>
                    <w:autoSpaceDN w:val="0"/>
                    <w:adjustRightInd w:val="0"/>
                    <w:snapToGrid w:val="0"/>
                    <w:ind w:left="0" w:leftChars="0" w:firstLine="0" w:firstLineChars="0"/>
                    <w:jc w:val="center"/>
                    <w:rPr>
                      <w:b/>
                      <w:bCs/>
                      <w:kern w:val="0"/>
                      <w:sz w:val="21"/>
                      <w:szCs w:val="21"/>
                    </w:rPr>
                  </w:pPr>
                  <w:r>
                    <w:rPr>
                      <w:rFonts w:hint="eastAsia"/>
                      <w:b/>
                      <w:bCs/>
                      <w:kern w:val="0"/>
                      <w:sz w:val="21"/>
                      <w:szCs w:val="21"/>
                    </w:rPr>
                    <w:t>本项目情况</w:t>
                  </w:r>
                </w:p>
              </w:tc>
              <w:tc>
                <w:tcPr>
                  <w:tcW w:w="708" w:type="dxa"/>
                  <w:shd w:val="clear" w:color="auto" w:fill="auto"/>
                  <w:noWrap w:val="0"/>
                  <w:vAlign w:val="center"/>
                </w:tcPr>
                <w:p w14:paraId="4AE6244A">
                  <w:pPr>
                    <w:autoSpaceDE w:val="0"/>
                    <w:autoSpaceDN w:val="0"/>
                    <w:adjustRightInd w:val="0"/>
                    <w:snapToGrid w:val="0"/>
                    <w:ind w:left="0" w:leftChars="0" w:firstLine="0" w:firstLineChars="0"/>
                    <w:jc w:val="center"/>
                    <w:rPr>
                      <w:b/>
                      <w:bCs/>
                      <w:kern w:val="0"/>
                      <w:sz w:val="21"/>
                      <w:szCs w:val="21"/>
                    </w:rPr>
                  </w:pPr>
                  <w:r>
                    <w:rPr>
                      <w:rFonts w:hint="eastAsia"/>
                      <w:b/>
                      <w:bCs/>
                      <w:kern w:val="0"/>
                      <w:sz w:val="21"/>
                      <w:szCs w:val="21"/>
                    </w:rPr>
                    <w:t>专项设置</w:t>
                  </w:r>
                </w:p>
              </w:tc>
            </w:tr>
            <w:tr w14:paraId="1809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203" w:type="dxa"/>
                  <w:shd w:val="clear" w:color="auto" w:fill="auto"/>
                  <w:noWrap w:val="0"/>
                  <w:vAlign w:val="center"/>
                </w:tcPr>
                <w:p w14:paraId="04B49B54">
                  <w:pPr>
                    <w:autoSpaceDE w:val="0"/>
                    <w:autoSpaceDN w:val="0"/>
                    <w:adjustRightInd w:val="0"/>
                    <w:snapToGrid w:val="0"/>
                    <w:ind w:left="0" w:leftChars="0" w:firstLine="0" w:firstLineChars="0"/>
                    <w:jc w:val="center"/>
                    <w:rPr>
                      <w:kern w:val="0"/>
                      <w:sz w:val="21"/>
                      <w:szCs w:val="21"/>
                    </w:rPr>
                  </w:pPr>
                  <w:r>
                    <w:rPr>
                      <w:rFonts w:hint="eastAsia"/>
                      <w:kern w:val="0"/>
                      <w:sz w:val="21"/>
                      <w:szCs w:val="21"/>
                    </w:rPr>
                    <w:t>大气</w:t>
                  </w:r>
                </w:p>
              </w:tc>
              <w:tc>
                <w:tcPr>
                  <w:tcW w:w="2618" w:type="dxa"/>
                  <w:shd w:val="clear" w:color="auto" w:fill="auto"/>
                  <w:noWrap w:val="0"/>
                  <w:vAlign w:val="center"/>
                </w:tcPr>
                <w:p w14:paraId="30C200C3">
                  <w:pPr>
                    <w:autoSpaceDE w:val="0"/>
                    <w:autoSpaceDN w:val="0"/>
                    <w:adjustRightInd w:val="0"/>
                    <w:snapToGrid w:val="0"/>
                    <w:ind w:left="0" w:leftChars="0" w:firstLine="0" w:firstLineChars="0"/>
                    <w:jc w:val="center"/>
                    <w:rPr>
                      <w:rFonts w:ascii="Times New Roman" w:hAnsi="Times New Roman" w:eastAsia="宋体" w:cs="Times New Roman"/>
                      <w:kern w:val="2"/>
                      <w:sz w:val="24"/>
                      <w:szCs w:val="24"/>
                      <w:lang w:val="en-US" w:eastAsia="zh-CN" w:bidi="ar-SA"/>
                    </w:rPr>
                  </w:pPr>
                  <w:r>
                    <w:rPr>
                      <w:rFonts w:hint="eastAsia"/>
                      <w:kern w:val="0"/>
                      <w:sz w:val="21"/>
                      <w:szCs w:val="21"/>
                    </w:rPr>
                    <w:t>排放废气含有毒有害污染物、二噁英、苯并[a]芘、氰化物、氯气且厂界外500米范围内有环境空气保护目标的建设项目</w:t>
                  </w:r>
                </w:p>
              </w:tc>
              <w:tc>
                <w:tcPr>
                  <w:tcW w:w="2527" w:type="dxa"/>
                  <w:shd w:val="clear" w:color="auto" w:fill="auto"/>
                  <w:noWrap w:val="0"/>
                  <w:vAlign w:val="center"/>
                </w:tcPr>
                <w:p w14:paraId="18F69E11">
                  <w:pPr>
                    <w:autoSpaceDE w:val="0"/>
                    <w:autoSpaceDN w:val="0"/>
                    <w:adjustRightInd w:val="0"/>
                    <w:snapToGrid w:val="0"/>
                    <w:ind w:left="0" w:leftChars="0" w:firstLine="0" w:firstLineChars="0"/>
                    <w:jc w:val="center"/>
                    <w:rPr>
                      <w:kern w:val="0"/>
                      <w:sz w:val="21"/>
                      <w:szCs w:val="21"/>
                    </w:rPr>
                  </w:pPr>
                  <w:r>
                    <w:rPr>
                      <w:rFonts w:hint="eastAsia"/>
                      <w:kern w:val="0"/>
                      <w:sz w:val="21"/>
                      <w:szCs w:val="21"/>
                    </w:rPr>
                    <w:t>本项目硝酸铵罐并安装呼吸阀</w:t>
                  </w:r>
                  <w:r>
                    <w:rPr>
                      <w:rFonts w:hint="eastAsia"/>
                      <w:kern w:val="0"/>
                      <w:sz w:val="21"/>
                      <w:szCs w:val="21"/>
                      <w:lang w:eastAsia="zh-CN"/>
                    </w:rPr>
                    <w:t>，</w:t>
                  </w:r>
                  <w:r>
                    <w:rPr>
                      <w:rFonts w:hint="eastAsia"/>
                      <w:kern w:val="0"/>
                      <w:sz w:val="21"/>
                      <w:szCs w:val="21"/>
                    </w:rPr>
                    <w:t>只排放少量的</w:t>
                  </w:r>
                  <w:r>
                    <w:rPr>
                      <w:rFonts w:hint="eastAsia"/>
                      <w:kern w:val="0"/>
                      <w:sz w:val="21"/>
                      <w:szCs w:val="21"/>
                      <w:vertAlign w:val="baseline"/>
                      <w:lang w:eastAsia="zh-CN"/>
                    </w:rPr>
                    <w:t>氮氧化物</w:t>
                  </w:r>
                  <w:r>
                    <w:rPr>
                      <w:rFonts w:hint="eastAsia"/>
                      <w:kern w:val="0"/>
                      <w:sz w:val="21"/>
                      <w:szCs w:val="21"/>
                    </w:rPr>
                    <w:t>，不涉及纳入《有毒有害大气污染物名录》的含有毒有害污染物、二噁英、苯并[a]芘、氰化物、氯气</w:t>
                  </w:r>
                </w:p>
              </w:tc>
              <w:tc>
                <w:tcPr>
                  <w:tcW w:w="708" w:type="dxa"/>
                  <w:shd w:val="clear" w:color="auto" w:fill="auto"/>
                  <w:noWrap w:val="0"/>
                  <w:vAlign w:val="center"/>
                </w:tcPr>
                <w:p w14:paraId="70B03022">
                  <w:pPr>
                    <w:autoSpaceDE w:val="0"/>
                    <w:autoSpaceDN w:val="0"/>
                    <w:adjustRightInd w:val="0"/>
                    <w:snapToGrid w:val="0"/>
                    <w:ind w:left="0" w:leftChars="0" w:firstLine="0" w:firstLineChars="0"/>
                    <w:jc w:val="center"/>
                    <w:rPr>
                      <w:kern w:val="0"/>
                      <w:sz w:val="21"/>
                      <w:szCs w:val="21"/>
                    </w:rPr>
                  </w:pPr>
                  <w:r>
                    <w:rPr>
                      <w:rFonts w:hint="eastAsia"/>
                      <w:kern w:val="0"/>
                      <w:sz w:val="21"/>
                      <w:szCs w:val="21"/>
                    </w:rPr>
                    <w:t>否</w:t>
                  </w:r>
                </w:p>
              </w:tc>
            </w:tr>
            <w:tr w14:paraId="44C8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shd w:val="clear" w:color="auto" w:fill="auto"/>
                  <w:noWrap w:val="0"/>
                  <w:vAlign w:val="center"/>
                </w:tcPr>
                <w:p w14:paraId="7FE62BED">
                  <w:pPr>
                    <w:autoSpaceDE w:val="0"/>
                    <w:autoSpaceDN w:val="0"/>
                    <w:adjustRightInd w:val="0"/>
                    <w:snapToGrid w:val="0"/>
                    <w:ind w:left="0" w:leftChars="0" w:firstLine="0" w:firstLineChars="0"/>
                    <w:jc w:val="center"/>
                    <w:rPr>
                      <w:kern w:val="0"/>
                      <w:sz w:val="21"/>
                      <w:szCs w:val="21"/>
                    </w:rPr>
                  </w:pPr>
                  <w:r>
                    <w:rPr>
                      <w:rFonts w:hint="eastAsia"/>
                      <w:kern w:val="0"/>
                      <w:sz w:val="21"/>
                      <w:szCs w:val="21"/>
                    </w:rPr>
                    <w:t>地表水</w:t>
                  </w:r>
                </w:p>
              </w:tc>
              <w:tc>
                <w:tcPr>
                  <w:tcW w:w="2618" w:type="dxa"/>
                  <w:shd w:val="clear" w:color="auto" w:fill="auto"/>
                  <w:noWrap w:val="0"/>
                  <w:vAlign w:val="center"/>
                </w:tcPr>
                <w:p w14:paraId="0A17EE64">
                  <w:pPr>
                    <w:autoSpaceDE w:val="0"/>
                    <w:autoSpaceDN w:val="0"/>
                    <w:adjustRightInd w:val="0"/>
                    <w:snapToGrid w:val="0"/>
                    <w:ind w:left="0" w:leftChars="0" w:firstLine="0" w:firstLineChars="0"/>
                    <w:jc w:val="center"/>
                    <w:rPr>
                      <w:kern w:val="0"/>
                      <w:sz w:val="21"/>
                      <w:szCs w:val="21"/>
                    </w:rPr>
                  </w:pPr>
                  <w:r>
                    <w:rPr>
                      <w:rFonts w:hint="eastAsia"/>
                      <w:kern w:val="0"/>
                      <w:sz w:val="21"/>
                      <w:szCs w:val="21"/>
                    </w:rPr>
                    <w:t>新增工业废水直排建设项目（槽罐车外送污水处理厂的除外）；新增废水直排的污水集中处理厂</w:t>
                  </w:r>
                </w:p>
              </w:tc>
              <w:tc>
                <w:tcPr>
                  <w:tcW w:w="2527" w:type="dxa"/>
                  <w:shd w:val="clear" w:color="auto" w:fill="auto"/>
                  <w:noWrap w:val="0"/>
                  <w:vAlign w:val="center"/>
                </w:tcPr>
                <w:p w14:paraId="58E1DAFA">
                  <w:pPr>
                    <w:autoSpaceDE w:val="0"/>
                    <w:autoSpaceDN w:val="0"/>
                    <w:adjustRightInd w:val="0"/>
                    <w:snapToGrid w:val="0"/>
                    <w:ind w:left="0" w:leftChars="0" w:firstLine="0" w:firstLineChars="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14:textFill>
                        <w14:solidFill>
                          <w14:schemeClr w14:val="tx1"/>
                        </w14:solidFill>
                      </w14:textFill>
                    </w:rPr>
                    <w:t>本项目无生产废水，本项目员工从大厂区统一调配，</w:t>
                  </w:r>
                  <w:r>
                    <w:rPr>
                      <w:rFonts w:hint="eastAsia"/>
                      <w:color w:val="000000" w:themeColor="text1"/>
                      <w:kern w:val="0"/>
                      <w:sz w:val="21"/>
                      <w:szCs w:val="21"/>
                      <w:lang w:eastAsia="zh-CN"/>
                      <w14:textFill>
                        <w14:solidFill>
                          <w14:schemeClr w14:val="tx1"/>
                        </w14:solidFill>
                      </w14:textFill>
                    </w:rPr>
                    <w:t>无新增生活污水</w:t>
                  </w:r>
                </w:p>
              </w:tc>
              <w:tc>
                <w:tcPr>
                  <w:tcW w:w="708" w:type="dxa"/>
                  <w:shd w:val="clear" w:color="auto" w:fill="auto"/>
                  <w:noWrap w:val="0"/>
                  <w:vAlign w:val="center"/>
                </w:tcPr>
                <w:p w14:paraId="1D860AED">
                  <w:pPr>
                    <w:autoSpaceDE w:val="0"/>
                    <w:autoSpaceDN w:val="0"/>
                    <w:adjustRightInd w:val="0"/>
                    <w:snapToGrid w:val="0"/>
                    <w:ind w:left="0" w:leftChars="0"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否</w:t>
                  </w:r>
                </w:p>
              </w:tc>
            </w:tr>
            <w:tr w14:paraId="2F74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shd w:val="clear" w:color="auto" w:fill="auto"/>
                  <w:noWrap w:val="0"/>
                  <w:vAlign w:val="center"/>
                </w:tcPr>
                <w:p w14:paraId="094E24E3">
                  <w:pPr>
                    <w:autoSpaceDE w:val="0"/>
                    <w:autoSpaceDN w:val="0"/>
                    <w:adjustRightInd w:val="0"/>
                    <w:snapToGrid w:val="0"/>
                    <w:ind w:left="0" w:leftChars="0" w:firstLine="0" w:firstLineChars="0"/>
                    <w:jc w:val="center"/>
                    <w:rPr>
                      <w:kern w:val="0"/>
                      <w:sz w:val="21"/>
                      <w:szCs w:val="21"/>
                    </w:rPr>
                  </w:pPr>
                  <w:r>
                    <w:rPr>
                      <w:rFonts w:hint="eastAsia"/>
                      <w:kern w:val="0"/>
                      <w:sz w:val="21"/>
                      <w:szCs w:val="21"/>
                    </w:rPr>
                    <w:t>环境风险</w:t>
                  </w:r>
                </w:p>
              </w:tc>
              <w:tc>
                <w:tcPr>
                  <w:tcW w:w="2618" w:type="dxa"/>
                  <w:shd w:val="clear" w:color="auto" w:fill="auto"/>
                  <w:noWrap w:val="0"/>
                  <w:vAlign w:val="center"/>
                </w:tcPr>
                <w:p w14:paraId="74370C57">
                  <w:pPr>
                    <w:autoSpaceDE w:val="0"/>
                    <w:autoSpaceDN w:val="0"/>
                    <w:adjustRightInd w:val="0"/>
                    <w:snapToGrid w:val="0"/>
                    <w:ind w:left="0" w:leftChars="0" w:firstLine="0" w:firstLineChars="0"/>
                    <w:jc w:val="center"/>
                    <w:rPr>
                      <w:kern w:val="0"/>
                      <w:sz w:val="21"/>
                      <w:szCs w:val="21"/>
                    </w:rPr>
                  </w:pPr>
                  <w:r>
                    <w:rPr>
                      <w:rFonts w:hint="eastAsia"/>
                      <w:kern w:val="0"/>
                      <w:sz w:val="21"/>
                      <w:szCs w:val="21"/>
                    </w:rPr>
                    <w:t>有毒有害和易燃易爆危险物质存储量超过临界量的建设项目</w:t>
                  </w:r>
                </w:p>
              </w:tc>
              <w:tc>
                <w:tcPr>
                  <w:tcW w:w="2527" w:type="dxa"/>
                  <w:shd w:val="clear" w:color="auto" w:fill="auto"/>
                  <w:noWrap w:val="0"/>
                  <w:vAlign w:val="center"/>
                </w:tcPr>
                <w:p w14:paraId="093EA2DB">
                  <w:pPr>
                    <w:autoSpaceDE w:val="0"/>
                    <w:autoSpaceDN w:val="0"/>
                    <w:adjustRightInd w:val="0"/>
                    <w:snapToGrid w:val="0"/>
                    <w:ind w:left="0" w:leftChars="0" w:firstLine="0" w:firstLineChars="0"/>
                    <w:jc w:val="center"/>
                    <w:rPr>
                      <w:kern w:val="0"/>
                      <w:sz w:val="21"/>
                      <w:szCs w:val="21"/>
                    </w:rPr>
                  </w:pPr>
                  <w:r>
                    <w:rPr>
                      <w:color w:val="000000" w:themeColor="text1"/>
                      <w:kern w:val="0"/>
                      <w:sz w:val="21"/>
                      <w:szCs w:val="21"/>
                      <w14:textFill>
                        <w14:solidFill>
                          <w14:schemeClr w14:val="tx1"/>
                        </w14:solidFill>
                      </w14:textFill>
                    </w:rPr>
                    <w:t>项目区内硝酸</w:t>
                  </w:r>
                  <w:r>
                    <w:rPr>
                      <w:rFonts w:hint="eastAsia"/>
                      <w:color w:val="000000" w:themeColor="text1"/>
                      <w:kern w:val="0"/>
                      <w:sz w:val="21"/>
                      <w:szCs w:val="21"/>
                      <w:lang w:eastAsia="zh-CN"/>
                      <w14:textFill>
                        <w14:solidFill>
                          <w14:schemeClr w14:val="tx1"/>
                        </w14:solidFill>
                      </w14:textFill>
                    </w:rPr>
                    <w:t>单罐最大</w:t>
                  </w:r>
                  <w:r>
                    <w:rPr>
                      <w:color w:val="000000" w:themeColor="text1"/>
                      <w:kern w:val="0"/>
                      <w:sz w:val="21"/>
                      <w:szCs w:val="21"/>
                      <w14:textFill>
                        <w14:solidFill>
                          <w14:schemeClr w14:val="tx1"/>
                        </w14:solidFill>
                      </w14:textFill>
                    </w:rPr>
                    <w:t>存储量</w:t>
                  </w:r>
                  <w:r>
                    <w:rPr>
                      <w:rFonts w:hint="eastAsia"/>
                      <w:color w:val="000000" w:themeColor="text1"/>
                      <w:kern w:val="0"/>
                      <w:sz w:val="21"/>
                      <w:szCs w:val="21"/>
                      <w14:textFill>
                        <w14:solidFill>
                          <w14:schemeClr w14:val="tx1"/>
                        </w14:solidFill>
                      </w14:textFill>
                    </w:rPr>
                    <w:t>为</w:t>
                  </w:r>
                  <w:r>
                    <w:rPr>
                      <w:rFonts w:hint="eastAsia"/>
                      <w:color w:val="000000" w:themeColor="text1"/>
                      <w:kern w:val="1"/>
                      <w:sz w:val="21"/>
                      <w:szCs w:val="21"/>
                      <w:lang w:val="en-US" w:eastAsia="zh-CN"/>
                      <w14:textFill>
                        <w14:solidFill>
                          <w14:schemeClr w14:val="tx1"/>
                        </w14:solidFill>
                      </w14:textFill>
                    </w:rPr>
                    <w:t>1538</w:t>
                  </w:r>
                  <w:r>
                    <w:rPr>
                      <w:rFonts w:hint="eastAsia"/>
                      <w:color w:val="000000" w:themeColor="text1"/>
                      <w:kern w:val="1"/>
                      <w:sz w:val="21"/>
                      <w:szCs w:val="21"/>
                      <w14:textFill>
                        <w14:solidFill>
                          <w14:schemeClr w14:val="tx1"/>
                        </w14:solidFill>
                      </w14:textFill>
                    </w:rPr>
                    <w:t>t，</w:t>
                  </w:r>
                  <w:r>
                    <w:rPr>
                      <w:color w:val="000000" w:themeColor="text1"/>
                      <w:kern w:val="0"/>
                      <w:sz w:val="21"/>
                      <w:szCs w:val="21"/>
                      <w14:textFill>
                        <w14:solidFill>
                          <w14:schemeClr w14:val="tx1"/>
                        </w14:solidFill>
                      </w14:textFill>
                    </w:rPr>
                    <w:t>超过</w:t>
                  </w:r>
                  <w:r>
                    <w:rPr>
                      <w:rFonts w:hint="eastAsia"/>
                      <w:color w:val="000000" w:themeColor="text1"/>
                      <w:kern w:val="0"/>
                      <w:sz w:val="21"/>
                      <w:szCs w:val="21"/>
                      <w:lang w:val="en-US" w:eastAsia="zh-CN"/>
                      <w14:textFill>
                        <w14:solidFill>
                          <w14:schemeClr w14:val="tx1"/>
                        </w14:solidFill>
                      </w14:textFill>
                    </w:rPr>
                    <w:t>7.5</w:t>
                  </w:r>
                  <w:r>
                    <w:rPr>
                      <w:color w:val="000000" w:themeColor="text1"/>
                      <w:kern w:val="0"/>
                      <w:sz w:val="21"/>
                      <w:szCs w:val="21"/>
                      <w14:textFill>
                        <w14:solidFill>
                          <w14:schemeClr w14:val="tx1"/>
                        </w14:solidFill>
                      </w14:textFill>
                    </w:rPr>
                    <w:t>t临界量，因此需进行环境风险专项评价</w:t>
                  </w:r>
                </w:p>
              </w:tc>
              <w:tc>
                <w:tcPr>
                  <w:tcW w:w="708" w:type="dxa"/>
                  <w:shd w:val="clear" w:color="auto" w:fill="auto"/>
                  <w:noWrap w:val="0"/>
                  <w:vAlign w:val="center"/>
                </w:tcPr>
                <w:p w14:paraId="692AADA4">
                  <w:pPr>
                    <w:autoSpaceDE w:val="0"/>
                    <w:autoSpaceDN w:val="0"/>
                    <w:adjustRightInd w:val="0"/>
                    <w:snapToGrid w:val="0"/>
                    <w:ind w:left="0" w:leftChars="0" w:firstLine="0" w:firstLineChars="0"/>
                    <w:jc w:val="center"/>
                    <w:rPr>
                      <w:rFonts w:hint="eastAsia"/>
                      <w:kern w:val="0"/>
                      <w:sz w:val="21"/>
                      <w:szCs w:val="21"/>
                    </w:rPr>
                  </w:pPr>
                  <w:r>
                    <w:rPr>
                      <w:rFonts w:hint="eastAsia"/>
                      <w:kern w:val="0"/>
                      <w:sz w:val="21"/>
                      <w:szCs w:val="21"/>
                    </w:rPr>
                    <w:t>是</w:t>
                  </w:r>
                </w:p>
              </w:tc>
            </w:tr>
            <w:tr w14:paraId="6AC7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03" w:type="dxa"/>
                  <w:shd w:val="clear" w:color="auto" w:fill="auto"/>
                  <w:noWrap w:val="0"/>
                  <w:vAlign w:val="center"/>
                </w:tcPr>
                <w:p w14:paraId="59CBB30C">
                  <w:pPr>
                    <w:autoSpaceDE w:val="0"/>
                    <w:autoSpaceDN w:val="0"/>
                    <w:adjustRightInd w:val="0"/>
                    <w:snapToGrid w:val="0"/>
                    <w:ind w:left="0" w:leftChars="0" w:firstLine="0" w:firstLineChars="0"/>
                    <w:jc w:val="center"/>
                    <w:rPr>
                      <w:kern w:val="0"/>
                      <w:sz w:val="21"/>
                      <w:szCs w:val="21"/>
                    </w:rPr>
                  </w:pPr>
                  <w:r>
                    <w:rPr>
                      <w:rFonts w:hint="eastAsia"/>
                      <w:kern w:val="0"/>
                      <w:sz w:val="21"/>
                      <w:szCs w:val="21"/>
                    </w:rPr>
                    <w:t>生态</w:t>
                  </w:r>
                </w:p>
              </w:tc>
              <w:tc>
                <w:tcPr>
                  <w:tcW w:w="2618" w:type="dxa"/>
                  <w:shd w:val="clear" w:color="auto" w:fill="auto"/>
                  <w:noWrap w:val="0"/>
                  <w:vAlign w:val="center"/>
                </w:tcPr>
                <w:p w14:paraId="29E06356">
                  <w:pPr>
                    <w:autoSpaceDE w:val="0"/>
                    <w:autoSpaceDN w:val="0"/>
                    <w:adjustRightInd w:val="0"/>
                    <w:snapToGrid w:val="0"/>
                    <w:ind w:left="0" w:leftChars="0" w:firstLine="0" w:firstLineChars="0"/>
                    <w:jc w:val="center"/>
                    <w:rPr>
                      <w:kern w:val="0"/>
                      <w:sz w:val="21"/>
                      <w:szCs w:val="21"/>
                    </w:rPr>
                  </w:pPr>
                  <w:r>
                    <w:rPr>
                      <w:rFonts w:hint="eastAsia"/>
                      <w:kern w:val="0"/>
                      <w:sz w:val="21"/>
                      <w:szCs w:val="21"/>
                    </w:rPr>
                    <w:t>取水口下游500米范围内有重要水生生物的自然产卵场、索饵场、越冬场和洄游通道的新增河道取水的污染类建设项目</w:t>
                  </w:r>
                </w:p>
              </w:tc>
              <w:tc>
                <w:tcPr>
                  <w:tcW w:w="2527" w:type="dxa"/>
                  <w:shd w:val="clear" w:color="auto" w:fill="auto"/>
                  <w:noWrap w:val="0"/>
                  <w:vAlign w:val="center"/>
                </w:tcPr>
                <w:p w14:paraId="0058A7D2">
                  <w:pPr>
                    <w:autoSpaceDE w:val="0"/>
                    <w:autoSpaceDN w:val="0"/>
                    <w:adjustRightInd w:val="0"/>
                    <w:snapToGrid w:val="0"/>
                    <w:ind w:left="0" w:leftChars="0" w:firstLine="0" w:firstLineChars="0"/>
                    <w:jc w:val="center"/>
                    <w:rPr>
                      <w:kern w:val="0"/>
                      <w:sz w:val="21"/>
                      <w:szCs w:val="21"/>
                    </w:rPr>
                  </w:pPr>
                  <w:r>
                    <w:rPr>
                      <w:kern w:val="0"/>
                      <w:sz w:val="21"/>
                      <w:szCs w:val="21"/>
                    </w:rPr>
                    <w:t>本项目</w:t>
                  </w:r>
                  <w:r>
                    <w:rPr>
                      <w:rFonts w:hint="eastAsia"/>
                      <w:kern w:val="0"/>
                      <w:sz w:val="21"/>
                      <w:szCs w:val="21"/>
                    </w:rPr>
                    <w:t>区域已接通自来水管网，不从河道取水</w:t>
                  </w:r>
                </w:p>
              </w:tc>
              <w:tc>
                <w:tcPr>
                  <w:tcW w:w="708" w:type="dxa"/>
                  <w:shd w:val="clear" w:color="auto" w:fill="auto"/>
                  <w:noWrap w:val="0"/>
                  <w:vAlign w:val="center"/>
                </w:tcPr>
                <w:p w14:paraId="7E1D553F">
                  <w:pPr>
                    <w:autoSpaceDE w:val="0"/>
                    <w:autoSpaceDN w:val="0"/>
                    <w:adjustRightInd w:val="0"/>
                    <w:snapToGrid w:val="0"/>
                    <w:ind w:left="0" w:leftChars="0" w:firstLine="0" w:firstLineChars="0"/>
                    <w:jc w:val="center"/>
                    <w:rPr>
                      <w:kern w:val="0"/>
                      <w:sz w:val="21"/>
                      <w:szCs w:val="21"/>
                    </w:rPr>
                  </w:pPr>
                  <w:r>
                    <w:rPr>
                      <w:rFonts w:hint="eastAsia"/>
                      <w:kern w:val="0"/>
                      <w:sz w:val="21"/>
                      <w:szCs w:val="21"/>
                    </w:rPr>
                    <w:t>否</w:t>
                  </w:r>
                </w:p>
              </w:tc>
            </w:tr>
            <w:tr w14:paraId="763F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shd w:val="clear" w:color="auto" w:fill="auto"/>
                  <w:noWrap w:val="0"/>
                  <w:vAlign w:val="center"/>
                </w:tcPr>
                <w:p w14:paraId="3A20AD33">
                  <w:pPr>
                    <w:autoSpaceDE w:val="0"/>
                    <w:autoSpaceDN w:val="0"/>
                    <w:adjustRightInd w:val="0"/>
                    <w:snapToGrid w:val="0"/>
                    <w:ind w:left="0" w:leftChars="0" w:firstLine="0" w:firstLineChars="0"/>
                    <w:jc w:val="center"/>
                    <w:rPr>
                      <w:kern w:val="0"/>
                      <w:sz w:val="21"/>
                      <w:szCs w:val="21"/>
                    </w:rPr>
                  </w:pPr>
                  <w:r>
                    <w:rPr>
                      <w:rFonts w:hint="eastAsia"/>
                      <w:kern w:val="0"/>
                      <w:sz w:val="21"/>
                      <w:szCs w:val="21"/>
                    </w:rPr>
                    <w:t>海洋</w:t>
                  </w:r>
                </w:p>
              </w:tc>
              <w:tc>
                <w:tcPr>
                  <w:tcW w:w="2618" w:type="dxa"/>
                  <w:shd w:val="clear" w:color="auto" w:fill="auto"/>
                  <w:noWrap w:val="0"/>
                  <w:vAlign w:val="center"/>
                </w:tcPr>
                <w:p w14:paraId="2E8A97B0">
                  <w:pPr>
                    <w:autoSpaceDE w:val="0"/>
                    <w:autoSpaceDN w:val="0"/>
                    <w:adjustRightInd w:val="0"/>
                    <w:snapToGrid w:val="0"/>
                    <w:ind w:left="0" w:leftChars="0" w:firstLine="0" w:firstLineChars="0"/>
                    <w:jc w:val="center"/>
                    <w:rPr>
                      <w:kern w:val="0"/>
                      <w:sz w:val="21"/>
                      <w:szCs w:val="21"/>
                    </w:rPr>
                  </w:pPr>
                  <w:r>
                    <w:rPr>
                      <w:rFonts w:hint="eastAsia"/>
                      <w:kern w:val="0"/>
                      <w:sz w:val="21"/>
                      <w:szCs w:val="21"/>
                    </w:rPr>
                    <w:t>直接向海排放污染物的海洋工程建设项目</w:t>
                  </w:r>
                </w:p>
              </w:tc>
              <w:tc>
                <w:tcPr>
                  <w:tcW w:w="2527" w:type="dxa"/>
                  <w:shd w:val="clear" w:color="auto" w:fill="auto"/>
                  <w:noWrap w:val="0"/>
                  <w:vAlign w:val="center"/>
                </w:tcPr>
                <w:p w14:paraId="4BDD99E9">
                  <w:pPr>
                    <w:autoSpaceDE w:val="0"/>
                    <w:autoSpaceDN w:val="0"/>
                    <w:adjustRightInd w:val="0"/>
                    <w:snapToGrid w:val="0"/>
                    <w:ind w:left="0" w:leftChars="0" w:firstLine="0" w:firstLineChars="0"/>
                    <w:jc w:val="center"/>
                    <w:rPr>
                      <w:kern w:val="0"/>
                      <w:sz w:val="21"/>
                      <w:szCs w:val="21"/>
                    </w:rPr>
                  </w:pPr>
                  <w:r>
                    <w:rPr>
                      <w:rFonts w:hint="eastAsia"/>
                      <w:kern w:val="0"/>
                      <w:sz w:val="21"/>
                      <w:szCs w:val="21"/>
                    </w:rPr>
                    <w:t>本项目不涉及海洋工程</w:t>
                  </w:r>
                </w:p>
              </w:tc>
              <w:tc>
                <w:tcPr>
                  <w:tcW w:w="708" w:type="dxa"/>
                  <w:shd w:val="clear" w:color="auto" w:fill="auto"/>
                  <w:noWrap w:val="0"/>
                  <w:vAlign w:val="center"/>
                </w:tcPr>
                <w:p w14:paraId="767BFF21">
                  <w:pPr>
                    <w:autoSpaceDE w:val="0"/>
                    <w:autoSpaceDN w:val="0"/>
                    <w:adjustRightInd w:val="0"/>
                    <w:snapToGrid w:val="0"/>
                    <w:ind w:left="0" w:leftChars="0" w:firstLine="0" w:firstLineChars="0"/>
                    <w:jc w:val="center"/>
                    <w:rPr>
                      <w:kern w:val="0"/>
                      <w:sz w:val="21"/>
                      <w:szCs w:val="21"/>
                    </w:rPr>
                  </w:pPr>
                  <w:r>
                    <w:rPr>
                      <w:rFonts w:hint="eastAsia"/>
                      <w:kern w:val="0"/>
                      <w:sz w:val="21"/>
                      <w:szCs w:val="21"/>
                    </w:rPr>
                    <w:t>否</w:t>
                  </w:r>
                </w:p>
              </w:tc>
            </w:tr>
            <w:tr w14:paraId="5071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shd w:val="clear" w:color="auto" w:fill="auto"/>
                  <w:noWrap w:val="0"/>
                  <w:vAlign w:val="center"/>
                </w:tcPr>
                <w:p w14:paraId="0ECC4FFA">
                  <w:pPr>
                    <w:autoSpaceDE w:val="0"/>
                    <w:autoSpaceDN w:val="0"/>
                    <w:adjustRightInd w:val="0"/>
                    <w:snapToGrid w:val="0"/>
                    <w:ind w:left="0" w:leftChars="0" w:firstLine="0" w:firstLineChars="0"/>
                    <w:jc w:val="center"/>
                    <w:rPr>
                      <w:rFonts w:hint="eastAsia"/>
                      <w:kern w:val="0"/>
                      <w:sz w:val="21"/>
                      <w:szCs w:val="21"/>
                    </w:rPr>
                  </w:pPr>
                  <w:r>
                    <w:rPr>
                      <w:rFonts w:hint="eastAsia"/>
                      <w:kern w:val="0"/>
                      <w:sz w:val="21"/>
                      <w:szCs w:val="21"/>
                    </w:rPr>
                    <w:t>地下水</w:t>
                  </w:r>
                </w:p>
              </w:tc>
              <w:tc>
                <w:tcPr>
                  <w:tcW w:w="2618" w:type="dxa"/>
                  <w:shd w:val="clear" w:color="auto" w:fill="auto"/>
                  <w:noWrap w:val="0"/>
                  <w:vAlign w:val="center"/>
                </w:tcPr>
                <w:p w14:paraId="3CE3D5C3">
                  <w:pPr>
                    <w:autoSpaceDE w:val="0"/>
                    <w:autoSpaceDN w:val="0"/>
                    <w:adjustRightInd w:val="0"/>
                    <w:snapToGrid w:val="0"/>
                    <w:ind w:left="0" w:leftChars="0" w:firstLine="0" w:firstLineChars="0"/>
                    <w:jc w:val="center"/>
                    <w:rPr>
                      <w:rFonts w:hint="eastAsia"/>
                      <w:kern w:val="0"/>
                      <w:sz w:val="21"/>
                      <w:szCs w:val="21"/>
                    </w:rPr>
                  </w:pPr>
                  <w:r>
                    <w:rPr>
                      <w:rFonts w:hint="eastAsia"/>
                      <w:kern w:val="0"/>
                      <w:sz w:val="21"/>
                      <w:szCs w:val="21"/>
                    </w:rPr>
                    <w:t>涉及集中式饮用水水源和热水、矿泉水、温泉等特殊地下水资源保护区</w:t>
                  </w:r>
                </w:p>
              </w:tc>
              <w:tc>
                <w:tcPr>
                  <w:tcW w:w="2527" w:type="dxa"/>
                  <w:shd w:val="clear" w:color="auto" w:fill="auto"/>
                  <w:noWrap w:val="0"/>
                  <w:vAlign w:val="center"/>
                </w:tcPr>
                <w:p w14:paraId="6CF07A05">
                  <w:pPr>
                    <w:autoSpaceDE w:val="0"/>
                    <w:autoSpaceDN w:val="0"/>
                    <w:adjustRightInd w:val="0"/>
                    <w:snapToGrid w:val="0"/>
                    <w:ind w:left="0" w:leftChars="0" w:firstLine="0" w:firstLineChars="0"/>
                    <w:jc w:val="center"/>
                    <w:rPr>
                      <w:rFonts w:hint="eastAsia"/>
                      <w:kern w:val="0"/>
                      <w:sz w:val="21"/>
                      <w:szCs w:val="21"/>
                    </w:rPr>
                  </w:pPr>
                  <w:r>
                    <w:rPr>
                      <w:rFonts w:hint="eastAsia"/>
                      <w:kern w:val="0"/>
                      <w:sz w:val="21"/>
                      <w:szCs w:val="21"/>
                    </w:rPr>
                    <w:t>本项目不涉及集中式饮用水水源和热水、矿泉水、温泉等特殊地下水资源保护区</w:t>
                  </w:r>
                </w:p>
              </w:tc>
              <w:tc>
                <w:tcPr>
                  <w:tcW w:w="708" w:type="dxa"/>
                  <w:shd w:val="clear" w:color="auto" w:fill="auto"/>
                  <w:noWrap w:val="0"/>
                  <w:vAlign w:val="center"/>
                </w:tcPr>
                <w:p w14:paraId="6C6C40CF">
                  <w:pPr>
                    <w:autoSpaceDE w:val="0"/>
                    <w:autoSpaceDN w:val="0"/>
                    <w:adjustRightInd w:val="0"/>
                    <w:snapToGrid w:val="0"/>
                    <w:ind w:left="0" w:leftChars="0" w:firstLine="0" w:firstLineChars="0"/>
                    <w:jc w:val="center"/>
                    <w:rPr>
                      <w:rFonts w:hint="eastAsia"/>
                      <w:kern w:val="0"/>
                      <w:sz w:val="21"/>
                      <w:szCs w:val="21"/>
                    </w:rPr>
                  </w:pPr>
                  <w:r>
                    <w:rPr>
                      <w:rFonts w:hint="eastAsia"/>
                      <w:kern w:val="0"/>
                      <w:sz w:val="21"/>
                      <w:szCs w:val="21"/>
                    </w:rPr>
                    <w:t>否</w:t>
                  </w:r>
                </w:p>
              </w:tc>
            </w:tr>
          </w:tbl>
          <w:p w14:paraId="1D96FD8D">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eastAsia="宋体" w:cs="Times New Roman"/>
                <w:color w:val="auto"/>
                <w:highlight w:val="none"/>
                <w:lang w:val="en-US" w:eastAsia="zh-CN"/>
              </w:rPr>
            </w:pPr>
          </w:p>
        </w:tc>
      </w:tr>
      <w:tr w14:paraId="1C54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1" w:type="dxa"/>
            <w:tcBorders>
              <w:tl2br w:val="nil"/>
              <w:tr2bl w:val="nil"/>
            </w:tcBorders>
            <w:noWrap w:val="0"/>
            <w:vAlign w:val="center"/>
          </w:tcPr>
          <w:p w14:paraId="5956E7C1">
            <w:pPr>
              <w:pStyle w:val="33"/>
              <w:keepNext w:val="0"/>
              <w:keepLines w:val="0"/>
              <w:pageBreakBefore w:val="0"/>
              <w:suppressLineNumbers w:val="0"/>
              <w:kinsoku/>
              <w:wordWrap/>
              <w:overflowPunct w:val="0"/>
              <w:topLinePunct w:val="0"/>
              <w:bidi w:val="0"/>
              <w:spacing w:beforeAutospacing="0" w:afterAutospacing="0"/>
              <w:ind w:left="0" w:right="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规划情况</w:t>
            </w:r>
          </w:p>
        </w:tc>
        <w:tc>
          <w:tcPr>
            <w:tcW w:w="7283" w:type="dxa"/>
            <w:gridSpan w:val="3"/>
            <w:tcBorders>
              <w:tl2br w:val="nil"/>
              <w:tr2bl w:val="nil"/>
            </w:tcBorders>
            <w:noWrap w:val="0"/>
            <w:vAlign w:val="center"/>
          </w:tcPr>
          <w:p w14:paraId="0D582784">
            <w:pPr>
              <w:pStyle w:val="31"/>
              <w:keepNext w:val="0"/>
              <w:keepLines w:val="0"/>
              <w:pageBreakBefore w:val="0"/>
              <w:widowControl w:val="0"/>
              <w:suppressLineNumbers w:val="0"/>
              <w:kinsoku/>
              <w:wordWrap/>
              <w:overflowPunct w:val="0"/>
              <w:topLinePunct w:val="0"/>
              <w:autoSpaceDE/>
              <w:autoSpaceDN/>
              <w:bidi w:val="0"/>
              <w:adjustRightInd w:val="0"/>
              <w:snapToGrid w:val="0"/>
              <w:spacing w:beforeLines="0" w:beforeAutospacing="0" w:afterLines="0" w:afterAutospacing="0" w:line="480" w:lineRule="exact"/>
              <w:ind w:left="0" w:leftChars="0" w:right="0" w:firstLine="0" w:firstLineChars="0"/>
              <w:jc w:val="both"/>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规划名称：</w:t>
            </w:r>
            <w:r>
              <w:rPr>
                <w:color w:val="000000" w:themeColor="text1"/>
                <w:kern w:val="0"/>
                <w:sz w:val="24"/>
                <w14:textFill>
                  <w14:solidFill>
                    <w14:schemeClr w14:val="tx1"/>
                  </w14:solidFill>
                </w14:textFill>
              </w:rPr>
              <w:t>《新疆阜康产业园总体规划修编</w:t>
            </w:r>
            <w:r>
              <w:rPr>
                <w:rFonts w:hint="default"/>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2019-2030</w:t>
            </w:r>
            <w:r>
              <w:rPr>
                <w:rFonts w:hint="default"/>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w:t>
            </w:r>
          </w:p>
          <w:p w14:paraId="3AD19FB1">
            <w:pPr>
              <w:keepNext w:val="0"/>
              <w:keepLines w:val="0"/>
              <w:pageBreakBefore w:val="0"/>
              <w:widowControl w:val="0"/>
              <w:suppressLineNumbers w:val="0"/>
              <w:kinsoku/>
              <w:wordWrap/>
              <w:topLinePunct w:val="0"/>
              <w:bidi w:val="0"/>
              <w:adjustRightInd w:val="0"/>
              <w:snapToGrid w:val="0"/>
              <w:spacing w:beforeAutospacing="0" w:afterAutospacing="0" w:line="480" w:lineRule="exact"/>
              <w:ind w:left="0" w:right="0" w:firstLine="0" w:firstLineChars="0"/>
              <w:jc w:val="both"/>
              <w:textAlignment w:val="auto"/>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审</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批</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机关：</w:t>
            </w:r>
            <w:r>
              <w:rPr>
                <w:rFonts w:hint="default" w:ascii="Times New Roman" w:hAnsi="Times New Roman" w:eastAsia="宋体" w:cs="Times New Roman"/>
                <w:b w:val="0"/>
                <w:bCs w:val="0"/>
                <w:color w:val="000000" w:themeColor="text1"/>
                <w:sz w:val="24"/>
                <w:highlight w:val="none"/>
                <w:lang w:val="de-DE" w:eastAsia="zh-CN"/>
                <w14:textFill>
                  <w14:solidFill>
                    <w14:schemeClr w14:val="tx1"/>
                  </w14:solidFill>
                </w14:textFill>
              </w:rPr>
              <w:t>新疆维吾尔自治区人民政府</w:t>
            </w:r>
          </w:p>
          <w:p w14:paraId="1368F191">
            <w:pPr>
              <w:pStyle w:val="9"/>
              <w:keepNext w:val="0"/>
              <w:keepLines w:val="0"/>
              <w:pageBreakBefore w:val="0"/>
              <w:widowControl w:val="0"/>
              <w:kinsoku/>
              <w:wordWrap/>
              <w:topLinePunct w:val="0"/>
              <w:bidi w:val="0"/>
              <w:adjustRightInd w:val="0"/>
              <w:snapToGrid w:val="0"/>
              <w:spacing w:before="0" w:afterAutospacing="0" w:line="480" w:lineRule="exact"/>
              <w:ind w:left="0" w:right="0" w:firstLine="0" w:firstLineChars="0"/>
              <w:jc w:val="both"/>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审批</w:t>
            </w:r>
            <w:r>
              <w:rPr>
                <w:rFonts w:hint="eastAsia" w:ascii="Times New Roman" w:hAnsi="Times New Roman" w:cs="Times New Roman"/>
                <w:b/>
                <w:bCs/>
                <w:color w:val="000000" w:themeColor="text1"/>
                <w:sz w:val="24"/>
                <w:highlight w:val="none"/>
                <w:lang w:eastAsia="zh-CN"/>
                <w14:textFill>
                  <w14:solidFill>
                    <w14:schemeClr w14:val="tx1"/>
                  </w14:solidFill>
                </w14:textFill>
              </w:rPr>
              <w:t>文件名称及文号</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w:t>
            </w:r>
          </w:p>
        </w:tc>
      </w:tr>
      <w:tr w14:paraId="0937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1" w:type="dxa"/>
            <w:tcBorders>
              <w:tl2br w:val="nil"/>
              <w:tr2bl w:val="nil"/>
            </w:tcBorders>
            <w:noWrap w:val="0"/>
            <w:vAlign w:val="center"/>
          </w:tcPr>
          <w:p w14:paraId="1B06E939">
            <w:pPr>
              <w:pStyle w:val="33"/>
              <w:keepNext w:val="0"/>
              <w:keepLines w:val="0"/>
              <w:pageBreakBefore w:val="0"/>
              <w:suppressLineNumbers w:val="0"/>
              <w:kinsoku/>
              <w:wordWrap/>
              <w:overflowPunct w:val="0"/>
              <w:topLinePunct w:val="0"/>
              <w:bidi w:val="0"/>
              <w:spacing w:beforeAutospacing="0" w:afterAutospacing="0"/>
              <w:ind w:left="0" w:right="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规划环境影响</w:t>
            </w:r>
          </w:p>
          <w:p w14:paraId="70534D5C">
            <w:pPr>
              <w:pStyle w:val="33"/>
              <w:keepNext w:val="0"/>
              <w:keepLines w:val="0"/>
              <w:pageBreakBefore w:val="0"/>
              <w:suppressLineNumbers w:val="0"/>
              <w:kinsoku/>
              <w:wordWrap/>
              <w:overflowPunct w:val="0"/>
              <w:topLinePunct w:val="0"/>
              <w:bidi w:val="0"/>
              <w:spacing w:beforeAutospacing="0" w:afterAutospacing="0"/>
              <w:ind w:left="0" w:right="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评价情况</w:t>
            </w:r>
          </w:p>
        </w:tc>
        <w:tc>
          <w:tcPr>
            <w:tcW w:w="7283" w:type="dxa"/>
            <w:gridSpan w:val="3"/>
            <w:tcBorders>
              <w:tl2br w:val="nil"/>
              <w:tr2bl w:val="nil"/>
            </w:tcBorders>
            <w:noWrap w:val="0"/>
            <w:vAlign w:val="center"/>
          </w:tcPr>
          <w:p w14:paraId="1F677E54">
            <w:pPr>
              <w:pStyle w:val="31"/>
              <w:keepNext w:val="0"/>
              <w:keepLines w:val="0"/>
              <w:pageBreakBefore w:val="0"/>
              <w:widowControl w:val="0"/>
              <w:suppressLineNumbers w:val="0"/>
              <w:kinsoku/>
              <w:wordWrap/>
              <w:overflowPunct w:val="0"/>
              <w:topLinePunct w:val="0"/>
              <w:autoSpaceDE/>
              <w:autoSpaceDN/>
              <w:bidi w:val="0"/>
              <w:adjustRightInd/>
              <w:snapToGrid/>
              <w:spacing w:beforeLines="0" w:beforeAutospacing="0" w:afterLines="0" w:afterAutospacing="0" w:line="480" w:lineRule="exact"/>
              <w:ind w:left="0" w:leftChars="0" w:right="0" w:firstLine="0" w:firstLineChars="0"/>
              <w:textAlignment w:val="auto"/>
              <w:rPr>
                <w:rFonts w:hint="default" w:ascii="Times New Roman" w:hAnsi="Times New Roman" w:eastAsia="宋体" w:cs="Times New Roman"/>
                <w:b w:val="0"/>
                <w:bCs w:val="0"/>
                <w:snapToGrid/>
                <w:color w:val="000000" w:themeColor="text1"/>
                <w:kern w:val="0"/>
                <w:sz w:val="24"/>
                <w:szCs w:val="28"/>
                <w:highlight w:val="none"/>
                <w:lang w:val="en-US" w:eastAsia="zh-CN" w:bidi="ar"/>
                <w14:textFill>
                  <w14:solidFill>
                    <w14:schemeClr w14:val="tx1"/>
                  </w14:solidFill>
                </w14:textFill>
              </w:rPr>
            </w:pPr>
            <w:r>
              <w:rPr>
                <w:rFonts w:hint="default" w:ascii="Times New Roman" w:hAnsi="Times New Roman" w:eastAsia="宋体" w:cs="Times New Roman"/>
                <w:b/>
                <w:bCs/>
                <w:snapToGrid/>
                <w:color w:val="000000" w:themeColor="text1"/>
                <w:kern w:val="0"/>
                <w:sz w:val="24"/>
                <w:szCs w:val="28"/>
                <w:highlight w:val="none"/>
                <w:lang w:val="en-US" w:eastAsia="zh-CN" w:bidi="ar"/>
                <w14:textFill>
                  <w14:solidFill>
                    <w14:schemeClr w14:val="tx1"/>
                  </w14:solidFill>
                </w14:textFill>
              </w:rPr>
              <w:t>园区规划环境影响评价文件：</w:t>
            </w:r>
            <w:r>
              <w:rPr>
                <w:rFonts w:hint="default" w:ascii="Times New Roman" w:hAnsi="Times New Roman" w:eastAsia="宋体" w:cs="Times New Roman"/>
                <w:b w:val="0"/>
                <w:bCs w:val="0"/>
                <w:snapToGrid/>
                <w:color w:val="000000" w:themeColor="text1"/>
                <w:kern w:val="0"/>
                <w:sz w:val="24"/>
                <w:szCs w:val="28"/>
                <w:highlight w:val="none"/>
                <w:lang w:val="en-US" w:eastAsia="zh-CN" w:bidi="ar"/>
                <w14:textFill>
                  <w14:solidFill>
                    <w14:schemeClr w14:val="tx1"/>
                  </w14:solidFill>
                </w14:textFill>
              </w:rPr>
              <w:t>《新疆阜康产业园总体规划修编（2019-2030）环境影响评价报告书》</w:t>
            </w:r>
          </w:p>
          <w:p w14:paraId="7FAA2974">
            <w:pPr>
              <w:pStyle w:val="31"/>
              <w:keepNext w:val="0"/>
              <w:keepLines w:val="0"/>
              <w:pageBreakBefore w:val="0"/>
              <w:widowControl w:val="0"/>
              <w:suppressLineNumbers w:val="0"/>
              <w:kinsoku/>
              <w:wordWrap/>
              <w:overflowPunct w:val="0"/>
              <w:topLinePunct w:val="0"/>
              <w:autoSpaceDE/>
              <w:autoSpaceDN/>
              <w:bidi w:val="0"/>
              <w:adjustRightInd/>
              <w:snapToGrid/>
              <w:spacing w:beforeLines="0" w:beforeAutospacing="0" w:afterLines="0" w:afterAutospacing="0" w:line="480" w:lineRule="exact"/>
              <w:ind w:left="0" w:leftChars="0" w:right="0" w:firstLine="0" w:firstLineChars="0"/>
              <w:textAlignment w:val="auto"/>
              <w:rPr>
                <w:rFonts w:hint="default" w:ascii="Times New Roman" w:hAnsi="Times New Roman" w:eastAsia="宋体" w:cs="Times New Roman"/>
                <w:b w:val="0"/>
                <w:bCs w:val="0"/>
                <w:snapToGrid/>
                <w:color w:val="000000" w:themeColor="text1"/>
                <w:kern w:val="0"/>
                <w:sz w:val="24"/>
                <w:szCs w:val="28"/>
                <w:highlight w:val="none"/>
                <w:lang w:val="en-US" w:eastAsia="zh-CN" w:bidi="ar"/>
                <w14:textFill>
                  <w14:solidFill>
                    <w14:schemeClr w14:val="tx1"/>
                  </w14:solidFill>
                </w14:textFill>
              </w:rPr>
            </w:pPr>
            <w:r>
              <w:rPr>
                <w:rFonts w:hint="default" w:ascii="Times New Roman" w:hAnsi="Times New Roman" w:eastAsia="宋体" w:cs="Times New Roman"/>
                <w:b/>
                <w:bCs/>
                <w:snapToGrid/>
                <w:color w:val="000000" w:themeColor="text1"/>
                <w:kern w:val="0"/>
                <w:sz w:val="24"/>
                <w:szCs w:val="28"/>
                <w:highlight w:val="none"/>
                <w:lang w:val="en-US" w:eastAsia="zh-CN" w:bidi="ar"/>
                <w14:textFill>
                  <w14:solidFill>
                    <w14:schemeClr w14:val="tx1"/>
                  </w14:solidFill>
                </w14:textFill>
              </w:rPr>
              <w:t>审查机关：</w:t>
            </w:r>
            <w:r>
              <w:rPr>
                <w:rFonts w:hint="eastAsia" w:ascii="Times New Roman" w:hAnsi="Times New Roman" w:eastAsia="宋体" w:cs="Times New Roman"/>
                <w:b w:val="0"/>
                <w:bCs w:val="0"/>
                <w:snapToGrid/>
                <w:color w:val="000000" w:themeColor="text1"/>
                <w:kern w:val="0"/>
                <w:sz w:val="24"/>
                <w:szCs w:val="28"/>
                <w:highlight w:val="none"/>
                <w:lang w:val="en-US" w:eastAsia="zh-CN" w:bidi="ar"/>
                <w14:textFill>
                  <w14:solidFill>
                    <w14:schemeClr w14:val="tx1"/>
                  </w14:solidFill>
                </w14:textFill>
              </w:rPr>
              <w:t>新疆维吾尔自治区</w:t>
            </w:r>
            <w:r>
              <w:rPr>
                <w:rFonts w:hint="default" w:ascii="Times New Roman" w:hAnsi="Times New Roman" w:eastAsia="宋体" w:cs="Times New Roman"/>
                <w:b w:val="0"/>
                <w:bCs w:val="0"/>
                <w:snapToGrid/>
                <w:color w:val="000000" w:themeColor="text1"/>
                <w:kern w:val="0"/>
                <w:sz w:val="24"/>
                <w:szCs w:val="28"/>
                <w:highlight w:val="none"/>
                <w:lang w:val="en-US" w:eastAsia="zh-CN" w:bidi="ar"/>
                <w14:textFill>
                  <w14:solidFill>
                    <w14:schemeClr w14:val="tx1"/>
                  </w14:solidFill>
                </w14:textFill>
              </w:rPr>
              <w:t>生态环境</w:t>
            </w:r>
            <w:r>
              <w:rPr>
                <w:rFonts w:hint="eastAsia" w:ascii="Times New Roman" w:hAnsi="Times New Roman" w:eastAsia="宋体" w:cs="Times New Roman"/>
                <w:b w:val="0"/>
                <w:bCs w:val="0"/>
                <w:snapToGrid/>
                <w:color w:val="000000" w:themeColor="text1"/>
                <w:kern w:val="0"/>
                <w:sz w:val="24"/>
                <w:szCs w:val="28"/>
                <w:highlight w:val="none"/>
                <w:lang w:val="en-US" w:eastAsia="zh-CN" w:bidi="ar"/>
                <w14:textFill>
                  <w14:solidFill>
                    <w14:schemeClr w14:val="tx1"/>
                  </w14:solidFill>
                </w14:textFill>
              </w:rPr>
              <w:t>厅</w:t>
            </w:r>
          </w:p>
          <w:p w14:paraId="0A574024">
            <w:pPr>
              <w:pStyle w:val="31"/>
              <w:keepNext w:val="0"/>
              <w:keepLines w:val="0"/>
              <w:pageBreakBefore w:val="0"/>
              <w:widowControl w:val="0"/>
              <w:suppressLineNumbers w:val="0"/>
              <w:kinsoku/>
              <w:wordWrap/>
              <w:overflowPunct w:val="0"/>
              <w:topLinePunct w:val="0"/>
              <w:autoSpaceDE/>
              <w:autoSpaceDN/>
              <w:bidi w:val="0"/>
              <w:adjustRightInd/>
              <w:snapToGrid/>
              <w:spacing w:beforeLines="0" w:beforeAutospacing="0" w:afterLines="0" w:afterAutospacing="0" w:line="480" w:lineRule="exact"/>
              <w:ind w:left="0" w:leftChars="0" w:right="0" w:firstLine="0" w:firstLine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snapToGrid/>
                <w:color w:val="000000" w:themeColor="text1"/>
                <w:kern w:val="0"/>
                <w:sz w:val="24"/>
                <w:szCs w:val="28"/>
                <w:highlight w:val="none"/>
                <w:lang w:val="en-US" w:eastAsia="zh-CN" w:bidi="ar"/>
                <w14:textFill>
                  <w14:solidFill>
                    <w14:schemeClr w14:val="tx1"/>
                  </w14:solidFill>
                </w14:textFill>
              </w:rPr>
              <w:t>审查文件名称及文号：</w:t>
            </w:r>
            <w:r>
              <w:rPr>
                <w:rFonts w:hint="default" w:ascii="Times New Roman" w:hAnsi="Times New Roman" w:eastAsia="宋体" w:cs="Times New Roman"/>
                <w:b w:val="0"/>
                <w:bCs w:val="0"/>
                <w:snapToGrid/>
                <w:color w:val="000000" w:themeColor="text1"/>
                <w:kern w:val="0"/>
                <w:sz w:val="24"/>
                <w:szCs w:val="28"/>
                <w:highlight w:val="none"/>
                <w:lang w:val="en-US" w:eastAsia="zh-CN" w:bidi="ar"/>
                <w14:textFill>
                  <w14:solidFill>
                    <w14:schemeClr w14:val="tx1"/>
                  </w14:solidFill>
                </w14:textFill>
              </w:rPr>
              <w:t>《关于新疆阜康产业园总体规划修编（2019-2030）环境影响报告书的审查意见》</w:t>
            </w:r>
            <w:r>
              <w:rPr>
                <w:rFonts w:hint="eastAsia" w:ascii="Times New Roman" w:hAnsi="Times New Roman" w:cs="Times New Roman"/>
                <w:b w:val="0"/>
                <w:bCs w:val="0"/>
                <w:snapToGrid/>
                <w:color w:val="000000" w:themeColor="text1"/>
                <w:kern w:val="0"/>
                <w:sz w:val="24"/>
                <w:szCs w:val="28"/>
                <w:highlight w:val="none"/>
                <w:lang w:val="en-US" w:eastAsia="zh-CN" w:bidi="ar"/>
                <w14:textFill>
                  <w14:solidFill>
                    <w14:schemeClr w14:val="tx1"/>
                  </w14:solidFill>
                </w14:textFill>
              </w:rPr>
              <w:t>（新环审〔2020〕123号）</w:t>
            </w:r>
          </w:p>
        </w:tc>
      </w:tr>
      <w:tr w14:paraId="1850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1" w:type="dxa"/>
            <w:tcBorders>
              <w:tl2br w:val="nil"/>
              <w:tr2bl w:val="nil"/>
            </w:tcBorders>
            <w:noWrap w:val="0"/>
            <w:vAlign w:val="center"/>
          </w:tcPr>
          <w:p w14:paraId="2470C5E6">
            <w:pPr>
              <w:pStyle w:val="33"/>
              <w:keepNext w:val="0"/>
              <w:keepLines w:val="0"/>
              <w:pageBreakBefore w:val="0"/>
              <w:suppressLineNumbers w:val="0"/>
              <w:kinsoku/>
              <w:wordWrap/>
              <w:overflowPunct w:val="0"/>
              <w:topLinePunct w:val="0"/>
              <w:bidi w:val="0"/>
              <w:spacing w:beforeAutospacing="0" w:afterAutospacing="0"/>
              <w:ind w:left="0" w:righ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规划及规划环境影响评价符合性分析</w:t>
            </w:r>
          </w:p>
        </w:tc>
        <w:tc>
          <w:tcPr>
            <w:tcW w:w="7283" w:type="dxa"/>
            <w:gridSpan w:val="3"/>
            <w:tcBorders>
              <w:tl2br w:val="nil"/>
              <w:tr2bl w:val="nil"/>
            </w:tcBorders>
            <w:noWrap w:val="0"/>
            <w:vAlign w:val="center"/>
          </w:tcPr>
          <w:p w14:paraId="6CC35B0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textAlignment w:val="auto"/>
              <w:rPr>
                <w:rFonts w:hint="default"/>
                <w:b/>
                <w:bCs/>
                <w:color w:val="0000FF"/>
                <w:highlight w:val="none"/>
                <w:lang w:val="en-US" w:eastAsia="zh-CN"/>
              </w:rPr>
            </w:pPr>
            <w:r>
              <w:rPr>
                <w:rFonts w:hint="eastAsia" w:ascii="Times New Roman" w:hAnsi="Times New Roman" w:eastAsia="宋体" w:cs="Times New Roman"/>
                <w:b/>
                <w:bCs/>
                <w:color w:val="0000FF"/>
                <w:highlight w:val="none"/>
                <w:lang w:val="en-US" w:eastAsia="zh-CN"/>
              </w:rPr>
              <w:t>1.与《新疆阜康产业园总体规划修编（2019-2030）》符合性分析</w:t>
            </w:r>
          </w:p>
          <w:p w14:paraId="4E2C0C3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FF"/>
                <w:kern w:val="0"/>
                <w:sz w:val="24"/>
                <w:szCs w:val="24"/>
                <w:lang w:val="en-US" w:eastAsia="zh-CN" w:bidi="ar"/>
              </w:rPr>
            </w:pPr>
            <w:r>
              <w:rPr>
                <w:rFonts w:hint="eastAsia" w:ascii="宋体" w:hAnsi="宋体" w:eastAsia="宋体" w:cs="宋体"/>
                <w:color w:val="0000FF"/>
                <w:kern w:val="0"/>
                <w:sz w:val="24"/>
                <w:szCs w:val="24"/>
                <w:lang w:val="en-US" w:eastAsia="zh-CN" w:bidi="ar"/>
              </w:rPr>
              <w:t>新疆阜康产业园发展定位：通过合理的产业引导与空间布局，将阜康产业园发展成为：以金属加工产业、装备制造产业、生产性服务产业为主导产业，培育发展绿色建材、新材料产业、先进装备制造和新兴业态产业等，布局合理、设施完善、资源节约、环境友好的生态工业园区。</w:t>
            </w:r>
          </w:p>
          <w:p w14:paraId="1D67117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0000FF"/>
              </w:rPr>
            </w:pPr>
            <w:r>
              <w:rPr>
                <w:rFonts w:hint="eastAsia" w:ascii="宋体" w:hAnsi="宋体" w:eastAsia="宋体" w:cs="宋体"/>
                <w:color w:val="0000FF"/>
                <w:kern w:val="0"/>
                <w:sz w:val="24"/>
                <w:szCs w:val="24"/>
                <w:lang w:val="en-US" w:eastAsia="zh-CN" w:bidi="ar"/>
              </w:rPr>
              <w:t xml:space="preserve">新疆阜康产业园总体产业布局为：阜康产业园区用地分为阜东一区、阜东二区和阜东三区，产业园区的主导产业有：金属加工产业、装备制造产业和生产性服务产业，分布在各个产业分区中。 </w:t>
            </w:r>
          </w:p>
          <w:p w14:paraId="624A70F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0000FF"/>
              </w:rPr>
            </w:pPr>
            <w:r>
              <w:rPr>
                <w:rFonts w:hint="eastAsia" w:ascii="宋体" w:hAnsi="宋体" w:eastAsia="宋体" w:cs="宋体"/>
                <w:color w:val="0000FF"/>
                <w:kern w:val="0"/>
                <w:sz w:val="24"/>
                <w:szCs w:val="24"/>
                <w:lang w:val="en-US" w:eastAsia="zh-CN" w:bidi="ar"/>
              </w:rPr>
              <w:t>主要产业分区及主导产业：阜东一区</w:t>
            </w:r>
            <w:r>
              <w:rPr>
                <w:rFonts w:hint="eastAsia" w:ascii="宋体" w:hAnsi="宋体" w:cs="宋体"/>
                <w:color w:val="0000FF"/>
                <w:kern w:val="0"/>
                <w:sz w:val="24"/>
                <w:szCs w:val="24"/>
                <w:lang w:val="en-US" w:eastAsia="zh-CN" w:bidi="ar"/>
              </w:rPr>
              <w:t>主导</w:t>
            </w:r>
            <w:r>
              <w:rPr>
                <w:rFonts w:hint="eastAsia" w:ascii="宋体" w:hAnsi="宋体" w:eastAsia="宋体" w:cs="宋体"/>
                <w:color w:val="0000FF"/>
                <w:kern w:val="0"/>
                <w:sz w:val="24"/>
                <w:szCs w:val="24"/>
                <w:lang w:val="en-US" w:eastAsia="zh-CN" w:bidi="ar"/>
              </w:rPr>
              <w:t xml:space="preserve">产业为金属加工产业、建材产业、新兴业态产业、新材料产业、生产性服务产业等；阜东二区主导产业为金属加工产业、先进装备制造及配套产业、生产性服务业，配套产业为城市矿产和再制造产业、循环经济产业；阜东三区主导产业为电厂——电石——建材、新材料产业的循环经济产业。 </w:t>
            </w:r>
          </w:p>
          <w:p w14:paraId="2703CA3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FF"/>
                <w:kern w:val="0"/>
                <w:sz w:val="24"/>
                <w:szCs w:val="24"/>
                <w:lang w:val="en-US" w:eastAsia="zh-CN" w:bidi="ar"/>
              </w:rPr>
            </w:pPr>
            <w:r>
              <w:rPr>
                <w:color w:val="0000FF"/>
              </w:rPr>
              <w:t>用地功能</w:t>
            </w:r>
            <w:r>
              <w:rPr>
                <w:rFonts w:hint="eastAsia"/>
                <w:color w:val="0000FF"/>
                <w:lang w:eastAsia="zh-CN"/>
              </w:rPr>
              <w:t>：</w:t>
            </w:r>
            <w:r>
              <w:rPr>
                <w:rFonts w:hint="eastAsia" w:ascii="宋体" w:hAnsi="宋体" w:eastAsia="宋体" w:cs="宋体"/>
                <w:color w:val="0000FF"/>
                <w:kern w:val="0"/>
                <w:sz w:val="24"/>
                <w:szCs w:val="24"/>
                <w:lang w:val="en-US" w:eastAsia="zh-CN" w:bidi="ar"/>
              </w:rPr>
              <w:t>本项目位于阜康市阜康产业园阜东</w:t>
            </w:r>
            <w:r>
              <w:rPr>
                <w:rFonts w:hint="eastAsia" w:ascii="宋体" w:hAnsi="宋体" w:cs="宋体"/>
                <w:color w:val="0000FF"/>
                <w:kern w:val="0"/>
                <w:sz w:val="24"/>
                <w:szCs w:val="24"/>
                <w:lang w:val="en-US" w:eastAsia="zh-CN" w:bidi="ar"/>
              </w:rPr>
              <w:t>一</w:t>
            </w:r>
            <w:r>
              <w:rPr>
                <w:rFonts w:hint="eastAsia" w:ascii="宋体" w:hAnsi="宋体" w:eastAsia="宋体" w:cs="宋体"/>
                <w:color w:val="0000FF"/>
                <w:kern w:val="0"/>
                <w:sz w:val="24"/>
                <w:szCs w:val="24"/>
                <w:lang w:val="en-US" w:eastAsia="zh-CN" w:bidi="ar"/>
              </w:rPr>
              <w:t>区，阜东一区位于阜康产业园西部，规划面积为34.40平方公里，其中现状用地面积为11.26平方公里。</w:t>
            </w:r>
          </w:p>
          <w:p w14:paraId="666FE057">
            <w:pPr>
              <w:pStyle w:val="64"/>
              <w:ind w:firstLine="480"/>
              <w:rPr>
                <w:color w:val="0000FF"/>
                <w:highlight w:val="none"/>
              </w:rPr>
            </w:pPr>
            <w:r>
              <w:rPr>
                <w:color w:val="0000FF"/>
                <w:highlight w:val="none"/>
              </w:rPr>
              <w:t>重点发展产业：主导产业为金属加工产业、生产性服务业，配套产业为绿色建材、新材料产业。</w:t>
            </w:r>
          </w:p>
          <w:p w14:paraId="30AE0A63">
            <w:pPr>
              <w:pStyle w:val="64"/>
              <w:ind w:firstLine="480"/>
              <w:rPr>
                <w:color w:val="0000FF"/>
                <w:highlight w:val="none"/>
              </w:rPr>
            </w:pPr>
            <w:r>
              <w:rPr>
                <w:color w:val="0000FF"/>
                <w:highlight w:val="none"/>
              </w:rPr>
              <w:t>发展方向：对现有重点传统产业进行循环化改造。以环境保护倒逼机制促进传统产业转型升级，运用先进适用技术和高新技术改造提升传统产业。加强废弃物资源再利用，加快推动资源型工业产业链纵向延伸和横向拓展，提高产业附加值。推动产业之间、企业之间、园区之间、地区之间耦合共生，加快形成有色金属、煤化工和绿色建材工业循环体系，实现资源利用可循环、环境容量可承载、经济发展可持续。</w:t>
            </w:r>
          </w:p>
          <w:p w14:paraId="152CDDA0">
            <w:pPr>
              <w:pStyle w:val="64"/>
              <w:ind w:firstLine="480"/>
              <w:rPr>
                <w:color w:val="0000FF"/>
                <w:highlight w:val="none"/>
              </w:rPr>
            </w:pPr>
            <w:r>
              <w:rPr>
                <w:color w:val="0000FF"/>
                <w:highlight w:val="none"/>
              </w:rPr>
              <w:t>大力推进具有在生命周期内减少对自然资源消耗和生态环境影响，具有“节能、减排、安全、便利和可循环”特征的绿色建材产品的生产和应用，推动建材产业与上游产业和社会领域的耦合，消纳利用工业固废和社会领域的废弃物，实现资源循环替代。</w:t>
            </w:r>
          </w:p>
          <w:p w14:paraId="4B5FFD04">
            <w:pPr>
              <w:pStyle w:val="64"/>
              <w:ind w:firstLine="480"/>
              <w:rPr>
                <w:color w:val="0000FF"/>
                <w:highlight w:val="none"/>
              </w:rPr>
            </w:pPr>
            <w:r>
              <w:rPr>
                <w:color w:val="0000FF"/>
                <w:highlight w:val="none"/>
              </w:rPr>
              <w:t>培育发展新动能、获取未来竞争新优势，加快培育发展绿色建材、新材料产业等战略性新兴产业，推动更广领域新技术、新产品、新业态、新模式蓬勃发展，建设制造强市，发展现代服务业，为实现园区产业绿色可持续高质量发展提供支撑。依托园区产业基础和铜、镍等有色金属抓住产业转型升级机遇，延伸优势资源产业链，提升产品价值链，完善绿色供应链，积极发展下游产品和高端应用产品。加快发展稀有及有色金属、无机非金属、化工和复合新材料材料，把阜康打造成全区关键基础材料及应用材料生产基地。</w:t>
            </w:r>
          </w:p>
          <w:p w14:paraId="7BEBC4F6">
            <w:pPr>
              <w:pStyle w:val="64"/>
              <w:ind w:firstLine="480"/>
              <w:rPr>
                <w:color w:val="0000FF"/>
                <w:highlight w:val="none"/>
              </w:rPr>
            </w:pPr>
            <w:r>
              <w:rPr>
                <w:color w:val="0000FF"/>
                <w:highlight w:val="none"/>
              </w:rPr>
              <w:t>依托小黄山物流园区的发展基础，重点发展现代物流、研发设计、金融服务、信息技术服务、节能环保服务、检验检测认证、电子商务、商务咨询、服务外包、售后服务、人力资源服务和品牌建设，实现服务业与园区工业在更高水平上有机融合，推动园区产业结构优化调整，促进经济提质增效升级。</w:t>
            </w:r>
          </w:p>
          <w:p w14:paraId="3B9E1EA1">
            <w:pPr>
              <w:pStyle w:val="64"/>
              <w:ind w:firstLine="480"/>
              <w:rPr>
                <w:color w:val="0000FF"/>
                <w:highlight w:val="none"/>
              </w:rPr>
            </w:pPr>
            <w:r>
              <w:rPr>
                <w:color w:val="0000FF"/>
                <w:highlight w:val="none"/>
              </w:rPr>
              <w:t>工业用地建设指标：投资强度不低于1250万/公顷；容积率不低于0.6。</w:t>
            </w:r>
          </w:p>
          <w:p w14:paraId="60B2EEC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textAlignment w:val="auto"/>
              <w:rPr>
                <w:rFonts w:hint="eastAsia" w:cs="Times New Roman"/>
                <w:color w:val="0000FF"/>
                <w:kern w:val="0"/>
                <w:sz w:val="24"/>
                <w:highlight w:val="none"/>
                <w:lang w:val="en-US" w:eastAsia="zh-CN"/>
              </w:rPr>
            </w:pPr>
            <w:r>
              <w:rPr>
                <w:rFonts w:hint="eastAsia" w:cs="Times New Roman"/>
                <w:b/>
                <w:bCs/>
                <w:color w:val="0000FF"/>
                <w:kern w:val="0"/>
                <w:sz w:val="24"/>
                <w:highlight w:val="none"/>
                <w:lang w:val="en-US" w:eastAsia="zh-CN"/>
              </w:rPr>
              <w:t>符合性分析：</w:t>
            </w:r>
            <w:r>
              <w:rPr>
                <w:rFonts w:hint="eastAsia" w:ascii="宋体" w:hAnsi="宋体" w:eastAsia="宋体" w:cs="宋体"/>
                <w:color w:val="0000FF"/>
                <w:kern w:val="0"/>
                <w:sz w:val="24"/>
                <w:szCs w:val="24"/>
                <w:lang w:val="en-US" w:eastAsia="zh-CN" w:bidi="ar"/>
              </w:rPr>
              <w:t>本项目位于阜康市阜康产业园阜东</w:t>
            </w:r>
            <w:r>
              <w:rPr>
                <w:rFonts w:hint="eastAsia" w:ascii="宋体" w:hAnsi="宋体" w:cs="宋体"/>
                <w:color w:val="0000FF"/>
                <w:kern w:val="0"/>
                <w:sz w:val="24"/>
                <w:szCs w:val="24"/>
                <w:lang w:val="en-US" w:eastAsia="zh-CN" w:bidi="ar"/>
              </w:rPr>
              <w:t>一</w:t>
            </w:r>
            <w:r>
              <w:rPr>
                <w:rFonts w:hint="eastAsia" w:ascii="宋体" w:hAnsi="宋体" w:eastAsia="宋体" w:cs="宋体"/>
                <w:color w:val="0000FF"/>
                <w:kern w:val="0"/>
                <w:sz w:val="24"/>
                <w:szCs w:val="24"/>
                <w:lang w:val="en-US" w:eastAsia="zh-CN" w:bidi="ar"/>
              </w:rPr>
              <w:t>区</w:t>
            </w:r>
            <w:r>
              <w:rPr>
                <w:rFonts w:hint="eastAsia"/>
                <w:color w:val="0000FF"/>
              </w:rPr>
              <w:t>新疆金象赛瑞化工科技有限</w:t>
            </w:r>
            <w:r>
              <w:rPr>
                <w:rFonts w:hint="eastAsia"/>
                <w:color w:val="0000FF"/>
                <w:lang w:eastAsia="zh-CN"/>
              </w:rPr>
              <w:t>公司</w:t>
            </w:r>
            <w:r>
              <w:rPr>
                <w:rFonts w:hint="eastAsia" w:ascii="宋体" w:hAnsi="宋体" w:eastAsia="宋体" w:cs="宋体"/>
                <w:color w:val="0000FF"/>
                <w:kern w:val="0"/>
                <w:sz w:val="24"/>
                <w:szCs w:val="24"/>
                <w:lang w:val="en-US" w:eastAsia="zh-CN" w:bidi="ar"/>
              </w:rPr>
              <w:t>厂区内，</w:t>
            </w:r>
            <w:r>
              <w:rPr>
                <w:rFonts w:hint="eastAsia" w:ascii="宋体" w:hAnsi="宋体" w:cs="宋体"/>
                <w:color w:val="0000FF"/>
                <w:kern w:val="0"/>
                <w:sz w:val="24"/>
                <w:szCs w:val="24"/>
                <w:lang w:val="en-US" w:eastAsia="zh-CN" w:bidi="ar"/>
              </w:rPr>
              <w:t>不新增用地，2013年1月15日阜康市城市规划局发放建设用地规划许可证（地字第6523022013-03号），根据用地规划，本项目所在区域用地类型为工业用地，详见附图6，</w:t>
            </w:r>
            <w:r>
              <w:rPr>
                <w:rFonts w:hint="eastAsia" w:cs="Times New Roman"/>
                <w:color w:val="0000FF"/>
                <w:kern w:val="0"/>
                <w:sz w:val="24"/>
                <w:highlight w:val="none"/>
                <w:lang w:val="en-US" w:eastAsia="zh-CN"/>
              </w:rPr>
              <w:t>项目建设属于</w:t>
            </w:r>
            <w:r>
              <w:rPr>
                <w:rFonts w:hint="eastAsia"/>
                <w:color w:val="0000FF"/>
              </w:rPr>
              <w:t>新疆金象赛瑞化工科技有限</w:t>
            </w:r>
            <w:r>
              <w:rPr>
                <w:rFonts w:hint="eastAsia"/>
                <w:color w:val="0000FF"/>
                <w:lang w:eastAsia="zh-CN"/>
              </w:rPr>
              <w:t>公司</w:t>
            </w:r>
            <w:r>
              <w:rPr>
                <w:rFonts w:hint="eastAsia" w:cs="Times New Roman"/>
                <w:color w:val="0000FF"/>
                <w:kern w:val="0"/>
                <w:sz w:val="24"/>
                <w:highlight w:val="none"/>
                <w:lang w:val="en-US" w:eastAsia="zh-CN"/>
              </w:rPr>
              <w:t>的附属设施建设，因此符合园区规划相关要求。</w:t>
            </w:r>
          </w:p>
          <w:p w14:paraId="1F40AAF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与《新疆阜康产业园总体规划修编（</w:t>
            </w:r>
            <w:r>
              <w:rPr>
                <w:rFonts w:hint="default" w:ascii="Times New Roman" w:hAnsi="Times New Roman" w:eastAsia="宋体" w:cs="Times New Roman"/>
                <w:b/>
                <w:bCs/>
                <w:color w:val="000000"/>
                <w:kern w:val="0"/>
                <w:sz w:val="24"/>
                <w:szCs w:val="24"/>
                <w:lang w:val="en-US" w:eastAsia="zh-CN" w:bidi="ar"/>
              </w:rPr>
              <w:t>2019-2030</w:t>
            </w:r>
            <w:r>
              <w:rPr>
                <w:rFonts w:hint="eastAsia" w:ascii="宋体" w:hAnsi="宋体" w:eastAsia="宋体" w:cs="宋体"/>
                <w:b/>
                <w:bCs/>
                <w:color w:val="000000"/>
                <w:kern w:val="0"/>
                <w:sz w:val="24"/>
                <w:szCs w:val="24"/>
                <w:lang w:val="en-US" w:eastAsia="zh-CN" w:bidi="ar"/>
              </w:rPr>
              <w:t>）环境影响评价报告书》及审查意见的符合性分析</w:t>
            </w:r>
          </w:p>
          <w:p w14:paraId="516CE17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sz w:val="24"/>
                <w:szCs w:val="24"/>
              </w:rPr>
            </w:pPr>
            <w:r>
              <w:rPr>
                <w:rFonts w:ascii="宋体" w:hAnsi="宋体" w:eastAsia="宋体" w:cs="宋体"/>
                <w:sz w:val="24"/>
                <w:szCs w:val="24"/>
              </w:rPr>
              <w:t>根据《新疆阜康产业园总体规划修编</w:t>
            </w:r>
            <w:r>
              <w:rPr>
                <w:rFonts w:hint="default" w:ascii="Times New Roman" w:hAnsi="Times New Roman" w:eastAsia="宋体" w:cs="Times New Roman"/>
                <w:sz w:val="24"/>
                <w:szCs w:val="24"/>
              </w:rPr>
              <w:t>（2019-2030）</w:t>
            </w:r>
            <w:r>
              <w:rPr>
                <w:rFonts w:ascii="宋体" w:hAnsi="宋体" w:eastAsia="宋体" w:cs="宋体"/>
                <w:sz w:val="24"/>
                <w:szCs w:val="24"/>
              </w:rPr>
              <w:t>环境影响报告书》及其审查意见要求，本项目与其相符性分析见表 1-1。</w:t>
            </w:r>
          </w:p>
          <w:p w14:paraId="66EA1BE9">
            <w:pPr>
              <w:keepNext w:val="0"/>
              <w:keepLines w:val="0"/>
              <w:pageBreakBefore w:val="0"/>
              <w:widowControl/>
              <w:suppressLineNumbers w:val="0"/>
              <w:kinsoku/>
              <w:wordWrap/>
              <w:topLinePunct w:val="0"/>
              <w:bidi w:val="0"/>
              <w:ind w:left="0" w:leftChars="0" w:firstLine="0" w:firstLineChars="0"/>
              <w:jc w:val="center"/>
              <w:textAlignment w:val="auto"/>
            </w:pPr>
            <w:r>
              <w:rPr>
                <w:rFonts w:ascii="宋体" w:hAnsi="宋体" w:eastAsia="宋体" w:cs="宋体"/>
                <w:b/>
                <w:bCs/>
                <w:sz w:val="21"/>
                <w:szCs w:val="21"/>
              </w:rPr>
              <w:t xml:space="preserve">表1-1 </w:t>
            </w:r>
            <w:r>
              <w:rPr>
                <w:rFonts w:hint="eastAsia" w:ascii="宋体" w:hAnsi="宋体" w:eastAsia="宋体" w:cs="宋体"/>
                <w:b/>
                <w:bCs/>
                <w:sz w:val="21"/>
                <w:szCs w:val="21"/>
                <w:lang w:val="en-US" w:eastAsia="zh-CN"/>
              </w:rPr>
              <w:t xml:space="preserve"> </w:t>
            </w:r>
            <w:r>
              <w:rPr>
                <w:rFonts w:hint="eastAsia" w:ascii="宋体" w:hAnsi="宋体" w:eastAsia="宋体" w:cs="宋体"/>
                <w:b/>
                <w:bCs/>
                <w:color w:val="000000"/>
                <w:kern w:val="0"/>
                <w:sz w:val="21"/>
                <w:szCs w:val="21"/>
                <w:lang w:val="en-US" w:eastAsia="zh-CN" w:bidi="ar"/>
              </w:rPr>
              <w:t>本项目与《新疆阜康产业园总体规划修编（</w:t>
            </w:r>
            <w:r>
              <w:rPr>
                <w:rFonts w:hint="default" w:ascii="Times New Roman" w:hAnsi="Times New Roman" w:eastAsia="宋体" w:cs="Times New Roman"/>
                <w:b/>
                <w:bCs/>
                <w:color w:val="000000"/>
                <w:kern w:val="0"/>
                <w:sz w:val="21"/>
                <w:szCs w:val="21"/>
                <w:lang w:val="en-US" w:eastAsia="zh-CN" w:bidi="ar"/>
              </w:rPr>
              <w:t>2019-2030</w:t>
            </w:r>
            <w:r>
              <w:rPr>
                <w:rFonts w:hint="eastAsia" w:ascii="宋体" w:hAnsi="宋体" w:eastAsia="宋体" w:cs="宋体"/>
                <w:b/>
                <w:bCs/>
                <w:color w:val="000000"/>
                <w:kern w:val="0"/>
                <w:sz w:val="21"/>
                <w:szCs w:val="21"/>
                <w:lang w:val="en-US" w:eastAsia="zh-CN" w:bidi="ar"/>
              </w:rPr>
              <w:t>）环境影响评价报告书》及审查意见符合性分析</w:t>
            </w:r>
          </w:p>
          <w:tbl>
            <w:tblPr>
              <w:tblStyle w:val="23"/>
              <w:tblW w:w="706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55"/>
              <w:gridCol w:w="2686"/>
              <w:gridCol w:w="926"/>
            </w:tblGrid>
            <w:tr w14:paraId="5249C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55" w:type="dxa"/>
                  <w:tcBorders>
                    <w:tl2br w:val="nil"/>
                    <w:tr2bl w:val="nil"/>
                  </w:tcBorders>
                  <w:vAlign w:val="center"/>
                </w:tcPr>
                <w:p w14:paraId="1F2A3BDB">
                  <w:pPr>
                    <w:keepNext w:val="0"/>
                    <w:keepLines w:val="0"/>
                    <w:pageBreakBefore w:val="0"/>
                    <w:widowControl/>
                    <w:suppressLineNumbers w:val="0"/>
                    <w:kinsoku/>
                    <w:wordWrap/>
                    <w:topLinePunct w:val="0"/>
                    <w:bidi w:val="0"/>
                    <w:spacing w:before="0" w:beforeAutospacing="0" w:after="0" w:afterAutospacing="0"/>
                    <w:ind w:left="0" w:right="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color w:val="000000"/>
                      <w:kern w:val="0"/>
                      <w:sz w:val="20"/>
                      <w:szCs w:val="20"/>
                      <w:lang w:val="en-US" w:eastAsia="zh-CN" w:bidi="ar"/>
                    </w:rPr>
                    <w:t>规划要求</w:t>
                  </w:r>
                </w:p>
              </w:tc>
              <w:tc>
                <w:tcPr>
                  <w:tcW w:w="2686" w:type="dxa"/>
                  <w:tcBorders>
                    <w:tl2br w:val="nil"/>
                    <w:tr2bl w:val="nil"/>
                  </w:tcBorders>
                  <w:vAlign w:val="center"/>
                </w:tcPr>
                <w:p w14:paraId="617B1769">
                  <w:pPr>
                    <w:keepNext w:val="0"/>
                    <w:keepLines w:val="0"/>
                    <w:pageBreakBefore w:val="0"/>
                    <w:widowControl/>
                    <w:suppressLineNumbers w:val="0"/>
                    <w:kinsoku/>
                    <w:wordWrap/>
                    <w:topLinePunct w:val="0"/>
                    <w:bidi w:val="0"/>
                    <w:spacing w:before="0" w:beforeAutospacing="0" w:after="0" w:afterAutospacing="0"/>
                    <w:ind w:left="0" w:leftChars="0" w:right="0"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color w:val="000000"/>
                      <w:kern w:val="0"/>
                      <w:sz w:val="20"/>
                      <w:szCs w:val="20"/>
                      <w:lang w:val="en-US" w:eastAsia="zh-CN" w:bidi="ar"/>
                    </w:rPr>
                    <w:t>项目情况</w:t>
                  </w:r>
                </w:p>
              </w:tc>
              <w:tc>
                <w:tcPr>
                  <w:tcW w:w="926" w:type="dxa"/>
                  <w:tcBorders>
                    <w:tl2br w:val="nil"/>
                    <w:tr2bl w:val="nil"/>
                  </w:tcBorders>
                  <w:vAlign w:val="center"/>
                </w:tcPr>
                <w:p w14:paraId="587CBC35">
                  <w:pPr>
                    <w:keepNext w:val="0"/>
                    <w:keepLines w:val="0"/>
                    <w:pageBreakBefore w:val="0"/>
                    <w:widowControl/>
                    <w:suppressLineNumbers w:val="0"/>
                    <w:kinsoku/>
                    <w:wordWrap/>
                    <w:topLinePunct w:val="0"/>
                    <w:bidi w:val="0"/>
                    <w:spacing w:before="0" w:beforeAutospacing="0" w:after="0" w:afterAutospacing="0"/>
                    <w:ind w:left="0" w:leftChars="0" w:right="0"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符合性</w:t>
                  </w:r>
                </w:p>
              </w:tc>
            </w:tr>
            <w:tr w14:paraId="51919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55" w:type="dxa"/>
                  <w:tcBorders>
                    <w:tl2br w:val="nil"/>
                    <w:tr2bl w:val="nil"/>
                  </w:tcBorders>
                </w:tcPr>
                <w:p w14:paraId="1D6C0F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严守生态保护红线，加强空间管控。进一步优化园区的空间布局，通过优化园区产业空间布局、调整土地用途等方式，完善生态保障空间要求。衔接落实昌吉州“三线一单”成果，落实、细化园区所在生态环境管控单元的管控要求，保障规划实际不突破区域生态保护红线、环境质量底线和资源利用上限。从全局的角度以资源环境承载能力和国</w:t>
                  </w:r>
                  <w:r>
                    <w:rPr>
                      <w:rFonts w:hint="eastAsia" w:ascii="宋体" w:hAnsi="宋体" w:cs="宋体"/>
                      <w:b w:val="0"/>
                      <w:bCs w:val="0"/>
                      <w:sz w:val="21"/>
                      <w:szCs w:val="21"/>
                      <w:vertAlign w:val="baseline"/>
                      <w:lang w:val="en-US" w:eastAsia="zh-CN"/>
                    </w:rPr>
                    <w:t>土</w:t>
                  </w:r>
                  <w:r>
                    <w:rPr>
                      <w:rFonts w:hint="eastAsia" w:ascii="宋体" w:hAnsi="宋体" w:eastAsia="宋体" w:cs="宋体"/>
                      <w:b w:val="0"/>
                      <w:bCs w:val="0"/>
                      <w:sz w:val="21"/>
                      <w:szCs w:val="21"/>
                      <w:vertAlign w:val="baseline"/>
                      <w:lang w:val="en-US" w:eastAsia="zh-CN"/>
                    </w:rPr>
                    <w:t>空间开发适宜性评价来支撑园区规划实施。甘河子河、黄山河等穿越园区段河流岸线两侧划定200米的保护范围，不再新增污染重、环境风险大的工业企业。</w:t>
                  </w:r>
                </w:p>
              </w:tc>
              <w:tc>
                <w:tcPr>
                  <w:tcW w:w="2686" w:type="dxa"/>
                  <w:tcBorders>
                    <w:tl2br w:val="nil"/>
                    <w:tr2bl w:val="nil"/>
                  </w:tcBorders>
                  <w:vAlign w:val="center"/>
                </w:tcPr>
                <w:p w14:paraId="1B54E2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本项目位于阜康市阜康产业园阜东一区新疆金象赛瑞化工科技有限厂区内，用地为工业用地（附图</w:t>
                  </w:r>
                  <w:r>
                    <w:rPr>
                      <w:rFonts w:hint="eastAsia" w:ascii="宋体" w:hAnsi="宋体" w:cs="宋体"/>
                      <w:b w:val="0"/>
                      <w:bCs w:val="0"/>
                      <w:sz w:val="21"/>
                      <w:szCs w:val="21"/>
                      <w:vertAlign w:val="baseline"/>
                      <w:lang w:val="en-US" w:eastAsia="zh-CN"/>
                    </w:rPr>
                    <w:t>6</w:t>
                  </w:r>
                  <w:r>
                    <w:rPr>
                      <w:rFonts w:hint="eastAsia" w:ascii="宋体" w:hAnsi="宋体" w:eastAsia="宋体" w:cs="宋体"/>
                      <w:b w:val="0"/>
                      <w:bCs w:val="0"/>
                      <w:sz w:val="21"/>
                      <w:szCs w:val="21"/>
                      <w:vertAlign w:val="baseline"/>
                      <w:lang w:val="en-US" w:eastAsia="zh-CN"/>
                    </w:rPr>
                    <w:t>），本项目为硝酸储罐建设项目，所在区域位于重点管控单元，项目区不属于禁止开发建设、限制开发建设及不符合空间布局要求的活动范围内，不涉及自然保护区、森林公园、风景名胜区、世界文化自然遗产、地质公园等禁止开发的生态红线、重点保护生态红线区以及脆弱生态保护红线区。本项目工艺流程简单，为硝酸储罐建设项目，运营期污染物排放量较小，主要为硝酸储罐大小呼吸产生的无组织废气，能实现达标排放，项目建设不会加剧环境质量的恶化，不会触及环境质量底线。本项目运营不会使用水资源，不会突破资源利用上线。</w:t>
                  </w:r>
                  <w:r>
                    <w:rPr>
                      <w:rFonts w:hint="eastAsia" w:ascii="宋体" w:hAnsi="宋体" w:cs="宋体"/>
                      <w:b w:val="0"/>
                      <w:bCs w:val="0"/>
                      <w:sz w:val="21"/>
                      <w:szCs w:val="21"/>
                      <w:vertAlign w:val="baseline"/>
                      <w:lang w:val="en-US" w:eastAsia="zh-CN"/>
                    </w:rPr>
                    <w:t>本项目为扩建。</w:t>
                  </w:r>
                </w:p>
              </w:tc>
              <w:tc>
                <w:tcPr>
                  <w:tcW w:w="926" w:type="dxa"/>
                  <w:tcBorders>
                    <w:tl2br w:val="nil"/>
                    <w:tr2bl w:val="nil"/>
                  </w:tcBorders>
                  <w:vAlign w:val="center"/>
                </w:tcPr>
                <w:p w14:paraId="079DE1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14:paraId="7C863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55" w:type="dxa"/>
                  <w:tcBorders>
                    <w:tl2br w:val="nil"/>
                    <w:tr2bl w:val="nil"/>
                  </w:tcBorders>
                </w:tcPr>
                <w:p w14:paraId="6FDA39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坚守环境质量底线，严格污染物总量管控、根据规划区域及周边环境质量现状和目标；确定区域污染物排放总量上限。采取有效措施削减污染物的排放量，严格落实污染物排放总量两倍量替代要求；确保实现区域环境质量改善目标。各类大气污染物排放须满足国家和自治区最新污染物排放标准要求，落实污染物总量控制和减排任务。对于现有高污染、高排放、无法满足最新排放标准的企业应限期升级改造，整改后仍无法满足排放标准的应转型、退出，切实推进园区产业升级、结构调整。对园区现有问题进行整改，制定整改工作计划，明确整改目标、时限。</w:t>
                  </w:r>
                </w:p>
              </w:tc>
              <w:tc>
                <w:tcPr>
                  <w:tcW w:w="2686" w:type="dxa"/>
                  <w:tcBorders>
                    <w:tl2br w:val="nil"/>
                    <w:tr2bl w:val="nil"/>
                  </w:tcBorders>
                  <w:vAlign w:val="center"/>
                </w:tcPr>
                <w:p w14:paraId="6171E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本项目严格落实污染物排放总量两倍量替代要求，本项目的设置不会突破区域生态保护红线、环境质量底线和资源利用上线。</w:t>
                  </w:r>
                </w:p>
              </w:tc>
              <w:tc>
                <w:tcPr>
                  <w:tcW w:w="926" w:type="dxa"/>
                  <w:tcBorders>
                    <w:tl2br w:val="nil"/>
                    <w:tr2bl w:val="nil"/>
                  </w:tcBorders>
                  <w:vAlign w:val="center"/>
                </w:tcPr>
                <w:p w14:paraId="4470C3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bl>
          <w:p w14:paraId="2EF03B39">
            <w:pPr>
              <w:keepNext w:val="0"/>
              <w:keepLines w:val="0"/>
              <w:pageBreakBefore w:val="0"/>
              <w:widowControl w:val="0"/>
              <w:suppressLineNumbers w:val="0"/>
              <w:kinsoku/>
              <w:wordWrap/>
              <w:topLinePunct w:val="0"/>
              <w:autoSpaceDE/>
              <w:autoSpaceDN/>
              <w:bidi w:val="0"/>
              <w:adjustRightInd/>
              <w:snapToGrid/>
              <w:spacing w:beforeAutospacing="0" w:afterAutospacing="0" w:line="480" w:lineRule="exact"/>
              <w:ind w:left="0" w:leftChars="0" w:right="0" w:firstLine="0" w:firstLineChars="0"/>
              <w:textAlignment w:val="auto"/>
              <w:rPr>
                <w:rFonts w:hint="default" w:ascii="Times New Roman" w:hAnsi="Times New Roman" w:cs="Times New Roman"/>
                <w:color w:val="auto"/>
                <w:kern w:val="0"/>
                <w:sz w:val="24"/>
                <w:highlight w:val="none"/>
                <w:lang w:val="en-US" w:eastAsia="zh-CN"/>
              </w:rPr>
            </w:pPr>
          </w:p>
        </w:tc>
      </w:tr>
      <w:tr w14:paraId="3833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1" w:type="dxa"/>
            <w:tcBorders>
              <w:tl2br w:val="nil"/>
              <w:tr2bl w:val="nil"/>
            </w:tcBorders>
            <w:noWrap w:val="0"/>
            <w:vAlign w:val="center"/>
          </w:tcPr>
          <w:p w14:paraId="3A946413">
            <w:pPr>
              <w:pStyle w:val="33"/>
              <w:keepNext w:val="0"/>
              <w:keepLines w:val="0"/>
              <w:pageBreakBefore w:val="0"/>
              <w:suppressLineNumbers w:val="0"/>
              <w:kinsoku/>
              <w:wordWrap/>
              <w:overflowPunct w:val="0"/>
              <w:topLinePunct w:val="0"/>
              <w:bidi w:val="0"/>
              <w:spacing w:beforeAutospacing="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其他符合性分析</w:t>
            </w:r>
          </w:p>
        </w:tc>
        <w:tc>
          <w:tcPr>
            <w:tcW w:w="7283" w:type="dxa"/>
            <w:gridSpan w:val="3"/>
            <w:tcBorders>
              <w:tl2br w:val="nil"/>
              <w:tr2bl w:val="nil"/>
            </w:tcBorders>
            <w:noWrap w:val="0"/>
            <w:vAlign w:val="center"/>
          </w:tcPr>
          <w:p w14:paraId="4072173F">
            <w:pPr>
              <w:keepNext w:val="0"/>
              <w:keepLines w:val="0"/>
              <w:pageBreakBefore w:val="0"/>
              <w:widowControl w:val="0"/>
              <w:suppressLineNumbers w:val="0"/>
              <w:kinsoku/>
              <w:wordWrap/>
              <w:overflowPunct w:val="0"/>
              <w:topLinePunct w:val="0"/>
              <w:autoSpaceDE w:val="0"/>
              <w:autoSpaceDN w:val="0"/>
              <w:bidi w:val="0"/>
              <w:adjustRightInd/>
              <w:snapToGrid/>
              <w:spacing w:beforeAutospacing="0" w:afterAutospacing="0" w:line="480" w:lineRule="exact"/>
              <w:ind w:left="0" w:leftChars="0" w:right="0" w:rightChars="0" w:firstLine="482" w:firstLineChars="200"/>
              <w:jc w:val="both"/>
              <w:textAlignment w:val="auto"/>
              <w:outlineLvl w:val="9"/>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1、产业政策符合性</w:t>
            </w:r>
          </w:p>
          <w:p w14:paraId="0BA3F472">
            <w:pPr>
              <w:keepNext w:val="0"/>
              <w:keepLines w:val="0"/>
              <w:pageBreakBefore w:val="0"/>
              <w:suppressLineNumbers w:val="0"/>
              <w:kinsoku/>
              <w:wordWrap/>
              <w:overflowPunct w:val="0"/>
              <w:topLinePunct w:val="0"/>
              <w:bidi w:val="0"/>
              <w:adjustRightInd/>
              <w:snapToGrid/>
              <w:spacing w:beforeAutospacing="0" w:afterAutospacing="0" w:line="480" w:lineRule="exact"/>
              <w:ind w:left="0" w:right="0" w:firstLine="480" w:firstLineChars="200"/>
              <w:jc w:val="both"/>
              <w:textAlignment w:val="auto"/>
              <w:outlineLvl w:val="9"/>
              <w:rPr>
                <w:rFonts w:hint="default"/>
                <w:color w:val="000000" w:themeColor="text1"/>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本项目为硝酸储罐项目，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14:textFill>
                  <w14:solidFill>
                    <w14:schemeClr w14:val="tx1"/>
                  </w14:solidFill>
                </w14:textFill>
              </w:rPr>
              <w:t>《产业结构调整指导目录</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2024年本）</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color w:val="000000" w:themeColor="text1"/>
                <w:lang w:val="en-US" w:eastAsia="zh-CN"/>
                <w14:textFill>
                  <w14:solidFill>
                    <w14:schemeClr w14:val="tx1"/>
                  </w14:solidFill>
                </w14:textFill>
              </w:rPr>
              <w:t>本项目不属于鼓励类、限制类和淘汰类项目。符合国家有关法律、法规和政策规定的，为</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允许类</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且本项目不属于《</w:t>
            </w:r>
            <w:r>
              <w:rPr>
                <w:rFonts w:hint="eastAsia"/>
                <w:lang w:val="en-US" w:eastAsia="zh-CN"/>
              </w:rPr>
              <w:t>市场准入负面清单（2025年版）</w:t>
            </w:r>
            <w:r>
              <w:rPr>
                <w:rFonts w:hint="eastAsia"/>
                <w:color w:val="000000" w:themeColor="text1"/>
                <w:lang w:val="en-US" w:eastAsia="zh-CN"/>
                <w14:textFill>
                  <w14:solidFill>
                    <w14:schemeClr w14:val="tx1"/>
                  </w14:solidFill>
                </w14:textFill>
              </w:rPr>
              <w:t>》禁止准入类，</w:t>
            </w:r>
            <w:r>
              <w:rPr>
                <w:rFonts w:hint="default"/>
                <w:color w:val="000000" w:themeColor="text1"/>
                <w:lang w:val="en-US" w:eastAsia="zh-CN"/>
                <w14:textFill>
                  <w14:solidFill>
                    <w14:schemeClr w14:val="tx1"/>
                  </w14:solidFill>
                </w14:textFill>
              </w:rPr>
              <w:t>因此本项目符合国家的产业政策。</w:t>
            </w:r>
          </w:p>
          <w:p w14:paraId="616FAF7E">
            <w:pPr>
              <w:keepNext w:val="0"/>
              <w:keepLines w:val="0"/>
              <w:pageBreakBefore w:val="0"/>
              <w:suppressLineNumbers w:val="0"/>
              <w:kinsoku/>
              <w:wordWrap/>
              <w:overflowPunct w:val="0"/>
              <w:topLinePunct w:val="0"/>
              <w:bidi w:val="0"/>
              <w:adjustRightInd/>
              <w:snapToGrid/>
              <w:spacing w:beforeAutospacing="0" w:afterAutospacing="0" w:line="480" w:lineRule="exact"/>
              <w:ind w:left="0" w:right="0" w:firstLine="482" w:firstLineChars="200"/>
              <w:jc w:val="both"/>
              <w:textAlignment w:val="auto"/>
              <w:outlineLvl w:val="9"/>
              <w:rPr>
                <w:rFonts w:hint="default" w:ascii="Times New Roman" w:hAnsi="Times New Roman" w:cs="Times New Roman" w:eastAsiaTheme="minorEastAsia"/>
                <w:b/>
                <w:bCs/>
                <w:color w:val="0000FF"/>
                <w:sz w:val="24"/>
                <w:szCs w:val="24"/>
              </w:rPr>
            </w:pPr>
            <w:r>
              <w:rPr>
                <w:rFonts w:hint="default" w:ascii="Times New Roman" w:hAnsi="Times New Roman" w:eastAsia="宋体" w:cs="Times New Roman"/>
                <w:b/>
                <w:bCs/>
                <w:color w:val="0000FF"/>
                <w:sz w:val="24"/>
                <w:szCs w:val="24"/>
                <w:highlight w:val="none"/>
                <w:lang w:val="en-US" w:eastAsia="zh-CN"/>
              </w:rPr>
              <w:t>2、</w:t>
            </w:r>
            <w:r>
              <w:rPr>
                <w:rFonts w:hint="default" w:ascii="Times New Roman" w:hAnsi="Times New Roman" w:cs="Times New Roman" w:eastAsiaTheme="minorEastAsia"/>
                <w:b/>
                <w:bCs/>
                <w:color w:val="0000FF"/>
                <w:sz w:val="24"/>
                <w:szCs w:val="24"/>
              </w:rPr>
              <w:t>与《新疆维吾尔自治区生态环境分区管控动态更新成果》</w:t>
            </w:r>
            <w:r>
              <w:rPr>
                <w:rFonts w:hint="eastAsia" w:ascii="Times New Roman" w:hAnsi="Times New Roman" w:cs="Times New Roman" w:eastAsiaTheme="minorEastAsia"/>
                <w:b/>
                <w:bCs/>
                <w:color w:val="0000FF"/>
                <w:sz w:val="24"/>
                <w:szCs w:val="24"/>
                <w:lang w:eastAsia="zh-CN"/>
              </w:rPr>
              <w:t>的</w:t>
            </w:r>
            <w:r>
              <w:rPr>
                <w:rFonts w:hint="default" w:ascii="Times New Roman" w:hAnsi="Times New Roman" w:cs="Times New Roman" w:eastAsiaTheme="minorEastAsia"/>
                <w:b/>
                <w:bCs/>
                <w:color w:val="0000FF"/>
                <w:sz w:val="24"/>
                <w:szCs w:val="24"/>
              </w:rPr>
              <w:t>符合性分析</w:t>
            </w:r>
          </w:p>
          <w:p w14:paraId="0898F918">
            <w:pPr>
              <w:pStyle w:val="3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FF"/>
                <w:sz w:val="24"/>
                <w:szCs w:val="24"/>
              </w:rPr>
            </w:pPr>
            <w:r>
              <w:rPr>
                <w:rFonts w:hint="default" w:ascii="Times New Roman" w:hAnsi="Times New Roman" w:cs="Times New Roman" w:eastAsiaTheme="minorEastAsia"/>
                <w:color w:val="0000FF"/>
                <w:sz w:val="24"/>
                <w:szCs w:val="24"/>
              </w:rPr>
              <w:t>根据《关于印发&lt;新疆维吾尔自治区生态环境分区管控动态更新成果&gt;的通知》</w:t>
            </w:r>
            <w:r>
              <w:rPr>
                <w:rFonts w:hint="eastAsia" w:ascii="Times New Roman" w:hAnsi="Times New Roman" w:cs="Times New Roman" w:eastAsiaTheme="minorEastAsia"/>
                <w:color w:val="0000FF"/>
                <w:sz w:val="24"/>
                <w:szCs w:val="24"/>
                <w:lang w:eastAsia="zh-CN"/>
              </w:rPr>
              <w:t>（</w:t>
            </w:r>
            <w:r>
              <w:rPr>
                <w:rFonts w:hint="default" w:ascii="Times New Roman" w:hAnsi="Times New Roman" w:cs="Times New Roman" w:eastAsiaTheme="minorEastAsia"/>
                <w:color w:val="0000FF"/>
                <w:sz w:val="24"/>
                <w:szCs w:val="24"/>
              </w:rPr>
              <w:t>新环环评发</w:t>
            </w:r>
            <w:r>
              <w:rPr>
                <w:rFonts w:hint="eastAsia" w:ascii="Times New Roman" w:hAnsi="Times New Roman" w:cs="Times New Roman" w:eastAsiaTheme="minorEastAsia"/>
                <w:color w:val="0000FF"/>
                <w:sz w:val="24"/>
                <w:szCs w:val="24"/>
                <w:lang w:eastAsia="zh-CN"/>
              </w:rPr>
              <w:t>（</w:t>
            </w:r>
            <w:r>
              <w:rPr>
                <w:rFonts w:hint="default" w:ascii="Times New Roman" w:hAnsi="Times New Roman" w:cs="Times New Roman" w:eastAsiaTheme="minorEastAsia"/>
                <w:color w:val="0000FF"/>
                <w:sz w:val="24"/>
                <w:szCs w:val="24"/>
              </w:rPr>
              <w:t>2024年</w:t>
            </w:r>
            <w:r>
              <w:rPr>
                <w:rFonts w:hint="eastAsia" w:ascii="Times New Roman" w:hAnsi="Times New Roman" w:cs="Times New Roman" w:eastAsiaTheme="minorEastAsia"/>
                <w:color w:val="0000FF"/>
                <w:sz w:val="24"/>
                <w:szCs w:val="24"/>
                <w:lang w:eastAsia="zh-CN"/>
              </w:rPr>
              <w:t>）</w:t>
            </w:r>
            <w:r>
              <w:rPr>
                <w:rFonts w:hint="default" w:ascii="Times New Roman" w:hAnsi="Times New Roman" w:cs="Times New Roman" w:eastAsiaTheme="minorEastAsia"/>
                <w:color w:val="0000FF"/>
                <w:sz w:val="24"/>
                <w:szCs w:val="24"/>
              </w:rPr>
              <w:t>157号</w:t>
            </w:r>
            <w:r>
              <w:rPr>
                <w:rFonts w:hint="eastAsia" w:ascii="Times New Roman" w:hAnsi="Times New Roman" w:cs="Times New Roman" w:eastAsiaTheme="minorEastAsia"/>
                <w:color w:val="0000FF"/>
                <w:sz w:val="24"/>
                <w:szCs w:val="24"/>
                <w:lang w:eastAsia="zh-CN"/>
              </w:rPr>
              <w:t>）</w:t>
            </w:r>
            <w:r>
              <w:rPr>
                <w:rFonts w:hint="default" w:ascii="Times New Roman" w:hAnsi="Times New Roman" w:cs="Times New Roman" w:eastAsiaTheme="minorEastAsia"/>
                <w:color w:val="0000FF"/>
                <w:sz w:val="24"/>
                <w:szCs w:val="24"/>
              </w:rPr>
              <w:t>，新疆维吾尔自治区共划定1777个环境管控单元，分为优先保护单元925个、重点管控单元713个、一般管控单元139个三类，实施分类管控。</w:t>
            </w:r>
          </w:p>
          <w:p w14:paraId="02553C7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400" w:lineRule="exact"/>
              <w:ind w:left="0" w:leftChars="0" w:right="0" w:rightChars="0" w:firstLine="0" w:firstLineChars="0"/>
              <w:jc w:val="center"/>
              <w:textAlignment w:val="auto"/>
              <w:rPr>
                <w:rFonts w:hint="default" w:ascii="Times New Roman" w:hAnsi="Times New Roman" w:eastAsia="宋体" w:cs="Times New Roman"/>
                <w:b/>
                <w:bCs/>
                <w:color w:val="0000FF"/>
                <w:sz w:val="24"/>
                <w:szCs w:val="24"/>
                <w:highlight w:val="none"/>
                <w:lang w:val="en-US" w:eastAsia="zh-CN"/>
              </w:rPr>
            </w:pPr>
            <w:r>
              <w:rPr>
                <w:rFonts w:hint="default" w:ascii="Times New Roman" w:hAnsi="Times New Roman" w:eastAsia="宋体" w:cs="Times New Roman"/>
                <w:b/>
                <w:bCs/>
                <w:color w:val="0000FF"/>
                <w:sz w:val="21"/>
                <w:szCs w:val="21"/>
                <w:highlight w:val="none"/>
                <w:lang w:val="en-US" w:eastAsia="zh-CN"/>
              </w:rPr>
              <w:t>表1-</w:t>
            </w:r>
            <w:r>
              <w:rPr>
                <w:rFonts w:hint="eastAsia" w:cs="Times New Roman"/>
                <w:b/>
                <w:bCs/>
                <w:color w:val="0000FF"/>
                <w:sz w:val="21"/>
                <w:szCs w:val="21"/>
                <w:highlight w:val="none"/>
                <w:lang w:val="en-US" w:eastAsia="zh-CN"/>
              </w:rPr>
              <w:t>2</w:t>
            </w:r>
            <w:r>
              <w:rPr>
                <w:rFonts w:hint="default" w:ascii="Times New Roman" w:hAnsi="Times New Roman" w:eastAsia="宋体" w:cs="Times New Roman"/>
                <w:b/>
                <w:bCs/>
                <w:color w:val="0000FF"/>
                <w:sz w:val="21"/>
                <w:szCs w:val="21"/>
                <w:highlight w:val="none"/>
                <w:lang w:val="en-US" w:eastAsia="zh-CN"/>
              </w:rPr>
              <w:t xml:space="preserve">  </w:t>
            </w:r>
            <w:r>
              <w:rPr>
                <w:rFonts w:hint="default" w:ascii="Times New Roman" w:hAnsi="Times New Roman" w:cs="Times New Roman" w:eastAsiaTheme="minorEastAsia"/>
                <w:b/>
                <w:bCs/>
                <w:snapToGrid w:val="0"/>
                <w:color w:val="0000FF"/>
                <w:spacing w:val="0"/>
                <w:w w:val="100"/>
                <w:position w:val="0"/>
                <w:sz w:val="21"/>
                <w:szCs w:val="21"/>
                <w:highlight w:val="none"/>
                <w:lang w:eastAsia="zh-CN"/>
              </w:rPr>
              <w:t>项目与《新疆维吾尔自治区生态环境分区管控动态更新成果》文件相符性分析</w:t>
            </w:r>
          </w:p>
          <w:tbl>
            <w:tblPr>
              <w:tblStyle w:val="23"/>
              <w:tblW w:w="7175"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705"/>
              <w:gridCol w:w="3935"/>
              <w:gridCol w:w="1610"/>
              <w:gridCol w:w="475"/>
            </w:tblGrid>
            <w:tr w14:paraId="60C6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gridSpan w:val="2"/>
                  <w:tcBorders>
                    <w:top w:val="single" w:color="auto" w:sz="12" w:space="0"/>
                  </w:tcBorders>
                </w:tcPr>
                <w:p w14:paraId="4E75872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val="0"/>
                      <w:color w:val="0000FF"/>
                      <w:sz w:val="21"/>
                      <w:szCs w:val="21"/>
                      <w:highlight w:val="none"/>
                      <w:lang w:val="en-US" w:eastAsia="zh-CN"/>
                    </w:rPr>
                  </w:pPr>
                  <w:r>
                    <w:rPr>
                      <w:rFonts w:hint="eastAsia" w:ascii="Times New Roman" w:hAnsi="Times New Roman" w:eastAsia="宋体" w:cs="Times New Roman"/>
                      <w:b/>
                      <w:bCs w:val="0"/>
                      <w:color w:val="0000FF"/>
                      <w:sz w:val="21"/>
                      <w:szCs w:val="21"/>
                      <w:highlight w:val="none"/>
                      <w:lang w:val="en-US" w:eastAsia="zh-CN"/>
                    </w:rPr>
                    <w:t>管控维度</w:t>
                  </w:r>
                </w:p>
              </w:tc>
              <w:tc>
                <w:tcPr>
                  <w:tcW w:w="3935" w:type="dxa"/>
                  <w:tcBorders>
                    <w:top w:val="single" w:color="auto" w:sz="12" w:space="0"/>
                  </w:tcBorders>
                </w:tcPr>
                <w:p w14:paraId="3AB4155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ascii="Times New Roman" w:hAnsi="Times New Roman" w:eastAsia="宋体" w:cs="Times New Roman"/>
                      <w:b/>
                      <w:bCs w:val="0"/>
                      <w:color w:val="0000FF"/>
                      <w:sz w:val="21"/>
                      <w:szCs w:val="21"/>
                      <w:highlight w:val="none"/>
                      <w:lang w:val="en-US" w:eastAsia="zh-CN"/>
                    </w:rPr>
                  </w:pPr>
                  <w:r>
                    <w:rPr>
                      <w:rFonts w:hint="eastAsia" w:ascii="Times New Roman" w:hAnsi="Times New Roman" w:eastAsia="宋体" w:cs="Times New Roman"/>
                      <w:b/>
                      <w:bCs w:val="0"/>
                      <w:color w:val="0000FF"/>
                      <w:sz w:val="21"/>
                      <w:szCs w:val="21"/>
                      <w:highlight w:val="none"/>
                      <w:lang w:val="en-US" w:eastAsia="zh-CN"/>
                    </w:rPr>
                    <w:t>管控要求</w:t>
                  </w:r>
                </w:p>
              </w:tc>
              <w:tc>
                <w:tcPr>
                  <w:tcW w:w="2085" w:type="dxa"/>
                  <w:gridSpan w:val="2"/>
                  <w:tcBorders>
                    <w:top w:val="single" w:color="auto" w:sz="12" w:space="0"/>
                    <w:right w:val="nil"/>
                  </w:tcBorders>
                </w:tcPr>
                <w:p w14:paraId="0B1BF53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val="0"/>
                      <w:color w:val="0000FF"/>
                      <w:sz w:val="21"/>
                      <w:szCs w:val="21"/>
                      <w:highlight w:val="none"/>
                      <w:lang w:val="en-US" w:eastAsia="zh-CN"/>
                    </w:rPr>
                  </w:pPr>
                  <w:r>
                    <w:rPr>
                      <w:rFonts w:hint="eastAsia" w:cs="Times New Roman"/>
                      <w:b/>
                      <w:bCs w:val="0"/>
                      <w:color w:val="0000FF"/>
                      <w:sz w:val="21"/>
                      <w:szCs w:val="21"/>
                      <w:highlight w:val="none"/>
                      <w:lang w:val="en-US" w:eastAsia="zh-CN"/>
                    </w:rPr>
                    <w:t>符合性</w:t>
                  </w:r>
                </w:p>
              </w:tc>
            </w:tr>
            <w:tr w14:paraId="6EB9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restart"/>
                  <w:tcBorders>
                    <w:left w:val="nil"/>
                  </w:tcBorders>
                  <w:vAlign w:val="center"/>
                </w:tcPr>
                <w:p w14:paraId="54B2C5B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A1空间布局约束</w:t>
                  </w:r>
                </w:p>
              </w:tc>
              <w:tc>
                <w:tcPr>
                  <w:tcW w:w="705" w:type="dxa"/>
                  <w:vMerge w:val="restart"/>
                  <w:vAlign w:val="center"/>
                </w:tcPr>
                <w:p w14:paraId="63C758C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A1.1禁止开发建设的活动</w:t>
                  </w:r>
                </w:p>
              </w:tc>
              <w:tc>
                <w:tcPr>
                  <w:tcW w:w="3935" w:type="dxa"/>
                  <w:vAlign w:val="center"/>
                </w:tcPr>
                <w:p w14:paraId="43879BD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〔A1.1-1〕禁止新建、扩建《产业结构调整指导目录(2024年本)》中淘汰类项目。禁止引入《市场准入负面清单(2022年版)》禁止准入类事项。</w:t>
                  </w:r>
                </w:p>
              </w:tc>
              <w:tc>
                <w:tcPr>
                  <w:tcW w:w="1610" w:type="dxa"/>
                  <w:vAlign w:val="center"/>
                </w:tcPr>
                <w:p w14:paraId="719B8E4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本项目不属于《产业结构调整指导目录（2024年本）》中淘汰类项目，也不属于</w:t>
                  </w:r>
                  <w:r>
                    <w:rPr>
                      <w:rFonts w:hint="default" w:ascii="Times New Roman" w:hAnsi="Times New Roman" w:eastAsia="宋体" w:cs="Times New Roman"/>
                      <w:b w:val="0"/>
                      <w:bCs/>
                      <w:color w:val="0000FF"/>
                      <w:sz w:val="21"/>
                      <w:szCs w:val="21"/>
                      <w:highlight w:val="none"/>
                      <w:lang w:val="en-US" w:eastAsia="zh-CN"/>
                    </w:rPr>
                    <w:t>《市场准入负面清单(2022年版)》禁止准入类事项。</w:t>
                  </w:r>
                </w:p>
              </w:tc>
              <w:tc>
                <w:tcPr>
                  <w:tcW w:w="475" w:type="dxa"/>
                  <w:tcBorders>
                    <w:right w:val="nil"/>
                  </w:tcBorders>
                  <w:vAlign w:val="center"/>
                </w:tcPr>
                <w:p w14:paraId="68326AF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2E73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305B4A6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tcPr>
                <w:p w14:paraId="2B084B8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3935" w:type="dxa"/>
                  <w:vAlign w:val="center"/>
                </w:tcPr>
                <w:p w14:paraId="2E58E31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〔A1.1-2〕禁止建设不符合国家和自治区环境保护标准的项目</w:t>
                  </w:r>
                  <w:r>
                    <w:rPr>
                      <w:rFonts w:hint="eastAsia" w:cs="Times New Roman"/>
                      <w:b w:val="0"/>
                      <w:bCs/>
                      <w:color w:val="0000FF"/>
                      <w:sz w:val="21"/>
                      <w:szCs w:val="21"/>
                      <w:highlight w:val="none"/>
                      <w:lang w:val="en-US" w:eastAsia="zh-CN"/>
                    </w:rPr>
                    <w:t>。</w:t>
                  </w:r>
                </w:p>
              </w:tc>
              <w:tc>
                <w:tcPr>
                  <w:tcW w:w="1610" w:type="dxa"/>
                  <w:vAlign w:val="center"/>
                </w:tcPr>
                <w:p w14:paraId="77D1F16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本项目为硝酸储罐建设项目，不属于不符合国家和自治区环境保护标准的项目。</w:t>
                  </w:r>
                </w:p>
              </w:tc>
              <w:tc>
                <w:tcPr>
                  <w:tcW w:w="475" w:type="dxa"/>
                  <w:tcBorders>
                    <w:right w:val="nil"/>
                  </w:tcBorders>
                  <w:vAlign w:val="center"/>
                </w:tcPr>
                <w:p w14:paraId="2CC2C68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0877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6F724BF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tcPr>
                <w:p w14:paraId="145CE8F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3935" w:type="dxa"/>
                  <w:vAlign w:val="center"/>
                </w:tcPr>
                <w:p w14:paraId="65EBB1F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〔A1.1-3〕禁止在饮用水水源保护区、风景名胜区、自然保护区的核心区和缓冲区、城镇居民区、文化教育科学研究区等人口集中区域以及法律、法规规定的其他禁止养殖区域建设畜禽养殖场、养殖小区。</w:t>
                  </w:r>
                </w:p>
              </w:tc>
              <w:tc>
                <w:tcPr>
                  <w:tcW w:w="1610" w:type="dxa"/>
                  <w:vAlign w:val="center"/>
                </w:tcPr>
                <w:p w14:paraId="1AB011D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本项目位于阜康市阜康产业园阜东一区新疆金象赛瑞化工科技有限公司厂区内</w:t>
                  </w:r>
                  <w:r>
                    <w:rPr>
                      <w:rFonts w:hint="eastAsia" w:cs="Times New Roman"/>
                      <w:b w:val="0"/>
                      <w:bCs/>
                      <w:color w:val="0000FF"/>
                      <w:sz w:val="21"/>
                      <w:szCs w:val="21"/>
                      <w:highlight w:val="none"/>
                      <w:lang w:val="en-US" w:eastAsia="zh-CN"/>
                    </w:rPr>
                    <w:t>，不涉及。</w:t>
                  </w:r>
                </w:p>
              </w:tc>
              <w:tc>
                <w:tcPr>
                  <w:tcW w:w="475" w:type="dxa"/>
                  <w:tcBorders>
                    <w:right w:val="nil"/>
                  </w:tcBorders>
                  <w:vAlign w:val="center"/>
                </w:tcPr>
                <w:p w14:paraId="114B3E8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74B0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67BC220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tcPr>
                <w:p w14:paraId="042FD2D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3935" w:type="dxa"/>
                  <w:vAlign w:val="center"/>
                </w:tcPr>
                <w:p w14:paraId="681EF77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〔A1.1-4〕禁止在水源涵养区、地下水源、饮用水源、自然保护区、风景名胜区、森林公园、重要湿地及人群密集区等生态敏感区域内进行煤炭、石油、天然气开发。</w:t>
                  </w:r>
                </w:p>
              </w:tc>
              <w:tc>
                <w:tcPr>
                  <w:tcW w:w="1610" w:type="dxa"/>
                  <w:vAlign w:val="center"/>
                </w:tcPr>
                <w:p w14:paraId="4D00473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本项目不涉及</w:t>
                  </w:r>
                  <w:r>
                    <w:rPr>
                      <w:rFonts w:hint="default" w:ascii="Times New Roman" w:hAnsi="Times New Roman" w:eastAsia="宋体" w:cs="Times New Roman"/>
                      <w:b w:val="0"/>
                      <w:bCs/>
                      <w:color w:val="0000FF"/>
                      <w:sz w:val="21"/>
                      <w:szCs w:val="21"/>
                      <w:highlight w:val="none"/>
                      <w:lang w:val="en-US" w:eastAsia="zh-CN"/>
                    </w:rPr>
                    <w:t>水源涵养区、地下水源、饮用水源、自然保护区、风景名胜区、森林公园、重要湿地及人群密集区等生态敏感区域</w:t>
                  </w:r>
                  <w:r>
                    <w:rPr>
                      <w:rFonts w:hint="eastAsia" w:cs="Times New Roman"/>
                      <w:b w:val="0"/>
                      <w:bCs/>
                      <w:color w:val="0000FF"/>
                      <w:sz w:val="21"/>
                      <w:szCs w:val="21"/>
                      <w:highlight w:val="none"/>
                      <w:lang w:val="en-US" w:eastAsia="zh-CN"/>
                    </w:rPr>
                    <w:t>。</w:t>
                  </w:r>
                </w:p>
              </w:tc>
              <w:tc>
                <w:tcPr>
                  <w:tcW w:w="475" w:type="dxa"/>
                  <w:tcBorders>
                    <w:right w:val="nil"/>
                  </w:tcBorders>
                  <w:vAlign w:val="center"/>
                </w:tcPr>
                <w:p w14:paraId="3322EEC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4D2D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04FD95B4">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tcPr>
                <w:p w14:paraId="10F248E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3935" w:type="dxa"/>
                  <w:vAlign w:val="center"/>
                </w:tcPr>
                <w:p w14:paraId="26BAB08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eastAsia"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〔A1.1-5〕禁止下列破坏湿地及其生态功能的行为</w:t>
                  </w:r>
                  <w:r>
                    <w:rPr>
                      <w:rFonts w:hint="eastAsia" w:cs="Times New Roman"/>
                      <w:b w:val="0"/>
                      <w:bCs/>
                      <w:color w:val="0000FF"/>
                      <w:sz w:val="21"/>
                      <w:szCs w:val="21"/>
                      <w:highlight w:val="none"/>
                      <w:lang w:val="en-US" w:eastAsia="zh-CN"/>
                    </w:rPr>
                    <w:t>：</w:t>
                  </w:r>
                </w:p>
                <w:p w14:paraId="3E8B46F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（一）</w:t>
                  </w:r>
                  <w:r>
                    <w:rPr>
                      <w:rFonts w:hint="default" w:ascii="Times New Roman" w:hAnsi="Times New Roman" w:eastAsia="宋体" w:cs="Times New Roman"/>
                      <w:b w:val="0"/>
                      <w:bCs/>
                      <w:color w:val="0000FF"/>
                      <w:sz w:val="21"/>
                      <w:szCs w:val="21"/>
                      <w:highlight w:val="none"/>
                      <w:lang w:val="en-US" w:eastAsia="zh-CN"/>
                    </w:rPr>
                    <w:t>开(围)垦、排干自然湿地，永久性截断自然湿地水源</w:t>
                  </w:r>
                  <w:r>
                    <w:rPr>
                      <w:rFonts w:hint="eastAsia" w:cs="Times New Roman"/>
                      <w:b w:val="0"/>
                      <w:bCs/>
                      <w:color w:val="0000FF"/>
                      <w:sz w:val="21"/>
                      <w:szCs w:val="21"/>
                      <w:highlight w:val="none"/>
                      <w:lang w:val="en-US" w:eastAsia="zh-CN"/>
                    </w:rPr>
                    <w:t>；</w:t>
                  </w:r>
                </w:p>
                <w:p w14:paraId="3A8E59A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（二）</w:t>
                  </w:r>
                  <w:r>
                    <w:rPr>
                      <w:rFonts w:hint="default" w:ascii="Times New Roman" w:hAnsi="Times New Roman" w:eastAsia="宋体" w:cs="Times New Roman"/>
                      <w:b w:val="0"/>
                      <w:bCs/>
                      <w:color w:val="0000FF"/>
                      <w:sz w:val="21"/>
                      <w:szCs w:val="21"/>
                      <w:highlight w:val="none"/>
                      <w:lang w:val="en-US" w:eastAsia="zh-CN"/>
                    </w:rPr>
                    <w:t>擅自填埋自然湿地，擅自采砂、采矿、取土</w:t>
                  </w:r>
                  <w:r>
                    <w:rPr>
                      <w:rFonts w:hint="eastAsia" w:cs="Times New Roman"/>
                      <w:b w:val="0"/>
                      <w:bCs/>
                      <w:color w:val="0000FF"/>
                      <w:sz w:val="21"/>
                      <w:szCs w:val="21"/>
                      <w:highlight w:val="none"/>
                      <w:lang w:val="en-US" w:eastAsia="zh-CN"/>
                    </w:rPr>
                    <w:t>；</w:t>
                  </w:r>
                </w:p>
                <w:p w14:paraId="2CC6E13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（三）</w:t>
                  </w:r>
                  <w:r>
                    <w:rPr>
                      <w:rFonts w:hint="default" w:ascii="Times New Roman" w:hAnsi="Times New Roman" w:eastAsia="宋体" w:cs="Times New Roman"/>
                      <w:b w:val="0"/>
                      <w:bCs/>
                      <w:color w:val="0000FF"/>
                      <w:sz w:val="21"/>
                      <w:szCs w:val="21"/>
                      <w:highlight w:val="none"/>
                      <w:lang w:val="en-US" w:eastAsia="zh-CN"/>
                    </w:rPr>
                    <w:t>排放不符合水污染物排放标准的工业废水、生活污水及其他污染湿地的废水、污水，倾倒、堆放、丢弃、遗撒固体废物</w:t>
                  </w:r>
                  <w:r>
                    <w:rPr>
                      <w:rFonts w:hint="eastAsia" w:cs="Times New Roman"/>
                      <w:b w:val="0"/>
                      <w:bCs/>
                      <w:color w:val="0000FF"/>
                      <w:sz w:val="21"/>
                      <w:szCs w:val="21"/>
                      <w:highlight w:val="none"/>
                      <w:lang w:val="en-US" w:eastAsia="zh-CN"/>
                    </w:rPr>
                    <w:t>；</w:t>
                  </w:r>
                </w:p>
                <w:p w14:paraId="04B48B4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（四）</w:t>
                  </w:r>
                  <w:r>
                    <w:rPr>
                      <w:rFonts w:hint="default" w:ascii="Times New Roman" w:hAnsi="Times New Roman" w:eastAsia="宋体" w:cs="Times New Roman"/>
                      <w:b w:val="0"/>
                      <w:bCs/>
                      <w:color w:val="0000FF"/>
                      <w:sz w:val="21"/>
                      <w:szCs w:val="21"/>
                      <w:highlight w:val="none"/>
                      <w:lang w:val="en-US" w:eastAsia="zh-CN"/>
                    </w:rPr>
                    <w:t>过度放牧或者滥采野生植物，过度捕捞或者灭绝式捕捞，过度施肥、投药、投放饵料等污染湿地的种植养殖行为</w:t>
                  </w:r>
                  <w:r>
                    <w:rPr>
                      <w:rFonts w:hint="eastAsia" w:cs="Times New Roman"/>
                      <w:b w:val="0"/>
                      <w:bCs/>
                      <w:color w:val="0000FF"/>
                      <w:sz w:val="21"/>
                      <w:szCs w:val="21"/>
                      <w:highlight w:val="none"/>
                      <w:lang w:val="en-US" w:eastAsia="zh-CN"/>
                    </w:rPr>
                    <w:t>；</w:t>
                  </w:r>
                </w:p>
                <w:p w14:paraId="1D1DF2B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（五）</w:t>
                  </w:r>
                  <w:r>
                    <w:rPr>
                      <w:rFonts w:hint="default" w:ascii="Times New Roman" w:hAnsi="Times New Roman" w:eastAsia="宋体" w:cs="Times New Roman"/>
                      <w:b w:val="0"/>
                      <w:bCs/>
                      <w:color w:val="0000FF"/>
                      <w:sz w:val="21"/>
                      <w:szCs w:val="21"/>
                      <w:highlight w:val="none"/>
                      <w:lang w:val="en-US" w:eastAsia="zh-CN"/>
                    </w:rPr>
                    <w:t>其他破坏湿地及其生态功能的行为。</w:t>
                  </w:r>
                </w:p>
              </w:tc>
              <w:tc>
                <w:tcPr>
                  <w:tcW w:w="1610" w:type="dxa"/>
                  <w:vAlign w:val="center"/>
                </w:tcPr>
                <w:p w14:paraId="4CAC440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本项目不涉及。</w:t>
                  </w:r>
                </w:p>
              </w:tc>
              <w:tc>
                <w:tcPr>
                  <w:tcW w:w="475" w:type="dxa"/>
                  <w:tcBorders>
                    <w:right w:val="nil"/>
                  </w:tcBorders>
                  <w:vAlign w:val="center"/>
                </w:tcPr>
                <w:p w14:paraId="2695205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7E07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6E05998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tcPr>
                <w:p w14:paraId="370016F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3935" w:type="dxa"/>
                  <w:vAlign w:val="center"/>
                </w:tcPr>
                <w:p w14:paraId="3BF7994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〔A1.1-6〕禁止在自治区行政区域内引进能(水)耗不符合相关国家标准中准入值要求且污染物排放和环境风险防控不符合国家(地方)标准及有关产业准入条件的高污染(排放)、高能(水)耗、高环境风险的工业项目。</w:t>
                  </w:r>
                </w:p>
              </w:tc>
              <w:tc>
                <w:tcPr>
                  <w:tcW w:w="1610" w:type="dxa"/>
                  <w:vAlign w:val="center"/>
                </w:tcPr>
                <w:p w14:paraId="20473474">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本项目为硝酸储罐建设项目，运营期不会使用水资源，不属于</w:t>
                  </w:r>
                  <w:r>
                    <w:rPr>
                      <w:rFonts w:hint="default" w:ascii="Times New Roman" w:hAnsi="Times New Roman" w:eastAsia="宋体" w:cs="Times New Roman"/>
                      <w:b w:val="0"/>
                      <w:bCs/>
                      <w:color w:val="0000FF"/>
                      <w:sz w:val="21"/>
                      <w:szCs w:val="21"/>
                      <w:highlight w:val="none"/>
                      <w:lang w:val="en-US" w:eastAsia="zh-CN"/>
                    </w:rPr>
                    <w:t>高污染(排放)、高能(水)耗、高环境风险的工业项目</w:t>
                  </w:r>
                  <w:r>
                    <w:rPr>
                      <w:rFonts w:hint="eastAsia" w:cs="Times New Roman"/>
                      <w:b w:val="0"/>
                      <w:bCs/>
                      <w:color w:val="0000FF"/>
                      <w:sz w:val="21"/>
                      <w:szCs w:val="21"/>
                      <w:highlight w:val="none"/>
                      <w:lang w:val="en-US" w:eastAsia="zh-CN"/>
                    </w:rPr>
                    <w:t>。</w:t>
                  </w:r>
                </w:p>
              </w:tc>
              <w:tc>
                <w:tcPr>
                  <w:tcW w:w="475" w:type="dxa"/>
                  <w:tcBorders>
                    <w:right w:val="nil"/>
                  </w:tcBorders>
                  <w:vAlign w:val="center"/>
                </w:tcPr>
                <w:p w14:paraId="6760802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610B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27C7DB2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tcPr>
                <w:p w14:paraId="64ADDC3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3935" w:type="dxa"/>
                  <w:vAlign w:val="center"/>
                </w:tcPr>
                <w:p w14:paraId="3638B16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1.1-7〕①坚决遏制高耗能高排放低水平项目盲目发展。严把高耗能高排放低水平项目准入关口，严格落实污染物排放区域削减要求，对不符合规定的项目坚决停批停建。依法依规淘汰落后产能和化解过剩产能。②重点行业企业纳入重污染天气绩效分级，制定“一厂一策”应急减排清单，实现应纳尽纳;引导重点企业在秋冬季安排停产检修计划，减少冬季和采暖期排放。推进重点行业深度治理实施全工况脱硫脱硝提标改造，加大无组织排放治理力度，深度开展工业炉密综合整治，全面提升电解铝、活性炭、硅冶炼、纯碱、电石、聚氯乙烯、石化等行业污染治理水平。</w:t>
                  </w:r>
                </w:p>
              </w:tc>
              <w:tc>
                <w:tcPr>
                  <w:tcW w:w="1610" w:type="dxa"/>
                  <w:vAlign w:val="center"/>
                </w:tcPr>
                <w:p w14:paraId="49DFC9E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本项目不涉及。</w:t>
                  </w:r>
                </w:p>
              </w:tc>
              <w:tc>
                <w:tcPr>
                  <w:tcW w:w="475" w:type="dxa"/>
                  <w:tcBorders>
                    <w:right w:val="nil"/>
                  </w:tcBorders>
                  <w:vAlign w:val="center"/>
                </w:tcPr>
                <w:p w14:paraId="5ADF450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69FC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510EDEE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tcPr>
                <w:p w14:paraId="5AEC490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3935" w:type="dxa"/>
                  <w:vAlign w:val="center"/>
                </w:tcPr>
                <w:p w14:paraId="052AD32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〔A1.1-8〕严格执行危险化学品“禁限控”目录，新建危险化学品生产项目必须进入一般或较低安全风险的化工园区(与其他行业生产装置配套建设的项目除外)，引导其他石化化工项目在化工园区发展。</w:t>
                  </w:r>
                </w:p>
              </w:tc>
              <w:tc>
                <w:tcPr>
                  <w:tcW w:w="1610" w:type="dxa"/>
                  <w:vAlign w:val="center"/>
                </w:tcPr>
                <w:p w14:paraId="5FC6007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本项目位于阜康市阜康产业园阜东一区新疆金象赛瑞化工科技有限公司厂区内，项目建设属于新疆金象赛瑞化工科技有限公司的附属设施建设。</w:t>
                  </w:r>
                </w:p>
              </w:tc>
              <w:tc>
                <w:tcPr>
                  <w:tcW w:w="475" w:type="dxa"/>
                  <w:tcBorders>
                    <w:right w:val="nil"/>
                  </w:tcBorders>
                  <w:vAlign w:val="center"/>
                </w:tcPr>
                <w:p w14:paraId="54083C5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33EF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2F3F097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tcPr>
                <w:p w14:paraId="366197C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3935" w:type="dxa"/>
                  <w:vAlign w:val="center"/>
                </w:tcPr>
                <w:p w14:paraId="7F0D034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1.1-9〕严禁新建自治区《禁止、控制和限制危险化学品目录》中淘汰类、禁止类危险化学品化工项目。严格执行生态保护红线、永久基本农田管控要求，禁止新(改、扩)建化工项目违规占用生态保护红线和永久基本农田。在塔里木河、伊犁河、额尔齐斯河干流及主要支流岸线1公里范围内，除提升安全、环保、节能、智能化、产品质量水平的技术改造项目外，严格禁止新建、扩建化工项目，不得布局新的化工园区(含化工集中区)。</w:t>
                  </w:r>
                </w:p>
              </w:tc>
              <w:tc>
                <w:tcPr>
                  <w:tcW w:w="1610" w:type="dxa"/>
                  <w:vAlign w:val="center"/>
                </w:tcPr>
                <w:p w14:paraId="0AE6C2A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本项目不涉及。</w:t>
                  </w:r>
                </w:p>
              </w:tc>
              <w:tc>
                <w:tcPr>
                  <w:tcW w:w="475" w:type="dxa"/>
                  <w:tcBorders>
                    <w:right w:val="nil"/>
                  </w:tcBorders>
                  <w:vAlign w:val="center"/>
                </w:tcPr>
                <w:p w14:paraId="3F9E117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0BDD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65C8E98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tcPr>
                <w:p w14:paraId="036DE6B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3935" w:type="dxa"/>
                  <w:vAlign w:val="center"/>
                </w:tcPr>
                <w:p w14:paraId="01DB6B6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〔A1.1-10〕推动涉重金属产业集中优化发展，禁止新建用汞的电石法(聚)氯乙烯生产工艺，新建、扩建的重有色金属冶炼、电镀、制革企业优先选择布设在依法合规设立并依法开展规划环境影响评价的产业园区。</w:t>
                  </w:r>
                </w:p>
              </w:tc>
              <w:tc>
                <w:tcPr>
                  <w:tcW w:w="1610" w:type="dxa"/>
                  <w:vAlign w:val="center"/>
                </w:tcPr>
                <w:p w14:paraId="09258DB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本项目不涉及。</w:t>
                  </w:r>
                </w:p>
              </w:tc>
              <w:tc>
                <w:tcPr>
                  <w:tcW w:w="475" w:type="dxa"/>
                  <w:tcBorders>
                    <w:right w:val="nil"/>
                  </w:tcBorders>
                  <w:vAlign w:val="center"/>
                </w:tcPr>
                <w:p w14:paraId="04B6095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60A4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54D5A83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tcPr>
                <w:p w14:paraId="4913776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3935" w:type="dxa"/>
                  <w:vAlign w:val="center"/>
                </w:tcPr>
                <w:p w14:paraId="6B5E7CA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1.1-11〕国务院有关部门和青藏高原县级以上地方人民政府应当建立健全青藏高原雪山冰川冻土保护制度，加强对雪山冰川冻土的监测预警和系统保护。青藏高原省级人民政府应当将大型冰帽冰川小规模冰川群等划入生态保护红线，对重要雪山冰川实施封禁保护采取有效措施，严格控制人为扰动。青藏高原省级人民政府应当划定冻土区保护范围，加强对多年冻土区和中深季节冻土区的保护，严格控制多年冻土区资源开发，严格审批多年冻土区城镇规划和交通、管线、输变电等重大工程项目。青藏高原省级人民政府应当开展雪山冰川冻土与周边生态系统的协同保护，维持有利于雪山冰川冻土保护的自然生态环境。</w:t>
                  </w:r>
                </w:p>
              </w:tc>
              <w:tc>
                <w:tcPr>
                  <w:tcW w:w="1610" w:type="dxa"/>
                  <w:vAlign w:val="center"/>
                </w:tcPr>
                <w:p w14:paraId="0A94757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本项目不涉及。</w:t>
                  </w:r>
                </w:p>
              </w:tc>
              <w:tc>
                <w:tcPr>
                  <w:tcW w:w="475" w:type="dxa"/>
                  <w:tcBorders>
                    <w:right w:val="nil"/>
                  </w:tcBorders>
                  <w:vAlign w:val="center"/>
                </w:tcPr>
                <w:p w14:paraId="791ED6B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1446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4D1BB0C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restart"/>
                  <w:vAlign w:val="center"/>
                </w:tcPr>
                <w:p w14:paraId="7F4257E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A1.2限制开发建设的活动</w:t>
                  </w:r>
                </w:p>
              </w:tc>
              <w:tc>
                <w:tcPr>
                  <w:tcW w:w="3935" w:type="dxa"/>
                  <w:vAlign w:val="center"/>
                </w:tcPr>
                <w:p w14:paraId="5A2A0F3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〔A1.2-1〕严格控制缺水地区、水污染严重区域和敏感区域高耗水、高污染行业发展。</w:t>
                  </w:r>
                </w:p>
              </w:tc>
              <w:tc>
                <w:tcPr>
                  <w:tcW w:w="1610" w:type="dxa"/>
                  <w:vAlign w:val="center"/>
                </w:tcPr>
                <w:p w14:paraId="408B59A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本项目为硝酸储罐建设项目，运营期不会使用水资源。</w:t>
                  </w:r>
                </w:p>
              </w:tc>
              <w:tc>
                <w:tcPr>
                  <w:tcW w:w="475" w:type="dxa"/>
                  <w:tcBorders>
                    <w:right w:val="nil"/>
                  </w:tcBorders>
                  <w:vAlign w:val="center"/>
                </w:tcPr>
                <w:p w14:paraId="1985738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521E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4F35D34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vAlign w:val="center"/>
                </w:tcPr>
                <w:p w14:paraId="60EF929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01118FC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r>
                    <w:rPr>
                      <w:rFonts w:hint="eastAsia" w:cs="Times New Roman"/>
                      <w:b w:val="0"/>
                      <w:bCs/>
                      <w:color w:val="0000FF"/>
                      <w:sz w:val="21"/>
                      <w:szCs w:val="21"/>
                      <w:highlight w:val="none"/>
                      <w:lang w:val="en-US" w:eastAsia="zh-CN"/>
                    </w:rPr>
                    <w:t>。</w:t>
                  </w:r>
                </w:p>
              </w:tc>
              <w:tc>
                <w:tcPr>
                  <w:tcW w:w="1610" w:type="dxa"/>
                  <w:vAlign w:val="center"/>
                </w:tcPr>
                <w:p w14:paraId="1663255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本项目不涉及。</w:t>
                  </w:r>
                </w:p>
              </w:tc>
              <w:tc>
                <w:tcPr>
                  <w:tcW w:w="475" w:type="dxa"/>
                  <w:tcBorders>
                    <w:right w:val="nil"/>
                  </w:tcBorders>
                  <w:vAlign w:val="center"/>
                </w:tcPr>
                <w:p w14:paraId="019D180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721B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4513915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vAlign w:val="center"/>
                </w:tcPr>
                <w:p w14:paraId="699131C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0B2C9AA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〔A1.2-3〕以用途变更为住宅、公共管理与公共服务用地的地块为重点，严格建设用地准入管理和风险管控，未依法完成土壤污染状况调查或风险评估的地块，不得开工建设与风险管控和修复无关的项目。</w:t>
                  </w:r>
                </w:p>
              </w:tc>
              <w:tc>
                <w:tcPr>
                  <w:tcW w:w="1610" w:type="dxa"/>
                  <w:shd w:val="clear" w:color="auto" w:fill="auto"/>
                  <w:vAlign w:val="center"/>
                </w:tcPr>
                <w:p w14:paraId="3EB6DDD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675BE75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45AC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7C39030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vAlign w:val="center"/>
                </w:tcPr>
                <w:p w14:paraId="7979C7A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11ABE98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〔A1.2-4〕严格控制建设项目占用湿地。因国家和自治区重点建设工程、基础设施建设，以及重点公益性项目建设，确需占用湿地的，应当按照有关法律、法规规定的权限和程序办理批准手续。</w:t>
                  </w:r>
                </w:p>
              </w:tc>
              <w:tc>
                <w:tcPr>
                  <w:tcW w:w="1610" w:type="dxa"/>
                  <w:shd w:val="clear" w:color="auto" w:fill="auto"/>
                  <w:vAlign w:val="center"/>
                </w:tcPr>
                <w:p w14:paraId="77B4672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32ECC18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0C32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6CC6E8E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vAlign w:val="center"/>
                </w:tcPr>
                <w:p w14:paraId="5AF249C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17EE81C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〔A1.2-5〕严格管控自然保护地范围内非生态活动，稳妥推进核心区内居民、耕地有序退出，矿权依法依规退出</w:t>
                  </w:r>
                  <w:r>
                    <w:rPr>
                      <w:rFonts w:hint="eastAsia" w:cs="Times New Roman"/>
                      <w:b w:val="0"/>
                      <w:bCs/>
                      <w:color w:val="0000FF"/>
                      <w:sz w:val="21"/>
                      <w:szCs w:val="21"/>
                      <w:highlight w:val="none"/>
                      <w:lang w:val="en-US" w:eastAsia="zh-CN"/>
                    </w:rPr>
                    <w:t>。</w:t>
                  </w:r>
                </w:p>
              </w:tc>
              <w:tc>
                <w:tcPr>
                  <w:tcW w:w="1610" w:type="dxa"/>
                  <w:shd w:val="clear" w:color="auto" w:fill="auto"/>
                  <w:vAlign w:val="center"/>
                </w:tcPr>
                <w:p w14:paraId="0F9E65A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6A40375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20CC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5C3E86F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restart"/>
                  <w:vAlign w:val="center"/>
                </w:tcPr>
                <w:p w14:paraId="520D623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A1.3不符合空间布局要求活动的退出要求</w:t>
                  </w:r>
                </w:p>
              </w:tc>
              <w:tc>
                <w:tcPr>
                  <w:tcW w:w="3935" w:type="dxa"/>
                  <w:vAlign w:val="center"/>
                </w:tcPr>
                <w:p w14:paraId="56E0810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〔A1.3-1〕任何单位和个人不得在水源涵养区、饮用水水源保护区内和河流、湖泊、水库周围建设重化工、涉重金属等工业污染项目</w:t>
                  </w:r>
                  <w:r>
                    <w:rPr>
                      <w:rFonts w:hint="eastAsia" w:cs="Times New Roman"/>
                      <w:b w:val="0"/>
                      <w:bCs/>
                      <w:color w:val="0000FF"/>
                      <w:sz w:val="21"/>
                      <w:szCs w:val="21"/>
                      <w:highlight w:val="none"/>
                      <w:lang w:val="en-US" w:eastAsia="zh-CN"/>
                    </w:rPr>
                    <w:t>；</w:t>
                  </w:r>
                  <w:r>
                    <w:rPr>
                      <w:rFonts w:hint="default" w:ascii="Times New Roman" w:hAnsi="Times New Roman" w:eastAsia="宋体" w:cs="Times New Roman"/>
                      <w:b w:val="0"/>
                      <w:bCs/>
                      <w:color w:val="0000FF"/>
                      <w:sz w:val="21"/>
                      <w:szCs w:val="21"/>
                      <w:highlight w:val="none"/>
                      <w:lang w:val="en-US" w:eastAsia="zh-CN"/>
                    </w:rPr>
                    <w:t>对已建成的工业污染项目，当地人民政府应当组织限期搬迁。</w:t>
                  </w:r>
                </w:p>
              </w:tc>
              <w:tc>
                <w:tcPr>
                  <w:tcW w:w="1610" w:type="dxa"/>
                  <w:shd w:val="clear" w:color="auto" w:fill="auto"/>
                  <w:vAlign w:val="center"/>
                </w:tcPr>
                <w:p w14:paraId="0DD16E5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0E932E7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0070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7A3F7A3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vAlign w:val="center"/>
                </w:tcPr>
                <w:p w14:paraId="22D3B5D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32BAAA7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〔A1.3-2〕对不符合国家产业政策、严重污染水环境的生产项目全部予以取缔。</w:t>
                  </w:r>
                </w:p>
              </w:tc>
              <w:tc>
                <w:tcPr>
                  <w:tcW w:w="1610" w:type="dxa"/>
                  <w:shd w:val="clear" w:color="auto" w:fill="auto"/>
                  <w:vAlign w:val="center"/>
                </w:tcPr>
                <w:p w14:paraId="72436C4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本项目符合国家产业政策，且运营期不使用水资源。</w:t>
                  </w:r>
                </w:p>
              </w:tc>
              <w:tc>
                <w:tcPr>
                  <w:tcW w:w="475" w:type="dxa"/>
                  <w:tcBorders>
                    <w:right w:val="nil"/>
                  </w:tcBorders>
                  <w:shd w:val="clear" w:color="auto" w:fill="auto"/>
                  <w:vAlign w:val="center"/>
                </w:tcPr>
                <w:p w14:paraId="0E3B227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55A1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32213C7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vAlign w:val="center"/>
                </w:tcPr>
                <w:p w14:paraId="57C8F0C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5F4898E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1.3-3〕根据《产业结构调整指导目录》《限期淘汰产生严重污染环境的工业固体废物的落后生产工艺设备名录》等要求，配合有关部门依法淘汰烧结-鼓风炉5炼铅工艺炼铅等涉重金属落后产能和化解过剩产能。严格执行生态环境保护等相关法规标准，推动经整改仍达不到要求的产能依法依规关闭退出。</w:t>
                  </w:r>
                </w:p>
              </w:tc>
              <w:tc>
                <w:tcPr>
                  <w:tcW w:w="1610" w:type="dxa"/>
                  <w:shd w:val="clear" w:color="auto" w:fill="auto"/>
                  <w:vAlign w:val="center"/>
                </w:tcPr>
                <w:p w14:paraId="1CBFFED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7C8F8F6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23B5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666BB0D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vAlign w:val="center"/>
                </w:tcPr>
                <w:p w14:paraId="0A975CD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4E6A453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〔A1.3-4〕城市建成区、重点流域内已建成投产化工企业和危险化学品生产企业应加快退城入园，搬入化工园区前企业不应实施改扩建工程扩大生产规模。</w:t>
                  </w:r>
                </w:p>
              </w:tc>
              <w:tc>
                <w:tcPr>
                  <w:tcW w:w="1610" w:type="dxa"/>
                  <w:shd w:val="clear" w:color="auto" w:fill="auto"/>
                  <w:vAlign w:val="center"/>
                </w:tcPr>
                <w:p w14:paraId="50472C1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4251951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58AF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486DB04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restart"/>
                  <w:vAlign w:val="center"/>
                </w:tcPr>
                <w:p w14:paraId="6357BC8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A1.4其他布局要求</w:t>
                  </w:r>
                </w:p>
              </w:tc>
              <w:tc>
                <w:tcPr>
                  <w:tcW w:w="3935" w:type="dxa"/>
                  <w:vAlign w:val="center"/>
                </w:tcPr>
                <w:p w14:paraId="35C8142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610" w:type="dxa"/>
                  <w:shd w:val="clear" w:color="auto" w:fill="auto"/>
                  <w:vAlign w:val="center"/>
                </w:tcPr>
                <w:p w14:paraId="443562E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r>
                    <w:rPr>
                      <w:rFonts w:hint="eastAsia" w:ascii="宋体" w:hAnsi="宋体" w:eastAsia="宋体" w:cs="宋体"/>
                      <w:b w:val="0"/>
                      <w:bCs w:val="0"/>
                      <w:color w:val="0000FF"/>
                      <w:sz w:val="21"/>
                      <w:szCs w:val="21"/>
                      <w:vertAlign w:val="baseline"/>
                      <w:lang w:val="en-US" w:eastAsia="zh-CN"/>
                    </w:rPr>
                    <w:t>本项目位于阜康市阜康产业园阜东一区新疆金象赛瑞化工科技有限厂区内，用地为工业用地，</w:t>
                  </w:r>
                  <w:r>
                    <w:rPr>
                      <w:rFonts w:hint="eastAsia" w:ascii="宋体" w:hAnsi="宋体" w:cs="宋体"/>
                      <w:b w:val="0"/>
                      <w:bCs w:val="0"/>
                      <w:color w:val="0000FF"/>
                      <w:sz w:val="21"/>
                      <w:szCs w:val="21"/>
                      <w:vertAlign w:val="baseline"/>
                      <w:lang w:val="en-US" w:eastAsia="zh-CN"/>
                    </w:rPr>
                    <w:t>为</w:t>
                  </w:r>
                  <w:r>
                    <w:rPr>
                      <w:rFonts w:hint="eastAsia" w:ascii="宋体" w:hAnsi="宋体" w:eastAsia="宋体" w:cs="宋体"/>
                      <w:b w:val="0"/>
                      <w:bCs w:val="0"/>
                      <w:color w:val="0000FF"/>
                      <w:sz w:val="21"/>
                      <w:szCs w:val="21"/>
                      <w:vertAlign w:val="baseline"/>
                      <w:lang w:val="en-US" w:eastAsia="zh-CN"/>
                    </w:rPr>
                    <w:t>硝酸储罐建设项目</w:t>
                  </w:r>
                  <w:r>
                    <w:rPr>
                      <w:rFonts w:hint="eastAsia" w:ascii="宋体" w:hAnsi="宋体" w:cs="宋体"/>
                      <w:b w:val="0"/>
                      <w:bCs w:val="0"/>
                      <w:color w:val="0000FF"/>
                      <w:sz w:val="21"/>
                      <w:szCs w:val="21"/>
                      <w:vertAlign w:val="baseline"/>
                      <w:lang w:val="en-US" w:eastAsia="zh-CN"/>
                    </w:rPr>
                    <w:t>，为附属配套设施建设。</w:t>
                  </w:r>
                </w:p>
              </w:tc>
              <w:tc>
                <w:tcPr>
                  <w:tcW w:w="475" w:type="dxa"/>
                  <w:tcBorders>
                    <w:right w:val="nil"/>
                  </w:tcBorders>
                  <w:shd w:val="clear" w:color="auto" w:fill="auto"/>
                  <w:vAlign w:val="center"/>
                </w:tcPr>
                <w:p w14:paraId="28737A2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6588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07B670F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vAlign w:val="center"/>
                </w:tcPr>
                <w:p w14:paraId="77D18EA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402D8A6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〔A1.4-2〕新建、扩建石化、化工、焦化、有色金属冶炼、平板玻璃项目应布设在依法合规设立并经规划环评的产业园区。</w:t>
                  </w:r>
                </w:p>
              </w:tc>
              <w:tc>
                <w:tcPr>
                  <w:tcW w:w="1610" w:type="dxa"/>
                  <w:shd w:val="clear" w:color="auto" w:fill="auto"/>
                  <w:vAlign w:val="center"/>
                </w:tcPr>
                <w:p w14:paraId="449F70C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本项目不属于</w:t>
                  </w:r>
                  <w:r>
                    <w:rPr>
                      <w:rFonts w:hint="default" w:ascii="Times New Roman" w:hAnsi="Times New Roman" w:eastAsia="宋体" w:cs="Times New Roman"/>
                      <w:b w:val="0"/>
                      <w:bCs/>
                      <w:color w:val="0000FF"/>
                      <w:sz w:val="21"/>
                      <w:szCs w:val="21"/>
                      <w:highlight w:val="none"/>
                      <w:lang w:val="en-US" w:eastAsia="zh-CN"/>
                    </w:rPr>
                    <w:t>石化、化工、焦化、有色金属冶炼、平板玻璃项目</w:t>
                  </w:r>
                  <w:r>
                    <w:rPr>
                      <w:rFonts w:hint="eastAsia" w:cs="Times New Roman"/>
                      <w:b w:val="0"/>
                      <w:bCs/>
                      <w:color w:val="0000FF"/>
                      <w:sz w:val="21"/>
                      <w:szCs w:val="21"/>
                      <w:highlight w:val="none"/>
                      <w:lang w:val="en-US" w:eastAsia="zh-CN"/>
                    </w:rPr>
                    <w:t>。</w:t>
                  </w:r>
                </w:p>
              </w:tc>
              <w:tc>
                <w:tcPr>
                  <w:tcW w:w="475" w:type="dxa"/>
                  <w:tcBorders>
                    <w:right w:val="nil"/>
                  </w:tcBorders>
                  <w:shd w:val="clear" w:color="auto" w:fill="auto"/>
                  <w:vAlign w:val="center"/>
                </w:tcPr>
                <w:p w14:paraId="2702F35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2899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0A58B00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p>
              </w:tc>
              <w:tc>
                <w:tcPr>
                  <w:tcW w:w="705" w:type="dxa"/>
                  <w:vMerge w:val="continue"/>
                  <w:vAlign w:val="center"/>
                </w:tcPr>
                <w:p w14:paraId="58C67DC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633E0B0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1.4-3〕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1610" w:type="dxa"/>
                  <w:shd w:val="clear" w:color="auto" w:fill="auto"/>
                  <w:vAlign w:val="center"/>
                </w:tcPr>
                <w:p w14:paraId="3A7329B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26DF02A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7DD2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restart"/>
                  <w:tcBorders>
                    <w:left w:val="nil"/>
                  </w:tcBorders>
                  <w:vAlign w:val="center"/>
                </w:tcPr>
                <w:p w14:paraId="7358070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A2污染物排放管控</w:t>
                  </w:r>
                </w:p>
              </w:tc>
              <w:tc>
                <w:tcPr>
                  <w:tcW w:w="705" w:type="dxa"/>
                  <w:vMerge w:val="restart"/>
                  <w:vAlign w:val="center"/>
                </w:tcPr>
                <w:p w14:paraId="0B99DDE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A2.1污染物削减/替代要求</w:t>
                  </w:r>
                </w:p>
              </w:tc>
              <w:tc>
                <w:tcPr>
                  <w:tcW w:w="3935" w:type="dxa"/>
                  <w:vAlign w:val="center"/>
                </w:tcPr>
                <w:p w14:paraId="6F72D15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2.1-1〕新、改、扩建重点行业建设项目应符合“三线一单”、产业政策、区域环评、规划环评和行业环境准入管控要求。重点区域的新、改、扩建重点行业建设项目应遵循重点重金属污染物排放“减量替代”原则。</w:t>
                  </w:r>
                </w:p>
              </w:tc>
              <w:tc>
                <w:tcPr>
                  <w:tcW w:w="1610" w:type="dxa"/>
                  <w:shd w:val="clear" w:color="auto" w:fill="auto"/>
                  <w:vAlign w:val="center"/>
                </w:tcPr>
                <w:p w14:paraId="400DAD1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本项目符合《新疆维吾尔自治区七大片区“三线一单”生态环境分区管控要求》及《昌吉回族自治州区域空间生态环境评价暨“三线一单”生态环境准入清单动态更新成果》。</w:t>
                  </w:r>
                </w:p>
              </w:tc>
              <w:tc>
                <w:tcPr>
                  <w:tcW w:w="475" w:type="dxa"/>
                  <w:tcBorders>
                    <w:right w:val="nil"/>
                  </w:tcBorders>
                  <w:shd w:val="clear" w:color="auto" w:fill="auto"/>
                  <w:vAlign w:val="center"/>
                </w:tcPr>
                <w:p w14:paraId="3F9693C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17B1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1A130C0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07D6DD4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1C1B727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〔A2.1-2〕以石化、化工、涂装、医药、包装印刷、油品储运销等行业领域为重点，安全高效推进挥发性有机物综合治理，实施原辅材料和产品源头替代工程</w:t>
                  </w:r>
                  <w:r>
                    <w:rPr>
                      <w:rFonts w:hint="eastAsia" w:cs="Times New Roman"/>
                      <w:b w:val="0"/>
                      <w:bCs/>
                      <w:color w:val="0000FF"/>
                      <w:sz w:val="21"/>
                      <w:szCs w:val="21"/>
                      <w:highlight w:val="none"/>
                      <w:lang w:val="en-US" w:eastAsia="zh-CN"/>
                    </w:rPr>
                    <w:t>。</w:t>
                  </w:r>
                </w:p>
              </w:tc>
              <w:tc>
                <w:tcPr>
                  <w:tcW w:w="1610" w:type="dxa"/>
                  <w:shd w:val="clear" w:color="auto" w:fill="auto"/>
                  <w:vAlign w:val="center"/>
                </w:tcPr>
                <w:p w14:paraId="14433FD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本项目不属于</w:t>
                  </w:r>
                  <w:r>
                    <w:rPr>
                      <w:rFonts w:hint="default" w:ascii="Times New Roman" w:hAnsi="Times New Roman" w:eastAsia="宋体" w:cs="Times New Roman"/>
                      <w:b w:val="0"/>
                      <w:bCs/>
                      <w:color w:val="0000FF"/>
                      <w:sz w:val="21"/>
                      <w:szCs w:val="21"/>
                      <w:highlight w:val="none"/>
                      <w:lang w:val="en-US" w:eastAsia="zh-CN"/>
                    </w:rPr>
                    <w:t>石化、化工、涂装、医药、包装印刷、油品储运销等行业领域</w:t>
                  </w:r>
                  <w:r>
                    <w:rPr>
                      <w:rFonts w:hint="eastAsia" w:cs="Times New Roman"/>
                      <w:b w:val="0"/>
                      <w:bCs/>
                      <w:color w:val="0000FF"/>
                      <w:sz w:val="21"/>
                      <w:szCs w:val="21"/>
                      <w:highlight w:val="none"/>
                      <w:lang w:val="en-US" w:eastAsia="zh-CN"/>
                    </w:rPr>
                    <w:t>。</w:t>
                  </w:r>
                </w:p>
              </w:tc>
              <w:tc>
                <w:tcPr>
                  <w:tcW w:w="475" w:type="dxa"/>
                  <w:tcBorders>
                    <w:right w:val="nil"/>
                  </w:tcBorders>
                  <w:shd w:val="clear" w:color="auto" w:fill="auto"/>
                  <w:vAlign w:val="center"/>
                </w:tcPr>
                <w:p w14:paraId="38E8C6B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79AF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3A9482D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4DF76AD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1B11680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2.1-3〕促进大气污染物与温室气体协同控制。实施污染物和温室气体协同控制，实现减污降碳协同效应。开展工业、农业温室气体和污染减排协同控制研究，减少温室气体和污染物排放。强化污水、垃圾等集中处置设施环境管理，协同控制氢氟碳化物、甲烷、氧化亚氮等温室气体。加强节约能源与大气污染防治协同有效街接:促进大气污染防治协同增效。</w:t>
                  </w:r>
                </w:p>
              </w:tc>
              <w:tc>
                <w:tcPr>
                  <w:tcW w:w="1610" w:type="dxa"/>
                  <w:shd w:val="clear" w:color="auto" w:fill="auto"/>
                  <w:vAlign w:val="center"/>
                </w:tcPr>
                <w:p w14:paraId="72C0BB4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3A36AF2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6CFE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625B3D5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26C41D8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75CBA58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2.1-4〕严控建材、铸造、冶炼等行业无组织排放，推进石化、化工、涂装、医药、包装印刷、油品储运销等行业项目挥发性有机物(V0Cs)防治。严格有色金属冶炼、石油加工、化工、焦化等行业项目的土壤、地下水污染防治措施要求。推进工业园区和企业集群建设涉VOCs“绿岛”项目，统筹规划建设一批集中涂装中心、活性炭集中处理中心、溶剂回收中心等，实现V0Cs集中高效处理</w:t>
                  </w:r>
                </w:p>
              </w:tc>
              <w:tc>
                <w:tcPr>
                  <w:tcW w:w="1610" w:type="dxa"/>
                  <w:shd w:val="clear" w:color="auto" w:fill="auto"/>
                  <w:vAlign w:val="center"/>
                </w:tcPr>
                <w:p w14:paraId="34707C3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3F42DD8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7C4E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060B34F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restart"/>
                  <w:vAlign w:val="center"/>
                </w:tcPr>
                <w:p w14:paraId="2F5E33E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A2.2污染控制措施要求</w:t>
                  </w:r>
                </w:p>
              </w:tc>
              <w:tc>
                <w:tcPr>
                  <w:tcW w:w="3935" w:type="dxa"/>
                  <w:vAlign w:val="center"/>
                </w:tcPr>
                <w:p w14:paraId="2E64C82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街接，促进大气污染防治协同增效。</w:t>
                  </w:r>
                </w:p>
              </w:tc>
              <w:tc>
                <w:tcPr>
                  <w:tcW w:w="1610" w:type="dxa"/>
                  <w:shd w:val="clear" w:color="auto" w:fill="auto"/>
                  <w:vAlign w:val="center"/>
                </w:tcPr>
                <w:p w14:paraId="1E926CE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16A267F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7CB4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24FCAC6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6AFB50D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0425B6E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2.2-2〕实施重点行业氨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1610" w:type="dxa"/>
                  <w:shd w:val="clear" w:color="auto" w:fill="auto"/>
                  <w:vAlign w:val="center"/>
                </w:tcPr>
                <w:p w14:paraId="1CF906C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2EF46A1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353C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077AFC6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34018CA4">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1A4F8EF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大宗货物“公转铁”)、柴油货车治理、锅炉炉密综合治理等工程项目。全面推行绿色施工，持续推动城市建成区重污染企业搬迁或关闭退出。</w:t>
                  </w:r>
                </w:p>
              </w:tc>
              <w:tc>
                <w:tcPr>
                  <w:tcW w:w="1610" w:type="dxa"/>
                  <w:shd w:val="clear" w:color="auto" w:fill="auto"/>
                  <w:vAlign w:val="center"/>
                </w:tcPr>
                <w:p w14:paraId="1A903FC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6D5A287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4C39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4DBEB45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2CCFD88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2271147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〔A2.2-4〕强化用水定额管理。推进地下水超采综合治理。开展河湖生态流量(水量)确定工作，强化生态用水保障。</w:t>
                  </w:r>
                </w:p>
              </w:tc>
              <w:tc>
                <w:tcPr>
                  <w:tcW w:w="1610" w:type="dxa"/>
                  <w:shd w:val="clear" w:color="auto" w:fill="auto"/>
                  <w:vAlign w:val="center"/>
                </w:tcPr>
                <w:p w14:paraId="7EBD6CA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本项目运营期不使用水资源。</w:t>
                  </w:r>
                </w:p>
              </w:tc>
              <w:tc>
                <w:tcPr>
                  <w:tcW w:w="475" w:type="dxa"/>
                  <w:tcBorders>
                    <w:right w:val="nil"/>
                  </w:tcBorders>
                  <w:shd w:val="clear" w:color="auto" w:fill="auto"/>
                  <w:vAlign w:val="center"/>
                </w:tcPr>
                <w:p w14:paraId="326E37A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64A8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46DDEAD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65BC78B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0021565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2.2-5〕持续推进伊犁河、额尔齐斯河、额敏河、玛纳斯河、乌伦古湖、博斯腾湖等流域生态治理，加强生态修复。推动重点行业重点企业绿色发展，严格落实水污染物排放标准。加强农副食品加工、化工、印染、棉浆粕、粘胶纤维等企业综合治理和清洁化改造</w:t>
                  </w:r>
                  <w:r>
                    <w:rPr>
                      <w:rFonts w:hint="eastAsia" w:cs="Times New Roman"/>
                      <w:b w:val="0"/>
                      <w:bCs/>
                      <w:color w:val="0000FF"/>
                      <w:sz w:val="21"/>
                      <w:szCs w:val="21"/>
                      <w:highlight w:val="none"/>
                      <w:lang w:val="en-US" w:eastAsia="zh-CN"/>
                    </w:rPr>
                    <w:t>。</w:t>
                  </w:r>
                </w:p>
              </w:tc>
              <w:tc>
                <w:tcPr>
                  <w:tcW w:w="1610" w:type="dxa"/>
                  <w:shd w:val="clear" w:color="auto" w:fill="auto"/>
                  <w:vAlign w:val="center"/>
                </w:tcPr>
                <w:p w14:paraId="319D050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60BB3C6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4BE1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6BC3CCC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16A4C70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44E1839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1610" w:type="dxa"/>
                  <w:shd w:val="clear" w:color="auto" w:fill="auto"/>
                  <w:vAlign w:val="center"/>
                </w:tcPr>
                <w:p w14:paraId="3AF8097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6619758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4187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2128914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68BC1C4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0FD5251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〔A2.2-7〕强化重点区域地下水环境风险管控，对化学品生产企业</w:t>
                  </w:r>
                  <w:r>
                    <w:rPr>
                      <w:rFonts w:hint="eastAsia" w:cs="Times New Roman"/>
                      <w:b w:val="0"/>
                      <w:bCs/>
                      <w:color w:val="0000FF"/>
                      <w:sz w:val="21"/>
                      <w:szCs w:val="21"/>
                      <w:highlight w:val="none"/>
                      <w:lang w:val="en-US" w:eastAsia="zh-CN"/>
                    </w:rPr>
                    <w:t>、</w:t>
                  </w:r>
                  <w:r>
                    <w:rPr>
                      <w:rFonts w:hint="default" w:ascii="Times New Roman" w:hAnsi="Times New Roman" w:eastAsia="宋体" w:cs="Times New Roman"/>
                      <w:b w:val="0"/>
                      <w:bCs/>
                      <w:color w:val="0000FF"/>
                      <w:sz w:val="21"/>
                      <w:szCs w:val="21"/>
                      <w:highlight w:val="none"/>
                      <w:lang w:val="en-US" w:eastAsia="zh-CN"/>
                    </w:rPr>
                    <w:t>工业集聚区、尾矿库、矿山开采区、危险废物处置场、垃圾填埋场等地下水污染源及周边区域，逐步开展地下水环境状况调查评估，加强风险管控。</w:t>
                  </w:r>
                </w:p>
              </w:tc>
              <w:tc>
                <w:tcPr>
                  <w:tcW w:w="1610" w:type="dxa"/>
                  <w:shd w:val="clear" w:color="auto" w:fill="auto"/>
                  <w:vAlign w:val="center"/>
                </w:tcPr>
                <w:p w14:paraId="4D3E371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019E874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35A6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599634E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04A85D9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2E28574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〔A2.2-8〕严控土壤重金属污染，加强油(气)田开发土壤污染防治，以历史遗留工业企业污染场地为重点，开展土壤污染风险管控与修复工程。</w:t>
                  </w:r>
                </w:p>
              </w:tc>
              <w:tc>
                <w:tcPr>
                  <w:tcW w:w="1610" w:type="dxa"/>
                  <w:shd w:val="clear" w:color="auto" w:fill="auto"/>
                  <w:vAlign w:val="center"/>
                </w:tcPr>
                <w:p w14:paraId="4360CBF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11DE63A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321B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75C421F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641D218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121C93A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2.2-9〕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1610" w:type="dxa"/>
                  <w:shd w:val="clear" w:color="auto" w:fill="auto"/>
                  <w:vAlign w:val="center"/>
                </w:tcPr>
                <w:p w14:paraId="4E73AC3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61826A1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2FF7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restart"/>
                  <w:tcBorders>
                    <w:left w:val="nil"/>
                  </w:tcBorders>
                  <w:vAlign w:val="center"/>
                </w:tcPr>
                <w:p w14:paraId="6FA1990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A3环境风险防控</w:t>
                  </w:r>
                </w:p>
              </w:tc>
              <w:tc>
                <w:tcPr>
                  <w:tcW w:w="705" w:type="dxa"/>
                  <w:vMerge w:val="restart"/>
                  <w:vAlign w:val="center"/>
                </w:tcPr>
                <w:p w14:paraId="00096D7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A3.1人居环境要求</w:t>
                  </w:r>
                </w:p>
              </w:tc>
              <w:tc>
                <w:tcPr>
                  <w:tcW w:w="3935" w:type="dxa"/>
                  <w:vAlign w:val="center"/>
                </w:tcPr>
                <w:p w14:paraId="391B393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〔A3.1-1〕建立和完善重污染天气兵地联合应急预案、预报预警应急机制和会商联动机制。“鸟一昌一石”区域内可能影响相邻行政区域大气环境的项目，兵地间、城市间必须相互征求意见。</w:t>
                  </w:r>
                </w:p>
              </w:tc>
              <w:tc>
                <w:tcPr>
                  <w:tcW w:w="1610" w:type="dxa"/>
                  <w:shd w:val="clear" w:color="auto" w:fill="auto"/>
                  <w:vAlign w:val="center"/>
                </w:tcPr>
                <w:p w14:paraId="3BD476B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本项目严格执行。</w:t>
                  </w:r>
                </w:p>
              </w:tc>
              <w:tc>
                <w:tcPr>
                  <w:tcW w:w="475" w:type="dxa"/>
                  <w:tcBorders>
                    <w:right w:val="nil"/>
                  </w:tcBorders>
                  <w:shd w:val="clear" w:color="auto" w:fill="auto"/>
                  <w:vAlign w:val="center"/>
                </w:tcPr>
                <w:p w14:paraId="0CF3108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5A9E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5321780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4C64A6C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354EB49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3.1-2〕对跨国境河流、涉及县级及以上集中式饮用水水源地的河流、其他重要环境敏感目标的河流，建立健全流域上下游突发水污染事件联防联动机制，建立流域环境应急基础信息动态更新长效机制，绘制全流域“一河一策一图”。建立健全跨部门、跨区域的环境应急协调联动处置机制，强化流域上下游、兵地各部门协调，实施联合监测、联合执法、应急联动、信息共享，形成“政府引导、多元联动、社会参与、专业救援”的环境应急处置机制，持续开展应急综合演练，实现从被动应对到主动防控的重大转变。加强流域突发水环境事件应急能力建设，提升应急响应水平，加强监测预警拦污控污、信息通报、协同处置、基础保障等工作，防范重大生态环境风险，坚决守住生态环境安全底线。</w:t>
                  </w:r>
                </w:p>
              </w:tc>
              <w:tc>
                <w:tcPr>
                  <w:tcW w:w="1610" w:type="dxa"/>
                  <w:shd w:val="clear" w:color="auto" w:fill="auto"/>
                  <w:vAlign w:val="center"/>
                </w:tcPr>
                <w:p w14:paraId="6A2434B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51268CF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7665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1909A6F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111E8D2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3E436D2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〔A3.1-3〕强化重污染天气监测预报预警能力，建立和完善重污染天气兵地联合应急预案、预警应急机制和会商联动机制，加强轻、中度污染天气管控。</w:t>
                  </w:r>
                </w:p>
              </w:tc>
              <w:tc>
                <w:tcPr>
                  <w:tcW w:w="1610" w:type="dxa"/>
                  <w:shd w:val="clear" w:color="auto" w:fill="auto"/>
                  <w:vAlign w:val="center"/>
                </w:tcPr>
                <w:p w14:paraId="1AAB954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4B440E0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5C16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30D5AE6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restart"/>
                  <w:vAlign w:val="center"/>
                </w:tcPr>
                <w:p w14:paraId="5E5E336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A3.2联防联控要求</w:t>
                  </w:r>
                </w:p>
              </w:tc>
              <w:tc>
                <w:tcPr>
                  <w:tcW w:w="3935" w:type="dxa"/>
                  <w:vAlign w:val="center"/>
                </w:tcPr>
                <w:p w14:paraId="41DB5A6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3.2-1〕提升饮用水安全保障水平。以县级及以上集中式饮用水水源地为重点，推进饮用水水源保护区规范化建设，统筹推进备用水源或应急水源建设。单一水源供水的重点城市于2025年底前基本完成备用水源或应急水源建设，有条件的地区开展兵地互为备用水源建设。梯次推进农村集中式饮用水水源保护区划定，到2025年完成乡镇级集中式饮用水水源保护区划定与勘界立标。开展“千吨万人”农村饮用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补给区存在兵地跨界的，建立统一的饮用水水源应急和执法机制，共享应急物资。</w:t>
                  </w:r>
                </w:p>
              </w:tc>
              <w:tc>
                <w:tcPr>
                  <w:tcW w:w="1610" w:type="dxa"/>
                  <w:shd w:val="clear" w:color="auto" w:fill="auto"/>
                  <w:vAlign w:val="center"/>
                </w:tcPr>
                <w:p w14:paraId="7562D1B4">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15F0A87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383A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78B2B70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11E055F4">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74AB2DF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〔A3.2-2〕依法推行农用地分类管理制度，强化受污染耕地安全利用和风险管控。因地制宜制定实施安全利用方案，鼓励采取种植结构调整等措施，确保受污染耕地全部实现安全利用。</w:t>
                  </w:r>
                </w:p>
              </w:tc>
              <w:tc>
                <w:tcPr>
                  <w:tcW w:w="1610" w:type="dxa"/>
                  <w:shd w:val="clear" w:color="auto" w:fill="auto"/>
                  <w:vAlign w:val="center"/>
                </w:tcPr>
                <w:p w14:paraId="6BF3E48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312B5AD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1BB0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4057E39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551DF1A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42FCC0D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〔A3.2-3〕加强新污染物多环境介质协同治理。排放重点管控新污染物的企事业单位应采取污染控制措施，达到相关污染物排放标准及环境质量目标要求</w:t>
                  </w:r>
                  <w:r>
                    <w:rPr>
                      <w:rFonts w:hint="eastAsia" w:cs="Times New Roman"/>
                      <w:b w:val="0"/>
                      <w:bCs/>
                      <w:color w:val="0000FF"/>
                      <w:sz w:val="21"/>
                      <w:szCs w:val="21"/>
                      <w:highlight w:val="none"/>
                      <w:lang w:val="en-US" w:eastAsia="zh-CN"/>
                    </w:rPr>
                    <w:t>；</w:t>
                  </w:r>
                  <w:r>
                    <w:rPr>
                      <w:rFonts w:hint="default" w:ascii="Times New Roman" w:hAnsi="Times New Roman" w:eastAsia="宋体" w:cs="Times New Roman"/>
                      <w:b w:val="0"/>
                      <w:bCs/>
                      <w:color w:val="0000FF"/>
                      <w:sz w:val="21"/>
                      <w:szCs w:val="21"/>
                      <w:highlight w:val="none"/>
                      <w:lang w:val="en-US" w:eastAsia="zh-CN"/>
                    </w:rPr>
                    <w:t>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污)口及其周边环境定期开展环境监测，评估环境风险，排查整治环境安全隐息，依法公开新污染物信息，采取措施防范环境风险。土壤污染重点监管单位应严格控制有毒有害物质排放，建立土壤污染隐患排查制度防止有毒有害物质渗漏、流失、扬散。</w:t>
                  </w:r>
                </w:p>
              </w:tc>
              <w:tc>
                <w:tcPr>
                  <w:tcW w:w="1610" w:type="dxa"/>
                  <w:shd w:val="clear" w:color="auto" w:fill="auto"/>
                  <w:vAlign w:val="center"/>
                </w:tcPr>
                <w:p w14:paraId="625C1AD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新疆金象赛瑞化工科技有限公司按照排污许可管理有关要求，依法申领了排污许可证，并规定开展了土壤隐患排查工作，编制了土壤隐患排查报告。</w:t>
                  </w:r>
                </w:p>
              </w:tc>
              <w:tc>
                <w:tcPr>
                  <w:tcW w:w="475" w:type="dxa"/>
                  <w:tcBorders>
                    <w:right w:val="nil"/>
                  </w:tcBorders>
                  <w:shd w:val="clear" w:color="auto" w:fill="auto"/>
                  <w:vAlign w:val="center"/>
                </w:tcPr>
                <w:p w14:paraId="4B324E9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4A0D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28EAC43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6582463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6A62450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1610" w:type="dxa"/>
                  <w:shd w:val="clear" w:color="auto" w:fill="auto"/>
                  <w:vAlign w:val="center"/>
                </w:tcPr>
                <w:p w14:paraId="179B4CD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新疆金象赛瑞化工科技有限公司建立了环境安全管理制度，加强了环境监测与预警、设备维护与管理，加强员工的环境保护意识培训等。</w:t>
                  </w:r>
                </w:p>
              </w:tc>
              <w:tc>
                <w:tcPr>
                  <w:tcW w:w="475" w:type="dxa"/>
                  <w:tcBorders>
                    <w:right w:val="nil"/>
                  </w:tcBorders>
                  <w:shd w:val="clear" w:color="auto" w:fill="auto"/>
                  <w:vAlign w:val="center"/>
                </w:tcPr>
                <w:p w14:paraId="69D038A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7AC1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59D92D0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72774EE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21B9D16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610" w:type="dxa"/>
                  <w:shd w:val="clear" w:color="auto" w:fill="auto"/>
                  <w:vAlign w:val="center"/>
                </w:tcPr>
                <w:p w14:paraId="018C89F1">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Cs/>
                      <w:color w:val="0000FF"/>
                      <w:sz w:val="21"/>
                      <w:szCs w:val="21"/>
                      <w:highlight w:val="none"/>
                      <w:lang w:val="en-US" w:eastAsia="zh-CN"/>
                    </w:rPr>
                    <w:t>本企业编制了突发环境事件应急预案，并定期开展了应急演练。</w:t>
                  </w:r>
                </w:p>
              </w:tc>
              <w:tc>
                <w:tcPr>
                  <w:tcW w:w="475" w:type="dxa"/>
                  <w:tcBorders>
                    <w:right w:val="nil"/>
                  </w:tcBorders>
                  <w:shd w:val="clear" w:color="auto" w:fill="auto"/>
                  <w:vAlign w:val="center"/>
                </w:tcPr>
                <w:p w14:paraId="6A72EBD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7163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68AE0F8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70EC45A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5C3D2EC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3.2-6〕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1610" w:type="dxa"/>
                  <w:shd w:val="clear" w:color="auto" w:fill="auto"/>
                  <w:vAlign w:val="center"/>
                </w:tcPr>
                <w:p w14:paraId="7B757AA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63DD68D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2C93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restart"/>
                  <w:tcBorders>
                    <w:left w:val="nil"/>
                  </w:tcBorders>
                  <w:vAlign w:val="center"/>
                </w:tcPr>
                <w:p w14:paraId="4427349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A4资源利用要求</w:t>
                  </w:r>
                </w:p>
              </w:tc>
              <w:tc>
                <w:tcPr>
                  <w:tcW w:w="705" w:type="dxa"/>
                  <w:vMerge w:val="restart"/>
                  <w:vAlign w:val="center"/>
                </w:tcPr>
                <w:p w14:paraId="105B092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A4.1水资源</w:t>
                  </w:r>
                </w:p>
              </w:tc>
              <w:tc>
                <w:tcPr>
                  <w:tcW w:w="3935" w:type="dxa"/>
                  <w:vAlign w:val="center"/>
                </w:tcPr>
                <w:p w14:paraId="44A9BF8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〔A4.1-1〕自治区用水总量2025年、2030年控制在国家下达的指标内。</w:t>
                  </w:r>
                </w:p>
              </w:tc>
              <w:tc>
                <w:tcPr>
                  <w:tcW w:w="1610" w:type="dxa"/>
                  <w:vMerge w:val="restart"/>
                  <w:shd w:val="clear" w:color="auto" w:fill="auto"/>
                  <w:vAlign w:val="center"/>
                </w:tcPr>
                <w:p w14:paraId="06848DD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本项目运营期不使用水资源。</w:t>
                  </w:r>
                </w:p>
              </w:tc>
              <w:tc>
                <w:tcPr>
                  <w:tcW w:w="475" w:type="dxa"/>
                  <w:vMerge w:val="restart"/>
                  <w:tcBorders>
                    <w:right w:val="nil"/>
                  </w:tcBorders>
                  <w:shd w:val="clear" w:color="auto" w:fill="auto"/>
                  <w:vAlign w:val="center"/>
                </w:tcPr>
                <w:p w14:paraId="510DF8F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309F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7C3D167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4B0B5B5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54B6721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〔A4.1-2〕加大城镇污水再生利用工程建设力度，推进区域再生水循环利用，到2025年，城市生活污水再生利用率力争达到60%。</w:t>
                  </w:r>
                </w:p>
              </w:tc>
              <w:tc>
                <w:tcPr>
                  <w:tcW w:w="1610" w:type="dxa"/>
                  <w:vMerge w:val="continue"/>
                  <w:shd w:val="clear" w:color="auto" w:fill="auto"/>
                  <w:vAlign w:val="center"/>
                </w:tcPr>
                <w:p w14:paraId="67C1705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p>
              </w:tc>
              <w:tc>
                <w:tcPr>
                  <w:tcW w:w="475" w:type="dxa"/>
                  <w:vMerge w:val="continue"/>
                  <w:tcBorders>
                    <w:right w:val="nil"/>
                  </w:tcBorders>
                  <w:shd w:val="clear" w:color="auto" w:fill="auto"/>
                  <w:vAlign w:val="center"/>
                </w:tcPr>
                <w:p w14:paraId="11EA218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p>
              </w:tc>
            </w:tr>
            <w:tr w14:paraId="6563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40D777D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3C6F9C1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2AC2ED3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〔A4.1-3〕加强农村水利基础设施建设，推进农村供水保障工程农村自来水普及率、集中供水率分别达到99.3%、99.7%。</w:t>
                  </w:r>
                </w:p>
              </w:tc>
              <w:tc>
                <w:tcPr>
                  <w:tcW w:w="1610" w:type="dxa"/>
                  <w:vMerge w:val="continue"/>
                  <w:shd w:val="clear" w:color="auto" w:fill="auto"/>
                  <w:vAlign w:val="center"/>
                </w:tcPr>
                <w:p w14:paraId="40B5F51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p>
              </w:tc>
              <w:tc>
                <w:tcPr>
                  <w:tcW w:w="475" w:type="dxa"/>
                  <w:vMerge w:val="continue"/>
                  <w:tcBorders>
                    <w:right w:val="nil"/>
                  </w:tcBorders>
                  <w:shd w:val="clear" w:color="auto" w:fill="auto"/>
                  <w:vAlign w:val="center"/>
                </w:tcPr>
                <w:p w14:paraId="0AE6EA6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p>
              </w:tc>
            </w:tr>
            <w:tr w14:paraId="406B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0551CE5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577896A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4936983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〔A4.1-4〕地下水资源利用实行总量控制和水位控制。取用地下水资源，应当按照国家和自治区有关规定申请取水许可。地下水利用应当以浅层地下水为主。</w:t>
                  </w:r>
                </w:p>
              </w:tc>
              <w:tc>
                <w:tcPr>
                  <w:tcW w:w="1610" w:type="dxa"/>
                  <w:vMerge w:val="continue"/>
                  <w:shd w:val="clear" w:color="auto" w:fill="auto"/>
                  <w:vAlign w:val="center"/>
                </w:tcPr>
                <w:p w14:paraId="5847157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p>
              </w:tc>
              <w:tc>
                <w:tcPr>
                  <w:tcW w:w="475" w:type="dxa"/>
                  <w:vMerge w:val="continue"/>
                  <w:tcBorders>
                    <w:right w:val="nil"/>
                  </w:tcBorders>
                  <w:shd w:val="clear" w:color="auto" w:fill="auto"/>
                  <w:vAlign w:val="center"/>
                </w:tcPr>
                <w:p w14:paraId="36890CB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p>
              </w:tc>
            </w:tr>
            <w:tr w14:paraId="7FF4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418A4BA4">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Align w:val="center"/>
                </w:tcPr>
                <w:p w14:paraId="7B0D0A7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A4.2土地资源</w:t>
                  </w:r>
                </w:p>
              </w:tc>
              <w:tc>
                <w:tcPr>
                  <w:tcW w:w="3935" w:type="dxa"/>
                  <w:vAlign w:val="center"/>
                </w:tcPr>
                <w:p w14:paraId="63F6323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〔A4.2-1〕土地资源上线指标控制在最终批复的国土空间规划控制指标内。</w:t>
                  </w:r>
                </w:p>
              </w:tc>
              <w:tc>
                <w:tcPr>
                  <w:tcW w:w="1610" w:type="dxa"/>
                  <w:shd w:val="clear" w:color="auto" w:fill="auto"/>
                  <w:vAlign w:val="center"/>
                </w:tcPr>
                <w:p w14:paraId="03B6AB4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r>
                    <w:rPr>
                      <w:rFonts w:hint="eastAsia" w:ascii="Times New Roman" w:hAnsi="Times New Roman" w:eastAsia="宋体" w:cs="Times New Roman"/>
                      <w:bCs/>
                      <w:color w:val="0000FF"/>
                      <w:kern w:val="2"/>
                      <w:sz w:val="21"/>
                      <w:szCs w:val="21"/>
                      <w:lang w:val="en-US" w:eastAsia="zh-CN" w:bidi="ar-SA"/>
                    </w:rPr>
                    <w:t>本项目属于配套附属设施建设</w:t>
                  </w:r>
                  <w:r>
                    <w:rPr>
                      <w:rFonts w:hint="eastAsia" w:cs="Times New Roman"/>
                      <w:bCs/>
                      <w:color w:val="0000FF"/>
                      <w:kern w:val="2"/>
                      <w:sz w:val="21"/>
                      <w:szCs w:val="21"/>
                      <w:lang w:val="en-US" w:eastAsia="zh-CN" w:bidi="ar-SA"/>
                    </w:rPr>
                    <w:t>，不新增用地面积。</w:t>
                  </w:r>
                </w:p>
              </w:tc>
              <w:tc>
                <w:tcPr>
                  <w:tcW w:w="475" w:type="dxa"/>
                  <w:tcBorders>
                    <w:right w:val="nil"/>
                  </w:tcBorders>
                  <w:shd w:val="clear" w:color="auto" w:fill="auto"/>
                  <w:vAlign w:val="center"/>
                </w:tcPr>
                <w:p w14:paraId="7795452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符合</w:t>
                  </w:r>
                </w:p>
              </w:tc>
            </w:tr>
            <w:tr w14:paraId="0A87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5B36693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restart"/>
                  <w:vAlign w:val="center"/>
                </w:tcPr>
                <w:p w14:paraId="077EC7A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A4.3能源利用</w:t>
                  </w:r>
                </w:p>
              </w:tc>
              <w:tc>
                <w:tcPr>
                  <w:tcW w:w="3935" w:type="dxa"/>
                  <w:vAlign w:val="center"/>
                </w:tcPr>
                <w:p w14:paraId="6B6ED0D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〔A4.3-1〕单位地区生产总值二氧化碳排放降低水平完成国家下达指标。</w:t>
                  </w:r>
                </w:p>
              </w:tc>
              <w:tc>
                <w:tcPr>
                  <w:tcW w:w="1610" w:type="dxa"/>
                  <w:vMerge w:val="restart"/>
                  <w:shd w:val="clear" w:color="auto" w:fill="auto"/>
                  <w:vAlign w:val="center"/>
                </w:tcPr>
                <w:p w14:paraId="65BA3E4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vMerge w:val="restart"/>
                  <w:tcBorders>
                    <w:right w:val="nil"/>
                  </w:tcBorders>
                  <w:shd w:val="clear" w:color="auto" w:fill="auto"/>
                  <w:vAlign w:val="center"/>
                </w:tcPr>
                <w:p w14:paraId="18255D9E">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1BD9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2F763C3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6479C65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5F15422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〔A4.3-2〕到2025年，自治区万元国内生产总值能耗比2020年下降14.5%。</w:t>
                  </w:r>
                </w:p>
              </w:tc>
              <w:tc>
                <w:tcPr>
                  <w:tcW w:w="1610" w:type="dxa"/>
                  <w:vMerge w:val="continue"/>
                  <w:shd w:val="clear" w:color="auto" w:fill="auto"/>
                  <w:vAlign w:val="center"/>
                </w:tcPr>
                <w:p w14:paraId="2A94CA7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p>
              </w:tc>
              <w:tc>
                <w:tcPr>
                  <w:tcW w:w="475" w:type="dxa"/>
                  <w:vMerge w:val="continue"/>
                  <w:tcBorders>
                    <w:right w:val="nil"/>
                  </w:tcBorders>
                  <w:shd w:val="clear" w:color="auto" w:fill="auto"/>
                  <w:vAlign w:val="center"/>
                </w:tcPr>
                <w:p w14:paraId="4D38E69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p>
              </w:tc>
            </w:tr>
            <w:tr w14:paraId="136E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723E980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5B34794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27CB09F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〔A4.3-3〕到2025年，非化石能源占一次能源消费比重达18%以上</w:t>
                  </w:r>
                  <w:r>
                    <w:rPr>
                      <w:rFonts w:hint="eastAsia" w:cs="Times New Roman"/>
                      <w:b w:val="0"/>
                      <w:bCs/>
                      <w:color w:val="0000FF"/>
                      <w:sz w:val="21"/>
                      <w:szCs w:val="21"/>
                      <w:highlight w:val="none"/>
                      <w:lang w:val="en-US" w:eastAsia="zh-CN"/>
                    </w:rPr>
                    <w:t>。</w:t>
                  </w:r>
                </w:p>
              </w:tc>
              <w:tc>
                <w:tcPr>
                  <w:tcW w:w="1610" w:type="dxa"/>
                  <w:vMerge w:val="continue"/>
                  <w:shd w:val="clear" w:color="auto" w:fill="auto"/>
                  <w:vAlign w:val="center"/>
                </w:tcPr>
                <w:p w14:paraId="0EE9564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p>
              </w:tc>
              <w:tc>
                <w:tcPr>
                  <w:tcW w:w="475" w:type="dxa"/>
                  <w:vMerge w:val="continue"/>
                  <w:tcBorders>
                    <w:right w:val="nil"/>
                  </w:tcBorders>
                  <w:shd w:val="clear" w:color="auto" w:fill="auto"/>
                  <w:vAlign w:val="center"/>
                </w:tcPr>
                <w:p w14:paraId="72307B94">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p>
              </w:tc>
            </w:tr>
            <w:tr w14:paraId="535E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4E56CFD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35625A2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26B0213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〔A4.3-4〕鼓励使用清洁能源或电厂热力、工业余热等替代锅炉炉密燃料用煤。</w:t>
                  </w:r>
                </w:p>
              </w:tc>
              <w:tc>
                <w:tcPr>
                  <w:tcW w:w="1610" w:type="dxa"/>
                  <w:vMerge w:val="continue"/>
                  <w:shd w:val="clear" w:color="auto" w:fill="auto"/>
                  <w:vAlign w:val="center"/>
                </w:tcPr>
                <w:p w14:paraId="0A653EA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p>
              </w:tc>
              <w:tc>
                <w:tcPr>
                  <w:tcW w:w="475" w:type="dxa"/>
                  <w:vMerge w:val="continue"/>
                  <w:tcBorders>
                    <w:right w:val="nil"/>
                  </w:tcBorders>
                  <w:shd w:val="clear" w:color="auto" w:fill="auto"/>
                  <w:vAlign w:val="center"/>
                </w:tcPr>
                <w:p w14:paraId="19CDC52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p>
              </w:tc>
            </w:tr>
            <w:tr w14:paraId="1C94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2F1B222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10E8959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6019DEF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〔A4.3-5〕以碳达峰碳中和工作为引领，着力提高能源资源利用效率。引导重点行业深入实施清洁生产改造，钢铁、建材、石油化工等重点行业以及其他行业重点用能单位持续开展节能降耗。</w:t>
                  </w:r>
                </w:p>
              </w:tc>
              <w:tc>
                <w:tcPr>
                  <w:tcW w:w="1610" w:type="dxa"/>
                  <w:vMerge w:val="continue"/>
                  <w:shd w:val="clear" w:color="auto" w:fill="auto"/>
                  <w:vAlign w:val="center"/>
                </w:tcPr>
                <w:p w14:paraId="5C7E7A6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p>
              </w:tc>
              <w:tc>
                <w:tcPr>
                  <w:tcW w:w="475" w:type="dxa"/>
                  <w:vMerge w:val="continue"/>
                  <w:tcBorders>
                    <w:right w:val="nil"/>
                  </w:tcBorders>
                  <w:shd w:val="clear" w:color="auto" w:fill="auto"/>
                  <w:vAlign w:val="center"/>
                </w:tcPr>
                <w:p w14:paraId="4401395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p>
              </w:tc>
            </w:tr>
            <w:tr w14:paraId="7FB2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700C72B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3A4F5664">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517E02B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〔A4.3-6〕深入推进碳达峰碳中和行动。推动能源清洁低碳转型，加强能耗“双控”管理，优化能源消费结构。新增原料用能不纳入能源消费总量控制。持续推进散煤整治。</w:t>
                  </w:r>
                </w:p>
              </w:tc>
              <w:tc>
                <w:tcPr>
                  <w:tcW w:w="1610" w:type="dxa"/>
                  <w:vMerge w:val="continue"/>
                  <w:shd w:val="clear" w:color="auto" w:fill="auto"/>
                  <w:vAlign w:val="center"/>
                </w:tcPr>
                <w:p w14:paraId="55F557B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p>
              </w:tc>
              <w:tc>
                <w:tcPr>
                  <w:tcW w:w="475" w:type="dxa"/>
                  <w:vMerge w:val="continue"/>
                  <w:tcBorders>
                    <w:right w:val="nil"/>
                  </w:tcBorders>
                  <w:shd w:val="clear" w:color="auto" w:fill="auto"/>
                  <w:vAlign w:val="center"/>
                </w:tcPr>
                <w:p w14:paraId="752EDFD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p>
              </w:tc>
            </w:tr>
            <w:tr w14:paraId="2531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4944E67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Align w:val="center"/>
                </w:tcPr>
                <w:p w14:paraId="4444FEB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A4.4禁燃区要求</w:t>
                  </w:r>
                </w:p>
              </w:tc>
              <w:tc>
                <w:tcPr>
                  <w:tcW w:w="3935" w:type="dxa"/>
                  <w:vAlign w:val="center"/>
                </w:tcPr>
                <w:p w14:paraId="1A3BF59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〔A4.4-1〕在禁燃区内，禁止销售、燃用高污染燃料;禁止新建、扩建燃用高污染燃料的设施。已建成的，应当在规定期限内改用清洁能源。</w:t>
                  </w:r>
                </w:p>
              </w:tc>
              <w:tc>
                <w:tcPr>
                  <w:tcW w:w="1610" w:type="dxa"/>
                  <w:shd w:val="clear" w:color="auto" w:fill="auto"/>
                  <w:vAlign w:val="center"/>
                </w:tcPr>
                <w:p w14:paraId="3E2AA58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tcBorders>
                    <w:right w:val="nil"/>
                  </w:tcBorders>
                  <w:shd w:val="clear" w:color="auto" w:fill="auto"/>
                  <w:vAlign w:val="center"/>
                </w:tcPr>
                <w:p w14:paraId="5B3C6CE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2BE5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2827E72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restart"/>
                  <w:vAlign w:val="center"/>
                </w:tcPr>
                <w:p w14:paraId="37C3233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default" w:cs="Times New Roman"/>
                      <w:b w:val="0"/>
                      <w:bCs/>
                      <w:color w:val="0000FF"/>
                      <w:sz w:val="21"/>
                      <w:szCs w:val="21"/>
                      <w:highlight w:val="none"/>
                      <w:lang w:val="en-US" w:eastAsia="zh-CN"/>
                    </w:rPr>
                  </w:pPr>
                  <w:r>
                    <w:rPr>
                      <w:rFonts w:hint="eastAsia" w:cs="Times New Roman"/>
                      <w:b w:val="0"/>
                      <w:bCs/>
                      <w:color w:val="0000FF"/>
                      <w:sz w:val="21"/>
                      <w:szCs w:val="21"/>
                      <w:highlight w:val="none"/>
                      <w:lang w:val="en-US" w:eastAsia="zh-CN"/>
                    </w:rPr>
                    <w:t>A4.5资源综合利用</w:t>
                  </w:r>
                </w:p>
              </w:tc>
              <w:tc>
                <w:tcPr>
                  <w:tcW w:w="3935" w:type="dxa"/>
                  <w:vAlign w:val="center"/>
                </w:tcPr>
                <w:p w14:paraId="740F208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1610" w:type="dxa"/>
                  <w:vMerge w:val="restart"/>
                  <w:shd w:val="clear" w:color="auto" w:fill="auto"/>
                  <w:vAlign w:val="center"/>
                </w:tcPr>
                <w:p w14:paraId="6A815B9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本项目不涉及。</w:t>
                  </w:r>
                </w:p>
              </w:tc>
              <w:tc>
                <w:tcPr>
                  <w:tcW w:w="475" w:type="dxa"/>
                  <w:vMerge w:val="restart"/>
                  <w:tcBorders>
                    <w:right w:val="nil"/>
                  </w:tcBorders>
                  <w:shd w:val="clear" w:color="auto" w:fill="auto"/>
                  <w:vAlign w:val="center"/>
                </w:tcPr>
                <w:p w14:paraId="69F3D91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符合</w:t>
                  </w:r>
                </w:p>
              </w:tc>
            </w:tr>
            <w:tr w14:paraId="0C96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44D78CD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665BF05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593BC6E3">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4.5-2〕推动工业固废按元素价值综合开发利用，加快推进尾矿(共伴生矿)、粉煤灰、煤矸石、冶炼渣、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w:t>
                  </w:r>
                  <w:r>
                    <w:rPr>
                      <w:rFonts w:hint="eastAsia" w:cs="Times New Roman"/>
                      <w:b w:val="0"/>
                      <w:bCs/>
                      <w:color w:val="0000FF"/>
                      <w:sz w:val="21"/>
                      <w:szCs w:val="21"/>
                      <w:highlight w:val="none"/>
                      <w:lang w:val="en-US" w:eastAsia="zh-CN"/>
                    </w:rPr>
                    <w:t>。</w:t>
                  </w:r>
                </w:p>
              </w:tc>
              <w:tc>
                <w:tcPr>
                  <w:tcW w:w="1610" w:type="dxa"/>
                  <w:vMerge w:val="continue"/>
                  <w:shd w:val="clear" w:color="auto" w:fill="auto"/>
                  <w:vAlign w:val="center"/>
                </w:tcPr>
                <w:p w14:paraId="659A879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p>
              </w:tc>
              <w:tc>
                <w:tcPr>
                  <w:tcW w:w="475" w:type="dxa"/>
                  <w:vMerge w:val="continue"/>
                  <w:tcBorders>
                    <w:right w:val="nil"/>
                  </w:tcBorders>
                  <w:shd w:val="clear" w:color="auto" w:fill="auto"/>
                  <w:vAlign w:val="center"/>
                </w:tcPr>
                <w:p w14:paraId="06A42FA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p>
              </w:tc>
            </w:tr>
            <w:tr w14:paraId="4F31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tcBorders>
                </w:tcPr>
                <w:p w14:paraId="1FA17A5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vAlign w:val="center"/>
                </w:tcPr>
                <w:p w14:paraId="170CA735">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vAlign w:val="center"/>
                </w:tcPr>
                <w:p w14:paraId="2C3953D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4.5-3〕结合工业领域减污降碳要求，加快探索钢铁、有色、化工、建材等重点行业工业固体废物减量化路径，全面推行清洁生产全面推进绿色矿山、“无废”矿区建设，推广尾矿等大宗工业固体废物环境友好型井下充填回填，减少尾矿库贮存量。推动大宗工业固体废物在提取有价组分、生产建材、筑路、生态修复、土壤治理等领域的规模化利用。</w:t>
                  </w:r>
                </w:p>
              </w:tc>
              <w:tc>
                <w:tcPr>
                  <w:tcW w:w="1610" w:type="dxa"/>
                  <w:vMerge w:val="continue"/>
                  <w:shd w:val="clear" w:color="auto" w:fill="auto"/>
                  <w:vAlign w:val="center"/>
                </w:tcPr>
                <w:p w14:paraId="4B51947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p>
              </w:tc>
              <w:tc>
                <w:tcPr>
                  <w:tcW w:w="475" w:type="dxa"/>
                  <w:vMerge w:val="continue"/>
                  <w:tcBorders>
                    <w:right w:val="nil"/>
                  </w:tcBorders>
                  <w:shd w:val="clear" w:color="auto" w:fill="auto"/>
                  <w:vAlign w:val="center"/>
                </w:tcPr>
                <w:p w14:paraId="3A455F7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p>
              </w:tc>
            </w:tr>
            <w:tr w14:paraId="685E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tcBorders>
                    <w:left w:val="nil"/>
                    <w:bottom w:val="single" w:color="auto" w:sz="12" w:space="0"/>
                  </w:tcBorders>
                </w:tcPr>
                <w:p w14:paraId="5B2EF47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705" w:type="dxa"/>
                  <w:vMerge w:val="continue"/>
                  <w:tcBorders>
                    <w:bottom w:val="single" w:color="auto" w:sz="12" w:space="0"/>
                  </w:tcBorders>
                  <w:vAlign w:val="center"/>
                </w:tcPr>
                <w:p w14:paraId="6781796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center"/>
                    <w:textAlignment w:val="auto"/>
                    <w:rPr>
                      <w:rFonts w:hint="eastAsia" w:cs="Times New Roman"/>
                      <w:b w:val="0"/>
                      <w:bCs/>
                      <w:color w:val="0000FF"/>
                      <w:sz w:val="21"/>
                      <w:szCs w:val="21"/>
                      <w:highlight w:val="none"/>
                      <w:lang w:val="en-US" w:eastAsia="zh-CN"/>
                    </w:rPr>
                  </w:pPr>
                </w:p>
              </w:tc>
              <w:tc>
                <w:tcPr>
                  <w:tcW w:w="3935" w:type="dxa"/>
                  <w:tcBorders>
                    <w:bottom w:val="single" w:color="auto" w:sz="12" w:space="0"/>
                  </w:tcBorders>
                  <w:vAlign w:val="center"/>
                </w:tcPr>
                <w:p w14:paraId="3A0F3EA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color w:val="0000FF"/>
                      <w:sz w:val="21"/>
                      <w:szCs w:val="21"/>
                      <w:highlight w:val="none"/>
                      <w:lang w:val="en-US" w:eastAsia="zh-CN"/>
                    </w:rPr>
                    <w:t>〔A4.5-4〕发展生态种植、生态养殖，建立农业循环经济发展模式，促进农业固体废物综合利用。鼓励和引导农民采用增施有机肥秸秆还田、种植绿肥等技术，持续减少化肥农药使用比例。加大畜禽粪污和秸秆资源化利用先进技术和新型市场模式的集成推广，推动形成长效运行机制。</w:t>
                  </w:r>
                </w:p>
              </w:tc>
              <w:tc>
                <w:tcPr>
                  <w:tcW w:w="1610" w:type="dxa"/>
                  <w:vMerge w:val="continue"/>
                  <w:tcBorders>
                    <w:bottom w:val="single" w:color="auto" w:sz="12" w:space="0"/>
                  </w:tcBorders>
                  <w:shd w:val="clear" w:color="auto" w:fill="auto"/>
                  <w:vAlign w:val="center"/>
                </w:tcPr>
                <w:p w14:paraId="59EDA0C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cs="Times New Roman"/>
                      <w:b w:val="0"/>
                      <w:bCs/>
                      <w:color w:val="0000FF"/>
                      <w:sz w:val="21"/>
                      <w:szCs w:val="21"/>
                      <w:highlight w:val="none"/>
                      <w:lang w:val="en-US" w:eastAsia="zh-CN"/>
                    </w:rPr>
                  </w:pPr>
                </w:p>
              </w:tc>
              <w:tc>
                <w:tcPr>
                  <w:tcW w:w="475" w:type="dxa"/>
                  <w:vMerge w:val="continue"/>
                  <w:tcBorders>
                    <w:bottom w:val="single" w:color="auto" w:sz="12" w:space="0"/>
                    <w:right w:val="nil"/>
                  </w:tcBorders>
                  <w:shd w:val="clear" w:color="auto" w:fill="auto"/>
                  <w:vAlign w:val="center"/>
                </w:tcPr>
                <w:p w14:paraId="0890E25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00" w:lineRule="exact"/>
                    <w:ind w:left="0" w:leftChars="0" w:right="0" w:rightChars="0" w:firstLine="0" w:firstLineChars="0"/>
                    <w:jc w:val="center"/>
                    <w:textAlignment w:val="auto"/>
                    <w:rPr>
                      <w:rFonts w:hint="eastAsia" w:cs="Times New Roman"/>
                      <w:b w:val="0"/>
                      <w:bCs/>
                      <w:color w:val="0000FF"/>
                      <w:sz w:val="21"/>
                      <w:szCs w:val="21"/>
                      <w:highlight w:val="none"/>
                      <w:lang w:val="en-US" w:eastAsia="zh-CN"/>
                    </w:rPr>
                  </w:pPr>
                </w:p>
              </w:tc>
            </w:tr>
          </w:tbl>
          <w:p w14:paraId="57E63BAA">
            <w:pPr>
              <w:keepNext w:val="0"/>
              <w:keepLines w:val="0"/>
              <w:pageBreakBefore w:val="0"/>
              <w:widowControl w:val="0"/>
              <w:suppressLineNumbers w:val="0"/>
              <w:kinsoku/>
              <w:wordWrap/>
              <w:topLinePunct w:val="0"/>
              <w:autoSpaceDE w:val="0"/>
              <w:autoSpaceDN/>
              <w:bidi w:val="0"/>
              <w:spacing w:beforeAutospacing="0" w:afterAutospacing="0" w:line="480" w:lineRule="exact"/>
              <w:ind w:left="0" w:right="0" w:firstLine="482" w:firstLineChars="200"/>
              <w:jc w:val="both"/>
              <w:textAlignment w:val="auto"/>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b/>
                <w:bCs/>
                <w:color w:val="000000" w:themeColor="text1"/>
                <w:kern w:val="2"/>
                <w:sz w:val="24"/>
                <w:szCs w:val="24"/>
                <w:highlight w:val="none"/>
                <w:lang w:val="en-US" w:eastAsia="zh-CN" w:bidi="ar"/>
                <w14:textFill>
                  <w14:solidFill>
                    <w14:schemeClr w14:val="tx1"/>
                  </w14:solidFill>
                </w14:textFill>
              </w:rPr>
              <w:t>3、</w:t>
            </w:r>
            <w:r>
              <w:rPr>
                <w:rFonts w:hint="eastAsia" w:ascii="宋体" w:hAnsi="宋体" w:eastAsia="宋体" w:cs="宋体"/>
                <w:b/>
                <w:bCs/>
                <w:color w:val="000000" w:themeColor="text1"/>
                <w:kern w:val="2"/>
                <w:sz w:val="24"/>
                <w:szCs w:val="24"/>
                <w:highlight w:val="none"/>
                <w:lang w:val="en-US" w:eastAsia="zh-CN" w:bidi="ar"/>
                <w14:textFill>
                  <w14:solidFill>
                    <w14:schemeClr w14:val="tx1"/>
                  </w14:solidFill>
                </w14:textFill>
              </w:rPr>
              <w:t>项目与</w:t>
            </w:r>
            <w:r>
              <w:rPr>
                <w:rFonts w:hint="default" w:ascii="Times New Roman" w:hAnsi="Times New Roman" w:cs="Times New Roman" w:eastAsiaTheme="minorEastAsia"/>
                <w:b/>
                <w:bCs/>
                <w:color w:val="auto"/>
                <w:kern w:val="0"/>
                <w:sz w:val="24"/>
                <w:szCs w:val="24"/>
              </w:rPr>
              <w:t>《昌吉回族自治州区域空间生态环境评价暨</w:t>
            </w:r>
            <w:r>
              <w:rPr>
                <w:rFonts w:hint="eastAsia" w:cs="Times New Roman" w:eastAsiaTheme="minorEastAsia"/>
                <w:b/>
                <w:bCs/>
                <w:color w:val="auto"/>
                <w:kern w:val="0"/>
                <w:sz w:val="24"/>
                <w:szCs w:val="24"/>
                <w:lang w:eastAsia="zh-CN"/>
              </w:rPr>
              <w:t>“</w:t>
            </w:r>
            <w:r>
              <w:rPr>
                <w:rFonts w:hint="default" w:ascii="Times New Roman" w:hAnsi="Times New Roman" w:cs="Times New Roman" w:eastAsiaTheme="minorEastAsia"/>
                <w:b/>
                <w:bCs/>
                <w:color w:val="auto"/>
                <w:kern w:val="0"/>
                <w:sz w:val="24"/>
                <w:szCs w:val="24"/>
              </w:rPr>
              <w:t>三线一单</w:t>
            </w:r>
            <w:r>
              <w:rPr>
                <w:rFonts w:hint="eastAsia" w:cs="Times New Roman" w:eastAsiaTheme="minorEastAsia"/>
                <w:b/>
                <w:bCs/>
                <w:color w:val="auto"/>
                <w:kern w:val="0"/>
                <w:sz w:val="24"/>
                <w:szCs w:val="24"/>
                <w:lang w:eastAsia="zh-CN"/>
              </w:rPr>
              <w:t>”</w:t>
            </w:r>
            <w:r>
              <w:rPr>
                <w:rFonts w:hint="default" w:ascii="Times New Roman" w:hAnsi="Times New Roman" w:cs="Times New Roman" w:eastAsiaTheme="minorEastAsia"/>
                <w:b/>
                <w:bCs/>
                <w:color w:val="auto"/>
                <w:kern w:val="0"/>
                <w:sz w:val="24"/>
                <w:szCs w:val="24"/>
              </w:rPr>
              <w:t>生态环境准入清单动态更新成果》的</w:t>
            </w:r>
            <w:r>
              <w:rPr>
                <w:rFonts w:hint="eastAsia" w:ascii="宋体" w:hAnsi="宋体" w:eastAsia="宋体" w:cs="宋体"/>
                <w:b/>
                <w:bCs/>
                <w:color w:val="000000" w:themeColor="text1"/>
                <w:kern w:val="2"/>
                <w:sz w:val="24"/>
                <w:szCs w:val="24"/>
                <w:highlight w:val="none"/>
                <w:lang w:val="en-US" w:eastAsia="zh-CN" w:bidi="ar"/>
                <w14:textFill>
                  <w14:solidFill>
                    <w14:schemeClr w14:val="tx1"/>
                  </w14:solidFill>
                </w14:textFill>
              </w:rPr>
              <w:t>相符性分析</w:t>
            </w:r>
          </w:p>
          <w:p w14:paraId="477FF496">
            <w:pPr>
              <w:keepNext w:val="0"/>
              <w:keepLines w:val="0"/>
              <w:pageBreakBefore w:val="0"/>
              <w:widowControl w:val="0"/>
              <w:suppressLineNumbers w:val="0"/>
              <w:kinsoku/>
              <w:wordWrap/>
              <w:topLinePunct w:val="0"/>
              <w:autoSpaceDE w:val="0"/>
              <w:autoSpaceDN/>
              <w:bidi w:val="0"/>
              <w:spacing w:beforeAutospacing="0" w:afterAutospacing="0" w:line="480" w:lineRule="exact"/>
              <w:ind w:left="0" w:right="0" w:firstLine="480" w:firstLineChars="200"/>
              <w:jc w:val="both"/>
              <w:textAlignment w:val="auto"/>
              <w:rPr>
                <w:rFonts w:hint="eastAsia" w:cs="Times New Roman" w:eastAsiaTheme="minorEastAsia"/>
                <w:color w:val="auto"/>
                <w:spacing w:val="0"/>
                <w:w w:val="100"/>
                <w:position w:val="0"/>
                <w:sz w:val="24"/>
                <w:szCs w:val="24"/>
                <w:highlight w:val="none"/>
                <w:lang w:eastAsia="zh-CN"/>
              </w:rPr>
            </w:pPr>
            <w:r>
              <w:rPr>
                <w:rFonts w:hint="eastAsia" w:cs="Times New Roman" w:eastAsiaTheme="minorEastAsia"/>
                <w:color w:val="auto"/>
                <w:spacing w:val="0"/>
                <w:w w:val="100"/>
                <w:position w:val="0"/>
                <w:sz w:val="24"/>
                <w:szCs w:val="24"/>
                <w:highlight w:val="none"/>
                <w:lang w:eastAsia="zh-CN"/>
              </w:rPr>
              <w:t>根据《昌吉回族自治州区域空间生态环境评价暨“三线一单”生态环境准入清单动态更新成果》（2024年2月），自治州共划定195个环境管控单元，分为优先保护单元、重点管控单元、一般管控单元三类，实施分类管控。</w:t>
            </w:r>
          </w:p>
          <w:p w14:paraId="0F8739C5">
            <w:pPr>
              <w:keepNext w:val="0"/>
              <w:keepLines w:val="0"/>
              <w:pageBreakBefore w:val="0"/>
              <w:widowControl/>
              <w:suppressLineNumbers w:val="0"/>
              <w:kinsoku/>
              <w:wordWrap/>
              <w:topLinePunct w:val="0"/>
              <w:autoSpaceDE w:val="0"/>
              <w:autoSpaceDN/>
              <w:bidi w:val="0"/>
              <w:spacing w:beforeAutospacing="0" w:afterAutospacing="0" w:line="480" w:lineRule="exact"/>
              <w:ind w:left="0" w:right="0" w:firstLine="480" w:firstLineChars="200"/>
              <w:jc w:val="both"/>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4"/>
                <w:szCs w:val="24"/>
                <w:lang w:bidi="en-US"/>
                <w14:textFill>
                  <w14:solidFill>
                    <w14:schemeClr w14:val="tx1"/>
                  </w14:solidFill>
                </w14:textFill>
              </w:rPr>
              <w:t>本</w:t>
            </w:r>
            <w:r>
              <w:rPr>
                <w:rFonts w:ascii="Times New Roman" w:hAnsi="Times New Roman" w:eastAsia="宋体" w:cs="Times New Roman"/>
                <w:bCs/>
                <w:color w:val="000000" w:themeColor="text1"/>
                <w:sz w:val="24"/>
                <w:szCs w:val="24"/>
                <w:lang w:bidi="en-US"/>
                <w14:textFill>
                  <w14:solidFill>
                    <w14:schemeClr w14:val="tx1"/>
                  </w14:solidFill>
                </w14:textFill>
              </w:rPr>
              <w:t>项目所在区域属于</w:t>
            </w:r>
            <w:r>
              <w:rPr>
                <w:rFonts w:hint="eastAsia" w:ascii="Times New Roman" w:hAnsi="Times New Roman" w:eastAsia="宋体" w:cs="Times New Roman"/>
                <w:bCs/>
                <w:color w:val="000000" w:themeColor="text1"/>
                <w:sz w:val="24"/>
                <w:szCs w:val="24"/>
                <w:lang w:eastAsia="zh-CN" w:bidi="en-US"/>
                <w14:textFill>
                  <w14:solidFill>
                    <w14:schemeClr w14:val="tx1"/>
                  </w14:solidFill>
                </w14:textFill>
              </w:rPr>
              <w:t>阜康产业园区重点管控单元</w:t>
            </w:r>
            <w:r>
              <w:rPr>
                <w:rFonts w:hint="eastAsia" w:ascii="Times New Roman" w:hAnsi="Times New Roman" w:eastAsia="宋体" w:cs="Times New Roman"/>
                <w:bCs/>
                <w:color w:val="000000" w:themeColor="text1"/>
                <w:sz w:val="24"/>
                <w:szCs w:val="24"/>
                <w:lang w:bidi="en-US"/>
                <w14:textFill>
                  <w14:solidFill>
                    <w14:schemeClr w14:val="tx1"/>
                  </w14:solidFill>
                </w14:textFill>
              </w:rPr>
              <w:t>（环境管控单元编码为：ZH65230220003）</w:t>
            </w:r>
            <w:r>
              <w:rPr>
                <w:rFonts w:hint="eastAsia" w:ascii="Times New Roman" w:hAnsi="Times New Roman" w:eastAsia="宋体" w:cs="Times New Roman"/>
                <w:bCs/>
                <w:color w:val="000000" w:themeColor="text1"/>
                <w:sz w:val="24"/>
                <w:szCs w:val="24"/>
                <w:lang w:eastAsia="zh-CN" w:bidi="en-US"/>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项目与</w:t>
            </w:r>
            <w:r>
              <w:rPr>
                <w:rFonts w:hint="default" w:ascii="Times New Roman" w:hAnsi="Times New Roman" w:cs="Times New Roman" w:eastAsiaTheme="minorEastAsia"/>
                <w:color w:val="auto"/>
                <w:spacing w:val="0"/>
                <w:w w:val="100"/>
                <w:position w:val="0"/>
                <w:sz w:val="24"/>
                <w:szCs w:val="24"/>
                <w:highlight w:val="none"/>
                <w:lang w:eastAsia="zh-CN"/>
              </w:rPr>
              <w:t>《</w:t>
            </w:r>
            <w:r>
              <w:rPr>
                <w:rFonts w:hint="eastAsia" w:cs="Times New Roman" w:eastAsiaTheme="minorEastAsia"/>
                <w:color w:val="auto"/>
                <w:spacing w:val="0"/>
                <w:w w:val="100"/>
                <w:position w:val="0"/>
                <w:sz w:val="24"/>
                <w:szCs w:val="24"/>
                <w:highlight w:val="none"/>
                <w:lang w:eastAsia="zh-CN"/>
              </w:rPr>
              <w:t>昌吉回族自治州区域空间生态环境评价暨“三线一单”生态环境准入清单动态更新成果</w:t>
            </w:r>
            <w:r>
              <w:rPr>
                <w:rFonts w:hint="default" w:ascii="Times New Roman" w:hAnsi="Times New Roman" w:cs="Times New Roman" w:eastAsiaTheme="minorEastAsia"/>
                <w:color w:val="auto"/>
                <w:spacing w:val="0"/>
                <w:w w:val="100"/>
                <w:position w:val="0"/>
                <w:sz w:val="24"/>
                <w:szCs w:val="24"/>
                <w:highlight w:val="none"/>
                <w:lang w:eastAsia="zh-CN"/>
              </w:rPr>
              <w:t>》</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符合性分析如下：</w:t>
            </w:r>
          </w:p>
          <w:p w14:paraId="4ECC28BD">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4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表1-</w:t>
            </w:r>
            <w:r>
              <w:rPr>
                <w:rFonts w:hint="eastAsia"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snapToGrid w:val="0"/>
                <w:color w:val="auto"/>
                <w:spacing w:val="0"/>
                <w:w w:val="100"/>
                <w:position w:val="0"/>
                <w:sz w:val="21"/>
                <w:szCs w:val="21"/>
                <w:highlight w:val="none"/>
                <w:lang w:eastAsia="zh-CN"/>
              </w:rPr>
              <w:t>项目与《昌吉回族自治州区域空间生态环境评价暨“三线一单”生态环境准入清单动态更新成果》文件相符性分析</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1"/>
              <w:gridCol w:w="612"/>
              <w:gridCol w:w="3045"/>
              <w:gridCol w:w="2235"/>
              <w:gridCol w:w="334"/>
            </w:tblGrid>
            <w:tr w14:paraId="28D39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182" w:type="pct"/>
                  <w:gridSpan w:val="3"/>
                  <w:tcBorders>
                    <w:tl2br w:val="nil"/>
                    <w:tr2bl w:val="nil"/>
                  </w:tcBorders>
                  <w:noWrap w:val="0"/>
                  <w:vAlign w:val="center"/>
                </w:tcPr>
                <w:p w14:paraId="040D371C">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管控要求</w:t>
                  </w:r>
                </w:p>
              </w:tc>
              <w:tc>
                <w:tcPr>
                  <w:tcW w:w="1817" w:type="pct"/>
                  <w:gridSpan w:val="2"/>
                  <w:tcBorders>
                    <w:tl2br w:val="nil"/>
                    <w:tr2bl w:val="nil"/>
                  </w:tcBorders>
                  <w:noWrap w:val="0"/>
                  <w:vAlign w:val="center"/>
                </w:tcPr>
                <w:p w14:paraId="18C23C6C">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符合性</w:t>
                  </w:r>
                </w:p>
              </w:tc>
            </w:tr>
            <w:tr w14:paraId="53C7A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5" w:type="pct"/>
                  <w:vMerge w:val="restart"/>
                  <w:tcBorders>
                    <w:tl2br w:val="nil"/>
                    <w:tr2bl w:val="nil"/>
                  </w:tcBorders>
                  <w:noWrap w:val="0"/>
                  <w:vAlign w:val="center"/>
                </w:tcPr>
                <w:p w14:paraId="4EE6AB4D">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eastAsia" w:cs="Times New Roman"/>
                      <w:bCs/>
                      <w:color w:val="0000FF"/>
                      <w:sz w:val="21"/>
                      <w:szCs w:val="21"/>
                      <w:highlight w:val="none"/>
                      <w:lang w:eastAsia="zh-CN"/>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阜康产业园区</w:t>
                  </w:r>
                  <w:r>
                    <w:rPr>
                      <w:rFonts w:hint="eastAsia" w:cs="Times New Roman"/>
                      <w:bCs/>
                      <w:color w:val="000000" w:themeColor="text1"/>
                      <w:sz w:val="21"/>
                      <w:szCs w:val="21"/>
                      <w:highlight w:val="none"/>
                      <w:lang w:eastAsia="zh-CN"/>
                      <w14:textFill>
                        <w14:solidFill>
                          <w14:schemeClr w14:val="tx1"/>
                        </w14:solidFill>
                      </w14:textFill>
                    </w:rPr>
                    <w:t>（重点管控单元）</w:t>
                  </w:r>
                </w:p>
              </w:tc>
              <w:tc>
                <w:tcPr>
                  <w:tcW w:w="432" w:type="pct"/>
                  <w:tcBorders>
                    <w:tl2br w:val="nil"/>
                    <w:tr2bl w:val="nil"/>
                  </w:tcBorders>
                  <w:noWrap w:val="0"/>
                  <w:vAlign w:val="center"/>
                </w:tcPr>
                <w:p w14:paraId="2DDD1314">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空间布局约束</w:t>
                  </w:r>
                </w:p>
              </w:tc>
              <w:tc>
                <w:tcPr>
                  <w:tcW w:w="2154" w:type="pct"/>
                  <w:tcBorders>
                    <w:tl2br w:val="nil"/>
                    <w:tr2bl w:val="nil"/>
                  </w:tcBorders>
                  <w:noWrap w:val="0"/>
                  <w:vAlign w:val="center"/>
                </w:tcPr>
                <w:p w14:paraId="0A25C5D2">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1、入园企业需符合园区产业发展定位，产业发展以有色金属冶炼及精深加工、氯碱精细化工、煤电精细化工、新型建材产业、仓储物流及装备制造六大产业为主导。</w:t>
                  </w:r>
                </w:p>
                <w:p w14:paraId="20A4B2D6">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2、根据国家法律法规和产业政策要求，优化焦化产业布局，促进焦化行业转型升级，提升改造现有焦化项目符合环保要求，推动焦化产品精深加工向高端发展。</w:t>
                  </w:r>
                </w:p>
                <w:p w14:paraId="49DF321B">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3、禁止新建不符合国家产业政策的严重污染水环境的生产项目。</w:t>
                  </w:r>
                </w:p>
                <w:p w14:paraId="74DF3012">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4、严格按照</w:t>
                  </w:r>
                  <w:r>
                    <w:rPr>
                      <w:rFonts w:hint="eastAsia"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以水定产，量水而建</w:t>
                  </w:r>
                  <w:r>
                    <w:rPr>
                      <w:rFonts w:hint="eastAsia"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的原则建设，严格控制园区内现有的工业用水量，切实做好水资源利用工作，减少新鲜水用量，合理规划设计排水方案，切实做好排水方案和后续管理，杜绝水污染事故产生。</w:t>
                  </w:r>
                </w:p>
                <w:p w14:paraId="3273F991">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5、除国家规定新增原料用能不纳入能源消费总量控制的项目和列入国家规划的项目外，</w:t>
                  </w:r>
                  <w:r>
                    <w:rPr>
                      <w:rFonts w:hint="eastAsia"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乌—昌—石</w:t>
                  </w:r>
                  <w:r>
                    <w:rPr>
                      <w:rFonts w:hint="eastAsia"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等重点区域不再新建、扩建使用煤炭项目。</w:t>
                  </w:r>
                </w:p>
                <w:p w14:paraId="23814378">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6、入园企业需符合产业布局规划及土地利用规划</w:t>
                  </w:r>
                  <w:r>
                    <w:rPr>
                      <w:rFonts w:hint="eastAsia" w:cs="Times New Roman"/>
                      <w:bCs/>
                      <w:color w:val="000000" w:themeColor="text1"/>
                      <w:sz w:val="21"/>
                      <w:szCs w:val="21"/>
                      <w:highlight w:val="none"/>
                      <w:lang w:val="en-US" w:eastAsia="zh-CN"/>
                      <w14:textFill>
                        <w14:solidFill>
                          <w14:schemeClr w14:val="tx1"/>
                        </w14:solidFill>
                      </w14:textFill>
                    </w:rPr>
                    <w:t>。</w:t>
                  </w:r>
                </w:p>
              </w:tc>
              <w:tc>
                <w:tcPr>
                  <w:tcW w:w="1581" w:type="pct"/>
                  <w:tcBorders>
                    <w:tl2br w:val="nil"/>
                    <w:tr2bl w:val="nil"/>
                  </w:tcBorders>
                  <w:noWrap w:val="0"/>
                  <w:vAlign w:val="center"/>
                </w:tcPr>
                <w:p w14:paraId="494A8F1F">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firstLine="0" w:firstLineChars="0"/>
                    <w:jc w:val="both"/>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1.本项目属于配套附属设施建设，符合园区产业发展定位；</w:t>
                  </w:r>
                </w:p>
                <w:p w14:paraId="0D5D5362">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firstLine="0" w:firstLineChars="0"/>
                    <w:jc w:val="both"/>
                    <w:textAlignment w:val="auto"/>
                    <w:rPr>
                      <w:rFonts w:hint="default"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2.</w:t>
                  </w:r>
                  <w:r>
                    <w:rPr>
                      <w:rFonts w:hint="eastAsia" w:cs="Times New Roman"/>
                      <w:bCs/>
                      <w:color w:val="000000" w:themeColor="text1"/>
                      <w:sz w:val="21"/>
                      <w:szCs w:val="21"/>
                      <w:highlight w:val="none"/>
                      <w:lang w:val="en-US" w:eastAsia="zh-CN"/>
                      <w14:textFill>
                        <w14:solidFill>
                          <w14:schemeClr w14:val="tx1"/>
                        </w14:solidFill>
                      </w14:textFill>
                    </w:rPr>
                    <w:t>本项目不属于焦化行业；</w:t>
                  </w:r>
                </w:p>
                <w:p w14:paraId="1904C15C">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3.本 项 目 不 属 于《产业结构调整</w:t>
                  </w:r>
                </w:p>
                <w:p w14:paraId="002EC1C2">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指导 目录 （2024</w:t>
                  </w:r>
                </w:p>
                <w:p w14:paraId="006F99D4">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年本）》中禁止或</w:t>
                  </w:r>
                </w:p>
                <w:p w14:paraId="193FA41A">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firstLine="0" w:firstLineChars="0"/>
                    <w:jc w:val="both"/>
                    <w:textAlignment w:val="auto"/>
                    <w:rPr>
                      <w:rFonts w:hint="default"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限制类</w:t>
                  </w:r>
                  <w:r>
                    <w:rPr>
                      <w:rFonts w:hint="eastAsia" w:cs="Times New Roman"/>
                      <w:bCs/>
                      <w:color w:val="000000" w:themeColor="text1"/>
                      <w:kern w:val="2"/>
                      <w:sz w:val="21"/>
                      <w:szCs w:val="21"/>
                      <w:lang w:val="en-US" w:eastAsia="zh-CN" w:bidi="ar-SA"/>
                      <w14:textFill>
                        <w14:solidFill>
                          <w14:schemeClr w14:val="tx1"/>
                        </w14:solidFill>
                      </w14:textFill>
                    </w:rPr>
                    <w:t>；</w:t>
                  </w:r>
                </w:p>
                <w:p w14:paraId="71B0E490">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firstLine="0" w:firstLineChars="0"/>
                    <w:jc w:val="both"/>
                    <w:textAlignment w:val="auto"/>
                    <w:rPr>
                      <w:rFonts w:hint="default"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4.</w:t>
                  </w:r>
                  <w:r>
                    <w:rPr>
                      <w:rFonts w:hint="default" w:cs="Times New Roman"/>
                      <w:bCs/>
                      <w:color w:val="000000" w:themeColor="text1"/>
                      <w:sz w:val="21"/>
                      <w:szCs w:val="21"/>
                      <w:highlight w:val="none"/>
                      <w:lang w:val="en-US" w:eastAsia="zh-CN"/>
                      <w14:textFill>
                        <w14:solidFill>
                          <w14:schemeClr w14:val="tx1"/>
                        </w14:solidFill>
                      </w14:textFill>
                    </w:rPr>
                    <w:t>本项目</w:t>
                  </w:r>
                  <w:r>
                    <w:rPr>
                      <w:rFonts w:hint="eastAsia" w:cs="Times New Roman"/>
                      <w:bCs/>
                      <w:color w:val="000000" w:themeColor="text1"/>
                      <w:sz w:val="21"/>
                      <w:szCs w:val="21"/>
                      <w:highlight w:val="none"/>
                      <w:lang w:val="en-US" w:eastAsia="zh-CN"/>
                      <w14:textFill>
                        <w14:solidFill>
                          <w14:schemeClr w14:val="tx1"/>
                        </w14:solidFill>
                      </w14:textFill>
                    </w:rPr>
                    <w:t>为硝酸储罐建设，运营时不使用水；</w:t>
                  </w:r>
                </w:p>
                <w:p w14:paraId="434B6336">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firstLine="0" w:firstLineChars="0"/>
                    <w:jc w:val="both"/>
                    <w:textAlignment w:val="auto"/>
                    <w:rPr>
                      <w:rFonts w:hint="default"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5.</w:t>
                  </w:r>
                  <w:r>
                    <w:rPr>
                      <w:rFonts w:hint="eastAsia" w:cs="Times New Roman"/>
                      <w:bCs/>
                      <w:color w:val="000000" w:themeColor="text1"/>
                      <w:sz w:val="21"/>
                      <w:szCs w:val="21"/>
                      <w:highlight w:val="none"/>
                      <w:lang w:val="en-US" w:eastAsia="zh-CN"/>
                      <w14:textFill>
                        <w14:solidFill>
                          <w14:schemeClr w14:val="tx1"/>
                        </w14:solidFill>
                      </w14:textFill>
                    </w:rPr>
                    <w:t>本项目不属于煤炭项目；</w:t>
                  </w:r>
                </w:p>
                <w:p w14:paraId="37FDF314">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firstLine="0" w:firstLineChars="0"/>
                    <w:jc w:val="both"/>
                    <w:textAlignment w:val="auto"/>
                    <w:rPr>
                      <w:rFonts w:hint="default"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6.</w:t>
                  </w:r>
                  <w:r>
                    <w:rPr>
                      <w:rFonts w:hint="eastAsia" w:cs="Times New Roman"/>
                      <w:bCs/>
                      <w:color w:val="000000" w:themeColor="text1"/>
                      <w:sz w:val="21"/>
                      <w:szCs w:val="21"/>
                      <w:highlight w:val="none"/>
                      <w:lang w:val="en-US" w:eastAsia="zh-CN"/>
                      <w14:textFill>
                        <w14:solidFill>
                          <w14:schemeClr w14:val="tx1"/>
                        </w14:solidFill>
                      </w14:textFill>
                    </w:rPr>
                    <w:t>本项目位于阜康产业园区，符合产业园区布局规划和土地利用规划。</w:t>
                  </w:r>
                </w:p>
                <w:p w14:paraId="5B141486">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firstLine="0" w:firstLineChars="0"/>
                    <w:jc w:val="both"/>
                    <w:textAlignment w:val="auto"/>
                    <w:rPr>
                      <w:rFonts w:hint="default" w:cs="Times New Roman"/>
                      <w:bCs/>
                      <w:color w:val="000000" w:themeColor="text1"/>
                      <w:sz w:val="21"/>
                      <w:szCs w:val="21"/>
                      <w:highlight w:val="none"/>
                      <w:lang w:val="en-US" w:eastAsia="zh-CN"/>
                      <w14:textFill>
                        <w14:solidFill>
                          <w14:schemeClr w14:val="tx1"/>
                        </w14:solidFill>
                      </w14:textFill>
                    </w:rPr>
                  </w:pPr>
                </w:p>
              </w:tc>
              <w:tc>
                <w:tcPr>
                  <w:tcW w:w="236" w:type="pct"/>
                  <w:tcBorders>
                    <w:tl2br w:val="nil"/>
                    <w:tr2bl w:val="nil"/>
                  </w:tcBorders>
                  <w:noWrap w:val="0"/>
                  <w:vAlign w:val="center"/>
                </w:tcPr>
                <w:p w14:paraId="5333D8E9">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符合</w:t>
                  </w:r>
                </w:p>
              </w:tc>
            </w:tr>
            <w:tr w14:paraId="2C00B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5" w:type="pct"/>
                  <w:vMerge w:val="continue"/>
                  <w:tcBorders>
                    <w:tl2br w:val="nil"/>
                    <w:tr2bl w:val="nil"/>
                  </w:tcBorders>
                  <w:noWrap w:val="0"/>
                  <w:vAlign w:val="center"/>
                </w:tcPr>
                <w:p w14:paraId="455503C4">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eastAsia" w:cs="Times New Roman"/>
                      <w:bCs/>
                      <w:color w:val="0000FF"/>
                      <w:sz w:val="21"/>
                      <w:szCs w:val="21"/>
                      <w:highlight w:val="none"/>
                      <w:lang w:eastAsia="zh-CN"/>
                    </w:rPr>
                  </w:pPr>
                </w:p>
              </w:tc>
              <w:tc>
                <w:tcPr>
                  <w:tcW w:w="432" w:type="pct"/>
                  <w:tcBorders>
                    <w:tl2br w:val="nil"/>
                    <w:tr2bl w:val="nil"/>
                  </w:tcBorders>
                  <w:noWrap w:val="0"/>
                  <w:vAlign w:val="center"/>
                </w:tcPr>
                <w:p w14:paraId="6C898C1C">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污染物排放管控</w:t>
                  </w:r>
                </w:p>
              </w:tc>
              <w:tc>
                <w:tcPr>
                  <w:tcW w:w="2154" w:type="pct"/>
                  <w:tcBorders>
                    <w:tl2br w:val="nil"/>
                    <w:tr2bl w:val="nil"/>
                  </w:tcBorders>
                  <w:noWrap w:val="0"/>
                  <w:vAlign w:val="center"/>
                </w:tcPr>
                <w:p w14:paraId="719BD883">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1、新（改、扩）建项目应执行最严格的大气污染物排放标准。</w:t>
                  </w:r>
                </w:p>
                <w:p w14:paraId="7C1C0763">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2、推进重点行业深度治理，实施全工况脱硫脱硝提标改造，加大无组织排放治理力度，深度开展工业炉窑综合整治，全面提升电解铝、活性炭、硅冶炼、纯碱、电石、聚氯乙烯、石化等行业污染治理水平。</w:t>
                  </w:r>
                </w:p>
                <w:p w14:paraId="0BFFA3AB">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3、2024年底前全面完成钢铁行业超低排放改造，有序推进水泥、焦化（含半焦）行业全流程超低排放改造。</w:t>
                  </w:r>
                </w:p>
                <w:p w14:paraId="5D3A8357">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w:t>
                  </w:r>
                  <w:r>
                    <w:rPr>
                      <w:rFonts w:hint="eastAsia"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乌-昌-石</w:t>
                  </w:r>
                  <w:r>
                    <w:rPr>
                      <w:rFonts w:hint="eastAsia"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区域内，已实施超低排放的涉气排污单位，其实施超低排放改造的污染因子执行超低排放限值，其他污染因子执行特别排放限值和特别控制要求。</w:t>
                  </w:r>
                </w:p>
              </w:tc>
              <w:tc>
                <w:tcPr>
                  <w:tcW w:w="1581" w:type="pct"/>
                  <w:tcBorders>
                    <w:tl2br w:val="nil"/>
                    <w:tr2bl w:val="nil"/>
                  </w:tcBorders>
                  <w:noWrap w:val="0"/>
                  <w:vAlign w:val="center"/>
                </w:tcPr>
                <w:p w14:paraId="196FAAA4">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1.本项目执行最严格的大气污染物排放标准；</w:t>
                  </w:r>
                </w:p>
                <w:p w14:paraId="3942992A">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2.</w:t>
                  </w:r>
                  <w:r>
                    <w:rPr>
                      <w:rFonts w:hint="default" w:cs="Times New Roman"/>
                      <w:bCs/>
                      <w:color w:val="000000" w:themeColor="text1"/>
                      <w:sz w:val="21"/>
                      <w:szCs w:val="21"/>
                      <w:highlight w:val="none"/>
                      <w:lang w:val="en-US" w:eastAsia="zh-CN"/>
                      <w14:textFill>
                        <w14:solidFill>
                          <w14:schemeClr w14:val="tx1"/>
                        </w14:solidFill>
                      </w14:textFill>
                    </w:rPr>
                    <w:t>本项目</w:t>
                  </w:r>
                  <w:r>
                    <w:rPr>
                      <w:rFonts w:hint="eastAsia" w:cs="Times New Roman"/>
                      <w:bCs/>
                      <w:color w:val="000000" w:themeColor="text1"/>
                      <w:sz w:val="21"/>
                      <w:szCs w:val="21"/>
                      <w:highlight w:val="none"/>
                      <w:lang w:val="en-US" w:eastAsia="zh-CN"/>
                      <w14:textFill>
                        <w14:solidFill>
                          <w14:schemeClr w14:val="tx1"/>
                        </w14:solidFill>
                      </w14:textFill>
                    </w:rPr>
                    <w:t>为硝酸储罐建设项目；</w:t>
                  </w:r>
                </w:p>
                <w:p w14:paraId="5448D906">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3.本项目不属于钢铁、水泥和焦化行业；</w:t>
                  </w:r>
                </w:p>
                <w:p w14:paraId="28179A7F">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4.本项目为硝酸储罐建设项目，运营期主要为硝酸储罐大小呼吸产生的无组织废气，能实现达标排放。</w:t>
                  </w:r>
                </w:p>
                <w:p w14:paraId="5A805BBC">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cs="Times New Roman"/>
                      <w:bCs/>
                      <w:color w:val="000000" w:themeColor="text1"/>
                      <w:sz w:val="21"/>
                      <w:szCs w:val="21"/>
                      <w:highlight w:val="none"/>
                      <w:lang w:val="en-US" w:eastAsia="zh-CN"/>
                      <w14:textFill>
                        <w14:solidFill>
                          <w14:schemeClr w14:val="tx1"/>
                        </w14:solidFill>
                      </w14:textFill>
                    </w:rPr>
                  </w:pPr>
                </w:p>
              </w:tc>
              <w:tc>
                <w:tcPr>
                  <w:tcW w:w="236" w:type="pct"/>
                  <w:tcBorders>
                    <w:tl2br w:val="nil"/>
                    <w:tr2bl w:val="nil"/>
                  </w:tcBorders>
                  <w:noWrap w:val="0"/>
                  <w:vAlign w:val="center"/>
                </w:tcPr>
                <w:p w14:paraId="68C1859D">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符合</w:t>
                  </w:r>
                </w:p>
              </w:tc>
            </w:tr>
            <w:tr w14:paraId="25F6C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5" w:type="pct"/>
                  <w:vMerge w:val="continue"/>
                  <w:tcBorders>
                    <w:tl2br w:val="nil"/>
                    <w:tr2bl w:val="nil"/>
                  </w:tcBorders>
                  <w:noWrap w:val="0"/>
                  <w:vAlign w:val="center"/>
                </w:tcPr>
                <w:p w14:paraId="3EFC5221">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eastAsia" w:cs="Times New Roman"/>
                      <w:bCs/>
                      <w:color w:val="0000FF"/>
                      <w:sz w:val="21"/>
                      <w:szCs w:val="21"/>
                      <w:highlight w:val="none"/>
                      <w:lang w:eastAsia="zh-CN"/>
                    </w:rPr>
                  </w:pPr>
                </w:p>
              </w:tc>
              <w:tc>
                <w:tcPr>
                  <w:tcW w:w="432" w:type="pct"/>
                  <w:tcBorders>
                    <w:tl2br w:val="nil"/>
                    <w:tr2bl w:val="nil"/>
                  </w:tcBorders>
                  <w:noWrap w:val="0"/>
                  <w:vAlign w:val="center"/>
                </w:tcPr>
                <w:p w14:paraId="1BE82A8C">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环境风险防控</w:t>
                  </w:r>
                </w:p>
              </w:tc>
              <w:tc>
                <w:tcPr>
                  <w:tcW w:w="2154" w:type="pct"/>
                  <w:tcBorders>
                    <w:tl2br w:val="nil"/>
                    <w:tr2bl w:val="nil"/>
                  </w:tcBorders>
                  <w:noWrap w:val="0"/>
                  <w:vAlign w:val="center"/>
                </w:tcPr>
                <w:p w14:paraId="1A2B9CE3">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1、做好污水和废水等的地下管</w:t>
                  </w:r>
                  <w:r>
                    <w:rPr>
                      <w:rFonts w:hint="eastAsia" w:cs="Times New Roman"/>
                      <w:bCs/>
                      <w:color w:val="000000" w:themeColor="text1"/>
                      <w:sz w:val="21"/>
                      <w:szCs w:val="21"/>
                      <w:highlight w:val="none"/>
                      <w:lang w:val="en-US" w:eastAsia="zh-CN"/>
                      <w14:textFill>
                        <w14:solidFill>
                          <w14:schemeClr w14:val="tx1"/>
                        </w14:solidFill>
                      </w14:textFill>
                    </w:rPr>
                    <w:t>道</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防渗工作，防止污染地下水。</w:t>
                  </w:r>
                </w:p>
                <w:p w14:paraId="4FC1B551">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2、严格落实错峰生产方案和重污染天气应急响应措施。</w:t>
                  </w:r>
                </w:p>
                <w:p w14:paraId="352F117A">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3、生产、使用、贮存、运输、回收、处置、排放有毒有害物质的单位和个人，应当采取措施，防止有毒有害物质渗漏、流失、扬散，避免土壤受到污染。</w:t>
                  </w:r>
                </w:p>
                <w:p w14:paraId="55A2024C">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强化重金属及尾矿库风险防控。持续推进重点区域重金属减排。健全全口径涉重金属重点行业企业清单，依法依规纳入重点排污单位名录，深入推进有色金属等重点行业重金属污染治理，严格落实重金属污染防治措施和环境监测制度。</w:t>
                  </w:r>
                </w:p>
                <w:p w14:paraId="1DDA6C4B">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5、坚持分级负责、属地为主、部门协同的环境应急责任原则，以化工、冶炼企业等为重点，健全防范化解突发生态环境事件风险和应急准备责任体系，严格落实企业主体责任。</w:t>
                  </w:r>
                </w:p>
                <w:p w14:paraId="557E99F1">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6、开展涉危险废物涉重金属企业、化工园区等重点领域环境风险调查评估和隐患排查，严格落实重点行业、重点重金属污染物减排要求，加强重点行业重金属污染综合治理。推动疆内危险废物处置能力与产废情况总体匹配，推进兵地统筹，实现兵地间、区域间危险废物转移无缝衔接。</w:t>
                  </w:r>
                </w:p>
                <w:p w14:paraId="2D47A121">
                  <w:pPr>
                    <w:keepNext w:val="0"/>
                    <w:keepLines w:val="0"/>
                    <w:pageBreakBefore w:val="0"/>
                    <w:numPr>
                      <w:ilvl w:val="0"/>
                      <w:numId w:val="0"/>
                    </w:numPr>
                    <w:suppressLineNumbers w:val="0"/>
                    <w:kinsoku/>
                    <w:wordWrap/>
                    <w:overflowPunct w:val="0"/>
                    <w:topLinePunct w:val="0"/>
                    <w:bidi w:val="0"/>
                    <w:snapToGrid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7、园区应设立环境应急管理机构，建立环境风险监管制度、环境风险预警制度、突发环境事件应急预案、环境风险应急保障制度等环境风险防控体系，并具备环境风险应急救援能力。</w:t>
                  </w:r>
                </w:p>
              </w:tc>
              <w:tc>
                <w:tcPr>
                  <w:tcW w:w="1581" w:type="pct"/>
                  <w:tcBorders>
                    <w:tl2br w:val="nil"/>
                    <w:tr2bl w:val="nil"/>
                  </w:tcBorders>
                  <w:noWrap w:val="0"/>
                  <w:vAlign w:val="center"/>
                </w:tcPr>
                <w:p w14:paraId="1F375E20">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w:t>
                  </w:r>
                  <w:r>
                    <w:rPr>
                      <w:rFonts w:hint="default" w:cs="Times New Roman"/>
                      <w:bCs/>
                      <w:color w:val="000000" w:themeColor="text1"/>
                      <w:sz w:val="21"/>
                      <w:szCs w:val="21"/>
                      <w:highlight w:val="none"/>
                      <w:lang w:val="en-US" w:eastAsia="zh-CN"/>
                      <w14:textFill>
                        <w14:solidFill>
                          <w14:schemeClr w14:val="tx1"/>
                        </w14:solidFill>
                      </w14:textFill>
                    </w:rPr>
                    <w:t>本项目</w:t>
                  </w:r>
                  <w:r>
                    <w:rPr>
                      <w:rFonts w:hint="eastAsia" w:cs="Times New Roman"/>
                      <w:bCs/>
                      <w:color w:val="000000" w:themeColor="text1"/>
                      <w:sz w:val="21"/>
                      <w:szCs w:val="21"/>
                      <w:highlight w:val="none"/>
                      <w:lang w:val="en-US" w:eastAsia="zh-CN"/>
                      <w14:textFill>
                        <w14:solidFill>
                          <w14:schemeClr w14:val="tx1"/>
                        </w14:solidFill>
                      </w14:textFill>
                    </w:rPr>
                    <w:t>地面做硬化处理；</w:t>
                  </w:r>
                </w:p>
                <w:p w14:paraId="49DC7A4B">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2.本项目严格落实错峰生产方案和重污染天气应急响应措施；</w:t>
                  </w:r>
                </w:p>
                <w:p w14:paraId="3CFBF281">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3.本项目为硝酸储罐建设项目，</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罐区/装卸区采取重点防渗设施，罐区内除设置必要的围堰、防火堤外，还配备了灭火系统</w:t>
                  </w:r>
                  <w:r>
                    <w:rPr>
                      <w:rFonts w:hint="eastAsia" w:cs="Times New Roman"/>
                      <w:color w:val="000000" w:themeColor="text1"/>
                      <w:spacing w:val="0"/>
                      <w:sz w:val="21"/>
                      <w:szCs w:val="21"/>
                      <w:highlight w:val="none"/>
                      <w:lang w:val="en-US" w:eastAsia="zh-CN"/>
                      <w14:textFill>
                        <w14:solidFill>
                          <w14:schemeClr w14:val="tx1"/>
                        </w14:solidFill>
                      </w14:textFill>
                    </w:rPr>
                    <w:t>，避免土壤受到污染</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p>
                <w:p w14:paraId="54D513AD">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4.本项目不涉及</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重金属及尾矿库</w:t>
                  </w:r>
                  <w:r>
                    <w:rPr>
                      <w:rFonts w:hint="eastAsia" w:cs="Times New Roman"/>
                      <w:bCs/>
                      <w:color w:val="000000" w:themeColor="text1"/>
                      <w:sz w:val="21"/>
                      <w:szCs w:val="21"/>
                      <w:highlight w:val="none"/>
                      <w:lang w:val="en-US" w:eastAsia="zh-CN"/>
                      <w14:textFill>
                        <w14:solidFill>
                          <w14:schemeClr w14:val="tx1"/>
                        </w14:solidFill>
                      </w14:textFill>
                    </w:rPr>
                    <w:t>；</w:t>
                  </w:r>
                </w:p>
                <w:p w14:paraId="0B716395">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5.编制了突发环境事件应急预案；</w:t>
                  </w:r>
                </w:p>
                <w:p w14:paraId="2DE5BEF8">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6.本项目不涉及</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涉危险废物涉重金属企业、化工园区等重点领域</w:t>
                  </w:r>
                  <w:r>
                    <w:rPr>
                      <w:rFonts w:hint="eastAsia" w:cs="Times New Roman"/>
                      <w:bCs/>
                      <w:color w:val="000000" w:themeColor="text1"/>
                      <w:sz w:val="21"/>
                      <w:szCs w:val="21"/>
                      <w:highlight w:val="none"/>
                      <w:lang w:val="en-US" w:eastAsia="zh-CN"/>
                      <w14:textFill>
                        <w14:solidFill>
                          <w14:schemeClr w14:val="tx1"/>
                        </w14:solidFill>
                      </w14:textFill>
                    </w:rPr>
                    <w:t>；</w:t>
                  </w:r>
                </w:p>
                <w:p w14:paraId="20669A57">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7.本项目位于阜康产业园区，园区设立了环境应急管理机构，并建立了</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环境风险监管制度、环境风险预警制度、突发环境事件应急预案、环境风险应急保障制度等环境风险防控体系</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236" w:type="pct"/>
                  <w:tcBorders>
                    <w:tl2br w:val="nil"/>
                    <w:tr2bl w:val="nil"/>
                  </w:tcBorders>
                  <w:noWrap w:val="0"/>
                  <w:vAlign w:val="center"/>
                </w:tcPr>
                <w:p w14:paraId="7B3FED65">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符合</w:t>
                  </w:r>
                </w:p>
              </w:tc>
            </w:tr>
            <w:tr w14:paraId="73F36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5" w:type="pct"/>
                  <w:vMerge w:val="continue"/>
                  <w:tcBorders>
                    <w:tl2br w:val="nil"/>
                    <w:tr2bl w:val="nil"/>
                  </w:tcBorders>
                  <w:noWrap w:val="0"/>
                  <w:vAlign w:val="center"/>
                </w:tcPr>
                <w:p w14:paraId="21C34A31">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eastAsia" w:cs="Times New Roman"/>
                      <w:bCs/>
                      <w:color w:val="0000FF"/>
                      <w:sz w:val="21"/>
                      <w:szCs w:val="21"/>
                      <w:highlight w:val="none"/>
                      <w:lang w:eastAsia="zh-CN"/>
                    </w:rPr>
                  </w:pPr>
                </w:p>
              </w:tc>
              <w:tc>
                <w:tcPr>
                  <w:tcW w:w="432" w:type="pct"/>
                  <w:tcBorders>
                    <w:tl2br w:val="nil"/>
                    <w:tr2bl w:val="nil"/>
                  </w:tcBorders>
                  <w:noWrap w:val="0"/>
                  <w:vAlign w:val="center"/>
                </w:tcPr>
                <w:p w14:paraId="0AA0A0E1">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资源利用效率要求</w:t>
                  </w:r>
                </w:p>
              </w:tc>
              <w:tc>
                <w:tcPr>
                  <w:tcW w:w="2154" w:type="pct"/>
                  <w:tcBorders>
                    <w:tl2br w:val="nil"/>
                    <w:tr2bl w:val="nil"/>
                  </w:tcBorders>
                  <w:noWrap w:val="0"/>
                  <w:vAlign w:val="center"/>
                </w:tcPr>
                <w:p w14:paraId="47CF90A4">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1、鼓励使用清洁燃料，重点区域建设项目原则上不新建燃煤自备锅炉。</w:t>
                  </w:r>
                </w:p>
                <w:p w14:paraId="28E38EF9">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2、严守水资源开发利用控制、用水效率控制和水功能区限制纳污</w:t>
                  </w:r>
                  <w:r>
                    <w:rPr>
                      <w:rFonts w:hint="eastAsia"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三条红线</w:t>
                  </w:r>
                  <w:r>
                    <w:rPr>
                      <w:rFonts w:hint="eastAsia"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，严格实行区域用水总量和强度控制，强化用水定额管理。</w:t>
                  </w:r>
                </w:p>
                <w:p w14:paraId="2521DB4E">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3、推行清洁生产、降低生产水耗、从源头上控制污染物的产生。</w:t>
                  </w:r>
                </w:p>
              </w:tc>
              <w:tc>
                <w:tcPr>
                  <w:tcW w:w="1581" w:type="pct"/>
                  <w:tcBorders>
                    <w:tl2br w:val="nil"/>
                    <w:tr2bl w:val="nil"/>
                  </w:tcBorders>
                  <w:noWrap w:val="0"/>
                  <w:vAlign w:val="center"/>
                </w:tcPr>
                <w:p w14:paraId="2F7858FD">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1.本项目不使用燃料，也不涉及锅炉；</w:t>
                  </w:r>
                </w:p>
                <w:p w14:paraId="30DCA2C9">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2.</w:t>
                  </w:r>
                  <w:r>
                    <w:rPr>
                      <w:rFonts w:hint="default" w:cs="Times New Roman"/>
                      <w:bCs/>
                      <w:color w:val="000000" w:themeColor="text1"/>
                      <w:sz w:val="21"/>
                      <w:szCs w:val="21"/>
                      <w:highlight w:val="none"/>
                      <w:lang w:val="en-US" w:eastAsia="zh-CN"/>
                      <w14:textFill>
                        <w14:solidFill>
                          <w14:schemeClr w14:val="tx1"/>
                        </w14:solidFill>
                      </w14:textFill>
                    </w:rPr>
                    <w:t>本项目</w:t>
                  </w:r>
                  <w:r>
                    <w:rPr>
                      <w:rFonts w:hint="eastAsia" w:cs="Times New Roman"/>
                      <w:bCs/>
                      <w:color w:val="000000" w:themeColor="text1"/>
                      <w:sz w:val="21"/>
                      <w:szCs w:val="21"/>
                      <w:highlight w:val="none"/>
                      <w:lang w:val="en-US" w:eastAsia="zh-CN"/>
                      <w14:textFill>
                        <w14:solidFill>
                          <w14:schemeClr w14:val="tx1"/>
                        </w14:solidFill>
                      </w14:textFill>
                    </w:rPr>
                    <w:t>运营期无生产水耗。</w:t>
                  </w:r>
                </w:p>
                <w:p w14:paraId="0B50CA1C">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both"/>
                    <w:textAlignment w:val="auto"/>
                    <w:rPr>
                      <w:rFonts w:hint="default" w:cs="Times New Roman"/>
                      <w:bCs/>
                      <w:color w:val="000000" w:themeColor="text1"/>
                      <w:sz w:val="21"/>
                      <w:szCs w:val="21"/>
                      <w:highlight w:val="none"/>
                      <w:lang w:val="en-US" w:eastAsia="zh-CN"/>
                      <w14:textFill>
                        <w14:solidFill>
                          <w14:schemeClr w14:val="tx1"/>
                        </w14:solidFill>
                      </w14:textFill>
                    </w:rPr>
                  </w:pPr>
                </w:p>
              </w:tc>
              <w:tc>
                <w:tcPr>
                  <w:tcW w:w="236" w:type="pct"/>
                  <w:tcBorders>
                    <w:tl2br w:val="nil"/>
                    <w:tr2bl w:val="nil"/>
                  </w:tcBorders>
                  <w:noWrap w:val="0"/>
                  <w:vAlign w:val="center"/>
                </w:tcPr>
                <w:p w14:paraId="6270245A">
                  <w:pPr>
                    <w:keepNext w:val="0"/>
                    <w:keepLines w:val="0"/>
                    <w:pageBreakBefore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符合</w:t>
                  </w:r>
                </w:p>
              </w:tc>
            </w:tr>
          </w:tbl>
          <w:p w14:paraId="4CD154B2">
            <w:pPr>
              <w:keepNext w:val="0"/>
              <w:keepLines w:val="0"/>
              <w:pageBreakBefore w:val="0"/>
              <w:widowControl/>
              <w:suppressLineNumbers w:val="0"/>
              <w:kinsoku/>
              <w:wordWrap/>
              <w:topLinePunct w:val="0"/>
              <w:autoSpaceDE w:val="0"/>
              <w:autoSpaceDN/>
              <w:bidi w:val="0"/>
              <w:spacing w:beforeAutospacing="0" w:afterAutospacing="0" w:line="480" w:lineRule="exact"/>
              <w:ind w:left="0" w:right="0" w:firstLine="482" w:firstLineChars="200"/>
              <w:jc w:val="both"/>
              <w:textAlignment w:val="auto"/>
              <w:rPr>
                <w:rFonts w:hint="eastAsia" w:ascii="宋体" w:hAnsi="宋体" w:eastAsia="宋体" w:cs="宋体"/>
                <w:b/>
                <w:bCs/>
                <w:color w:val="auto"/>
                <w:spacing w:val="0"/>
                <w:kern w:val="21"/>
                <w:sz w:val="24"/>
                <w:szCs w:val="24"/>
                <w:highlight w:val="none"/>
              </w:rPr>
            </w:pPr>
            <w:r>
              <w:rPr>
                <w:rFonts w:hint="eastAsia" w:cs="Times New Roman"/>
                <w:b/>
                <w:color w:val="auto"/>
                <w:kern w:val="2"/>
                <w:sz w:val="24"/>
                <w:szCs w:val="24"/>
                <w:highlight w:val="none"/>
                <w:lang w:val="en-US" w:eastAsia="zh-CN" w:bidi="zh-CN"/>
              </w:rPr>
              <w:t>4、</w:t>
            </w:r>
            <w:r>
              <w:rPr>
                <w:rFonts w:hint="eastAsia" w:ascii="宋体" w:hAnsi="宋体" w:eastAsia="宋体" w:cs="宋体"/>
                <w:b/>
                <w:bCs/>
                <w:color w:val="auto"/>
                <w:spacing w:val="0"/>
                <w:kern w:val="21"/>
                <w:sz w:val="24"/>
                <w:szCs w:val="24"/>
                <w:highlight w:val="none"/>
                <w:lang w:val="en-US" w:eastAsia="zh-CN" w:bidi="ar"/>
              </w:rPr>
              <w:t>项目与《新疆维吾尔自治区七大片区</w:t>
            </w:r>
            <w:r>
              <w:rPr>
                <w:rFonts w:hint="eastAsia" w:ascii="宋体" w:hAnsi="宋体" w:cs="宋体"/>
                <w:b/>
                <w:bCs/>
                <w:color w:val="auto"/>
                <w:spacing w:val="0"/>
                <w:kern w:val="21"/>
                <w:sz w:val="24"/>
                <w:szCs w:val="24"/>
                <w:highlight w:val="none"/>
                <w:lang w:val="en-US" w:eastAsia="zh-CN" w:bidi="ar"/>
              </w:rPr>
              <w:t>“</w:t>
            </w:r>
            <w:r>
              <w:rPr>
                <w:rFonts w:hint="eastAsia" w:ascii="宋体" w:hAnsi="宋体" w:eastAsia="宋体" w:cs="宋体"/>
                <w:b/>
                <w:bCs/>
                <w:color w:val="auto"/>
                <w:spacing w:val="0"/>
                <w:kern w:val="21"/>
                <w:sz w:val="24"/>
                <w:szCs w:val="24"/>
                <w:highlight w:val="none"/>
                <w:lang w:val="en-US" w:eastAsia="zh-CN" w:bidi="ar"/>
              </w:rPr>
              <w:t>三线一单</w:t>
            </w:r>
            <w:r>
              <w:rPr>
                <w:rFonts w:hint="eastAsia" w:ascii="宋体" w:hAnsi="宋体" w:cs="宋体"/>
                <w:b/>
                <w:bCs/>
                <w:color w:val="auto"/>
                <w:spacing w:val="0"/>
                <w:kern w:val="21"/>
                <w:sz w:val="24"/>
                <w:szCs w:val="24"/>
                <w:highlight w:val="none"/>
                <w:lang w:val="en-US" w:eastAsia="zh-CN" w:bidi="ar"/>
              </w:rPr>
              <w:t>”</w:t>
            </w:r>
            <w:r>
              <w:rPr>
                <w:rFonts w:hint="eastAsia" w:ascii="宋体" w:hAnsi="宋体" w:eastAsia="宋体" w:cs="宋体"/>
                <w:b/>
                <w:bCs/>
                <w:color w:val="auto"/>
                <w:spacing w:val="0"/>
                <w:kern w:val="21"/>
                <w:sz w:val="24"/>
                <w:szCs w:val="24"/>
                <w:highlight w:val="none"/>
                <w:lang w:val="en-US" w:eastAsia="zh-CN" w:bidi="ar"/>
              </w:rPr>
              <w:t>生态环境分区管控要求》符合性分析</w:t>
            </w:r>
          </w:p>
          <w:p w14:paraId="78D9512B">
            <w:pPr>
              <w:keepNext w:val="0"/>
              <w:keepLines w:val="0"/>
              <w:pageBreakBefore w:val="0"/>
              <w:widowControl/>
              <w:suppressLineNumbers w:val="0"/>
              <w:kinsoku/>
              <w:wordWrap/>
              <w:topLinePunct w:val="0"/>
              <w:autoSpaceDE w:val="0"/>
              <w:autoSpaceDN/>
              <w:bidi w:val="0"/>
              <w:snapToGrid w:val="0"/>
              <w:spacing w:beforeAutospacing="0" w:afterAutospacing="0" w:line="480" w:lineRule="exact"/>
              <w:ind w:left="0" w:right="0" w:firstLine="480" w:firstLineChars="200"/>
              <w:jc w:val="both"/>
              <w:textAlignment w:val="auto"/>
              <w:rPr>
                <w:rFonts w:hint="default" w:ascii="Times New Roman" w:hAnsi="Times New Roman" w:eastAsia="宋体" w:cs="Times New Roman"/>
                <w:color w:val="auto"/>
                <w:spacing w:val="0"/>
                <w:kern w:val="21"/>
                <w:sz w:val="24"/>
                <w:szCs w:val="24"/>
                <w:highlight w:val="none"/>
                <w:lang w:val="en-US" w:eastAsia="zh-CN" w:bidi="ar-SA"/>
              </w:rPr>
            </w:pPr>
            <w:r>
              <w:rPr>
                <w:rFonts w:hint="eastAsia" w:ascii="宋体" w:hAnsi="宋体" w:eastAsia="宋体" w:cs="宋体"/>
                <w:color w:val="auto"/>
                <w:spacing w:val="0"/>
                <w:kern w:val="21"/>
                <w:sz w:val="24"/>
                <w:szCs w:val="24"/>
                <w:highlight w:val="none"/>
                <w:lang w:val="en-US" w:eastAsia="zh-CN" w:bidi="ar"/>
              </w:rPr>
              <w:t>按照《关于印发&lt;新疆维吾尔自治区七大片区</w:t>
            </w:r>
            <w:r>
              <w:rPr>
                <w:rFonts w:hint="eastAsia" w:ascii="宋体" w:hAnsi="宋体" w:cs="宋体"/>
                <w:color w:val="auto"/>
                <w:spacing w:val="0"/>
                <w:kern w:val="21"/>
                <w:sz w:val="24"/>
                <w:szCs w:val="24"/>
                <w:highlight w:val="none"/>
                <w:lang w:val="en-US" w:eastAsia="zh-CN" w:bidi="ar"/>
              </w:rPr>
              <w:t>“</w:t>
            </w:r>
            <w:r>
              <w:rPr>
                <w:rFonts w:hint="eastAsia" w:ascii="宋体" w:hAnsi="宋体" w:eastAsia="宋体" w:cs="宋体"/>
                <w:color w:val="auto"/>
                <w:spacing w:val="0"/>
                <w:kern w:val="21"/>
                <w:sz w:val="24"/>
                <w:szCs w:val="24"/>
                <w:highlight w:val="none"/>
                <w:lang w:val="en-US" w:eastAsia="zh-CN" w:bidi="ar"/>
              </w:rPr>
              <w:t>三线一单</w:t>
            </w:r>
            <w:r>
              <w:rPr>
                <w:rFonts w:hint="eastAsia" w:ascii="宋体" w:hAnsi="宋体" w:cs="宋体"/>
                <w:color w:val="auto"/>
                <w:spacing w:val="0"/>
                <w:kern w:val="21"/>
                <w:sz w:val="24"/>
                <w:szCs w:val="24"/>
                <w:highlight w:val="none"/>
                <w:lang w:val="en-US" w:eastAsia="zh-CN" w:bidi="ar"/>
              </w:rPr>
              <w:t>”</w:t>
            </w:r>
            <w:r>
              <w:rPr>
                <w:rFonts w:hint="eastAsia" w:ascii="宋体" w:hAnsi="宋体" w:eastAsia="宋体" w:cs="宋体"/>
                <w:color w:val="auto"/>
                <w:spacing w:val="0"/>
                <w:kern w:val="21"/>
                <w:sz w:val="24"/>
                <w:szCs w:val="24"/>
                <w:highlight w:val="none"/>
                <w:lang w:val="en-US" w:eastAsia="zh-CN" w:bidi="ar"/>
              </w:rPr>
              <w:t>生态环境分区管控要求&gt;的通知》（</w:t>
            </w:r>
            <w:r>
              <w:rPr>
                <w:rFonts w:hint="default" w:ascii="Times New Roman" w:hAnsi="Times New Roman" w:eastAsia="宋体" w:cs="Times New Roman"/>
                <w:color w:val="auto"/>
                <w:spacing w:val="0"/>
                <w:kern w:val="21"/>
                <w:sz w:val="24"/>
                <w:szCs w:val="24"/>
                <w:highlight w:val="none"/>
                <w:lang w:val="en-US" w:eastAsia="zh-CN" w:bidi="ar"/>
              </w:rPr>
              <w:t>新环环评发</w:t>
            </w:r>
            <w:r>
              <w:rPr>
                <w:rFonts w:hint="eastAsia" w:ascii="宋体" w:hAnsi="宋体" w:eastAsia="宋体" w:cs="宋体"/>
                <w:color w:val="auto"/>
                <w:spacing w:val="0"/>
                <w:kern w:val="21"/>
                <w:sz w:val="24"/>
                <w:szCs w:val="24"/>
                <w:highlight w:val="none"/>
                <w:lang w:val="en-US" w:eastAsia="zh-CN" w:bidi="ar"/>
              </w:rPr>
              <w:t>〔2021〕</w:t>
            </w:r>
            <w:r>
              <w:rPr>
                <w:rFonts w:hint="default" w:ascii="Times New Roman" w:hAnsi="Times New Roman" w:eastAsia="宋体" w:cs="Times New Roman"/>
                <w:color w:val="auto"/>
                <w:spacing w:val="0"/>
                <w:kern w:val="21"/>
                <w:sz w:val="24"/>
                <w:szCs w:val="24"/>
                <w:highlight w:val="none"/>
                <w:lang w:val="en-US" w:eastAsia="zh-CN" w:bidi="ar"/>
              </w:rPr>
              <w:t>162号</w:t>
            </w:r>
            <w:r>
              <w:rPr>
                <w:rFonts w:hint="eastAsia" w:ascii="宋体" w:hAnsi="宋体" w:eastAsia="宋体" w:cs="宋体"/>
                <w:color w:val="auto"/>
                <w:spacing w:val="0"/>
                <w:kern w:val="21"/>
                <w:sz w:val="24"/>
                <w:szCs w:val="24"/>
                <w:highlight w:val="none"/>
                <w:lang w:val="en-US" w:eastAsia="zh-CN" w:bidi="ar"/>
              </w:rPr>
              <w:t>），全区划分为七大片区，包括北疆北部（塔城地区、阿勒泰地区）、伊犁河谷、克奎乌－博州、乌昌石、吐哈、天山南坡（巴州、阿克苏地区）和南疆三地州片区，塔城地区（不含沙湾市和乌苏市）主要涉及</w:t>
            </w:r>
            <w:r>
              <w:rPr>
                <w:rFonts w:hint="eastAsia" w:ascii="宋体" w:hAnsi="宋体" w:cs="宋体"/>
                <w:color w:val="auto"/>
                <w:spacing w:val="0"/>
                <w:kern w:val="21"/>
                <w:sz w:val="24"/>
                <w:szCs w:val="24"/>
                <w:highlight w:val="none"/>
                <w:lang w:val="en-US" w:eastAsia="zh-CN" w:bidi="ar"/>
              </w:rPr>
              <w:t>“</w:t>
            </w:r>
            <w:r>
              <w:rPr>
                <w:rFonts w:hint="eastAsia" w:ascii="宋体" w:hAnsi="宋体" w:eastAsia="宋体" w:cs="宋体"/>
                <w:color w:val="auto"/>
                <w:spacing w:val="0"/>
                <w:kern w:val="21"/>
                <w:sz w:val="24"/>
                <w:szCs w:val="24"/>
                <w:highlight w:val="none"/>
                <w:lang w:val="en-US" w:eastAsia="zh-CN" w:bidi="ar"/>
              </w:rPr>
              <w:t>北疆北部片区</w:t>
            </w:r>
            <w:r>
              <w:rPr>
                <w:rFonts w:hint="eastAsia" w:ascii="宋体" w:hAnsi="宋体" w:cs="宋体"/>
                <w:color w:val="auto"/>
                <w:spacing w:val="0"/>
                <w:kern w:val="21"/>
                <w:sz w:val="24"/>
                <w:szCs w:val="24"/>
                <w:highlight w:val="none"/>
                <w:lang w:val="en-US" w:eastAsia="zh-CN" w:bidi="ar"/>
              </w:rPr>
              <w:t>”</w:t>
            </w:r>
            <w:r>
              <w:rPr>
                <w:rFonts w:hint="eastAsia" w:ascii="宋体" w:hAnsi="宋体" w:eastAsia="宋体" w:cs="宋体"/>
                <w:color w:val="auto"/>
                <w:spacing w:val="0"/>
                <w:kern w:val="21"/>
                <w:sz w:val="24"/>
                <w:szCs w:val="24"/>
                <w:highlight w:val="none"/>
                <w:lang w:val="en-US" w:eastAsia="zh-CN" w:bidi="ar"/>
              </w:rPr>
              <w:t>，乌苏市涉及</w:t>
            </w:r>
            <w:r>
              <w:rPr>
                <w:rFonts w:hint="eastAsia" w:cs="Times New Roman"/>
                <w:color w:val="auto"/>
                <w:spacing w:val="0"/>
                <w:kern w:val="21"/>
                <w:sz w:val="24"/>
                <w:szCs w:val="24"/>
                <w:highlight w:val="none"/>
                <w:lang w:val="en-US" w:eastAsia="zh-CN" w:bidi="ar"/>
              </w:rPr>
              <w:t>“</w:t>
            </w:r>
            <w:r>
              <w:rPr>
                <w:rFonts w:hint="eastAsia" w:ascii="宋体" w:hAnsi="宋体" w:eastAsia="宋体" w:cs="宋体"/>
                <w:color w:val="auto"/>
                <w:spacing w:val="0"/>
                <w:kern w:val="21"/>
                <w:sz w:val="24"/>
                <w:szCs w:val="24"/>
                <w:highlight w:val="none"/>
                <w:lang w:val="en-US" w:eastAsia="zh-CN" w:bidi="ar"/>
              </w:rPr>
              <w:t>克奎乌－博州片区</w:t>
            </w:r>
            <w:r>
              <w:rPr>
                <w:rFonts w:hint="eastAsia" w:cs="Times New Roman"/>
                <w:color w:val="auto"/>
                <w:spacing w:val="0"/>
                <w:kern w:val="21"/>
                <w:sz w:val="24"/>
                <w:szCs w:val="24"/>
                <w:highlight w:val="none"/>
                <w:lang w:val="en-US" w:eastAsia="zh-CN" w:bidi="ar"/>
              </w:rPr>
              <w:t>”</w:t>
            </w:r>
            <w:r>
              <w:rPr>
                <w:rFonts w:hint="eastAsia" w:ascii="宋体" w:hAnsi="宋体" w:eastAsia="宋体" w:cs="宋体"/>
                <w:color w:val="auto"/>
                <w:spacing w:val="0"/>
                <w:kern w:val="21"/>
                <w:sz w:val="24"/>
                <w:szCs w:val="24"/>
                <w:highlight w:val="none"/>
                <w:lang w:val="en-US" w:eastAsia="zh-CN" w:bidi="ar"/>
              </w:rPr>
              <w:t>，沙湾市涉及乌昌石片区。</w:t>
            </w:r>
          </w:p>
          <w:p w14:paraId="72CEEF39">
            <w:pPr>
              <w:keepNext/>
              <w:keepLines/>
              <w:pageBreakBefore w:val="0"/>
              <w:widowControl w:val="0"/>
              <w:suppressLineNumbers w:val="0"/>
              <w:kinsoku/>
              <w:wordWrap/>
              <w:overflowPunct w:val="0"/>
              <w:topLinePunct w:val="0"/>
              <w:autoSpaceDE/>
              <w:autoSpaceDN/>
              <w:bidi w:val="0"/>
              <w:adjustRightInd/>
              <w:snapToGrid/>
              <w:spacing w:beforeAutospacing="0" w:afterAutospacing="0" w:line="480" w:lineRule="exact"/>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 xml:space="preserve">  重点管控单元分类管控要求的符合性分析</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1"/>
              <w:gridCol w:w="720"/>
              <w:gridCol w:w="3555"/>
              <w:gridCol w:w="1524"/>
              <w:gridCol w:w="427"/>
            </w:tblGrid>
            <w:tr w14:paraId="5351E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5" w:hRule="atLeast"/>
                <w:jc w:val="center"/>
              </w:trPr>
              <w:tc>
                <w:tcPr>
                  <w:tcW w:w="5116" w:type="dxa"/>
                  <w:gridSpan w:val="3"/>
                  <w:tcBorders>
                    <w:tl2br w:val="nil"/>
                    <w:tr2bl w:val="nil"/>
                  </w:tcBorders>
                  <w:shd w:val="clear" w:color="auto" w:fill="auto"/>
                  <w:vAlign w:val="center"/>
                </w:tcPr>
                <w:p w14:paraId="018795C8">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bidi="ar"/>
                    </w:rPr>
                    <w:t>管控要求</w:t>
                  </w:r>
                </w:p>
              </w:tc>
              <w:tc>
                <w:tcPr>
                  <w:tcW w:w="1951" w:type="dxa"/>
                  <w:gridSpan w:val="2"/>
                  <w:tcBorders>
                    <w:tl2br w:val="nil"/>
                    <w:tr2bl w:val="nil"/>
                  </w:tcBorders>
                  <w:shd w:val="clear" w:color="auto" w:fill="auto"/>
                  <w:vAlign w:val="center"/>
                </w:tcPr>
                <w:p w14:paraId="547365FF">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bidi="ar"/>
                    </w:rPr>
                    <w:t>符合性</w:t>
                  </w:r>
                </w:p>
              </w:tc>
            </w:tr>
            <w:tr w14:paraId="6AE09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41" w:type="dxa"/>
                  <w:vMerge w:val="restart"/>
                  <w:tcBorders>
                    <w:tl2br w:val="nil"/>
                    <w:tr2bl w:val="nil"/>
                  </w:tcBorders>
                  <w:shd w:val="clear" w:color="auto" w:fill="auto"/>
                  <w:vAlign w:val="center"/>
                </w:tcPr>
                <w:p w14:paraId="6EAA52D0">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新疆维吾尔自治区七大片区</w:t>
                  </w:r>
                  <w:r>
                    <w:rPr>
                      <w:rFonts w:hint="eastAsia" w:cs="Times New Roman"/>
                      <w:bCs/>
                      <w:color w:val="auto"/>
                      <w:kern w:val="2"/>
                      <w:sz w:val="21"/>
                      <w:szCs w:val="21"/>
                      <w:highlight w:val="none"/>
                      <w:lang w:val="en-US" w:eastAsia="zh-CN"/>
                    </w:rPr>
                    <w:t>“</w:t>
                  </w:r>
                  <w:r>
                    <w:rPr>
                      <w:rFonts w:hint="eastAsia" w:ascii="Times New Roman" w:hAnsi="Times New Roman" w:eastAsia="宋体" w:cs="Times New Roman"/>
                      <w:bCs/>
                      <w:color w:val="auto"/>
                      <w:kern w:val="2"/>
                      <w:sz w:val="21"/>
                      <w:szCs w:val="21"/>
                      <w:highlight w:val="none"/>
                      <w:lang w:val="en-US" w:eastAsia="zh-CN"/>
                    </w:rPr>
                    <w:t>三线一单</w:t>
                  </w:r>
                  <w:r>
                    <w:rPr>
                      <w:rFonts w:hint="eastAsia" w:cs="Times New Roman"/>
                      <w:bCs/>
                      <w:color w:val="auto"/>
                      <w:kern w:val="2"/>
                      <w:sz w:val="21"/>
                      <w:szCs w:val="21"/>
                      <w:highlight w:val="none"/>
                      <w:lang w:val="en-US" w:eastAsia="zh-CN"/>
                    </w:rPr>
                    <w:t>”</w:t>
                  </w:r>
                  <w:r>
                    <w:rPr>
                      <w:rFonts w:hint="eastAsia" w:ascii="Times New Roman" w:hAnsi="Times New Roman" w:eastAsia="宋体" w:cs="Times New Roman"/>
                      <w:bCs/>
                      <w:color w:val="auto"/>
                      <w:kern w:val="2"/>
                      <w:sz w:val="21"/>
                      <w:szCs w:val="21"/>
                      <w:highlight w:val="none"/>
                      <w:lang w:val="en-US" w:eastAsia="zh-CN"/>
                    </w:rPr>
                    <w:t>生态环境分区管控总体要求</w:t>
                  </w:r>
                </w:p>
              </w:tc>
              <w:tc>
                <w:tcPr>
                  <w:tcW w:w="720" w:type="dxa"/>
                  <w:tcBorders>
                    <w:tl2br w:val="nil"/>
                    <w:tr2bl w:val="nil"/>
                  </w:tcBorders>
                  <w:shd w:val="clear" w:color="auto" w:fill="auto"/>
                  <w:vAlign w:val="center"/>
                </w:tcPr>
                <w:p w14:paraId="4F3C86F9">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bidi="ar"/>
                    </w:rPr>
                    <w:t>空间布局约束</w:t>
                  </w:r>
                </w:p>
              </w:tc>
              <w:tc>
                <w:tcPr>
                  <w:tcW w:w="3555" w:type="dxa"/>
                  <w:tcBorders>
                    <w:tl2br w:val="nil"/>
                    <w:tr2bl w:val="nil"/>
                  </w:tcBorders>
                  <w:shd w:val="clear" w:color="auto" w:fill="auto"/>
                  <w:vAlign w:val="center"/>
                </w:tcPr>
                <w:p w14:paraId="3D1126B7">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严格执行国家、自治区产业政策和环境准入要求，严禁</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三高</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项目进新疆，坚决遏制</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两高</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项目盲目发展。不得在水源涵养区、饮用水水源保护区内和河流、湖泊、水库周围建设重化工、涉重金属等工业污染项目。推动项目集聚发展，新建、改建、扩建工业项目原则上应布置于由县级及以上人民政府批准建立、环境保护基础设施完善的产业园区、工业聚集区或规划矿区，并且符合相关规划和规划环评要求。</w:t>
                  </w:r>
                </w:p>
              </w:tc>
              <w:tc>
                <w:tcPr>
                  <w:tcW w:w="1524" w:type="dxa"/>
                  <w:tcBorders>
                    <w:tl2br w:val="nil"/>
                    <w:tr2bl w:val="nil"/>
                  </w:tcBorders>
                  <w:shd w:val="clear" w:color="auto" w:fill="auto"/>
                  <w:vAlign w:val="center"/>
                </w:tcPr>
                <w:p w14:paraId="1F96F3CC">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本项目非</w:t>
                  </w:r>
                  <w:r>
                    <w:rPr>
                      <w:rFonts w:hint="eastAsia" w:cs="Times New Roman"/>
                      <w:bCs/>
                      <w:color w:val="auto"/>
                      <w:kern w:val="2"/>
                      <w:sz w:val="21"/>
                      <w:szCs w:val="21"/>
                      <w:highlight w:val="none"/>
                      <w:lang w:val="en-US" w:eastAsia="zh-CN"/>
                    </w:rPr>
                    <w:t>“</w:t>
                  </w:r>
                  <w:r>
                    <w:rPr>
                      <w:rFonts w:hint="eastAsia" w:ascii="Times New Roman" w:hAnsi="Times New Roman" w:eastAsia="宋体" w:cs="Times New Roman"/>
                      <w:bCs/>
                      <w:color w:val="auto"/>
                      <w:kern w:val="2"/>
                      <w:sz w:val="21"/>
                      <w:szCs w:val="21"/>
                      <w:highlight w:val="none"/>
                      <w:lang w:val="en-US" w:eastAsia="zh-CN"/>
                    </w:rPr>
                    <w:t>三高</w:t>
                  </w:r>
                  <w:r>
                    <w:rPr>
                      <w:rFonts w:hint="eastAsia" w:cs="Times New Roman"/>
                      <w:bCs/>
                      <w:color w:val="auto"/>
                      <w:kern w:val="2"/>
                      <w:sz w:val="21"/>
                      <w:szCs w:val="21"/>
                      <w:highlight w:val="none"/>
                      <w:lang w:val="en-US" w:eastAsia="zh-CN"/>
                    </w:rPr>
                    <w:t>”</w:t>
                  </w:r>
                  <w:r>
                    <w:rPr>
                      <w:rFonts w:hint="eastAsia" w:ascii="Times New Roman" w:hAnsi="Times New Roman" w:eastAsia="宋体" w:cs="Times New Roman"/>
                      <w:bCs/>
                      <w:color w:val="auto"/>
                      <w:kern w:val="2"/>
                      <w:sz w:val="21"/>
                      <w:szCs w:val="21"/>
                      <w:highlight w:val="none"/>
                      <w:lang w:val="en-US" w:eastAsia="zh-CN"/>
                    </w:rPr>
                    <w:t>或</w:t>
                  </w:r>
                  <w:r>
                    <w:rPr>
                      <w:rFonts w:hint="eastAsia" w:cs="Times New Roman"/>
                      <w:bCs/>
                      <w:color w:val="auto"/>
                      <w:kern w:val="2"/>
                      <w:sz w:val="21"/>
                      <w:szCs w:val="21"/>
                      <w:highlight w:val="none"/>
                      <w:lang w:val="en-US" w:eastAsia="zh-CN"/>
                    </w:rPr>
                    <w:t>“</w:t>
                  </w:r>
                  <w:r>
                    <w:rPr>
                      <w:rFonts w:hint="eastAsia" w:ascii="Times New Roman" w:hAnsi="Times New Roman" w:eastAsia="宋体" w:cs="Times New Roman"/>
                      <w:bCs/>
                      <w:color w:val="auto"/>
                      <w:kern w:val="2"/>
                      <w:sz w:val="21"/>
                      <w:szCs w:val="21"/>
                      <w:highlight w:val="none"/>
                      <w:lang w:val="en-US" w:eastAsia="zh-CN"/>
                    </w:rPr>
                    <w:t>两高</w:t>
                  </w:r>
                  <w:r>
                    <w:rPr>
                      <w:rFonts w:hint="eastAsia" w:cs="Times New Roman"/>
                      <w:bCs/>
                      <w:color w:val="auto"/>
                      <w:kern w:val="2"/>
                      <w:sz w:val="21"/>
                      <w:szCs w:val="21"/>
                      <w:highlight w:val="none"/>
                      <w:lang w:val="en-US" w:eastAsia="zh-CN"/>
                    </w:rPr>
                    <w:t>”</w:t>
                  </w:r>
                  <w:r>
                    <w:rPr>
                      <w:rFonts w:hint="eastAsia" w:ascii="Times New Roman" w:hAnsi="Times New Roman" w:eastAsia="宋体" w:cs="Times New Roman"/>
                      <w:bCs/>
                      <w:color w:val="auto"/>
                      <w:kern w:val="2"/>
                      <w:sz w:val="21"/>
                      <w:szCs w:val="21"/>
                      <w:highlight w:val="none"/>
                      <w:lang w:val="en-US" w:eastAsia="zh-CN"/>
                    </w:rPr>
                    <w:t>建设项目；建设地址非水源涵养区、饮用水水源保护区内和河流、湖泊、水库周围等地；本项目</w:t>
                  </w:r>
                  <w:r>
                    <w:rPr>
                      <w:rFonts w:hint="eastAsia" w:cs="Times New Roman"/>
                      <w:bCs/>
                      <w:color w:val="auto"/>
                      <w:kern w:val="2"/>
                      <w:sz w:val="21"/>
                      <w:szCs w:val="21"/>
                      <w:highlight w:val="none"/>
                      <w:lang w:val="en-US" w:eastAsia="zh-CN"/>
                    </w:rPr>
                    <w:t>位于阜康工业园区，符合</w:t>
                  </w:r>
                  <w:r>
                    <w:rPr>
                      <w:rFonts w:hint="eastAsia" w:ascii="Times New Roman" w:hAnsi="Times New Roman" w:eastAsia="宋体" w:cs="Times New Roman"/>
                      <w:bCs/>
                      <w:color w:val="auto"/>
                      <w:kern w:val="2"/>
                      <w:sz w:val="21"/>
                      <w:szCs w:val="21"/>
                      <w:highlight w:val="none"/>
                      <w:lang w:val="en-US" w:eastAsia="zh-CN"/>
                    </w:rPr>
                    <w:t>规划及规划环评相关要求，详见规划符合性分析内容。</w:t>
                  </w:r>
                </w:p>
              </w:tc>
              <w:tc>
                <w:tcPr>
                  <w:tcW w:w="427" w:type="dxa"/>
                  <w:tcBorders>
                    <w:tl2br w:val="nil"/>
                    <w:tr2bl w:val="nil"/>
                  </w:tcBorders>
                  <w:shd w:val="clear" w:color="auto" w:fill="auto"/>
                  <w:vAlign w:val="center"/>
                </w:tcPr>
                <w:p w14:paraId="3158F2D3">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bidi="ar"/>
                    </w:rPr>
                    <w:t>符合</w:t>
                  </w:r>
                </w:p>
              </w:tc>
            </w:tr>
            <w:tr w14:paraId="5B5A0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41" w:type="dxa"/>
                  <w:vMerge w:val="continue"/>
                  <w:tcBorders>
                    <w:tl2br w:val="nil"/>
                    <w:tr2bl w:val="nil"/>
                  </w:tcBorders>
                  <w:shd w:val="clear" w:color="auto" w:fill="auto"/>
                  <w:vAlign w:val="center"/>
                </w:tcPr>
                <w:p w14:paraId="696CF477">
                  <w:pPr>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cs="Times New Roman"/>
                      <w:color w:val="auto"/>
                      <w:sz w:val="20"/>
                      <w:szCs w:val="20"/>
                      <w:highlight w:val="none"/>
                      <w:lang w:val="en-US" w:eastAsia="zh-CN"/>
                    </w:rPr>
                  </w:pPr>
                </w:p>
              </w:tc>
              <w:tc>
                <w:tcPr>
                  <w:tcW w:w="720" w:type="dxa"/>
                  <w:tcBorders>
                    <w:tl2br w:val="nil"/>
                    <w:tr2bl w:val="nil"/>
                  </w:tcBorders>
                  <w:shd w:val="clear" w:color="auto" w:fill="auto"/>
                  <w:vAlign w:val="center"/>
                </w:tcPr>
                <w:p w14:paraId="72C808E9">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bidi="ar"/>
                    </w:rPr>
                    <w:t>污染物排放管控</w:t>
                  </w:r>
                  <w:r>
                    <w:rPr>
                      <w:rFonts w:hint="default" w:ascii="Times New Roman" w:hAnsi="Times New Roman" w:eastAsia="宋体" w:cs="Times New Roman"/>
                      <w:bCs/>
                      <w:color w:val="auto"/>
                      <w:kern w:val="2"/>
                      <w:sz w:val="21"/>
                      <w:szCs w:val="21"/>
                      <w:highlight w:val="none"/>
                      <w:lang w:val="en-US" w:eastAsia="zh-CN" w:bidi="ar"/>
                    </w:rPr>
                    <w:t xml:space="preserve"> </w:t>
                  </w:r>
                </w:p>
              </w:tc>
              <w:tc>
                <w:tcPr>
                  <w:tcW w:w="3555" w:type="dxa"/>
                  <w:tcBorders>
                    <w:tl2br w:val="nil"/>
                    <w:tr2bl w:val="nil"/>
                  </w:tcBorders>
                  <w:shd w:val="clear" w:color="auto" w:fill="auto"/>
                  <w:vAlign w:val="center"/>
                </w:tcPr>
                <w:p w14:paraId="5A51DA1C">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深化行业污染源头治理，深入开展火电行业减排，全力推进钢铁行业超低排放改造，有序推进石化行业</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泄漏检测与修复</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技术改造。强化煤化工、石化、有机化工表面涂装、包装印刷等重点行业挥发性有机物控制。深入开展燃煤锅炉污染综合整治，深化工业炉窑综合治理。加强</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散乱污</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企业综合整治。优化区域交通运输结构，加快货物运输绿色转型做好车油联合管控。以改善流域水环境质量为核心，强化源头控制，</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一河</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湖</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一策</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精准施治，减少水污染物排放，持续改善水环境质量。强化园区</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工业集聚区</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水污染防治，不断提高工业用水重复利用率。加快实施城镇污水处理设施提质增效，补齐生活污水收集和处理设施短板，提高再生水回用比例。持续推进农业农村污染防治。提升土壤环境监管能力，加强污染地块安全利用监管。强化工矿用地管理，严格建设用地土壤环境风险管控加强农用地土壤污染源头控制，科学施用化肥农药，提高农膜回收率。</w:t>
                  </w:r>
                </w:p>
              </w:tc>
              <w:tc>
                <w:tcPr>
                  <w:tcW w:w="1524" w:type="dxa"/>
                  <w:tcBorders>
                    <w:tl2br w:val="nil"/>
                    <w:tr2bl w:val="nil"/>
                  </w:tcBorders>
                  <w:shd w:val="clear" w:color="auto" w:fill="auto"/>
                  <w:vAlign w:val="center"/>
                </w:tcPr>
                <w:p w14:paraId="1199753F">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本项目非火电行业、石化行业，亦不是煤化工、石化、有机化工表面涂装、包装印刷等重点行业；本项目</w:t>
                  </w:r>
                  <w:r>
                    <w:rPr>
                      <w:rFonts w:hint="eastAsia" w:cs="Times New Roman"/>
                      <w:bCs/>
                      <w:color w:val="auto"/>
                      <w:kern w:val="2"/>
                      <w:sz w:val="21"/>
                      <w:szCs w:val="21"/>
                      <w:highlight w:val="none"/>
                      <w:lang w:val="en-US" w:eastAsia="zh-CN"/>
                    </w:rPr>
                    <w:t>为硝酸储罐建设，</w:t>
                  </w:r>
                  <w:r>
                    <w:rPr>
                      <w:rFonts w:hint="eastAsia" w:ascii="Times New Roman" w:hAnsi="Times New Roman" w:eastAsia="宋体" w:cs="Times New Roman"/>
                      <w:bCs/>
                      <w:color w:val="auto"/>
                      <w:kern w:val="2"/>
                      <w:sz w:val="21"/>
                      <w:szCs w:val="21"/>
                      <w:highlight w:val="none"/>
                      <w:lang w:val="en-US" w:eastAsia="zh-CN"/>
                    </w:rPr>
                    <w:t>不涉及</w:t>
                  </w:r>
                  <w:r>
                    <w:rPr>
                      <w:rFonts w:hint="eastAsia" w:cs="Times New Roman"/>
                      <w:bCs/>
                      <w:color w:val="auto"/>
                      <w:kern w:val="2"/>
                      <w:sz w:val="21"/>
                      <w:szCs w:val="21"/>
                      <w:highlight w:val="none"/>
                      <w:lang w:val="en-US" w:eastAsia="zh-CN"/>
                    </w:rPr>
                    <w:t>燃煤</w:t>
                  </w:r>
                  <w:r>
                    <w:rPr>
                      <w:rFonts w:hint="eastAsia" w:ascii="Times New Roman" w:hAnsi="Times New Roman" w:eastAsia="宋体" w:cs="Times New Roman"/>
                      <w:bCs/>
                      <w:color w:val="auto"/>
                      <w:kern w:val="2"/>
                      <w:sz w:val="21"/>
                      <w:szCs w:val="21"/>
                      <w:highlight w:val="none"/>
                      <w:lang w:val="en-US" w:eastAsia="zh-CN"/>
                    </w:rPr>
                    <w:t>锅炉或工业炉窑使用。</w:t>
                  </w:r>
                </w:p>
              </w:tc>
              <w:tc>
                <w:tcPr>
                  <w:tcW w:w="427" w:type="dxa"/>
                  <w:tcBorders>
                    <w:tl2br w:val="nil"/>
                    <w:tr2bl w:val="nil"/>
                  </w:tcBorders>
                  <w:shd w:val="clear" w:color="auto" w:fill="auto"/>
                  <w:vAlign w:val="center"/>
                </w:tcPr>
                <w:p w14:paraId="492F2A46">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bidi="ar"/>
                    </w:rPr>
                    <w:t>符合</w:t>
                  </w:r>
                </w:p>
              </w:tc>
            </w:tr>
            <w:tr w14:paraId="36378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41" w:type="dxa"/>
                  <w:vMerge w:val="continue"/>
                  <w:tcBorders>
                    <w:tl2br w:val="nil"/>
                    <w:tr2bl w:val="nil"/>
                  </w:tcBorders>
                  <w:shd w:val="clear" w:color="auto" w:fill="auto"/>
                  <w:vAlign w:val="center"/>
                </w:tcPr>
                <w:p w14:paraId="6A40A9D3">
                  <w:pPr>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cs="Times New Roman"/>
                      <w:color w:val="auto"/>
                      <w:sz w:val="20"/>
                      <w:szCs w:val="20"/>
                      <w:highlight w:val="none"/>
                      <w:lang w:val="en-US" w:eastAsia="zh-CN"/>
                    </w:rPr>
                  </w:pPr>
                </w:p>
              </w:tc>
              <w:tc>
                <w:tcPr>
                  <w:tcW w:w="720" w:type="dxa"/>
                  <w:tcBorders>
                    <w:tl2br w:val="nil"/>
                    <w:tr2bl w:val="nil"/>
                  </w:tcBorders>
                  <w:shd w:val="clear" w:color="auto" w:fill="auto"/>
                  <w:vAlign w:val="center"/>
                </w:tcPr>
                <w:p w14:paraId="2F40F099">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bidi="ar"/>
                    </w:rPr>
                    <w:t>环境风险防控</w:t>
                  </w:r>
                </w:p>
              </w:tc>
              <w:tc>
                <w:tcPr>
                  <w:tcW w:w="3555" w:type="dxa"/>
                  <w:tcBorders>
                    <w:tl2br w:val="nil"/>
                    <w:tr2bl w:val="nil"/>
                  </w:tcBorders>
                  <w:shd w:val="clear" w:color="auto" w:fill="auto"/>
                  <w:vAlign w:val="center"/>
                </w:tcPr>
                <w:p w14:paraId="4BF756D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禁止在化工园区外新建、扩建危险化学品生产项目。严格落实危险废物处置相关要求。加强重点流域水环境风险管控，保障水环境安全。</w:t>
                  </w:r>
                </w:p>
              </w:tc>
              <w:tc>
                <w:tcPr>
                  <w:tcW w:w="1524" w:type="dxa"/>
                  <w:tcBorders>
                    <w:tl2br w:val="nil"/>
                    <w:tr2bl w:val="nil"/>
                  </w:tcBorders>
                  <w:shd w:val="clear" w:color="auto" w:fill="auto"/>
                  <w:vAlign w:val="center"/>
                </w:tcPr>
                <w:p w14:paraId="43BFE81D">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本项目非危险化学品生产项目。</w:t>
                  </w:r>
                </w:p>
              </w:tc>
              <w:tc>
                <w:tcPr>
                  <w:tcW w:w="427" w:type="dxa"/>
                  <w:tcBorders>
                    <w:tl2br w:val="nil"/>
                    <w:tr2bl w:val="nil"/>
                  </w:tcBorders>
                  <w:shd w:val="clear" w:color="auto" w:fill="auto"/>
                  <w:vAlign w:val="center"/>
                </w:tcPr>
                <w:p w14:paraId="4931C807">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bidi="ar"/>
                    </w:rPr>
                    <w:t>符合</w:t>
                  </w:r>
                </w:p>
              </w:tc>
            </w:tr>
            <w:tr w14:paraId="1E41B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jc w:val="center"/>
              </w:trPr>
              <w:tc>
                <w:tcPr>
                  <w:tcW w:w="841" w:type="dxa"/>
                  <w:vMerge w:val="continue"/>
                  <w:tcBorders>
                    <w:tl2br w:val="nil"/>
                    <w:tr2bl w:val="nil"/>
                  </w:tcBorders>
                  <w:shd w:val="clear" w:color="auto" w:fill="auto"/>
                  <w:vAlign w:val="center"/>
                </w:tcPr>
                <w:p w14:paraId="5991DC17">
                  <w:pPr>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cs="Times New Roman"/>
                      <w:color w:val="auto"/>
                      <w:sz w:val="20"/>
                      <w:szCs w:val="20"/>
                      <w:highlight w:val="none"/>
                      <w:lang w:val="en-US" w:eastAsia="zh-CN"/>
                    </w:rPr>
                  </w:pPr>
                </w:p>
              </w:tc>
              <w:tc>
                <w:tcPr>
                  <w:tcW w:w="720" w:type="dxa"/>
                  <w:tcBorders>
                    <w:tl2br w:val="nil"/>
                    <w:tr2bl w:val="nil"/>
                  </w:tcBorders>
                  <w:shd w:val="clear" w:color="auto" w:fill="auto"/>
                  <w:vAlign w:val="center"/>
                </w:tcPr>
                <w:p w14:paraId="7C8B8728">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bidi="ar"/>
                    </w:rPr>
                    <w:t>资源开发利用效率</w:t>
                  </w:r>
                </w:p>
              </w:tc>
              <w:tc>
                <w:tcPr>
                  <w:tcW w:w="3555" w:type="dxa"/>
                  <w:tcBorders>
                    <w:tl2br w:val="nil"/>
                    <w:tr2bl w:val="nil"/>
                  </w:tcBorders>
                  <w:shd w:val="clear" w:color="auto" w:fill="auto"/>
                  <w:vAlign w:val="center"/>
                </w:tcPr>
                <w:p w14:paraId="07EAB46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优化能源结构，控制煤炭等化石能源使用量，鼓励使用清洁能源，协同推进减污降碳。全面实施节水工程，合理开发利用水资源，提升水资源利用效率，保障生态用水，严防地下水超采。</w:t>
                  </w:r>
                </w:p>
              </w:tc>
              <w:tc>
                <w:tcPr>
                  <w:tcW w:w="1524" w:type="dxa"/>
                  <w:tcBorders>
                    <w:tl2br w:val="nil"/>
                    <w:tr2bl w:val="nil"/>
                  </w:tcBorders>
                  <w:shd w:val="clear" w:color="auto" w:fill="auto"/>
                  <w:vAlign w:val="center"/>
                </w:tcPr>
                <w:p w14:paraId="77845F9E">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本项目运营期间不涉及煤炭等化石能源使用，</w:t>
                  </w:r>
                  <w:r>
                    <w:rPr>
                      <w:rFonts w:hint="eastAsia" w:cs="Times New Roman"/>
                      <w:bCs/>
                      <w:color w:val="000000" w:themeColor="text1"/>
                      <w:kern w:val="2"/>
                      <w:sz w:val="21"/>
                      <w:szCs w:val="21"/>
                      <w:highlight w:val="none"/>
                      <w:lang w:val="en-US" w:eastAsia="zh-CN"/>
                      <w14:textFill>
                        <w14:solidFill>
                          <w14:schemeClr w14:val="tx1"/>
                        </w14:solidFill>
                      </w14:textFill>
                    </w:rPr>
                    <w:t>也无生产用水</w:t>
                  </w:r>
                  <w:r>
                    <w:rPr>
                      <w:rFonts w:hint="eastAsia"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w:t>
                  </w:r>
                </w:p>
              </w:tc>
              <w:tc>
                <w:tcPr>
                  <w:tcW w:w="427" w:type="dxa"/>
                  <w:tcBorders>
                    <w:tl2br w:val="nil"/>
                    <w:tr2bl w:val="nil"/>
                  </w:tcBorders>
                  <w:shd w:val="clear" w:color="auto" w:fill="auto"/>
                  <w:vAlign w:val="center"/>
                </w:tcPr>
                <w:p w14:paraId="6852066D">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bidi="ar"/>
                    </w:rPr>
                    <w:t>符合</w:t>
                  </w:r>
                </w:p>
              </w:tc>
            </w:tr>
            <w:tr w14:paraId="6C1C5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jc w:val="center"/>
              </w:trPr>
              <w:tc>
                <w:tcPr>
                  <w:tcW w:w="841" w:type="dxa"/>
                  <w:vMerge w:val="continue"/>
                  <w:tcBorders>
                    <w:tl2br w:val="nil"/>
                    <w:tr2bl w:val="nil"/>
                  </w:tcBorders>
                  <w:shd w:val="clear" w:color="auto" w:fill="auto"/>
                  <w:vAlign w:val="center"/>
                </w:tcPr>
                <w:p w14:paraId="20A7323D">
                  <w:pPr>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cs="Times New Roman"/>
                      <w:color w:val="auto"/>
                      <w:sz w:val="20"/>
                      <w:szCs w:val="20"/>
                      <w:highlight w:val="none"/>
                      <w:lang w:val="en-US" w:eastAsia="zh-CN"/>
                    </w:rPr>
                  </w:pPr>
                </w:p>
              </w:tc>
              <w:tc>
                <w:tcPr>
                  <w:tcW w:w="720" w:type="dxa"/>
                  <w:tcBorders>
                    <w:tl2br w:val="nil"/>
                    <w:tr2bl w:val="nil"/>
                  </w:tcBorders>
                  <w:shd w:val="clear" w:color="auto" w:fill="auto"/>
                  <w:vAlign w:val="center"/>
                </w:tcPr>
                <w:p w14:paraId="30D882C5">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eastAsia" w:ascii="宋体" w:hAnsi="宋体" w:eastAsia="宋体" w:cs="宋体"/>
                      <w:bCs/>
                      <w:color w:val="auto"/>
                      <w:kern w:val="2"/>
                      <w:sz w:val="21"/>
                      <w:szCs w:val="21"/>
                      <w:highlight w:val="none"/>
                      <w:lang w:val="en-US" w:eastAsia="zh-CN" w:bidi="ar"/>
                    </w:rPr>
                  </w:pPr>
                  <w:r>
                    <w:rPr>
                      <w:rFonts w:hint="eastAsia" w:ascii="宋体" w:hAnsi="宋体" w:eastAsia="宋体" w:cs="宋体"/>
                      <w:bCs/>
                      <w:color w:val="auto"/>
                      <w:kern w:val="2"/>
                      <w:sz w:val="21"/>
                      <w:szCs w:val="21"/>
                      <w:highlight w:val="none"/>
                      <w:lang w:val="en-US" w:eastAsia="zh-CN" w:bidi="ar"/>
                    </w:rPr>
                    <w:t>乌昌石片区具体管控要求</w:t>
                  </w:r>
                </w:p>
              </w:tc>
              <w:tc>
                <w:tcPr>
                  <w:tcW w:w="3555" w:type="dxa"/>
                  <w:tcBorders>
                    <w:tl2br w:val="nil"/>
                    <w:tr2bl w:val="nil"/>
                  </w:tcBorders>
                  <w:shd w:val="clear" w:color="auto" w:fill="auto"/>
                  <w:vAlign w:val="center"/>
                </w:tcPr>
                <w:p w14:paraId="5EC40CF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除国家规划项目外，乌鲁木齐市七区一县、昌吉市、阜康市玛纳斯县、呼图壁县、沙湾市建成区及周边敏感区域内不再布局建设煤化工、电解铝、燃煤纯发电机组、金属硅、碳化硅、聚氯乙烯</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电石法</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、焦炭</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含半焦</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等新增产能项目。具备风光电清洁供暖建设条件的区域原则上不新批热电联产项目。坚持属地负责与区域大气污染联防联控相结合，以明显降低细颗粒物浓度为重点，协同推进</w:t>
                  </w:r>
                  <w:r>
                    <w:rPr>
                      <w:rFonts w:hint="eastAsia" w:ascii="宋体" w:hAnsi="宋体" w:cs="宋体"/>
                      <w:bCs/>
                      <w:color w:val="auto"/>
                      <w:kern w:val="2"/>
                      <w:sz w:val="21"/>
                      <w:szCs w:val="21"/>
                      <w:highlight w:val="none"/>
                      <w:lang w:val="en-US" w:eastAsia="zh-CN"/>
                    </w:rPr>
                    <w:t>“乌</w:t>
                  </w:r>
                  <w:r>
                    <w:rPr>
                      <w:rFonts w:hint="eastAsia" w:ascii="宋体" w:hAnsi="宋体" w:eastAsia="宋体" w:cs="宋体"/>
                      <w:bCs/>
                      <w:color w:val="auto"/>
                      <w:kern w:val="2"/>
                      <w:sz w:val="21"/>
                      <w:szCs w:val="21"/>
                      <w:highlight w:val="none"/>
                      <w:lang w:val="en-US" w:eastAsia="zh-CN"/>
                    </w:rPr>
                    <w:t>-昌-石</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同防同治区域大气环境治理。强化与生产建设兵团第六师、第八师、第十一师、第十二师的同防同治，所有新建、改建、扩建工业项目执行最严格的大气污染物排放标准,强化氮氧化物深度治理,确保区域环境空气质量持续改善。强化挥发性有机物污染防治措施。推广使用低挥发性有机物原辅料，推动有条件的园区</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工业集聚区</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建设集中喷涂工程中心，配备高效治污设施，替代企业独立喷涂工序。</w:t>
                  </w:r>
                </w:p>
                <w:p w14:paraId="6740A150">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强化企业清洁生产改造，推进节水型企业、节水型工业园区建设，提高资源集约节约利用水平。积极推进地下水超采治理逐步压减地下水超采量，实现地下水采补平衡。</w:t>
                  </w:r>
                </w:p>
                <w:p w14:paraId="15B094DF">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强化油</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气</w:t>
                  </w:r>
                  <w:r>
                    <w:rPr>
                      <w:rFonts w:hint="eastAsia" w:ascii="宋体" w:hAnsi="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资源开发区土壤环境污染综合整治。加强涉重金属行业污染防控与工业废物处理处置。</w:t>
                  </w:r>
                </w:p>
                <w:p w14:paraId="651FD83A">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煤炭、石油、天然气开发单位应当制定生态保护和恢复治理方案，并予以实施。生态保护和恢复治理方案内容应当向社会公布，接受社会监督。</w:t>
                  </w:r>
                </w:p>
              </w:tc>
              <w:tc>
                <w:tcPr>
                  <w:tcW w:w="1524" w:type="dxa"/>
                  <w:tcBorders>
                    <w:tl2br w:val="nil"/>
                    <w:tr2bl w:val="nil"/>
                  </w:tcBorders>
                  <w:shd w:val="clear" w:color="auto" w:fill="auto"/>
                  <w:vAlign w:val="center"/>
                </w:tcPr>
                <w:p w14:paraId="7E5E129D">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本项目</w:t>
                  </w:r>
                  <w:r>
                    <w:rPr>
                      <w:rFonts w:hint="eastAsia" w:cs="Times New Roman"/>
                      <w:bCs/>
                      <w:color w:val="auto"/>
                      <w:kern w:val="2"/>
                      <w:sz w:val="21"/>
                      <w:szCs w:val="21"/>
                      <w:highlight w:val="none"/>
                      <w:lang w:val="en-US" w:eastAsia="zh-CN"/>
                    </w:rPr>
                    <w:t>不属于煤化工、电解铝、燃煤纯发电机组、金属硅、碳化硅、聚氯乙烯（电石法）、焦炭（含半焦）等</w:t>
                  </w:r>
                  <w:r>
                    <w:rPr>
                      <w:rFonts w:hint="eastAsia" w:cs="Times New Roman"/>
                      <w:bCs/>
                      <w:color w:val="000000" w:themeColor="text1"/>
                      <w:kern w:val="2"/>
                      <w:sz w:val="21"/>
                      <w:szCs w:val="21"/>
                      <w:highlight w:val="none"/>
                      <w:lang w:val="en-US" w:eastAsia="zh-CN"/>
                      <w14:textFill>
                        <w14:solidFill>
                          <w14:schemeClr w14:val="tx1"/>
                        </w14:solidFill>
                      </w14:textFill>
                    </w:rPr>
                    <w:t>新增产能项目，</w:t>
                  </w:r>
                  <w:r>
                    <w:rPr>
                      <w:rFonts w:hint="eastAsia" w:cs="Times New Roman"/>
                      <w:bCs/>
                      <w:color w:val="000000" w:themeColor="text1"/>
                      <w:sz w:val="21"/>
                      <w:szCs w:val="21"/>
                      <w:highlight w:val="none"/>
                      <w:lang w:val="en-US" w:eastAsia="zh-CN"/>
                      <w14:textFill>
                        <w14:solidFill>
                          <w14:schemeClr w14:val="tx1"/>
                        </w14:solidFill>
                      </w14:textFill>
                    </w:rPr>
                    <w:t>本项目为硝酸储罐建设项目，无生产水使用，</w:t>
                  </w:r>
                  <w:r>
                    <w:rPr>
                      <w:rFonts w:hint="eastAsia" w:cs="Times New Roman"/>
                      <w:bCs/>
                      <w:color w:val="000000" w:themeColor="text1"/>
                      <w:kern w:val="2"/>
                      <w:sz w:val="21"/>
                      <w:szCs w:val="21"/>
                      <w:highlight w:val="none"/>
                      <w:lang w:val="en-US" w:eastAsia="zh-CN"/>
                      <w14:textFill>
                        <w14:solidFill>
                          <w14:schemeClr w14:val="tx1"/>
                        </w14:solidFill>
                      </w14:textFill>
                    </w:rPr>
                    <w:t>不属于高污染企业。</w:t>
                  </w:r>
                </w:p>
              </w:tc>
              <w:tc>
                <w:tcPr>
                  <w:tcW w:w="427" w:type="dxa"/>
                  <w:tcBorders>
                    <w:tl2br w:val="nil"/>
                    <w:tr2bl w:val="nil"/>
                  </w:tcBorders>
                  <w:shd w:val="clear" w:color="auto" w:fill="auto"/>
                  <w:vAlign w:val="center"/>
                </w:tcPr>
                <w:p w14:paraId="6E811858">
                  <w:pPr>
                    <w:keepNext w:val="0"/>
                    <w:keepLines w:val="0"/>
                    <w:pageBreakBefore w:val="0"/>
                    <w:widowControl w:val="0"/>
                    <w:suppressLineNumbers w:val="0"/>
                    <w:kinsoku/>
                    <w:wordWrap/>
                    <w:overflowPunct w:val="0"/>
                    <w:topLinePunct w:val="0"/>
                    <w:bidi w:val="0"/>
                    <w:snapToGrid w:val="0"/>
                    <w:spacing w:before="0" w:beforeAutospacing="0" w:after="0" w:afterAutospacing="0" w:line="300" w:lineRule="exact"/>
                    <w:ind w:left="0" w:right="0" w:firstLine="0" w:firstLineChars="0"/>
                    <w:jc w:val="center"/>
                    <w:textAlignment w:val="auto"/>
                    <w:rPr>
                      <w:rFonts w:hint="eastAsia" w:ascii="宋体" w:hAnsi="宋体" w:eastAsia="宋体" w:cs="宋体"/>
                      <w:bCs/>
                      <w:color w:val="auto"/>
                      <w:kern w:val="2"/>
                      <w:sz w:val="21"/>
                      <w:szCs w:val="21"/>
                      <w:highlight w:val="none"/>
                      <w:lang w:val="en-US" w:eastAsia="zh-CN" w:bidi="ar"/>
                    </w:rPr>
                  </w:pPr>
                  <w:r>
                    <w:rPr>
                      <w:rFonts w:hint="eastAsia" w:ascii="宋体" w:hAnsi="宋体" w:eastAsia="宋体" w:cs="宋体"/>
                      <w:bCs/>
                      <w:color w:val="auto"/>
                      <w:kern w:val="2"/>
                      <w:sz w:val="21"/>
                      <w:szCs w:val="21"/>
                      <w:highlight w:val="none"/>
                      <w:lang w:val="en-US" w:eastAsia="zh-CN" w:bidi="ar"/>
                    </w:rPr>
                    <w:t>符合</w:t>
                  </w:r>
                </w:p>
              </w:tc>
            </w:tr>
          </w:tbl>
          <w:p w14:paraId="00868CE6">
            <w:pPr>
              <w:autoSpaceDE w:val="0"/>
              <w:autoSpaceDN w:val="0"/>
              <w:adjustRightInd w:val="0"/>
              <w:snapToGrid w:val="0"/>
              <w:spacing w:line="360" w:lineRule="auto"/>
              <w:rPr>
                <w:rFonts w:hint="eastAsia" w:ascii="Times New Roman" w:hAnsi="Times New Roman" w:cs="Times New Roman" w:eastAsiaTheme="minorEastAsia"/>
                <w:b/>
                <w:bCs/>
                <w:color w:val="auto"/>
                <w:kern w:val="0"/>
                <w:sz w:val="24"/>
                <w:szCs w:val="24"/>
                <w:lang w:val="en-US" w:eastAsia="zh-CN" w:bidi="zh-CN"/>
              </w:rPr>
            </w:pPr>
            <w:r>
              <w:rPr>
                <w:rFonts w:hint="eastAsia"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zh-CN" w:eastAsia="zh-CN" w:bidi="ar"/>
              </w:rPr>
              <w:t>、</w:t>
            </w:r>
            <w:r>
              <w:rPr>
                <w:rFonts w:hint="eastAsia" w:ascii="Times New Roman" w:hAnsi="Times New Roman" w:cs="Times New Roman" w:eastAsiaTheme="minorEastAsia"/>
                <w:b/>
                <w:bCs/>
                <w:color w:val="auto"/>
                <w:kern w:val="0"/>
                <w:sz w:val="24"/>
                <w:szCs w:val="24"/>
                <w:lang w:val="en-US" w:eastAsia="zh-CN" w:bidi="zh-CN"/>
              </w:rPr>
              <w:t xml:space="preserve">项目与《新疆维吾尔自治区大气污染防治条例》的符合性分析 </w:t>
            </w:r>
          </w:p>
          <w:p w14:paraId="5D72FB10">
            <w:pPr>
              <w:autoSpaceDE w:val="0"/>
              <w:autoSpaceDN w:val="0"/>
              <w:adjustRightInd w:val="0"/>
              <w:snapToGrid w:val="0"/>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根据《新疆维吾尔自治区大气污染防治条例》中的相关内容：“禁止在自治区行政区域内引进能（水）耗不符合相关国家标准中准入值要求且污染物排放和环境风险防控不符合国家（地方）标准及有关产业准入条件的高污染（排放）、高能（水）耗、高环境风险的工业项目。禁止新建、改建、扩建列入淘汰类目录的高污染工业项目。禁止使用列入淘汰类目录的工艺、设备、产品。” </w:t>
            </w:r>
          </w:p>
          <w:p w14:paraId="3D10D71E">
            <w:pPr>
              <w:autoSpaceDE w:val="0"/>
              <w:autoSpaceDN w:val="0"/>
              <w:adjustRightInd w:val="0"/>
              <w:snapToGrid w:val="0"/>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本项目不属于高污染（排放）、高能（水）耗、高环境风险的工业项目，不属于淘汰类目录的高污染工业项目，本项目使用先进的生产工艺及设备，符合《新疆维吾尔自治区大气污染防治条例》。  </w:t>
            </w:r>
          </w:p>
          <w:p w14:paraId="058E4D9D">
            <w:pPr>
              <w:autoSpaceDE w:val="0"/>
              <w:autoSpaceDN w:val="0"/>
              <w:adjustRightInd w:val="0"/>
              <w:snapToGrid w:val="0"/>
              <w:spacing w:line="360" w:lineRule="auto"/>
              <w:ind w:firstLine="482" w:firstLineChars="200"/>
              <w:rPr>
                <w:rFonts w:hint="default" w:ascii="Times New Roman" w:hAnsi="Times New Roman" w:cs="Times New Roman" w:eastAsiaTheme="minorEastAsia"/>
                <w:b/>
                <w:bCs/>
                <w:color w:val="auto"/>
                <w:kern w:val="0"/>
                <w:sz w:val="24"/>
              </w:rPr>
            </w:pPr>
            <w:r>
              <w:rPr>
                <w:rFonts w:hint="eastAsia" w:cs="Times New Roman"/>
                <w:b/>
                <w:color w:val="auto"/>
                <w:kern w:val="2"/>
                <w:sz w:val="24"/>
                <w:szCs w:val="24"/>
                <w:highlight w:val="none"/>
                <w:lang w:val="en-US" w:eastAsia="zh-CN" w:bidi="zh-CN"/>
              </w:rPr>
              <w:t>6</w:t>
            </w:r>
            <w:r>
              <w:rPr>
                <w:rFonts w:hint="default" w:ascii="Times New Roman" w:hAnsi="Times New Roman" w:eastAsia="宋体" w:cs="Times New Roman"/>
                <w:b/>
                <w:color w:val="auto"/>
                <w:kern w:val="2"/>
                <w:sz w:val="24"/>
                <w:szCs w:val="24"/>
                <w:highlight w:val="none"/>
                <w:lang w:val="en-US" w:eastAsia="zh-CN" w:bidi="zh-CN"/>
              </w:rPr>
              <w:t>、</w:t>
            </w:r>
            <w:r>
              <w:rPr>
                <w:rFonts w:hint="default" w:ascii="Times New Roman" w:hAnsi="Times New Roman" w:cs="Times New Roman" w:eastAsiaTheme="minorEastAsia"/>
                <w:b/>
                <w:bCs/>
                <w:color w:val="auto"/>
                <w:kern w:val="0"/>
                <w:sz w:val="24"/>
              </w:rPr>
              <w:t>项目与《新疆生态环境保护“十四五”规划》的符合性分析</w:t>
            </w:r>
          </w:p>
          <w:p w14:paraId="10626AEC">
            <w:pPr>
              <w:autoSpaceDE w:val="0"/>
              <w:autoSpaceDN w:val="0"/>
              <w:adjustRightInd w:val="0"/>
              <w:snapToGrid w:val="0"/>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新疆生态环境保护“十四五”规划》指出：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强化区域大气污染联防联控，合理确定产业布局，推动区域内统一产业准入和排放标准。实施钢铁、水泥、焦化等行业季节性生产调控措施，推进散煤整治、挥发性有机污染物</w:t>
            </w:r>
            <w:r>
              <w:rPr>
                <w:rFonts w:hint="eastAsia"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以下简称“</w:t>
            </w:r>
            <w:r>
              <w:rPr>
                <w:rFonts w:hint="default" w:ascii="Times New Roman" w:hAnsi="Times New Roman" w:eastAsia="宋体" w:cs="Times New Roman"/>
                <w:color w:val="000000"/>
                <w:kern w:val="0"/>
                <w:sz w:val="24"/>
                <w:szCs w:val="24"/>
                <w:lang w:val="en-US" w:eastAsia="zh-CN" w:bidi="ar"/>
              </w:rPr>
              <w:t>VOCs</w:t>
            </w:r>
            <w:r>
              <w:rPr>
                <w:rFonts w:hint="eastAsia" w:ascii="宋体" w:hAnsi="宋体" w:eastAsia="宋体" w:cs="宋体"/>
                <w:color w:val="000000"/>
                <w:kern w:val="0"/>
                <w:sz w:val="24"/>
                <w:szCs w:val="24"/>
                <w:lang w:val="en-US" w:eastAsia="zh-CN" w:bidi="ar"/>
              </w:rPr>
              <w:t>”</w:t>
            </w:r>
            <w:r>
              <w:rPr>
                <w:rFonts w:hint="eastAsia"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综合治理、钢铁、水泥、焦化和燃煤工业锅炉行业超低排放改造、燃气锅炉低氮燃烧改造、工业聚集区内轨道运输</w:t>
            </w:r>
            <w:r>
              <w:rPr>
                <w:rFonts w:hint="eastAsia"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大宗货物“公转铁”</w:t>
            </w:r>
            <w:r>
              <w:rPr>
                <w:rFonts w:hint="eastAsia"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、柴油货车治理、锅炉炉窑综合治理等工程项目。全面推行绿色施工，持续推动城市建成区重污染企业搬迁或关闭退出。</w:t>
            </w:r>
          </w:p>
          <w:p w14:paraId="4B82C4D6">
            <w:pPr>
              <w:autoSpaceDE w:val="0"/>
              <w:autoSpaceDN w:val="0"/>
              <w:adjustRightInd w:val="0"/>
              <w:snapToGrid w:val="0"/>
              <w:spacing w:line="360" w:lineRule="auto"/>
              <w:ind w:firstLine="480" w:firstLineChars="200"/>
            </w:pPr>
            <w:r>
              <w:rPr>
                <w:rFonts w:hint="eastAsia" w:ascii="宋体" w:hAnsi="宋体" w:eastAsia="宋体" w:cs="宋体"/>
                <w:color w:val="000000"/>
                <w:kern w:val="0"/>
                <w:sz w:val="24"/>
                <w:szCs w:val="24"/>
                <w:lang w:val="en-US" w:eastAsia="zh-CN" w:bidi="ar"/>
              </w:rPr>
              <w:t>本项目不属于“两高”项目。不在新疆及昌吉州生态保护红线范围内，符合“三线一单”生态环境分区管控要</w:t>
            </w:r>
            <w:r>
              <w:rPr>
                <w:rFonts w:hint="eastAsia" w:ascii="宋体" w:hAnsi="宋体" w:eastAsia="宋体" w:cs="宋体"/>
                <w:color w:val="000000" w:themeColor="text1"/>
                <w:kern w:val="0"/>
                <w:sz w:val="24"/>
                <w:szCs w:val="24"/>
                <w:lang w:val="en-US" w:eastAsia="zh-CN" w:bidi="ar"/>
                <w14:textFill>
                  <w14:solidFill>
                    <w14:schemeClr w14:val="tx1"/>
                  </w14:solidFill>
                </w14:textFill>
              </w:rPr>
              <w:t>求。本项目生产过程中主要为硝酸储罐大小呼吸产生的无组织废气，对周</w:t>
            </w:r>
            <w:r>
              <w:rPr>
                <w:rFonts w:hint="eastAsia" w:ascii="宋体" w:hAnsi="宋体" w:eastAsia="宋体" w:cs="宋体"/>
                <w:color w:val="000000"/>
                <w:kern w:val="0"/>
                <w:sz w:val="24"/>
                <w:szCs w:val="24"/>
                <w:lang w:val="en-US" w:eastAsia="zh-CN" w:bidi="ar"/>
              </w:rPr>
              <w:t>围环境影响较小。因此，项目建设符合《新疆生态环境保护“十四五”规划》要求。</w:t>
            </w:r>
          </w:p>
          <w:p w14:paraId="14F267C7">
            <w:pPr>
              <w:pStyle w:val="35"/>
              <w:widowControl w:val="0"/>
              <w:wordWrap w:val="0"/>
              <w:autoSpaceDE w:val="0"/>
              <w:autoSpaceDN w:val="0"/>
              <w:adjustRightInd w:val="0"/>
              <w:snapToGrid w:val="0"/>
              <w:spacing w:line="360" w:lineRule="auto"/>
              <w:ind w:firstLine="482" w:firstLineChars="200"/>
              <w:rPr>
                <w:rFonts w:hint="default" w:ascii="Times New Roman" w:hAnsi="Times New Roman" w:cs="Times New Roman" w:eastAsiaTheme="minorEastAsia"/>
                <w:b w:val="0"/>
                <w:color w:val="000000" w:themeColor="text1"/>
                <w:sz w:val="24"/>
                <w:szCs w:val="24"/>
                <w14:textFill>
                  <w14:solidFill>
                    <w14:schemeClr w14:val="tx1"/>
                  </w14:solidFill>
                </w14:textFill>
              </w:rPr>
            </w:pPr>
            <w:r>
              <w:rPr>
                <w:rFonts w:hint="eastAsia" w:cs="Times New Roman"/>
                <w:b/>
                <w:color w:val="000000" w:themeColor="text1"/>
                <w:kern w:val="2"/>
                <w:sz w:val="24"/>
                <w:szCs w:val="24"/>
                <w:highlight w:val="none"/>
                <w:lang w:val="en-US" w:eastAsia="zh-CN" w:bidi="zh-CN"/>
                <w14:textFill>
                  <w14:solidFill>
                    <w14:schemeClr w14:val="tx1"/>
                  </w14:solidFill>
                </w14:textFill>
              </w:rPr>
              <w:t>7</w:t>
            </w:r>
            <w:r>
              <w:rPr>
                <w:rFonts w:hint="default" w:ascii="Times New Roman" w:hAnsi="Times New Roman" w:eastAsia="宋体" w:cs="Times New Roman"/>
                <w:b/>
                <w:color w:val="000000" w:themeColor="text1"/>
                <w:kern w:val="2"/>
                <w:sz w:val="24"/>
                <w:szCs w:val="24"/>
                <w:highlight w:val="none"/>
                <w:lang w:val="en-US" w:eastAsia="zh-CN" w:bidi="zh-CN"/>
                <w14:textFill>
                  <w14:solidFill>
                    <w14:schemeClr w14:val="tx1"/>
                  </w14:solidFill>
                </w14:textFill>
              </w:rPr>
              <w:t>、</w:t>
            </w:r>
            <w:r>
              <w:rPr>
                <w:rFonts w:hint="default" w:ascii="Times New Roman" w:hAnsi="Times New Roman" w:cs="Times New Roman" w:eastAsiaTheme="minorEastAsia"/>
                <w:bCs/>
                <w:color w:val="000000" w:themeColor="text1"/>
                <w:sz w:val="24"/>
                <w:szCs w:val="24"/>
                <w14:textFill>
                  <w14:solidFill>
                    <w14:schemeClr w14:val="tx1"/>
                  </w14:solidFill>
                </w14:textFill>
              </w:rPr>
              <w:t>项目与《</w:t>
            </w:r>
            <w:r>
              <w:rPr>
                <w:rFonts w:hint="default" w:ascii="Times New Roman" w:hAnsi="Times New Roman" w:cs="Times New Roman" w:eastAsiaTheme="minorEastAsia"/>
                <w:color w:val="000000" w:themeColor="text1"/>
                <w:sz w:val="24"/>
                <w:szCs w:val="24"/>
                <w14:textFill>
                  <w14:solidFill>
                    <w14:schemeClr w14:val="tx1"/>
                  </w14:solidFill>
                </w14:textFill>
              </w:rPr>
              <w:t>昌吉回族自治州生态环境保护与建设</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十四五</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规划</w:t>
            </w:r>
            <w:r>
              <w:rPr>
                <w:rFonts w:hint="default" w:ascii="Times New Roman" w:hAnsi="Times New Roman" w:cs="Times New Roman" w:eastAsiaTheme="minorEastAsia"/>
                <w:bCs/>
                <w:color w:val="000000" w:themeColor="text1"/>
                <w:sz w:val="24"/>
                <w:szCs w:val="24"/>
                <w14:textFill>
                  <w14:solidFill>
                    <w14:schemeClr w14:val="tx1"/>
                  </w14:solidFill>
                </w14:textFill>
              </w:rPr>
              <w:t>》的符合性分析</w:t>
            </w:r>
          </w:p>
          <w:p w14:paraId="53060C7C">
            <w:pPr>
              <w:pStyle w:val="2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根据《昌吉回族自治州生态环境保护与建设</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十四五</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规划》的内容要求：强化高污染燃料禁燃区监督管理，加强</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乌-昌-石</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区域4县市禁燃区监督管理工作。积极推进城市建成区、工业园区热电联供，加快推进集中供热、</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煤改电</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工程建设。加快城乡结合部、农村民用和农业生产散烧煤13的清洁能源替代，积极争取中央财政关于北方地区冬季清洁取暖项目资金支持。优化天然气使用方向，新增天然气优先保障城镇居民和</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乌-昌-石</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区域内4县市、2园区散煤替代。积极开发煤层气（煤矿瓦斯）综合利用，实施生物天然气工程。</w:t>
            </w:r>
          </w:p>
          <w:p w14:paraId="3718EFE3">
            <w:pPr>
              <w:pStyle w:val="2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本项目不涉及燃煤锅炉，符合《昌吉回族自治州生态环境保护与建设</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十四五</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规划》相关内容。</w:t>
            </w:r>
          </w:p>
          <w:p w14:paraId="5899F5EA">
            <w:pPr>
              <w:pStyle w:val="29"/>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imes New Roman" w:hAnsi="Times New Roman" w:eastAsia="宋体" w:cs="Times New Roman"/>
                <w:b/>
                <w:color w:val="0000FF"/>
                <w:kern w:val="2"/>
                <w:sz w:val="24"/>
                <w:szCs w:val="24"/>
                <w:highlight w:val="none"/>
                <w:lang w:val="en-US" w:eastAsia="zh-CN" w:bidi="zh-CN"/>
              </w:rPr>
            </w:pPr>
            <w:r>
              <w:rPr>
                <w:rFonts w:hint="eastAsia" w:ascii="Times New Roman" w:hAnsi="Times New Roman" w:eastAsia="宋体" w:cs="Times New Roman"/>
                <w:b/>
                <w:color w:val="0000FF"/>
                <w:kern w:val="2"/>
                <w:sz w:val="24"/>
                <w:szCs w:val="24"/>
                <w:highlight w:val="none"/>
                <w:lang w:val="en-US" w:eastAsia="zh-CN" w:bidi="zh-CN"/>
              </w:rPr>
              <w:t>8、项目与《新疆维吾尔自治区2025年空气质量持续改善行动实施方案》（新政办发〔2024〕58 号）符合性分析</w:t>
            </w:r>
          </w:p>
          <w:p w14:paraId="06E8F1CE">
            <w:pPr>
              <w:pStyle w:val="2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eastAsia="宋体" w:cs="Times New Roman"/>
                <w:color w:val="0000FF"/>
                <w:kern w:val="0"/>
                <w:sz w:val="24"/>
                <w:szCs w:val="24"/>
                <w:highlight w:val="none"/>
                <w:lang w:val="en-US" w:eastAsia="zh-CN" w:bidi="ar-SA"/>
              </w:rPr>
            </w:pPr>
            <w:r>
              <w:rPr>
                <w:rFonts w:hint="eastAsia" w:ascii="Times New Roman" w:hAnsi="Times New Roman" w:eastAsia="宋体" w:cs="Times New Roman"/>
                <w:color w:val="0000FF"/>
                <w:kern w:val="0"/>
                <w:sz w:val="24"/>
                <w:szCs w:val="24"/>
                <w:highlight w:val="none"/>
                <w:lang w:val="en-US" w:eastAsia="zh-CN" w:bidi="ar-SA"/>
              </w:rPr>
              <w:t>根据《新疆维吾尔自治区2025年空气质量持续改善行动实施方案》文件中规定：强化挥发性有机物和氮氧化物综合治理。优化含VOCs原辅材料和产品结构，加快推进含VOCs原辅材料源头替代，推广使用低(无)VOCs含量涂料，严格执行VOCs含量限值标准。实施石化、化工、工业涂装、包装印刷等重点行业及油品储运销(储罐)VOCs深度治理。企业开停工、检维修期间，及时收集处理退料、清洗、吹扫等作业产生的VOCs废气，不得将火炬燃烧装置作为日常大气污染处理设施。联防联控区石化、化工行业集中的园区，建立统一的泄漏检测与修复信息管理平台。加大锅炉、炉窑及移动源</w:t>
            </w:r>
            <w:r>
              <w:rPr>
                <w:rFonts w:hint="eastAsia" w:ascii="Times New Roman" w:hAnsi="Times New Roman" w:cs="Times New Roman"/>
                <w:color w:val="0000FF"/>
                <w:kern w:val="0"/>
                <w:sz w:val="24"/>
                <w:szCs w:val="24"/>
                <w:highlight w:val="none"/>
                <w:lang w:val="en-US" w:eastAsia="zh-CN" w:bidi="ar-SA"/>
              </w:rPr>
              <w:t>氮</w:t>
            </w:r>
            <w:r>
              <w:rPr>
                <w:rFonts w:hint="eastAsia" w:ascii="Times New Roman" w:hAnsi="Times New Roman" w:eastAsia="宋体" w:cs="Times New Roman"/>
                <w:color w:val="0000FF"/>
                <w:kern w:val="0"/>
                <w:sz w:val="24"/>
                <w:szCs w:val="24"/>
                <w:highlight w:val="none"/>
                <w:lang w:val="en-US" w:eastAsia="zh-CN" w:bidi="ar-SA"/>
              </w:rPr>
              <w:t>氧化物减排力度，有序实施燃气锅炉低氮燃烧改造。加强氮肥、纯碱等行业大气氨排放治理，强化工业源烟气脱硫脱硝氨逃逸防控。</w:t>
            </w:r>
          </w:p>
          <w:p w14:paraId="2807B759">
            <w:pPr>
              <w:pStyle w:val="2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eastAsia="宋体" w:cs="Times New Roman"/>
                <w:color w:val="0000FF"/>
                <w:kern w:val="0"/>
                <w:sz w:val="24"/>
                <w:szCs w:val="24"/>
                <w:highlight w:val="none"/>
                <w:lang w:val="en-US" w:eastAsia="zh-CN" w:bidi="ar-SA"/>
              </w:rPr>
            </w:pPr>
            <w:r>
              <w:rPr>
                <w:rFonts w:hint="eastAsia" w:ascii="Times New Roman" w:hAnsi="Times New Roman" w:cs="Times New Roman"/>
                <w:color w:val="0000FF"/>
                <w:kern w:val="0"/>
                <w:sz w:val="24"/>
                <w:szCs w:val="24"/>
                <w:highlight w:val="none"/>
                <w:lang w:val="en-US" w:eastAsia="zh-CN" w:bidi="ar-SA"/>
              </w:rPr>
              <w:t>本项目为硝酸储罐建设，产生的废气为无组织氮氧化物，不涉及</w:t>
            </w:r>
            <w:r>
              <w:rPr>
                <w:rFonts w:hint="eastAsia" w:ascii="Times New Roman" w:hAnsi="Times New Roman" w:eastAsia="宋体" w:cs="Times New Roman"/>
                <w:color w:val="0000FF"/>
                <w:kern w:val="0"/>
                <w:sz w:val="24"/>
                <w:szCs w:val="24"/>
                <w:highlight w:val="none"/>
                <w:lang w:val="en-US" w:eastAsia="zh-CN" w:bidi="ar-SA"/>
              </w:rPr>
              <w:t>VOCs</w:t>
            </w:r>
            <w:r>
              <w:rPr>
                <w:rFonts w:hint="eastAsia" w:ascii="Times New Roman" w:hAnsi="Times New Roman" w:cs="Times New Roman"/>
                <w:color w:val="0000FF"/>
                <w:kern w:val="0"/>
                <w:sz w:val="24"/>
                <w:szCs w:val="24"/>
                <w:highlight w:val="none"/>
                <w:lang w:val="en-US" w:eastAsia="zh-CN" w:bidi="ar-SA"/>
              </w:rPr>
              <w:t>和氨排放，</w:t>
            </w:r>
            <w:r>
              <w:rPr>
                <w:rFonts w:hint="eastAsia" w:ascii="Times New Roman" w:hAnsi="Times New Roman" w:eastAsia="宋体" w:cs="Times New Roman"/>
                <w:color w:val="0000FF"/>
                <w:kern w:val="0"/>
                <w:sz w:val="24"/>
                <w:szCs w:val="24"/>
                <w:highlight w:val="none"/>
                <w:lang w:val="en-US" w:eastAsia="zh-CN" w:bidi="ar-SA"/>
              </w:rPr>
              <w:t>因此，项目建设符合《新疆维吾尔自治区2025年空气质量持续改善行动实施方案》要求。</w:t>
            </w:r>
          </w:p>
          <w:p w14:paraId="0E9413CE">
            <w:pPr>
              <w:pStyle w:val="29"/>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cs="Times New Roman"/>
                <w:b/>
                <w:color w:val="0000FF"/>
                <w:kern w:val="2"/>
                <w:sz w:val="24"/>
                <w:szCs w:val="24"/>
                <w:highlight w:val="none"/>
                <w:lang w:val="en-US" w:eastAsia="zh-CN" w:bidi="zh-CN"/>
              </w:rPr>
            </w:pPr>
            <w:r>
              <w:rPr>
                <w:rFonts w:hint="eastAsia" w:cs="Times New Roman"/>
                <w:b/>
                <w:color w:val="0000FF"/>
                <w:kern w:val="2"/>
                <w:sz w:val="24"/>
                <w:szCs w:val="24"/>
                <w:highlight w:val="none"/>
                <w:lang w:val="en-US" w:eastAsia="zh-CN" w:bidi="zh-CN"/>
              </w:rPr>
              <w:t>9、项目与《关于印发新疆维吾尔自治区新污染物治理工作方案的通知》（新政办发〔2023〕3 号）符合性分析</w:t>
            </w:r>
          </w:p>
          <w:p w14:paraId="7B7858AD">
            <w:pPr>
              <w:pStyle w:val="2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eastAsia="宋体" w:cs="Times New Roman"/>
                <w:color w:val="0000FF"/>
                <w:kern w:val="0"/>
                <w:sz w:val="24"/>
                <w:szCs w:val="24"/>
                <w:highlight w:val="none"/>
                <w:lang w:val="en-US" w:eastAsia="zh-CN" w:bidi="ar-SA"/>
              </w:rPr>
            </w:pPr>
            <w:r>
              <w:rPr>
                <w:rFonts w:hint="eastAsia" w:ascii="Times New Roman" w:hAnsi="Times New Roman" w:cs="Times New Roman"/>
                <w:color w:val="0000FF"/>
                <w:kern w:val="0"/>
                <w:sz w:val="24"/>
                <w:szCs w:val="24"/>
                <w:highlight w:val="none"/>
                <w:lang w:val="en-US" w:eastAsia="zh-CN" w:bidi="ar-SA"/>
              </w:rPr>
              <w:t>《关于印发新疆维吾尔自治区新污染物治理工作方案的通知》中规定：加强新污染物多环境介质协同治理。加强有毒有害大气污染物、水污染物环境治理。加强涉重点管控新污染物企业环境监管，将重点管控新污染物纳入排污许可管理，督促企业开展排污口及其周边环境监测，定期排查整治环境安全隐患，严格落实风险防范措施。土壤污染重点监管单位应严格控制有毒有害物质排放，建立土壤污染隐患排</w:t>
            </w:r>
            <w:r>
              <w:rPr>
                <w:rFonts w:hint="eastAsia" w:ascii="Times New Roman" w:hAnsi="Times New Roman" w:eastAsia="宋体" w:cs="Times New Roman"/>
                <w:color w:val="0000FF"/>
                <w:kern w:val="0"/>
                <w:sz w:val="24"/>
                <w:szCs w:val="24"/>
                <w:highlight w:val="none"/>
                <w:lang w:val="en-US" w:eastAsia="zh-CN" w:bidi="ar-SA"/>
              </w:rPr>
              <w:t>查制度，防止有毒有害物质渗漏、流失、扬散。生产、加工使用或排放重点管控新污染物清单中所列化学物质的企业应纳入环境监管重点单位。</w:t>
            </w:r>
          </w:p>
          <w:p w14:paraId="0057EAE9">
            <w:pPr>
              <w:pStyle w:val="2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eastAsia="宋体" w:cs="Times New Roman"/>
                <w:color w:val="0000FF"/>
                <w:kern w:val="0"/>
                <w:sz w:val="24"/>
                <w:szCs w:val="24"/>
                <w:highlight w:val="none"/>
                <w:lang w:val="en-US" w:eastAsia="zh-CN" w:bidi="ar-SA"/>
              </w:rPr>
            </w:pPr>
            <w:r>
              <w:rPr>
                <w:rFonts w:hint="eastAsia" w:ascii="Times New Roman" w:hAnsi="Times New Roman" w:eastAsia="宋体" w:cs="Times New Roman"/>
                <w:color w:val="0000FF"/>
                <w:kern w:val="0"/>
                <w:sz w:val="24"/>
                <w:szCs w:val="24"/>
                <w:highlight w:val="none"/>
                <w:lang w:val="en-US" w:eastAsia="zh-CN" w:bidi="ar-SA"/>
              </w:rPr>
              <w:t>本项目</w:t>
            </w:r>
            <w:r>
              <w:rPr>
                <w:rFonts w:hint="eastAsia" w:ascii="Times New Roman" w:hAnsi="Times New Roman" w:cs="Times New Roman"/>
                <w:color w:val="0000FF"/>
                <w:kern w:val="0"/>
                <w:sz w:val="24"/>
                <w:szCs w:val="24"/>
                <w:highlight w:val="none"/>
                <w:lang w:val="en-US" w:eastAsia="zh-CN" w:bidi="ar-SA"/>
              </w:rPr>
              <w:t>为硝酸储罐建设，制定突发环境事件应急预案，严格落实风险防范措施，建立了土壤隐患排查制度，编制了土壤隐患排查报告，因此，项目符合《关于印发新疆维吾尔自治区新污染物治理工作方案的通知》</w:t>
            </w:r>
            <w:r>
              <w:rPr>
                <w:rFonts w:hint="eastAsia" w:ascii="Times New Roman" w:hAnsi="Times New Roman" w:eastAsia="宋体" w:cs="Times New Roman"/>
                <w:color w:val="0000FF"/>
                <w:kern w:val="0"/>
                <w:sz w:val="24"/>
                <w:szCs w:val="24"/>
                <w:highlight w:val="none"/>
                <w:lang w:val="en-US" w:eastAsia="zh-CN" w:bidi="ar-SA"/>
              </w:rPr>
              <w:t>要求。</w:t>
            </w:r>
          </w:p>
          <w:p w14:paraId="0D5636FB">
            <w:pPr>
              <w:rPr>
                <w:rFonts w:hint="eastAsia" w:ascii="Times New Roman" w:hAnsi="Times New Roman" w:cs="Times New Roman" w:eastAsiaTheme="minorEastAsia"/>
                <w:b/>
                <w:bCs/>
                <w:color w:val="0000FF"/>
                <w:sz w:val="24"/>
                <w:szCs w:val="24"/>
                <w:lang w:val="en-US" w:eastAsia="zh-CN" w:bidi="ar-SA"/>
              </w:rPr>
            </w:pPr>
            <w:r>
              <w:rPr>
                <w:rFonts w:hint="eastAsia" w:ascii="Times New Roman" w:hAnsi="Times New Roman" w:cs="Times New Roman" w:eastAsiaTheme="minorEastAsia"/>
                <w:b/>
                <w:bCs/>
                <w:color w:val="0000FF"/>
                <w:sz w:val="24"/>
                <w:szCs w:val="24"/>
                <w:lang w:val="en-US" w:eastAsia="zh-CN" w:bidi="ar-SA"/>
              </w:rPr>
              <w:t>10、</w:t>
            </w:r>
            <w:r>
              <w:rPr>
                <w:rFonts w:hint="default" w:ascii="Times New Roman" w:hAnsi="Times New Roman" w:cs="Times New Roman" w:eastAsiaTheme="minorEastAsia"/>
                <w:b/>
                <w:bCs/>
                <w:color w:val="0000FF"/>
                <w:sz w:val="24"/>
                <w:szCs w:val="24"/>
                <w:lang w:val="en-US" w:eastAsia="zh-CN" w:bidi="ar-SA"/>
              </w:rPr>
              <w:t>项目与</w:t>
            </w:r>
            <w:r>
              <w:rPr>
                <w:rFonts w:hint="eastAsia" w:ascii="Times New Roman" w:hAnsi="Times New Roman" w:cs="Times New Roman" w:eastAsiaTheme="minorEastAsia"/>
                <w:b/>
                <w:bCs/>
                <w:color w:val="0000FF"/>
                <w:sz w:val="24"/>
                <w:szCs w:val="24"/>
                <w:lang w:val="en-US" w:eastAsia="zh-CN" w:bidi="ar-SA"/>
              </w:rPr>
              <w:t>《关于进一步加强乌鲁木齐、昌古、石河子、五家渠区域大气环境同防同治的意见》（新政办发〔2023〕29号）相符性分析</w:t>
            </w:r>
          </w:p>
          <w:p w14:paraId="4419A270">
            <w:pPr>
              <w:rPr>
                <w:rFonts w:hint="eastAsia" w:ascii="宋体" w:hAnsi="宋体" w:eastAsia="宋体" w:cs="宋体"/>
                <w:color w:val="0000FF"/>
                <w:kern w:val="0"/>
                <w:sz w:val="24"/>
                <w:szCs w:val="24"/>
                <w:lang w:val="en-US" w:eastAsia="zh-CN" w:bidi="ar"/>
              </w:rPr>
            </w:pPr>
            <w:r>
              <w:rPr>
                <w:rFonts w:hint="eastAsia" w:ascii="宋体" w:hAnsi="宋体" w:eastAsia="宋体" w:cs="宋体"/>
                <w:color w:val="0000FF"/>
                <w:kern w:val="0"/>
                <w:sz w:val="24"/>
                <w:szCs w:val="24"/>
                <w:lang w:val="en-US" w:eastAsia="zh-CN" w:bidi="ar"/>
              </w:rPr>
              <w:t>根据《关于加强乌鲁木齐、昌吉、石河子、五家渠区域环境同防同治的意见》文件中规定：坚决遏制“高耗能、高排放、低水平”项目盲目发展。加快推进产业布局调整，严格高耗能、高排放、低水平(“两高一低”)项目准入，严格落实国家产业规划、产业政策“三线一单”规划环评，以及产能置换、煤炭消费减量替代、区域污染物削减等要求，坚决叫停不符合要求的“两高一低”项目。新建、改建、扩建“两高一低”项目须符合生态环境保护法律法规和相关法定规划，满足重点污染物排放总量控制、碳排放碳达峰目标、生态环境准入清单、相关规划环评和相应行业建设项目环境准入条件、环评文件审批原则要求。要充分考虑环境容量、能耗双控、碳排放等因素，除国家规定新增原料用能不纳入能源消费总量控制的项目和列入国家规划项目外，“</w:t>
            </w:r>
            <w:r>
              <w:rPr>
                <w:rFonts w:hint="eastAsia" w:cs="宋体"/>
                <w:color w:val="0000FF"/>
                <w:kern w:val="0"/>
                <w:sz w:val="24"/>
                <w:szCs w:val="24"/>
                <w:lang w:val="en-US" w:eastAsia="zh-CN" w:bidi="ar"/>
              </w:rPr>
              <w:t>乌</w:t>
            </w:r>
            <w:r>
              <w:rPr>
                <w:rFonts w:hint="eastAsia" w:ascii="宋体" w:hAnsi="宋体" w:eastAsia="宋体" w:cs="宋体"/>
                <w:color w:val="0000FF"/>
                <w:kern w:val="0"/>
                <w:sz w:val="24"/>
                <w:szCs w:val="24"/>
                <w:lang w:val="en-US" w:eastAsia="zh-CN" w:bidi="ar"/>
              </w:rPr>
              <w:t>一昌一石”区域严控新建、扩建使用煤炭项目，严控新增钢铁、焦化、炼油、电解铝、水泥熟料、平板玻璃、煤化工产能。新建、改建、扩建项目严格按照产能置换办法实施减量置换。推行钢铁、焦化、烧结一体化布局,有序推动长流程炼钢转型为电炉短流程炼钢。</w:t>
            </w:r>
          </w:p>
          <w:p w14:paraId="25A28523">
            <w:pPr>
              <w:rPr>
                <w:rFonts w:hint="eastAsia" w:ascii="宋体" w:hAnsi="宋体" w:eastAsia="宋体" w:cs="宋体"/>
                <w:color w:val="0000FF"/>
                <w:kern w:val="0"/>
                <w:sz w:val="24"/>
                <w:szCs w:val="24"/>
                <w:lang w:val="en-US" w:eastAsia="zh-CN" w:bidi="ar"/>
              </w:rPr>
            </w:pPr>
            <w:r>
              <w:rPr>
                <w:rFonts w:hint="eastAsia" w:ascii="宋体" w:hAnsi="宋体" w:eastAsia="宋体" w:cs="宋体"/>
                <w:color w:val="0000FF"/>
                <w:kern w:val="0"/>
                <w:sz w:val="24"/>
                <w:szCs w:val="24"/>
                <w:lang w:val="en-US" w:eastAsia="zh-CN" w:bidi="ar"/>
              </w:rPr>
              <w:t>本项目为</w:t>
            </w:r>
            <w:r>
              <w:rPr>
                <w:rFonts w:hint="eastAsia" w:ascii="Times New Roman" w:hAnsi="Times New Roman" w:cs="Times New Roman"/>
                <w:color w:val="0000FF"/>
                <w:sz w:val="24"/>
                <w:szCs w:val="24"/>
                <w:highlight w:val="none"/>
                <w:lang w:val="en-US" w:eastAsia="zh-CN"/>
              </w:rPr>
              <w:t>硝酸储罐建设项目</w:t>
            </w:r>
            <w:r>
              <w:rPr>
                <w:rFonts w:hint="eastAsia" w:ascii="宋体" w:hAnsi="宋体" w:eastAsia="宋体" w:cs="宋体"/>
                <w:color w:val="0000FF"/>
                <w:kern w:val="0"/>
                <w:sz w:val="24"/>
                <w:szCs w:val="24"/>
                <w:lang w:val="en-US" w:eastAsia="zh-CN" w:bidi="ar"/>
              </w:rPr>
              <w:t>，</w:t>
            </w:r>
            <w:r>
              <w:rPr>
                <w:rFonts w:hint="eastAsia" w:cs="宋体"/>
                <w:color w:val="0000FF"/>
                <w:kern w:val="0"/>
                <w:sz w:val="24"/>
                <w:szCs w:val="24"/>
                <w:lang w:val="en-US" w:eastAsia="zh-CN" w:bidi="ar"/>
              </w:rPr>
              <w:t>不属于</w:t>
            </w:r>
            <w:r>
              <w:rPr>
                <w:rFonts w:hint="eastAsia" w:ascii="宋体" w:hAnsi="宋体" w:eastAsia="宋体" w:cs="宋体"/>
                <w:color w:val="0000FF"/>
                <w:kern w:val="0"/>
                <w:sz w:val="24"/>
                <w:szCs w:val="24"/>
                <w:lang w:val="en-US" w:eastAsia="zh-CN" w:bidi="ar"/>
              </w:rPr>
              <w:t>“高耗能、高排放、低水平”及“</w:t>
            </w:r>
            <w:r>
              <w:rPr>
                <w:rFonts w:hint="eastAsia" w:cs="宋体"/>
                <w:color w:val="0000FF"/>
                <w:kern w:val="0"/>
                <w:sz w:val="24"/>
                <w:szCs w:val="24"/>
                <w:lang w:val="en-US" w:eastAsia="zh-CN" w:bidi="ar"/>
              </w:rPr>
              <w:t>乌</w:t>
            </w:r>
            <w:r>
              <w:rPr>
                <w:rFonts w:hint="eastAsia" w:ascii="宋体" w:hAnsi="宋体" w:eastAsia="宋体" w:cs="宋体"/>
                <w:color w:val="0000FF"/>
                <w:kern w:val="0"/>
                <w:sz w:val="24"/>
                <w:szCs w:val="24"/>
                <w:lang w:val="en-US" w:eastAsia="zh-CN" w:bidi="ar"/>
              </w:rPr>
              <w:t>一昌一石</w:t>
            </w:r>
            <w:r>
              <w:rPr>
                <w:rFonts w:hint="default" w:ascii="宋体" w:hAnsi="宋体" w:eastAsia="宋体" w:cs="宋体"/>
                <w:color w:val="0000FF"/>
                <w:kern w:val="0"/>
                <w:sz w:val="24"/>
                <w:szCs w:val="24"/>
                <w:lang w:val="en-US" w:eastAsia="zh-CN" w:bidi="ar"/>
              </w:rPr>
              <w:t>”</w:t>
            </w:r>
            <w:r>
              <w:rPr>
                <w:rFonts w:hint="eastAsia" w:ascii="宋体" w:hAnsi="宋体" w:eastAsia="宋体" w:cs="宋体"/>
                <w:color w:val="0000FF"/>
                <w:kern w:val="0"/>
                <w:sz w:val="24"/>
                <w:szCs w:val="24"/>
                <w:lang w:val="en-US" w:eastAsia="zh-CN" w:bidi="ar"/>
              </w:rPr>
              <w:t>区域严控新建、扩建使用煤炭项目，也不属于钢铁、焦化、炼油、电解铝、水泥熟料、平板玻璃、煤化工，项目的建设符合《关于加强乌鲁木齐、昌吉、石河子、五家渠区域环境同防同治的意见》文件相关规定。</w:t>
            </w:r>
          </w:p>
          <w:p w14:paraId="1425A9AB">
            <w:pPr>
              <w:pStyle w:val="29"/>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cs="Times New Roman"/>
                <w:b/>
                <w:color w:val="000000" w:themeColor="text1"/>
                <w:kern w:val="2"/>
                <w:sz w:val="24"/>
                <w:szCs w:val="24"/>
                <w:highlight w:val="none"/>
                <w:lang w:val="en-US" w:eastAsia="zh-CN" w:bidi="zh-CN"/>
                <w14:textFill>
                  <w14:solidFill>
                    <w14:schemeClr w14:val="tx1"/>
                  </w14:solidFill>
                </w14:textFill>
              </w:rPr>
            </w:pPr>
          </w:p>
        </w:tc>
      </w:tr>
    </w:tbl>
    <w:p w14:paraId="58F605D1">
      <w:pPr>
        <w:pStyle w:val="30"/>
        <w:rPr>
          <w:rFonts w:hint="default"/>
        </w:rPr>
      </w:pPr>
    </w:p>
    <w:p w14:paraId="4DC8EEBA">
      <w:pPr>
        <w:rPr>
          <w:rFonts w:hint="eastAsia" w:ascii="Times New Roman" w:hAnsi="Times New Roman" w:eastAsia="黑体" w:cs="Times New Roman"/>
          <w:snapToGrid w:val="0"/>
          <w:color w:val="auto"/>
          <w:kern w:val="2"/>
          <w:sz w:val="30"/>
          <w:szCs w:val="30"/>
          <w:lang w:val="en-US" w:eastAsia="zh-CN" w:bidi="ar-SA"/>
        </w:rPr>
      </w:pPr>
      <w:r>
        <w:rPr>
          <w:rFonts w:hint="eastAsia" w:ascii="Times New Roman" w:hAnsi="Times New Roman" w:eastAsia="黑体" w:cs="Times New Roman"/>
          <w:snapToGrid w:val="0"/>
          <w:color w:val="auto"/>
          <w:kern w:val="2"/>
          <w:sz w:val="30"/>
          <w:szCs w:val="30"/>
          <w:lang w:val="en-US" w:eastAsia="zh-CN" w:bidi="ar-SA"/>
        </w:rPr>
        <w:br w:type="page"/>
      </w:r>
    </w:p>
    <w:p w14:paraId="3C7D63A1">
      <w:pPr>
        <w:numPr>
          <w:ilvl w:val="0"/>
          <w:numId w:val="0"/>
        </w:numPr>
        <w:ind w:left="0" w:leftChars="0" w:firstLine="0" w:firstLineChars="0"/>
        <w:jc w:val="center"/>
        <w:outlineLvl w:val="0"/>
        <w:rPr>
          <w:rFonts w:hint="default" w:ascii="Times New Roman" w:hAnsi="Times New Roman" w:eastAsia="黑体" w:cs="Times New Roman"/>
          <w:snapToGrid w:val="0"/>
          <w:color w:val="auto"/>
          <w:sz w:val="30"/>
          <w:szCs w:val="30"/>
          <w:highlight w:val="none"/>
          <w:lang w:val="en-US" w:eastAsia="zh-CN"/>
        </w:rPr>
      </w:pPr>
      <w:bookmarkStart w:id="3" w:name="_Toc8179"/>
      <w:r>
        <w:rPr>
          <w:rFonts w:hint="eastAsia" w:ascii="Times New Roman" w:hAnsi="Times New Roman" w:eastAsia="黑体" w:cs="Times New Roman"/>
          <w:snapToGrid w:val="0"/>
          <w:color w:val="auto"/>
          <w:kern w:val="2"/>
          <w:sz w:val="30"/>
          <w:szCs w:val="30"/>
          <w:lang w:val="en-US" w:eastAsia="zh-CN" w:bidi="ar-SA"/>
        </w:rPr>
        <w:t>二、</w:t>
      </w:r>
      <w:r>
        <w:rPr>
          <w:rFonts w:hint="default" w:ascii="Times New Roman" w:hAnsi="Times New Roman" w:eastAsia="黑体" w:cs="Times New Roman"/>
          <w:snapToGrid w:val="0"/>
          <w:color w:val="auto"/>
          <w:sz w:val="30"/>
          <w:szCs w:val="30"/>
          <w:highlight w:val="none"/>
        </w:rPr>
        <w:t>建设</w:t>
      </w:r>
      <w:r>
        <w:rPr>
          <w:rFonts w:hint="default" w:ascii="Times New Roman" w:hAnsi="Times New Roman" w:eastAsia="黑体" w:cs="Times New Roman"/>
          <w:snapToGrid w:val="0"/>
          <w:color w:val="auto"/>
          <w:sz w:val="30"/>
          <w:szCs w:val="30"/>
          <w:highlight w:val="none"/>
          <w:lang w:val="en-US" w:eastAsia="zh-CN"/>
        </w:rPr>
        <w:t>内容工程分析</w:t>
      </w:r>
      <w:bookmarkEnd w:id="3"/>
    </w:p>
    <w:tbl>
      <w:tblPr>
        <w:tblStyle w:val="22"/>
        <w:tblW w:w="56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8805"/>
      </w:tblGrid>
      <w:tr w14:paraId="24D6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tcBorders>
              <w:tl2br w:val="nil"/>
              <w:tr2bl w:val="nil"/>
            </w:tcBorders>
            <w:noWrap w:val="0"/>
            <w:vAlign w:val="center"/>
          </w:tcPr>
          <w:p w14:paraId="57C8DD17">
            <w:pPr>
              <w:pStyle w:val="33"/>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pacing w:val="0"/>
                <w:highlight w:val="none"/>
                <w:lang w:val="en-US" w:eastAsia="zh-CN"/>
              </w:rPr>
            </w:pPr>
            <w:r>
              <w:rPr>
                <w:rFonts w:hint="default" w:ascii="Times New Roman" w:hAnsi="Times New Roman" w:cs="Times New Roman"/>
                <w:color w:val="auto"/>
                <w:spacing w:val="0"/>
                <w:highlight w:val="none"/>
                <w:lang w:val="en-US" w:eastAsia="zh-CN"/>
              </w:rPr>
              <w:t>建设内容</w:t>
            </w:r>
          </w:p>
        </w:tc>
        <w:tc>
          <w:tcPr>
            <w:tcW w:w="4562" w:type="pct"/>
            <w:tcBorders>
              <w:tl2br w:val="nil"/>
              <w:tr2bl w:val="nil"/>
            </w:tcBorders>
            <w:noWrap w:val="0"/>
            <w:vAlign w:val="top"/>
          </w:tcPr>
          <w:p w14:paraId="77B3DE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2" w:firstLineChars="200"/>
              <w:jc w:val="both"/>
              <w:textAlignment w:val="auto"/>
              <w:rPr>
                <w:rFonts w:hint="default" w:ascii="Times New Roman" w:hAnsi="Times New Roman" w:cs="Times New Roman"/>
                <w:b/>
                <w:color w:val="auto"/>
                <w:spacing w:val="0"/>
                <w:szCs w:val="24"/>
                <w:highlight w:val="none"/>
                <w:lang w:val="en-US" w:eastAsia="zh-CN"/>
              </w:rPr>
            </w:pPr>
            <w:r>
              <w:rPr>
                <w:rFonts w:hint="eastAsia" w:cs="Times New Roman"/>
                <w:b/>
                <w:bCs/>
                <w:color w:val="auto"/>
                <w:spacing w:val="0"/>
                <w:highlight w:val="none"/>
                <w:lang w:val="en-US" w:eastAsia="zh-CN"/>
              </w:rPr>
              <w:t>1</w:t>
            </w:r>
            <w:r>
              <w:rPr>
                <w:rFonts w:hint="eastAsia" w:cs="Times New Roman"/>
                <w:b/>
                <w:bCs/>
                <w:color w:val="auto"/>
                <w:spacing w:val="0"/>
                <w:szCs w:val="24"/>
                <w:highlight w:val="none"/>
                <w:lang w:val="en-US" w:eastAsia="zh-CN"/>
              </w:rPr>
              <w:t>.项目概况</w:t>
            </w:r>
          </w:p>
          <w:p w14:paraId="2F516815">
            <w:pPr>
              <w:keepNext w:val="0"/>
              <w:keepLines w:val="0"/>
              <w:widowControl/>
              <w:suppressLineNumbers w:val="0"/>
              <w:jc w:val="left"/>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）项目名称：</w:t>
            </w:r>
            <w:r>
              <w:rPr>
                <w:rFonts w:hint="default" w:ascii="Times New Roman" w:hAnsi="Times New Roman" w:cs="Times New Roman"/>
                <w:color w:val="auto"/>
                <w:highlight w:val="none"/>
              </w:rPr>
              <w:t>新疆金象赛瑞化工科技有限公司硝酸储罐A、D建设项目</w:t>
            </w:r>
          </w:p>
          <w:p w14:paraId="28CD0DE5">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）建设单位：</w:t>
            </w:r>
            <w:r>
              <w:rPr>
                <w:rFonts w:hint="default" w:ascii="Times New Roman" w:hAnsi="Times New Roman" w:cs="Times New Roman"/>
                <w:color w:val="auto"/>
                <w:highlight w:val="none"/>
              </w:rPr>
              <w:t>新疆金象赛瑞化工科技有限公司</w:t>
            </w:r>
          </w:p>
          <w:p w14:paraId="6EF14D33">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）项目性质：扩建</w:t>
            </w:r>
          </w:p>
          <w:p w14:paraId="1830CC63">
            <w:pPr>
              <w:keepNext w:val="0"/>
              <w:keepLines w:val="0"/>
              <w:widowControl/>
              <w:suppressLineNumbers w:val="0"/>
              <w:jc w:val="left"/>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（4）建设地点：</w:t>
            </w:r>
            <w:r>
              <w:rPr>
                <w:rFonts w:hint="default" w:ascii="Times New Roman" w:hAnsi="Times New Roman" w:cs="Times New Roman"/>
                <w:color w:val="auto"/>
                <w:highlight w:val="none"/>
                <w:lang w:val="en-US" w:eastAsia="zh-CN"/>
              </w:rPr>
              <w:t>本项目位于</w:t>
            </w:r>
            <w:r>
              <w:rPr>
                <w:rFonts w:hint="default" w:ascii="Times New Roman" w:hAnsi="Times New Roman" w:eastAsia="宋体" w:cs="Times New Roman"/>
                <w:bCs/>
                <w:color w:val="auto"/>
                <w:kern w:val="0"/>
                <w:sz w:val="24"/>
                <w:szCs w:val="24"/>
                <w:highlight w:val="none"/>
                <w:lang w:val="en-US" w:eastAsia="zh-CN"/>
              </w:rPr>
              <w:t>新疆维吾尔自治区昌吉回族自治州</w:t>
            </w:r>
            <w:r>
              <w:rPr>
                <w:rFonts w:hint="default" w:ascii="Times New Roman" w:hAnsi="Times New Roman" w:eastAsia="宋体" w:cs="Times New Roman"/>
                <w:color w:val="auto"/>
                <w:highlight w:val="none"/>
                <w:lang w:val="en-US" w:eastAsia="zh-CN"/>
              </w:rPr>
              <w:t>阜康产业园</w:t>
            </w:r>
            <w:r>
              <w:rPr>
                <w:rFonts w:hint="default" w:ascii="Times New Roman" w:hAnsi="Times New Roman" w:cs="Times New Roman"/>
                <w:color w:val="auto"/>
                <w:highlight w:val="none"/>
                <w:lang w:val="en-US" w:eastAsia="zh-CN"/>
              </w:rPr>
              <w:t>西区（S303北侧乌准铁路南侧瑶池220KV变电站西侧）</w:t>
            </w:r>
            <w:r>
              <w:rPr>
                <w:rFonts w:hint="eastAsia"/>
              </w:rPr>
              <w:t>新疆金象赛瑞化工科技有限</w:t>
            </w:r>
            <w:r>
              <w:rPr>
                <w:rFonts w:hint="eastAsia"/>
                <w:lang w:eastAsia="zh-CN"/>
              </w:rPr>
              <w:t>公司</w:t>
            </w:r>
            <w:r>
              <w:rPr>
                <w:rFonts w:hint="default" w:ascii="Times New Roman" w:hAnsi="Times New Roman" w:cs="Times New Roman"/>
                <w:color w:val="auto"/>
                <w:highlight w:val="none"/>
                <w:lang w:val="en-US" w:eastAsia="zh-CN"/>
              </w:rPr>
              <w:t>厂区内</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（硝酸罐A中心地理坐标东经88°18′32.031</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，北纬44°8′41.916″；硝酸罐D中心地理坐标东经88°18′31.876</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，北纬44°8′44.001″）</w:t>
            </w:r>
            <w:r>
              <w:rPr>
                <w:rFonts w:hint="default" w:ascii="Times New Roman" w:hAnsi="Times New Roman" w:cs="Times New Roman"/>
                <w:color w:val="000000" w:themeColor="text1"/>
                <w:highlight w:val="none"/>
                <w:lang w:eastAsia="zh-CN"/>
                <w14:textFill>
                  <w14:solidFill>
                    <w14:schemeClr w14:val="tx1"/>
                  </w14:solidFill>
                </w14:textFill>
              </w:rPr>
              <w:t>。</w:t>
            </w:r>
          </w:p>
          <w:p w14:paraId="7E75B735">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）总投资：</w:t>
            </w:r>
            <w:r>
              <w:rPr>
                <w:rFonts w:hint="eastAsia" w:cs="Times New Roman"/>
                <w:color w:val="000000" w:themeColor="text1"/>
                <w:kern w:val="0"/>
                <w:sz w:val="24"/>
                <w:szCs w:val="24"/>
                <w:lang w:val="en-US" w:eastAsia="zh-CN" w:bidi="ar"/>
                <w14:textFill>
                  <w14:solidFill>
                    <w14:schemeClr w14:val="tx1"/>
                  </w14:solidFill>
                </w14:textFill>
              </w:rPr>
              <w:t>400</w:t>
            </w:r>
            <w:r>
              <w:rPr>
                <w:rFonts w:hint="eastAsia" w:ascii="宋体" w:hAnsi="宋体" w:eastAsia="宋体" w:cs="宋体"/>
                <w:color w:val="000000" w:themeColor="text1"/>
                <w:kern w:val="0"/>
                <w:sz w:val="24"/>
                <w:szCs w:val="24"/>
                <w:lang w:val="en-US" w:eastAsia="zh-CN" w:bidi="ar"/>
                <w14:textFill>
                  <w14:solidFill>
                    <w14:schemeClr w14:val="tx1"/>
                  </w14:solidFill>
                </w14:textFill>
              </w:rPr>
              <w:t>万元（全部企业自筹，</w:t>
            </w:r>
            <w:r>
              <w:rPr>
                <w:rFonts w:hint="eastAsia" w:ascii="宋体" w:hAnsi="宋体" w:eastAsia="宋体" w:cs="宋体"/>
                <w:color w:val="000000"/>
                <w:kern w:val="0"/>
                <w:sz w:val="24"/>
                <w:szCs w:val="24"/>
                <w:lang w:val="en-US" w:eastAsia="zh-CN" w:bidi="ar"/>
              </w:rPr>
              <w:t>主要为设备购置、安装工程及其他费用等）。</w:t>
            </w:r>
          </w:p>
          <w:p w14:paraId="22890B67">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（6）</w:t>
            </w:r>
            <w:r>
              <w:rPr>
                <w:rFonts w:hint="eastAsia" w:cs="Times New Roman"/>
                <w:color w:val="000000"/>
                <w:kern w:val="0"/>
                <w:sz w:val="24"/>
                <w:szCs w:val="24"/>
                <w:lang w:val="en-US" w:eastAsia="zh-CN" w:bidi="ar"/>
              </w:rPr>
              <w:t>项目建设背景：新疆金象赛瑞化工科技有限原有两座硝酸储罐，硝酸作为下游硝酸铵生产的原料，为确保硝酸生产装置检维修以及突发故障停车期间上下游生产装置的连续性生产和安全稳定运行，故新增两台硝酸储罐作为硝酸装置的中间缓冲罐，主要用于平衡硝酸和硝酸铵生产装置的生产运行，同时也作为产品储罐，本项目建成后产能及产品方案均保持不变。</w:t>
            </w:r>
          </w:p>
          <w:p w14:paraId="0CF2F6E7">
            <w:pPr>
              <w:keepNext w:val="0"/>
              <w:keepLines w:val="0"/>
              <w:widowControl/>
              <w:suppressLineNumbers w:val="0"/>
              <w:jc w:val="left"/>
              <w:rPr>
                <w:rFonts w:hint="default" w:ascii="Times New Roman" w:hAnsi="Times New Roman" w:cs="Times New Roman"/>
              </w:rPr>
            </w:pPr>
            <w:r>
              <w:rPr>
                <w:rFonts w:hint="eastAsia"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项目地理位置及周边环境概况：本项目位于新疆维吾尔自治区昌吉回族自治州阜康产业园西区（S303北侧乌准铁路南侧瑶池220KV变电站西侧）</w:t>
            </w:r>
            <w:r>
              <w:rPr>
                <w:rFonts w:hint="eastAsia"/>
              </w:rPr>
              <w:t>新疆金象赛瑞化工科技有限</w:t>
            </w:r>
            <w:r>
              <w:rPr>
                <w:rFonts w:hint="eastAsia"/>
                <w:lang w:eastAsia="zh-CN"/>
              </w:rPr>
              <w:t>公司</w:t>
            </w:r>
            <w:r>
              <w:rPr>
                <w:rFonts w:hint="default" w:ascii="Times New Roman" w:hAnsi="Times New Roman" w:eastAsia="宋体" w:cs="Times New Roman"/>
                <w:color w:val="000000"/>
                <w:kern w:val="0"/>
                <w:sz w:val="24"/>
                <w:szCs w:val="24"/>
                <w:lang w:val="en-US" w:eastAsia="zh-CN" w:bidi="ar"/>
              </w:rPr>
              <w:t>厂区内，</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硝酸罐A东侧为事故池及液氨储罐区，西侧、南侧均为空地，北侧为硝酸储罐B；硝酸储罐D东侧为事故池及液氨储罐区，西侧为液体肥生产车间，南侧为硝酸储罐C，北侧为厂区道路</w:t>
            </w:r>
            <w:r>
              <w:rPr>
                <w:rFonts w:hint="default" w:ascii="Times New Roman" w:hAnsi="Times New Roman" w:eastAsia="宋体" w:cs="Times New Roman"/>
                <w:color w:val="000000"/>
                <w:kern w:val="0"/>
                <w:sz w:val="24"/>
                <w:szCs w:val="24"/>
                <w:lang w:val="en-US" w:eastAsia="zh-CN" w:bidi="ar"/>
              </w:rPr>
              <w:t>。</w:t>
            </w:r>
          </w:p>
          <w:p w14:paraId="4EE96D89">
            <w:pPr>
              <w:keepNext w:val="0"/>
              <w:keepLines w:val="0"/>
              <w:widowControl/>
              <w:suppressLineNumbers w:val="0"/>
              <w:jc w:val="left"/>
            </w:pPr>
            <w:r>
              <w:rPr>
                <w:rFonts w:hint="eastAsia"/>
              </w:rPr>
              <w:t>本项目具体地理位置详见附图</w:t>
            </w:r>
            <w:r>
              <w:rPr>
                <w:rFonts w:hint="eastAsia"/>
                <w:lang w:val="en-US" w:eastAsia="zh-CN"/>
              </w:rPr>
              <w:t>2</w:t>
            </w:r>
            <w:r>
              <w:rPr>
                <w:rFonts w:hint="eastAsia"/>
              </w:rPr>
              <w:t>。</w:t>
            </w:r>
          </w:p>
          <w:p w14:paraId="03371EEB">
            <w:pPr>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outlineLvl w:val="9"/>
              <w:rPr>
                <w:rFonts w:hint="default" w:cs="Times New Roman"/>
                <w:b/>
                <w:bCs/>
                <w:color w:val="0000FF"/>
                <w:spacing w:val="0"/>
                <w:kern w:val="2"/>
                <w:sz w:val="24"/>
                <w:szCs w:val="24"/>
                <w:highlight w:val="none"/>
                <w:lang w:val="en-US" w:eastAsia="zh-CN" w:bidi="ar-SA"/>
              </w:rPr>
            </w:pPr>
            <w:r>
              <w:rPr>
                <w:rFonts w:hint="eastAsia" w:cs="Times New Roman"/>
                <w:b/>
                <w:bCs/>
                <w:color w:val="0000FF"/>
                <w:spacing w:val="0"/>
                <w:kern w:val="2"/>
                <w:sz w:val="24"/>
                <w:szCs w:val="24"/>
                <w:highlight w:val="none"/>
                <w:lang w:val="en-US" w:eastAsia="zh-CN" w:bidi="ar-SA"/>
              </w:rPr>
              <w:t>2.</w:t>
            </w:r>
            <w:r>
              <w:rPr>
                <w:rFonts w:hint="default" w:cs="Times New Roman"/>
                <w:b/>
                <w:bCs/>
                <w:color w:val="0000FF"/>
                <w:spacing w:val="0"/>
                <w:kern w:val="2"/>
                <w:sz w:val="24"/>
                <w:szCs w:val="24"/>
                <w:highlight w:val="none"/>
                <w:lang w:val="en-US" w:eastAsia="zh-CN" w:bidi="ar-SA"/>
              </w:rPr>
              <w:t>建设内容及规模</w:t>
            </w:r>
          </w:p>
          <w:p w14:paraId="210AD4B4">
            <w:pPr>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jc w:val="both"/>
              <w:textAlignment w:val="auto"/>
              <w:outlineLvl w:val="9"/>
              <w:rPr>
                <w:rFonts w:hint="default" w:cs="Times New Roman"/>
                <w:b w:val="0"/>
                <w:bCs w:val="0"/>
                <w:color w:val="0000FF"/>
                <w:spacing w:val="0"/>
                <w:kern w:val="2"/>
                <w:sz w:val="24"/>
                <w:szCs w:val="24"/>
                <w:highlight w:val="none"/>
                <w:lang w:val="en-US" w:eastAsia="zh-CN" w:bidi="ar-SA"/>
              </w:rPr>
            </w:pPr>
            <w:r>
              <w:rPr>
                <w:rFonts w:hint="eastAsia" w:ascii="宋体" w:hAnsi="宋体" w:eastAsia="宋体" w:cs="宋体"/>
                <w:b w:val="0"/>
                <w:bCs w:val="0"/>
                <w:color w:val="0000FF"/>
                <w:sz w:val="24"/>
                <w:szCs w:val="24"/>
              </w:rPr>
              <w:t>本项目是在新疆金象赛瑞化工科技有限公司现有厂区内新增两台硝酸储罐，未新增用地</w:t>
            </w:r>
            <w:r>
              <w:rPr>
                <w:rFonts w:hint="eastAsia" w:ascii="宋体" w:hAnsi="宋体" w:eastAsia="宋体" w:cs="宋体"/>
                <w:b w:val="0"/>
                <w:bCs w:val="0"/>
                <w:color w:val="0000FF"/>
                <w:sz w:val="24"/>
                <w:szCs w:val="24"/>
                <w:lang w:eastAsia="zh-CN"/>
              </w:rPr>
              <w:t>。</w:t>
            </w:r>
            <w:r>
              <w:rPr>
                <w:rFonts w:hint="eastAsia" w:cs="Times New Roman"/>
                <w:b w:val="0"/>
                <w:bCs w:val="0"/>
                <w:color w:val="0000FF"/>
                <w:spacing w:val="0"/>
                <w:kern w:val="2"/>
                <w:sz w:val="24"/>
                <w:szCs w:val="24"/>
                <w:highlight w:val="none"/>
                <w:lang w:val="en-US" w:eastAsia="zh-CN" w:bidi="ar-SA"/>
              </w:rPr>
              <w:t>硝酸储罐区占地面积为3663</w:t>
            </w:r>
            <w:r>
              <w:rPr>
                <w:rFonts w:hint="default" w:cs="Times New Roman"/>
                <w:b w:val="0"/>
                <w:bCs w:val="0"/>
                <w:color w:val="0000FF"/>
                <w:spacing w:val="0"/>
                <w:kern w:val="2"/>
                <w:sz w:val="24"/>
                <w:szCs w:val="24"/>
                <w:highlight w:val="none"/>
                <w:lang w:val="en-US" w:eastAsia="zh-CN" w:bidi="ar-SA"/>
              </w:rPr>
              <w:t>m</w:t>
            </w:r>
            <w:r>
              <w:rPr>
                <w:rFonts w:hint="default" w:cs="Times New Roman"/>
                <w:b w:val="0"/>
                <w:bCs w:val="0"/>
                <w:color w:val="0000FF"/>
                <w:spacing w:val="0"/>
                <w:kern w:val="2"/>
                <w:sz w:val="24"/>
                <w:szCs w:val="24"/>
                <w:highlight w:val="none"/>
                <w:vertAlign w:val="superscript"/>
                <w:lang w:val="en-US" w:eastAsia="zh-CN" w:bidi="ar-SA"/>
              </w:rPr>
              <w:t>2</w:t>
            </w:r>
            <w:r>
              <w:rPr>
                <w:rFonts w:hint="eastAsia" w:cs="Times New Roman"/>
                <w:b w:val="0"/>
                <w:bCs w:val="0"/>
                <w:color w:val="0000FF"/>
                <w:spacing w:val="0"/>
                <w:kern w:val="2"/>
                <w:sz w:val="24"/>
                <w:szCs w:val="24"/>
                <w:highlight w:val="none"/>
                <w:lang w:val="en-US" w:eastAsia="zh-CN" w:bidi="ar-SA"/>
              </w:rPr>
              <w:t>，</w:t>
            </w:r>
            <w:r>
              <w:rPr>
                <w:rFonts w:hint="default" w:cs="Times New Roman"/>
                <w:b w:val="0"/>
                <w:bCs w:val="0"/>
                <w:color w:val="0000FF"/>
                <w:spacing w:val="0"/>
                <w:kern w:val="2"/>
                <w:sz w:val="24"/>
                <w:szCs w:val="24"/>
                <w:highlight w:val="none"/>
                <w:lang w:val="en-US" w:eastAsia="zh-CN" w:bidi="ar-SA"/>
              </w:rPr>
              <w:t>本</w:t>
            </w:r>
            <w:r>
              <w:rPr>
                <w:rFonts w:hint="eastAsia" w:cs="Times New Roman"/>
                <w:b w:val="0"/>
                <w:bCs w:val="0"/>
                <w:color w:val="0000FF"/>
                <w:spacing w:val="0"/>
                <w:kern w:val="2"/>
                <w:sz w:val="24"/>
                <w:szCs w:val="24"/>
                <w:highlight w:val="none"/>
                <w:lang w:val="en-US" w:eastAsia="zh-CN" w:bidi="ar-SA"/>
              </w:rPr>
              <w:t>次项目扩建的硝酸储罐</w:t>
            </w:r>
            <w:r>
              <w:rPr>
                <w:rFonts w:hint="default" w:cs="Times New Roman"/>
                <w:b w:val="0"/>
                <w:bCs w:val="0"/>
                <w:color w:val="0000FF"/>
                <w:spacing w:val="0"/>
                <w:kern w:val="2"/>
                <w:sz w:val="24"/>
                <w:szCs w:val="24"/>
                <w:highlight w:val="none"/>
                <w:lang w:val="en-US" w:eastAsia="zh-CN" w:bidi="ar-SA"/>
              </w:rPr>
              <w:t>总占地面积为</w:t>
            </w:r>
            <w:r>
              <w:rPr>
                <w:rFonts w:hint="eastAsia" w:cs="Times New Roman"/>
                <w:b w:val="0"/>
                <w:bCs w:val="0"/>
                <w:color w:val="0000FF"/>
                <w:spacing w:val="0"/>
                <w:kern w:val="2"/>
                <w:sz w:val="24"/>
                <w:szCs w:val="24"/>
                <w:highlight w:val="none"/>
                <w:lang w:val="en-US" w:eastAsia="zh-CN" w:bidi="ar-SA"/>
              </w:rPr>
              <w:t>367.52</w:t>
            </w:r>
            <w:r>
              <w:rPr>
                <w:rFonts w:hint="default" w:cs="Times New Roman"/>
                <w:b w:val="0"/>
                <w:bCs w:val="0"/>
                <w:color w:val="0000FF"/>
                <w:spacing w:val="0"/>
                <w:kern w:val="2"/>
                <w:sz w:val="24"/>
                <w:szCs w:val="24"/>
                <w:highlight w:val="none"/>
                <w:lang w:val="en-US" w:eastAsia="zh-CN" w:bidi="ar-SA"/>
              </w:rPr>
              <w:t>m</w:t>
            </w:r>
            <w:r>
              <w:rPr>
                <w:rFonts w:hint="default" w:cs="Times New Roman"/>
                <w:b w:val="0"/>
                <w:bCs w:val="0"/>
                <w:color w:val="0000FF"/>
                <w:spacing w:val="0"/>
                <w:kern w:val="2"/>
                <w:sz w:val="24"/>
                <w:szCs w:val="24"/>
                <w:highlight w:val="none"/>
                <w:vertAlign w:val="superscript"/>
                <w:lang w:val="en-US" w:eastAsia="zh-CN" w:bidi="ar-SA"/>
              </w:rPr>
              <w:t>2</w:t>
            </w:r>
            <w:r>
              <w:rPr>
                <w:rFonts w:hint="eastAsia" w:cs="Times New Roman"/>
                <w:b w:val="0"/>
                <w:bCs w:val="0"/>
                <w:color w:val="0000FF"/>
                <w:spacing w:val="0"/>
                <w:kern w:val="2"/>
                <w:sz w:val="24"/>
                <w:szCs w:val="24"/>
                <w:highlight w:val="none"/>
                <w:lang w:val="en-US" w:eastAsia="zh-CN" w:bidi="ar-SA"/>
              </w:rPr>
              <w:t>。在已建的2座硝酸储罐（硝酸储罐B、C）的基础上，再新建设2座硝酸储罐（硝酸储罐A、D），同时建设有配套附属设施。我公司现已建成并投产年产10万吨三聚氰胺、15万吨硝酸、20万吨中和硝酸铵、15万吨固体（多孔）硝酸铵、60万吨硝基复合肥，本项目建成后产能及产品方案均保持不变。本项目主要建设内容如下表。</w:t>
            </w:r>
          </w:p>
          <w:p w14:paraId="6FDFB5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0000FF"/>
                <w:spacing w:val="0"/>
                <w:sz w:val="21"/>
                <w:szCs w:val="21"/>
                <w:highlight w:val="none"/>
                <w:lang w:val="en-US" w:eastAsia="zh-CN"/>
              </w:rPr>
            </w:pPr>
            <w:r>
              <w:rPr>
                <w:rFonts w:hint="default" w:ascii="Times New Roman" w:hAnsi="Times New Roman" w:eastAsia="宋体" w:cs="Times New Roman"/>
                <w:b/>
                <w:bCs/>
                <w:color w:val="0000FF"/>
                <w:spacing w:val="0"/>
                <w:sz w:val="21"/>
                <w:szCs w:val="21"/>
                <w:highlight w:val="none"/>
                <w:lang w:val="en-US" w:eastAsia="zh-CN"/>
              </w:rPr>
              <w:t>表2-1   项目组成情况</w:t>
            </w:r>
          </w:p>
          <w:tbl>
            <w:tblPr>
              <w:tblStyle w:val="22"/>
              <w:tblW w:w="86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775"/>
              <w:gridCol w:w="4985"/>
              <w:gridCol w:w="987"/>
            </w:tblGrid>
            <w:tr w14:paraId="1C843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516" w:type="pct"/>
                  <w:tcBorders>
                    <w:tl2br w:val="nil"/>
                    <w:tr2bl w:val="nil"/>
                  </w:tcBorders>
                  <w:noWrap w:val="0"/>
                  <w:vAlign w:val="center"/>
                </w:tcPr>
                <w:p w14:paraId="2CCB74C9">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工程类别</w:t>
                  </w:r>
                </w:p>
              </w:tc>
              <w:tc>
                <w:tcPr>
                  <w:tcW w:w="1027" w:type="pct"/>
                  <w:tcBorders>
                    <w:tl2br w:val="nil"/>
                    <w:tr2bl w:val="nil"/>
                  </w:tcBorders>
                  <w:noWrap w:val="0"/>
                  <w:vAlign w:val="center"/>
                </w:tcPr>
                <w:p w14:paraId="1D1AB9B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eastAsia" w:cs="Times New Roman"/>
                      <w:b w:val="0"/>
                      <w:color w:val="0000FF"/>
                      <w:spacing w:val="0"/>
                      <w:kern w:val="2"/>
                      <w:sz w:val="21"/>
                      <w:szCs w:val="21"/>
                      <w:highlight w:val="none"/>
                      <w:lang w:val="en-US" w:eastAsia="zh-CN" w:bidi="ar-SA"/>
                    </w:rPr>
                    <w:t>设施名称</w:t>
                  </w:r>
                </w:p>
              </w:tc>
              <w:tc>
                <w:tcPr>
                  <w:tcW w:w="2885" w:type="pct"/>
                  <w:tcBorders>
                    <w:tl2br w:val="nil"/>
                    <w:tr2bl w:val="nil"/>
                  </w:tcBorders>
                  <w:noWrap w:val="0"/>
                  <w:vAlign w:val="center"/>
                </w:tcPr>
                <w:p w14:paraId="28E3A7A5">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eastAsia" w:cs="Times New Roman"/>
                      <w:b w:val="0"/>
                      <w:color w:val="0000FF"/>
                      <w:spacing w:val="0"/>
                      <w:kern w:val="2"/>
                      <w:sz w:val="21"/>
                      <w:szCs w:val="21"/>
                      <w:highlight w:val="none"/>
                      <w:lang w:val="en-US" w:eastAsia="zh-CN" w:bidi="ar-SA"/>
                    </w:rPr>
                    <w:t>工程内容</w:t>
                  </w:r>
                </w:p>
              </w:tc>
              <w:tc>
                <w:tcPr>
                  <w:tcW w:w="571" w:type="pct"/>
                  <w:tcBorders>
                    <w:tl2br w:val="nil"/>
                    <w:tr2bl w:val="nil"/>
                  </w:tcBorders>
                  <w:noWrap w:val="0"/>
                  <w:vAlign w:val="center"/>
                </w:tcPr>
                <w:p w14:paraId="6E3646D0">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备注</w:t>
                  </w:r>
                </w:p>
              </w:tc>
            </w:tr>
            <w:tr w14:paraId="57244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516" w:type="pct"/>
                  <w:tcBorders>
                    <w:tl2br w:val="nil"/>
                    <w:tr2bl w:val="nil"/>
                  </w:tcBorders>
                  <w:noWrap w:val="0"/>
                  <w:vAlign w:val="center"/>
                </w:tcPr>
                <w:p w14:paraId="02EABC7B">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主体工程</w:t>
                  </w:r>
                </w:p>
              </w:tc>
              <w:tc>
                <w:tcPr>
                  <w:tcW w:w="1027" w:type="pct"/>
                  <w:tcBorders>
                    <w:tl2br w:val="nil"/>
                    <w:tr2bl w:val="nil"/>
                  </w:tcBorders>
                  <w:noWrap w:val="0"/>
                  <w:vAlign w:val="center"/>
                </w:tcPr>
                <w:p w14:paraId="4A3ABF78">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硝酸储罐A、D</w:t>
                  </w:r>
                </w:p>
              </w:tc>
              <w:tc>
                <w:tcPr>
                  <w:tcW w:w="2885" w:type="pct"/>
                  <w:tcBorders>
                    <w:tl2br w:val="nil"/>
                    <w:tr2bl w:val="nil"/>
                  </w:tcBorders>
                  <w:noWrap w:val="0"/>
                  <w:vAlign w:val="center"/>
                </w:tcPr>
                <w:p w14:paraId="2ABDA22C">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eastAsia" w:cs="Times New Roman"/>
                      <w:b w:val="0"/>
                      <w:color w:val="0000FF"/>
                      <w:spacing w:val="0"/>
                      <w:kern w:val="2"/>
                      <w:sz w:val="21"/>
                      <w:szCs w:val="21"/>
                      <w:highlight w:val="none"/>
                      <w:lang w:val="en-US" w:eastAsia="zh-CN" w:bidi="ar-SA"/>
                    </w:rPr>
                    <w:t>新建2座容量分别为1350m</w:t>
                  </w:r>
                  <w:r>
                    <w:rPr>
                      <w:rFonts w:hint="eastAsia" w:cs="Times New Roman"/>
                      <w:b w:val="0"/>
                      <w:color w:val="0000FF"/>
                      <w:spacing w:val="0"/>
                      <w:kern w:val="2"/>
                      <w:sz w:val="21"/>
                      <w:szCs w:val="21"/>
                      <w:highlight w:val="none"/>
                      <w:vertAlign w:val="superscript"/>
                      <w:lang w:val="en-US" w:eastAsia="zh-CN" w:bidi="ar-SA"/>
                    </w:rPr>
                    <w:t>3</w:t>
                  </w:r>
                  <w:r>
                    <w:rPr>
                      <w:rFonts w:hint="eastAsia" w:cs="Times New Roman"/>
                      <w:b w:val="0"/>
                      <w:color w:val="0000FF"/>
                      <w:spacing w:val="0"/>
                      <w:kern w:val="2"/>
                      <w:sz w:val="21"/>
                      <w:szCs w:val="21"/>
                      <w:highlight w:val="none"/>
                      <w:vertAlign w:val="baseline"/>
                      <w:lang w:val="en-US" w:eastAsia="zh-CN" w:bidi="ar-SA"/>
                    </w:rPr>
                    <w:t>的304L不锈钢立式锥顶硝酸常压储罐，并设置在线液位监控报警以及停泵联锁</w:t>
                  </w:r>
                </w:p>
              </w:tc>
              <w:tc>
                <w:tcPr>
                  <w:tcW w:w="571" w:type="pct"/>
                  <w:tcBorders>
                    <w:tl2br w:val="nil"/>
                    <w:tr2bl w:val="nil"/>
                  </w:tcBorders>
                  <w:noWrap w:val="0"/>
                  <w:vAlign w:val="center"/>
                </w:tcPr>
                <w:p w14:paraId="67881E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新建</w:t>
                  </w:r>
                </w:p>
              </w:tc>
            </w:tr>
            <w:tr w14:paraId="27494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516" w:type="pct"/>
                  <w:vMerge w:val="restart"/>
                  <w:tcBorders>
                    <w:tl2br w:val="nil"/>
                    <w:tr2bl w:val="nil"/>
                  </w:tcBorders>
                  <w:noWrap w:val="0"/>
                  <w:vAlign w:val="center"/>
                </w:tcPr>
                <w:p w14:paraId="12AB3254">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eastAsia" w:cs="Times New Roman"/>
                      <w:b w:val="0"/>
                      <w:color w:val="0000FF"/>
                      <w:spacing w:val="0"/>
                      <w:kern w:val="2"/>
                      <w:sz w:val="21"/>
                      <w:szCs w:val="21"/>
                      <w:highlight w:val="none"/>
                      <w:lang w:val="en-US" w:eastAsia="zh-CN" w:bidi="ar-SA"/>
                    </w:rPr>
                    <w:t>辅助工程</w:t>
                  </w:r>
                </w:p>
              </w:tc>
              <w:tc>
                <w:tcPr>
                  <w:tcW w:w="1027" w:type="pct"/>
                  <w:tcBorders>
                    <w:tl2br w:val="nil"/>
                    <w:tr2bl w:val="nil"/>
                  </w:tcBorders>
                  <w:noWrap w:val="0"/>
                  <w:vAlign w:val="center"/>
                </w:tcPr>
                <w:p w14:paraId="3C5B3532">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装</w:t>
                  </w:r>
                  <w:r>
                    <w:rPr>
                      <w:rFonts w:hint="eastAsia" w:cs="Times New Roman"/>
                      <w:b w:val="0"/>
                      <w:color w:val="0000FF"/>
                      <w:spacing w:val="0"/>
                      <w:kern w:val="2"/>
                      <w:sz w:val="21"/>
                      <w:szCs w:val="21"/>
                      <w:highlight w:val="none"/>
                      <w:lang w:val="en-US" w:eastAsia="zh-CN" w:bidi="ar-SA"/>
                    </w:rPr>
                    <w:t>车台</w:t>
                  </w:r>
                </w:p>
              </w:tc>
              <w:tc>
                <w:tcPr>
                  <w:tcW w:w="2885" w:type="pct"/>
                  <w:tcBorders>
                    <w:tl2br w:val="nil"/>
                    <w:tr2bl w:val="nil"/>
                  </w:tcBorders>
                  <w:noWrap w:val="0"/>
                  <w:vAlign w:val="center"/>
                </w:tcPr>
                <w:p w14:paraId="22E06C5B">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eastAsia" w:cs="Times New Roman"/>
                      <w:b w:val="0"/>
                      <w:color w:val="0000FF"/>
                      <w:spacing w:val="0"/>
                      <w:kern w:val="2"/>
                      <w:sz w:val="21"/>
                      <w:szCs w:val="21"/>
                      <w:highlight w:val="none"/>
                      <w:lang w:val="en-US" w:eastAsia="zh-CN" w:bidi="ar-SA"/>
                    </w:rPr>
                    <w:t>装车台位于硝酸储罐区东</w:t>
                  </w:r>
                  <w:r>
                    <w:rPr>
                      <w:rFonts w:hint="default" w:ascii="Times New Roman" w:hAnsi="Times New Roman" w:eastAsia="宋体" w:cs="Times New Roman"/>
                      <w:b w:val="0"/>
                      <w:color w:val="0000FF"/>
                      <w:spacing w:val="0"/>
                      <w:kern w:val="2"/>
                      <w:sz w:val="21"/>
                      <w:szCs w:val="21"/>
                      <w:highlight w:val="none"/>
                      <w:lang w:val="en-US" w:eastAsia="zh-CN" w:bidi="ar-SA"/>
                    </w:rPr>
                    <w:t>北侧</w:t>
                  </w:r>
                  <w:r>
                    <w:rPr>
                      <w:rFonts w:hint="eastAsia" w:cs="Times New Roman"/>
                      <w:b w:val="0"/>
                      <w:color w:val="0000FF"/>
                      <w:spacing w:val="0"/>
                      <w:kern w:val="2"/>
                      <w:sz w:val="21"/>
                      <w:szCs w:val="21"/>
                      <w:highlight w:val="none"/>
                      <w:lang w:val="en-US" w:eastAsia="zh-CN" w:bidi="ar-SA"/>
                    </w:rPr>
                    <w:t>，</w:t>
                  </w:r>
                  <w:r>
                    <w:rPr>
                      <w:rFonts w:hint="default" w:ascii="Times New Roman" w:hAnsi="Times New Roman" w:eastAsia="宋体" w:cs="Times New Roman"/>
                      <w:b w:val="0"/>
                      <w:color w:val="0000FF"/>
                      <w:spacing w:val="0"/>
                      <w:kern w:val="2"/>
                      <w:sz w:val="21"/>
                      <w:szCs w:val="21"/>
                      <w:highlight w:val="none"/>
                      <w:lang w:val="en-US" w:eastAsia="zh-CN" w:bidi="ar-SA"/>
                    </w:rPr>
                    <w:t>单独设置的一个3.5米高的装车台</w:t>
                  </w:r>
                  <w:r>
                    <w:rPr>
                      <w:rFonts w:hint="eastAsia" w:cs="Times New Roman"/>
                      <w:b w:val="0"/>
                      <w:color w:val="0000FF"/>
                      <w:spacing w:val="0"/>
                      <w:kern w:val="2"/>
                      <w:sz w:val="21"/>
                      <w:szCs w:val="21"/>
                      <w:highlight w:val="none"/>
                      <w:lang w:val="en-US" w:eastAsia="zh-CN" w:bidi="ar-SA"/>
                    </w:rPr>
                    <w:t>（21米×7米）</w:t>
                  </w:r>
                  <w:r>
                    <w:rPr>
                      <w:rFonts w:hint="default" w:ascii="Times New Roman" w:hAnsi="Times New Roman" w:eastAsia="宋体" w:cs="Times New Roman"/>
                      <w:b w:val="0"/>
                      <w:color w:val="0000FF"/>
                      <w:spacing w:val="0"/>
                      <w:kern w:val="2"/>
                      <w:sz w:val="21"/>
                      <w:szCs w:val="21"/>
                      <w:highlight w:val="none"/>
                      <w:lang w:val="en-US" w:eastAsia="zh-CN" w:bidi="ar-SA"/>
                    </w:rPr>
                    <w:t>，</w:t>
                  </w:r>
                  <w:r>
                    <w:rPr>
                      <w:rFonts w:hint="eastAsia" w:cs="Times New Roman"/>
                      <w:b w:val="0"/>
                      <w:color w:val="0000FF"/>
                      <w:spacing w:val="0"/>
                      <w:kern w:val="2"/>
                      <w:sz w:val="21"/>
                      <w:szCs w:val="21"/>
                      <w:highlight w:val="none"/>
                      <w:lang w:val="en-US" w:eastAsia="zh-CN" w:bidi="ar-SA"/>
                    </w:rPr>
                    <w:t>距离硝酸储罐区8.9米，设有1个装车鹤位，</w:t>
                  </w:r>
                  <w:r>
                    <w:rPr>
                      <w:rFonts w:hint="default" w:ascii="Times New Roman" w:hAnsi="Times New Roman" w:eastAsia="宋体" w:cs="Times New Roman"/>
                      <w:b w:val="0"/>
                      <w:color w:val="0000FF"/>
                      <w:spacing w:val="0"/>
                      <w:kern w:val="2"/>
                      <w:sz w:val="21"/>
                      <w:szCs w:val="21"/>
                      <w:highlight w:val="none"/>
                      <w:lang w:val="en-US" w:eastAsia="zh-CN" w:bidi="ar-SA"/>
                    </w:rPr>
                    <w:t>经装车泵和装车鹤管进行装车，装车台设置定量装车系统，并在装车管道上设置速断阀，速断阀与装车系统联锁，防止超装。</w:t>
                  </w:r>
                  <w:r>
                    <w:rPr>
                      <w:rFonts w:hint="eastAsia" w:cs="Times New Roman"/>
                      <w:b w:val="0"/>
                      <w:color w:val="0000FF"/>
                      <w:spacing w:val="0"/>
                      <w:kern w:val="2"/>
                      <w:sz w:val="21"/>
                      <w:szCs w:val="21"/>
                      <w:highlight w:val="none"/>
                      <w:lang w:val="en-US" w:eastAsia="zh-CN" w:bidi="ar-SA"/>
                    </w:rPr>
                    <w:t>符合相关要求。</w:t>
                  </w:r>
                </w:p>
              </w:tc>
              <w:tc>
                <w:tcPr>
                  <w:tcW w:w="571" w:type="pct"/>
                  <w:tcBorders>
                    <w:tl2br w:val="nil"/>
                    <w:tr2bl w:val="nil"/>
                  </w:tcBorders>
                  <w:noWrap w:val="0"/>
                  <w:vAlign w:val="center"/>
                </w:tcPr>
                <w:p w14:paraId="615A22CA">
                  <w:pPr>
                    <w:keepNext w:val="0"/>
                    <w:keepLines w:val="0"/>
                    <w:suppressLineNumbers w:val="0"/>
                    <w:spacing w:before="0" w:beforeAutospacing="0" w:after="0" w:afterAutospacing="0" w:line="240" w:lineRule="auto"/>
                    <w:ind w:left="0" w:right="0" w:firstLine="0" w:firstLineChars="0"/>
                    <w:jc w:val="center"/>
                    <w:rPr>
                      <w:rFonts w:hint="eastAsia"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依托</w:t>
                  </w:r>
                </w:p>
              </w:tc>
            </w:tr>
            <w:tr w14:paraId="37E2E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516" w:type="pct"/>
                  <w:vMerge w:val="continue"/>
                  <w:tcBorders>
                    <w:tl2br w:val="nil"/>
                    <w:tr2bl w:val="nil"/>
                  </w:tcBorders>
                  <w:noWrap w:val="0"/>
                  <w:vAlign w:val="center"/>
                </w:tcPr>
                <w:p w14:paraId="0D72481E">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cs="Times New Roman"/>
                      <w:b w:val="0"/>
                      <w:color w:val="0000FF"/>
                      <w:spacing w:val="0"/>
                      <w:kern w:val="2"/>
                      <w:sz w:val="21"/>
                      <w:szCs w:val="21"/>
                      <w:highlight w:val="none"/>
                      <w:lang w:val="en-US" w:eastAsia="zh-CN" w:bidi="ar-SA"/>
                    </w:rPr>
                  </w:pPr>
                </w:p>
              </w:tc>
              <w:tc>
                <w:tcPr>
                  <w:tcW w:w="1027" w:type="pct"/>
                  <w:tcBorders>
                    <w:tl2br w:val="nil"/>
                    <w:tr2bl w:val="nil"/>
                  </w:tcBorders>
                  <w:noWrap w:val="0"/>
                  <w:vAlign w:val="center"/>
                </w:tcPr>
                <w:p w14:paraId="55EF4105">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cs="Times New Roman"/>
                      <w:b w:val="0"/>
                      <w:color w:val="0000FF"/>
                      <w:spacing w:val="0"/>
                      <w:kern w:val="2"/>
                      <w:sz w:val="21"/>
                      <w:szCs w:val="21"/>
                      <w:highlight w:val="none"/>
                      <w:lang w:val="en-US" w:eastAsia="zh-CN" w:bidi="ar-SA"/>
                    </w:rPr>
                  </w:pPr>
                  <w:r>
                    <w:rPr>
                      <w:rFonts w:hint="default" w:cs="Times New Roman"/>
                      <w:b w:val="0"/>
                      <w:color w:val="0000FF"/>
                      <w:spacing w:val="0"/>
                      <w:kern w:val="2"/>
                      <w:sz w:val="21"/>
                      <w:szCs w:val="21"/>
                      <w:highlight w:val="none"/>
                      <w:lang w:val="en-US" w:eastAsia="zh-CN" w:bidi="ar-SA"/>
                    </w:rPr>
                    <w:t>辅助构筑物</w:t>
                  </w:r>
                </w:p>
              </w:tc>
              <w:tc>
                <w:tcPr>
                  <w:tcW w:w="2885" w:type="pct"/>
                  <w:tcBorders>
                    <w:tl2br w:val="nil"/>
                    <w:tr2bl w:val="nil"/>
                  </w:tcBorders>
                  <w:noWrap w:val="0"/>
                  <w:vAlign w:val="center"/>
                </w:tcPr>
                <w:p w14:paraId="659235CB">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eastAsia" w:cs="Times New Roman"/>
                      <w:b w:val="0"/>
                      <w:color w:val="0000FF"/>
                      <w:spacing w:val="0"/>
                      <w:kern w:val="2"/>
                      <w:sz w:val="21"/>
                      <w:szCs w:val="21"/>
                      <w:highlight w:val="none"/>
                      <w:lang w:val="en-US" w:eastAsia="zh-CN" w:bidi="ar-SA"/>
                    </w:rPr>
                    <w:t>储罐基础座</w:t>
                  </w:r>
                </w:p>
              </w:tc>
              <w:tc>
                <w:tcPr>
                  <w:tcW w:w="571" w:type="pct"/>
                  <w:tcBorders>
                    <w:tl2br w:val="nil"/>
                    <w:tr2bl w:val="nil"/>
                  </w:tcBorders>
                  <w:noWrap w:val="0"/>
                  <w:vAlign w:val="center"/>
                </w:tcPr>
                <w:p w14:paraId="651AB3CE">
                  <w:pPr>
                    <w:keepNext w:val="0"/>
                    <w:keepLines w:val="0"/>
                    <w:suppressLineNumbers w:val="0"/>
                    <w:spacing w:before="0" w:beforeAutospacing="0" w:after="0" w:afterAutospacing="0" w:line="240" w:lineRule="auto"/>
                    <w:ind w:left="0" w:right="0" w:firstLine="0" w:firstLineChars="0"/>
                    <w:jc w:val="center"/>
                    <w:rPr>
                      <w:rFonts w:hint="eastAsia"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新建</w:t>
                  </w:r>
                </w:p>
              </w:tc>
            </w:tr>
            <w:tr w14:paraId="13547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516" w:type="pct"/>
                  <w:vMerge w:val="restart"/>
                  <w:tcBorders>
                    <w:tl2br w:val="nil"/>
                    <w:tr2bl w:val="nil"/>
                  </w:tcBorders>
                  <w:noWrap w:val="0"/>
                  <w:vAlign w:val="center"/>
                </w:tcPr>
                <w:p w14:paraId="435A9828">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公用</w:t>
                  </w:r>
                </w:p>
                <w:p w14:paraId="76FD0180">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工程</w:t>
                  </w:r>
                </w:p>
              </w:tc>
              <w:tc>
                <w:tcPr>
                  <w:tcW w:w="1027" w:type="pct"/>
                  <w:tcBorders>
                    <w:tl2br w:val="nil"/>
                    <w:tr2bl w:val="nil"/>
                  </w:tcBorders>
                  <w:noWrap w:val="0"/>
                  <w:vAlign w:val="center"/>
                </w:tcPr>
                <w:p w14:paraId="51E22A3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供水</w:t>
                  </w:r>
                </w:p>
              </w:tc>
              <w:tc>
                <w:tcPr>
                  <w:tcW w:w="2885" w:type="pct"/>
                  <w:tcBorders>
                    <w:tl2br w:val="nil"/>
                    <w:tr2bl w:val="nil"/>
                  </w:tcBorders>
                  <w:noWrap w:val="0"/>
                  <w:vAlign w:val="center"/>
                </w:tcPr>
                <w:p w14:paraId="37872BE4">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由阜康市重化工园区统一配给，厂区已配套配水管线</w:t>
                  </w:r>
                </w:p>
              </w:tc>
              <w:tc>
                <w:tcPr>
                  <w:tcW w:w="571" w:type="pct"/>
                  <w:vMerge w:val="restart"/>
                  <w:tcBorders>
                    <w:tl2br w:val="nil"/>
                    <w:tr2bl w:val="nil"/>
                  </w:tcBorders>
                  <w:noWrap w:val="0"/>
                  <w:vAlign w:val="center"/>
                </w:tcPr>
                <w:p w14:paraId="15E3C4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sz w:val="21"/>
                      <w:szCs w:val="21"/>
                      <w:highlight w:val="none"/>
                      <w:lang w:val="en-US" w:eastAsia="zh-CN"/>
                    </w:rPr>
                  </w:pPr>
                  <w:r>
                    <w:rPr>
                      <w:rFonts w:hint="eastAsia" w:cs="Times New Roman"/>
                      <w:b w:val="0"/>
                      <w:color w:val="0000FF"/>
                      <w:spacing w:val="0"/>
                      <w:sz w:val="21"/>
                      <w:szCs w:val="21"/>
                      <w:highlight w:val="none"/>
                      <w:lang w:val="en-US" w:eastAsia="zh-CN"/>
                    </w:rPr>
                    <w:t>依托</w:t>
                  </w:r>
                </w:p>
              </w:tc>
            </w:tr>
            <w:tr w14:paraId="4A13C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516" w:type="pct"/>
                  <w:vMerge w:val="continue"/>
                  <w:tcBorders>
                    <w:tl2br w:val="nil"/>
                    <w:tr2bl w:val="nil"/>
                  </w:tcBorders>
                  <w:noWrap w:val="0"/>
                  <w:vAlign w:val="center"/>
                </w:tcPr>
                <w:p w14:paraId="5F50C921">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p>
              </w:tc>
              <w:tc>
                <w:tcPr>
                  <w:tcW w:w="1027" w:type="pct"/>
                  <w:tcBorders>
                    <w:tl2br w:val="nil"/>
                    <w:tr2bl w:val="nil"/>
                  </w:tcBorders>
                  <w:noWrap w:val="0"/>
                  <w:vAlign w:val="center"/>
                </w:tcPr>
                <w:p w14:paraId="378E4F25">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cs="Times New Roman"/>
                      <w:b w:val="0"/>
                      <w:color w:val="0000FF"/>
                      <w:spacing w:val="0"/>
                      <w:kern w:val="2"/>
                      <w:sz w:val="21"/>
                      <w:szCs w:val="21"/>
                      <w:highlight w:val="none"/>
                      <w:lang w:val="en-US" w:eastAsia="zh-CN" w:bidi="ar-SA"/>
                    </w:rPr>
                    <w:t>排水</w:t>
                  </w:r>
                </w:p>
              </w:tc>
              <w:tc>
                <w:tcPr>
                  <w:tcW w:w="2885" w:type="pct"/>
                  <w:tcBorders>
                    <w:tl2br w:val="nil"/>
                    <w:tr2bl w:val="nil"/>
                  </w:tcBorders>
                  <w:noWrap w:val="0"/>
                  <w:vAlign w:val="center"/>
                </w:tcPr>
                <w:p w14:paraId="4CF94C9A">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本项目无新增劳动定员，无新增生活</w:t>
                  </w:r>
                  <w:r>
                    <w:rPr>
                      <w:rFonts w:hint="eastAsia" w:cs="Times New Roman"/>
                      <w:b w:val="0"/>
                      <w:color w:val="0000FF"/>
                      <w:spacing w:val="0"/>
                      <w:kern w:val="2"/>
                      <w:sz w:val="21"/>
                      <w:szCs w:val="21"/>
                      <w:highlight w:val="none"/>
                      <w:lang w:val="en-US" w:eastAsia="zh-CN" w:bidi="ar-SA"/>
                    </w:rPr>
                    <w:t>污水</w:t>
                  </w:r>
                  <w:r>
                    <w:rPr>
                      <w:rFonts w:hint="default" w:ascii="Times New Roman" w:hAnsi="Times New Roman" w:eastAsia="宋体" w:cs="Times New Roman"/>
                      <w:b w:val="0"/>
                      <w:color w:val="0000FF"/>
                      <w:spacing w:val="0"/>
                      <w:kern w:val="2"/>
                      <w:sz w:val="21"/>
                      <w:szCs w:val="21"/>
                      <w:highlight w:val="none"/>
                      <w:lang w:val="en-US" w:eastAsia="zh-CN" w:bidi="ar-SA"/>
                    </w:rPr>
                    <w:t>排放。</w:t>
                  </w:r>
                </w:p>
              </w:tc>
              <w:tc>
                <w:tcPr>
                  <w:tcW w:w="571" w:type="pct"/>
                  <w:vMerge w:val="continue"/>
                  <w:tcBorders>
                    <w:tl2br w:val="nil"/>
                    <w:tr2bl w:val="nil"/>
                  </w:tcBorders>
                  <w:noWrap w:val="0"/>
                  <w:vAlign w:val="center"/>
                </w:tcPr>
                <w:p w14:paraId="110559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color w:val="0000FF"/>
                      <w:spacing w:val="0"/>
                      <w:sz w:val="21"/>
                      <w:szCs w:val="21"/>
                      <w:highlight w:val="none"/>
                      <w:lang w:val="en-US" w:eastAsia="zh-CN"/>
                    </w:rPr>
                  </w:pPr>
                </w:p>
              </w:tc>
            </w:tr>
            <w:tr w14:paraId="7C4A9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516" w:type="pct"/>
                  <w:vMerge w:val="continue"/>
                  <w:tcBorders>
                    <w:tl2br w:val="nil"/>
                    <w:tr2bl w:val="nil"/>
                  </w:tcBorders>
                  <w:noWrap w:val="0"/>
                  <w:vAlign w:val="center"/>
                </w:tcPr>
                <w:p w14:paraId="0890A68A">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p>
              </w:tc>
              <w:tc>
                <w:tcPr>
                  <w:tcW w:w="1027" w:type="pct"/>
                  <w:tcBorders>
                    <w:tl2br w:val="nil"/>
                    <w:tr2bl w:val="nil"/>
                  </w:tcBorders>
                  <w:noWrap w:val="0"/>
                  <w:vAlign w:val="center"/>
                </w:tcPr>
                <w:p w14:paraId="0558E274">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供电</w:t>
                  </w:r>
                </w:p>
              </w:tc>
              <w:tc>
                <w:tcPr>
                  <w:tcW w:w="2885" w:type="pct"/>
                  <w:tcBorders>
                    <w:tl2br w:val="nil"/>
                    <w:tr2bl w:val="nil"/>
                  </w:tcBorders>
                  <w:noWrap w:val="0"/>
                  <w:vAlign w:val="center"/>
                </w:tcPr>
                <w:p w14:paraId="0037B725">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eastAsia" w:cs="Times New Roman"/>
                      <w:b w:val="0"/>
                      <w:color w:val="0000FF"/>
                      <w:spacing w:val="0"/>
                      <w:kern w:val="2"/>
                      <w:sz w:val="21"/>
                      <w:szCs w:val="21"/>
                      <w:highlight w:val="none"/>
                      <w:lang w:val="en-US" w:eastAsia="zh-CN" w:bidi="ar-SA"/>
                    </w:rPr>
                    <w:t>企业现有</w:t>
                  </w:r>
                  <w:r>
                    <w:rPr>
                      <w:rFonts w:hint="default" w:ascii="Times New Roman" w:hAnsi="Times New Roman" w:cs="Times New Roman"/>
                      <w:b w:val="0"/>
                      <w:color w:val="0000FF"/>
                      <w:spacing w:val="0"/>
                      <w:kern w:val="2"/>
                      <w:sz w:val="21"/>
                      <w:szCs w:val="21"/>
                      <w:highlight w:val="none"/>
                      <w:lang w:val="en-US" w:eastAsia="zh-CN" w:bidi="ar-SA"/>
                    </w:rPr>
                    <w:t>供电</w:t>
                  </w:r>
                  <w:r>
                    <w:rPr>
                      <w:rFonts w:hint="default" w:ascii="Times New Roman" w:hAnsi="Times New Roman" w:eastAsia="宋体" w:cs="Times New Roman"/>
                      <w:b w:val="0"/>
                      <w:color w:val="0000FF"/>
                      <w:spacing w:val="0"/>
                      <w:kern w:val="2"/>
                      <w:sz w:val="21"/>
                      <w:szCs w:val="21"/>
                      <w:highlight w:val="none"/>
                      <w:lang w:val="en-US" w:eastAsia="zh-CN" w:bidi="ar-SA"/>
                    </w:rPr>
                    <w:t>电网供电</w:t>
                  </w:r>
                </w:p>
              </w:tc>
              <w:tc>
                <w:tcPr>
                  <w:tcW w:w="571" w:type="pct"/>
                  <w:vMerge w:val="continue"/>
                  <w:tcBorders>
                    <w:tl2br w:val="nil"/>
                    <w:tr2bl w:val="nil"/>
                  </w:tcBorders>
                  <w:noWrap w:val="0"/>
                  <w:vAlign w:val="center"/>
                </w:tcPr>
                <w:p w14:paraId="28D87D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color w:val="0000FF"/>
                      <w:spacing w:val="0"/>
                      <w:sz w:val="21"/>
                      <w:szCs w:val="21"/>
                      <w:highlight w:val="none"/>
                      <w:lang w:val="en-US" w:eastAsia="zh-CN"/>
                    </w:rPr>
                  </w:pPr>
                </w:p>
              </w:tc>
            </w:tr>
            <w:tr w14:paraId="6F09B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516" w:type="pct"/>
                  <w:vMerge w:val="continue"/>
                  <w:tcBorders>
                    <w:tl2br w:val="nil"/>
                    <w:tr2bl w:val="nil"/>
                  </w:tcBorders>
                  <w:noWrap w:val="0"/>
                  <w:vAlign w:val="center"/>
                </w:tcPr>
                <w:p w14:paraId="1E6B481B">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p>
              </w:tc>
              <w:tc>
                <w:tcPr>
                  <w:tcW w:w="1027" w:type="pct"/>
                  <w:tcBorders>
                    <w:tl2br w:val="nil"/>
                    <w:tr2bl w:val="nil"/>
                  </w:tcBorders>
                  <w:noWrap w:val="0"/>
                  <w:vAlign w:val="center"/>
                </w:tcPr>
                <w:p w14:paraId="479EE353">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eastAsia" w:cs="Times New Roman"/>
                      <w:b w:val="0"/>
                      <w:color w:val="0000FF"/>
                      <w:spacing w:val="0"/>
                      <w:kern w:val="2"/>
                      <w:sz w:val="21"/>
                      <w:szCs w:val="21"/>
                      <w:highlight w:val="none"/>
                      <w:lang w:val="en-US" w:eastAsia="zh-CN" w:bidi="ar-SA"/>
                    </w:rPr>
                    <w:t>供气</w:t>
                  </w:r>
                </w:p>
              </w:tc>
              <w:tc>
                <w:tcPr>
                  <w:tcW w:w="2885" w:type="pct"/>
                  <w:tcBorders>
                    <w:tl2br w:val="nil"/>
                    <w:tr2bl w:val="nil"/>
                  </w:tcBorders>
                  <w:noWrap w:val="0"/>
                  <w:vAlign w:val="center"/>
                </w:tcPr>
                <w:p w14:paraId="1749619E">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cs="Times New Roman"/>
                      <w:color w:val="0000FF"/>
                      <w:spacing w:val="0"/>
                      <w:sz w:val="21"/>
                      <w:szCs w:val="21"/>
                      <w:highlight w:val="none"/>
                      <w:lang w:eastAsia="zh-CN"/>
                    </w:rPr>
                  </w:pPr>
                  <w:r>
                    <w:rPr>
                      <w:rFonts w:hint="eastAsia" w:cs="Times New Roman"/>
                      <w:color w:val="0000FF"/>
                      <w:spacing w:val="0"/>
                      <w:sz w:val="21"/>
                      <w:szCs w:val="21"/>
                      <w:highlight w:val="none"/>
                      <w:lang w:eastAsia="zh-CN"/>
                    </w:rPr>
                    <w:t>由市政供气管网供给</w:t>
                  </w:r>
                </w:p>
              </w:tc>
              <w:tc>
                <w:tcPr>
                  <w:tcW w:w="571" w:type="pct"/>
                  <w:vMerge w:val="continue"/>
                  <w:tcBorders>
                    <w:tl2br w:val="nil"/>
                    <w:tr2bl w:val="nil"/>
                  </w:tcBorders>
                  <w:noWrap w:val="0"/>
                  <w:vAlign w:val="center"/>
                </w:tcPr>
                <w:p w14:paraId="7B3AE4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pacing w:val="0"/>
                      <w:sz w:val="21"/>
                      <w:szCs w:val="21"/>
                      <w:highlight w:val="none"/>
                      <w:lang w:val="en-US" w:eastAsia="zh-CN"/>
                    </w:rPr>
                  </w:pPr>
                </w:p>
              </w:tc>
            </w:tr>
            <w:tr w14:paraId="72C22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516" w:type="pct"/>
                  <w:vMerge w:val="restart"/>
                  <w:tcBorders>
                    <w:tl2br w:val="nil"/>
                    <w:tr2bl w:val="nil"/>
                  </w:tcBorders>
                  <w:noWrap w:val="0"/>
                  <w:vAlign w:val="center"/>
                </w:tcPr>
                <w:p w14:paraId="70983A4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环保</w:t>
                  </w:r>
                </w:p>
                <w:p w14:paraId="64C74BF2">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工程</w:t>
                  </w:r>
                </w:p>
              </w:tc>
              <w:tc>
                <w:tcPr>
                  <w:tcW w:w="1027" w:type="pct"/>
                  <w:tcBorders>
                    <w:tl2br w:val="nil"/>
                    <w:tr2bl w:val="nil"/>
                  </w:tcBorders>
                  <w:noWrap w:val="0"/>
                  <w:vAlign w:val="center"/>
                </w:tcPr>
                <w:p w14:paraId="5B398042">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废气</w:t>
                  </w:r>
                </w:p>
              </w:tc>
              <w:tc>
                <w:tcPr>
                  <w:tcW w:w="2885" w:type="pct"/>
                  <w:tcBorders>
                    <w:tl2br w:val="nil"/>
                    <w:tr2bl w:val="nil"/>
                  </w:tcBorders>
                  <w:noWrap w:val="0"/>
                  <w:vAlign w:val="center"/>
                </w:tcPr>
                <w:p w14:paraId="0BDCB5FE">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color w:val="0000FF"/>
                      <w:spacing w:val="0"/>
                      <w:kern w:val="2"/>
                      <w:sz w:val="21"/>
                      <w:szCs w:val="21"/>
                      <w:highlight w:val="none"/>
                      <w:lang w:val="en-US" w:eastAsia="zh-CN" w:bidi="ar-SA"/>
                    </w:rPr>
                  </w:pPr>
                  <w:r>
                    <w:rPr>
                      <w:rFonts w:hint="default" w:ascii="Times New Roman" w:hAnsi="Times New Roman" w:cs="Times New Roman"/>
                      <w:b w:val="0"/>
                      <w:color w:val="0000FF"/>
                      <w:spacing w:val="0"/>
                      <w:kern w:val="2"/>
                      <w:sz w:val="21"/>
                      <w:szCs w:val="21"/>
                      <w:highlight w:val="none"/>
                      <w:lang w:val="en-US" w:eastAsia="zh-CN" w:bidi="ar-SA"/>
                    </w:rPr>
                    <w:t>主要为罐区产生的</w:t>
                  </w:r>
                  <w:r>
                    <w:rPr>
                      <w:rFonts w:hint="eastAsia" w:cs="Times New Roman"/>
                      <w:b w:val="0"/>
                      <w:color w:val="0000FF"/>
                      <w:spacing w:val="0"/>
                      <w:kern w:val="2"/>
                      <w:sz w:val="21"/>
                      <w:szCs w:val="21"/>
                      <w:highlight w:val="none"/>
                      <w:lang w:val="en-US" w:eastAsia="zh-CN" w:bidi="ar-SA"/>
                    </w:rPr>
                    <w:t>废气</w:t>
                  </w:r>
                  <w:r>
                    <w:rPr>
                      <w:rFonts w:hint="default" w:ascii="Times New Roman" w:hAnsi="Times New Roman" w:cs="Times New Roman"/>
                      <w:b w:val="0"/>
                      <w:color w:val="0000FF"/>
                      <w:spacing w:val="0"/>
                      <w:kern w:val="2"/>
                      <w:sz w:val="21"/>
                      <w:szCs w:val="21"/>
                      <w:highlight w:val="none"/>
                      <w:lang w:val="en-US" w:eastAsia="zh-CN" w:bidi="ar-SA"/>
                    </w:rPr>
                    <w:t>无组织排放，储罐顶部设置呼吸阀。</w:t>
                  </w:r>
                </w:p>
              </w:tc>
              <w:tc>
                <w:tcPr>
                  <w:tcW w:w="571" w:type="pct"/>
                  <w:tcBorders>
                    <w:tl2br w:val="nil"/>
                    <w:tr2bl w:val="nil"/>
                  </w:tcBorders>
                  <w:noWrap w:val="0"/>
                  <w:vAlign w:val="center"/>
                </w:tcPr>
                <w:p w14:paraId="548D7A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新建</w:t>
                  </w:r>
                </w:p>
              </w:tc>
            </w:tr>
            <w:tr w14:paraId="58D3E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516" w:type="pct"/>
                  <w:vMerge w:val="continue"/>
                  <w:tcBorders>
                    <w:tl2br w:val="nil"/>
                    <w:tr2bl w:val="nil"/>
                  </w:tcBorders>
                  <w:noWrap w:val="0"/>
                  <w:vAlign w:val="center"/>
                </w:tcPr>
                <w:p w14:paraId="00022FC9">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p>
              </w:tc>
              <w:tc>
                <w:tcPr>
                  <w:tcW w:w="1027" w:type="pct"/>
                  <w:tcBorders>
                    <w:tl2br w:val="nil"/>
                    <w:tr2bl w:val="nil"/>
                  </w:tcBorders>
                  <w:noWrap w:val="0"/>
                  <w:vAlign w:val="center"/>
                </w:tcPr>
                <w:p w14:paraId="46A38EEC">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废水</w:t>
                  </w:r>
                </w:p>
              </w:tc>
              <w:tc>
                <w:tcPr>
                  <w:tcW w:w="2885" w:type="pct"/>
                  <w:tcBorders>
                    <w:tl2br w:val="nil"/>
                    <w:tr2bl w:val="nil"/>
                  </w:tcBorders>
                  <w:noWrap w:val="0"/>
                  <w:vAlign w:val="center"/>
                </w:tcPr>
                <w:p w14:paraId="6E23FF0E">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spacing w:val="0"/>
                      <w:sz w:val="21"/>
                      <w:szCs w:val="21"/>
                      <w:highlight w:val="none"/>
                      <w:lang w:val="en-US" w:eastAsia="zh-CN"/>
                    </w:rPr>
                  </w:pPr>
                  <w:r>
                    <w:rPr>
                      <w:rFonts w:hint="default" w:ascii="Times New Roman" w:hAnsi="Times New Roman" w:eastAsia="宋体" w:cs="Times New Roman"/>
                      <w:color w:val="0000FF"/>
                      <w:spacing w:val="0"/>
                      <w:sz w:val="21"/>
                      <w:szCs w:val="21"/>
                      <w:highlight w:val="none"/>
                      <w:lang w:val="en-US" w:eastAsia="zh-CN"/>
                    </w:rPr>
                    <w:t>运营期无废水产生</w:t>
                  </w:r>
                </w:p>
              </w:tc>
              <w:tc>
                <w:tcPr>
                  <w:tcW w:w="571" w:type="pct"/>
                  <w:tcBorders>
                    <w:tl2br w:val="nil"/>
                    <w:tr2bl w:val="nil"/>
                  </w:tcBorders>
                  <w:noWrap w:val="0"/>
                  <w:vAlign w:val="center"/>
                </w:tcPr>
                <w:p w14:paraId="47D80A5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pacing w:val="0"/>
                      <w:sz w:val="21"/>
                      <w:szCs w:val="21"/>
                      <w:highlight w:val="none"/>
                      <w:lang w:val="en-US" w:eastAsia="zh-CN"/>
                    </w:rPr>
                  </w:pPr>
                  <w:r>
                    <w:rPr>
                      <w:rFonts w:hint="eastAsia" w:ascii="Times New Roman" w:hAnsi="Times New Roman" w:cs="Times New Roman"/>
                      <w:color w:val="0000FF"/>
                      <w:spacing w:val="0"/>
                      <w:sz w:val="21"/>
                      <w:szCs w:val="21"/>
                      <w:highlight w:val="none"/>
                      <w:lang w:val="en-US" w:eastAsia="zh-CN"/>
                    </w:rPr>
                    <w:t>/</w:t>
                  </w:r>
                </w:p>
              </w:tc>
            </w:tr>
            <w:tr w14:paraId="304F7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516" w:type="pct"/>
                  <w:vMerge w:val="continue"/>
                  <w:tcBorders>
                    <w:tl2br w:val="nil"/>
                    <w:tr2bl w:val="nil"/>
                  </w:tcBorders>
                  <w:noWrap w:val="0"/>
                  <w:vAlign w:val="center"/>
                </w:tcPr>
                <w:p w14:paraId="51F4B271">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p>
              </w:tc>
              <w:tc>
                <w:tcPr>
                  <w:tcW w:w="1027" w:type="pct"/>
                  <w:tcBorders>
                    <w:tl2br w:val="nil"/>
                    <w:tr2bl w:val="nil"/>
                  </w:tcBorders>
                  <w:noWrap w:val="0"/>
                  <w:vAlign w:val="center"/>
                </w:tcPr>
                <w:p w14:paraId="3AE27F6D">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噪声</w:t>
                  </w:r>
                </w:p>
              </w:tc>
              <w:tc>
                <w:tcPr>
                  <w:tcW w:w="2885" w:type="pct"/>
                  <w:tcBorders>
                    <w:tl2br w:val="nil"/>
                    <w:tr2bl w:val="nil"/>
                  </w:tcBorders>
                  <w:noWrap w:val="0"/>
                  <w:vAlign w:val="center"/>
                </w:tcPr>
                <w:p w14:paraId="3A145A9E">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spacing w:val="0"/>
                      <w:sz w:val="21"/>
                      <w:szCs w:val="21"/>
                      <w:highlight w:val="none"/>
                      <w:lang w:val="en-US" w:eastAsia="zh-CN"/>
                    </w:rPr>
                  </w:pPr>
                  <w:r>
                    <w:rPr>
                      <w:rFonts w:hint="default" w:ascii="Times New Roman" w:hAnsi="Times New Roman" w:eastAsia="宋体" w:cs="Times New Roman"/>
                      <w:color w:val="0000FF"/>
                      <w:spacing w:val="0"/>
                      <w:sz w:val="21"/>
                      <w:szCs w:val="21"/>
                      <w:highlight w:val="none"/>
                      <w:lang w:val="en-US" w:eastAsia="zh-CN"/>
                    </w:rPr>
                    <w:t>选用环保低噪型设备、基础减震等降噪措施。</w:t>
                  </w:r>
                </w:p>
              </w:tc>
              <w:tc>
                <w:tcPr>
                  <w:tcW w:w="571" w:type="pct"/>
                  <w:tcBorders>
                    <w:tl2br w:val="nil"/>
                    <w:tr2bl w:val="nil"/>
                  </w:tcBorders>
                  <w:noWrap w:val="0"/>
                  <w:vAlign w:val="center"/>
                </w:tcPr>
                <w:p w14:paraId="2DA820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pacing w:val="0"/>
                      <w:sz w:val="21"/>
                      <w:szCs w:val="21"/>
                      <w:highlight w:val="none"/>
                      <w:lang w:val="en-US" w:eastAsia="zh-CN"/>
                    </w:rPr>
                  </w:pPr>
                  <w:r>
                    <w:rPr>
                      <w:rFonts w:hint="default" w:ascii="Times New Roman" w:hAnsi="Times New Roman" w:cs="Times New Roman"/>
                      <w:color w:val="0000FF"/>
                      <w:spacing w:val="0"/>
                      <w:sz w:val="21"/>
                      <w:szCs w:val="21"/>
                      <w:highlight w:val="none"/>
                      <w:lang w:val="en-US" w:eastAsia="zh-CN"/>
                    </w:rPr>
                    <w:t>新建</w:t>
                  </w:r>
                </w:p>
              </w:tc>
            </w:tr>
            <w:tr w14:paraId="6FD15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516" w:type="pct"/>
                  <w:vMerge w:val="continue"/>
                  <w:tcBorders>
                    <w:tl2br w:val="nil"/>
                    <w:tr2bl w:val="nil"/>
                  </w:tcBorders>
                  <w:noWrap w:val="0"/>
                  <w:vAlign w:val="center"/>
                </w:tcPr>
                <w:p w14:paraId="7F2615E0">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p>
              </w:tc>
              <w:tc>
                <w:tcPr>
                  <w:tcW w:w="1027" w:type="pct"/>
                  <w:tcBorders>
                    <w:tl2br w:val="nil"/>
                    <w:tr2bl w:val="nil"/>
                  </w:tcBorders>
                  <w:noWrap w:val="0"/>
                  <w:vAlign w:val="center"/>
                </w:tcPr>
                <w:p w14:paraId="3B4ABC2E">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r>
                    <w:rPr>
                      <w:rFonts w:hint="default" w:ascii="Times New Roman" w:hAnsi="Times New Roman" w:eastAsia="宋体" w:cs="Times New Roman"/>
                      <w:b w:val="0"/>
                      <w:color w:val="0000FF"/>
                      <w:spacing w:val="0"/>
                      <w:kern w:val="2"/>
                      <w:sz w:val="21"/>
                      <w:szCs w:val="21"/>
                      <w:highlight w:val="none"/>
                      <w:lang w:val="en-US" w:eastAsia="zh-CN" w:bidi="ar-SA"/>
                    </w:rPr>
                    <w:t>地下水</w:t>
                  </w:r>
                </w:p>
              </w:tc>
              <w:tc>
                <w:tcPr>
                  <w:tcW w:w="2885" w:type="pct"/>
                  <w:tcBorders>
                    <w:tl2br w:val="nil"/>
                    <w:tr2bl w:val="nil"/>
                  </w:tcBorders>
                  <w:noWrap w:val="0"/>
                  <w:vAlign w:val="center"/>
                </w:tcPr>
                <w:p w14:paraId="7F946EE0">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spacing w:val="0"/>
                      <w:sz w:val="21"/>
                      <w:szCs w:val="21"/>
                      <w:highlight w:val="none"/>
                      <w:lang w:val="en-US" w:eastAsia="zh-CN"/>
                    </w:rPr>
                  </w:pPr>
                  <w:r>
                    <w:rPr>
                      <w:rFonts w:hint="default" w:ascii="Times New Roman" w:hAnsi="Times New Roman" w:eastAsia="宋体" w:cs="Times New Roman"/>
                      <w:color w:val="0000FF"/>
                      <w:spacing w:val="0"/>
                      <w:sz w:val="21"/>
                      <w:szCs w:val="21"/>
                      <w:highlight w:val="none"/>
                      <w:lang w:val="en-US" w:eastAsia="zh-CN"/>
                    </w:rPr>
                    <w:t>罐区/装卸区采取重点防渗设施，罐区内除设置必要的围堰、防火堤外，还配备了灭火系统。</w:t>
                  </w:r>
                </w:p>
              </w:tc>
              <w:tc>
                <w:tcPr>
                  <w:tcW w:w="571" w:type="pct"/>
                  <w:tcBorders>
                    <w:tl2br w:val="nil"/>
                    <w:tr2bl w:val="nil"/>
                  </w:tcBorders>
                  <w:noWrap w:val="0"/>
                  <w:vAlign w:val="center"/>
                </w:tcPr>
                <w:p w14:paraId="755BDF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pacing w:val="0"/>
                      <w:sz w:val="21"/>
                      <w:szCs w:val="21"/>
                      <w:highlight w:val="none"/>
                      <w:lang w:val="en-US" w:eastAsia="zh-CN"/>
                    </w:rPr>
                  </w:pPr>
                  <w:r>
                    <w:rPr>
                      <w:rFonts w:hint="default" w:ascii="Times New Roman" w:hAnsi="Times New Roman" w:cs="Times New Roman"/>
                      <w:color w:val="0000FF"/>
                      <w:spacing w:val="0"/>
                      <w:sz w:val="21"/>
                      <w:szCs w:val="21"/>
                      <w:highlight w:val="none"/>
                      <w:lang w:val="en-US" w:eastAsia="zh-CN"/>
                    </w:rPr>
                    <w:t>新建/已建成</w:t>
                  </w:r>
                </w:p>
              </w:tc>
            </w:tr>
            <w:tr w14:paraId="734B0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516" w:type="pct"/>
                  <w:vMerge w:val="continue"/>
                  <w:tcBorders>
                    <w:tl2br w:val="nil"/>
                    <w:tr2bl w:val="nil"/>
                  </w:tcBorders>
                  <w:noWrap w:val="0"/>
                  <w:vAlign w:val="center"/>
                </w:tcPr>
                <w:p w14:paraId="5A3AC04B">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p>
              </w:tc>
              <w:tc>
                <w:tcPr>
                  <w:tcW w:w="1027" w:type="pct"/>
                  <w:tcBorders>
                    <w:tl2br w:val="nil"/>
                    <w:tr2bl w:val="nil"/>
                  </w:tcBorders>
                  <w:noWrap w:val="0"/>
                  <w:vAlign w:val="center"/>
                </w:tcPr>
                <w:p w14:paraId="57728AA5">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cs="Times New Roman"/>
                      <w:b w:val="0"/>
                      <w:color w:val="0000FF"/>
                      <w:spacing w:val="0"/>
                      <w:kern w:val="2"/>
                      <w:sz w:val="21"/>
                      <w:szCs w:val="21"/>
                      <w:highlight w:val="none"/>
                      <w:lang w:val="en-US" w:eastAsia="zh-CN" w:bidi="ar-SA"/>
                    </w:rPr>
                  </w:pPr>
                  <w:r>
                    <w:rPr>
                      <w:rFonts w:hint="eastAsia" w:cs="Times New Roman"/>
                      <w:b w:val="0"/>
                      <w:color w:val="0000FF"/>
                      <w:spacing w:val="0"/>
                      <w:kern w:val="2"/>
                      <w:sz w:val="21"/>
                      <w:szCs w:val="21"/>
                      <w:highlight w:val="none"/>
                      <w:lang w:val="en-US" w:eastAsia="zh-CN" w:bidi="ar-SA"/>
                    </w:rPr>
                    <w:t>事故池</w:t>
                  </w:r>
                </w:p>
              </w:tc>
              <w:tc>
                <w:tcPr>
                  <w:tcW w:w="2885" w:type="pct"/>
                  <w:tcBorders>
                    <w:tl2br w:val="nil"/>
                    <w:tr2bl w:val="nil"/>
                  </w:tcBorders>
                  <w:noWrap w:val="0"/>
                  <w:vAlign w:val="center"/>
                </w:tcPr>
                <w:p w14:paraId="29CAB26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1个4000m</w:t>
                  </w:r>
                  <w:r>
                    <w:rPr>
                      <w:rFonts w:hint="eastAsia" w:cs="Times New Roman"/>
                      <w:color w:val="0000FF"/>
                      <w:spacing w:val="0"/>
                      <w:sz w:val="21"/>
                      <w:szCs w:val="21"/>
                      <w:highlight w:val="none"/>
                      <w:vertAlign w:val="superscript"/>
                      <w:lang w:val="en-US" w:eastAsia="zh-CN"/>
                    </w:rPr>
                    <w:t>3</w:t>
                  </w:r>
                  <w:r>
                    <w:rPr>
                      <w:rFonts w:hint="eastAsia" w:cs="Times New Roman"/>
                      <w:color w:val="0000FF"/>
                      <w:spacing w:val="0"/>
                      <w:sz w:val="21"/>
                      <w:szCs w:val="21"/>
                      <w:highlight w:val="none"/>
                      <w:lang w:val="en-US" w:eastAsia="zh-CN"/>
                    </w:rPr>
                    <w:t>事故应急收容池</w:t>
                  </w:r>
                </w:p>
              </w:tc>
              <w:tc>
                <w:tcPr>
                  <w:tcW w:w="571" w:type="pct"/>
                  <w:tcBorders>
                    <w:tl2br w:val="nil"/>
                    <w:tr2bl w:val="nil"/>
                  </w:tcBorders>
                  <w:noWrap w:val="0"/>
                  <w:vAlign w:val="center"/>
                </w:tcPr>
                <w:p w14:paraId="656110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依托</w:t>
                  </w:r>
                </w:p>
              </w:tc>
            </w:tr>
            <w:tr w14:paraId="36BF6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516" w:type="pct"/>
                  <w:vMerge w:val="continue"/>
                  <w:tcBorders>
                    <w:tl2br w:val="nil"/>
                    <w:tr2bl w:val="nil"/>
                  </w:tcBorders>
                  <w:noWrap w:val="0"/>
                  <w:vAlign w:val="center"/>
                </w:tcPr>
                <w:p w14:paraId="062FDA72">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FF"/>
                      <w:spacing w:val="0"/>
                      <w:kern w:val="2"/>
                      <w:sz w:val="21"/>
                      <w:szCs w:val="21"/>
                      <w:highlight w:val="none"/>
                      <w:lang w:val="en-US" w:eastAsia="zh-CN" w:bidi="ar-SA"/>
                    </w:rPr>
                  </w:pPr>
                </w:p>
              </w:tc>
              <w:tc>
                <w:tcPr>
                  <w:tcW w:w="1027" w:type="pct"/>
                  <w:tcBorders>
                    <w:tl2br w:val="nil"/>
                    <w:tr2bl w:val="nil"/>
                  </w:tcBorders>
                  <w:shd w:val="clear" w:color="auto" w:fill="auto"/>
                  <w:noWrap w:val="0"/>
                  <w:vAlign w:val="center"/>
                </w:tcPr>
                <w:p w14:paraId="06A64473">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color w:val="0000FF"/>
                      <w:spacing w:val="0"/>
                      <w:kern w:val="2"/>
                      <w:sz w:val="21"/>
                      <w:szCs w:val="21"/>
                      <w:highlight w:val="none"/>
                      <w:lang w:val="en-US" w:eastAsia="zh-CN" w:bidi="ar-SA"/>
                    </w:rPr>
                  </w:pPr>
                  <w:r>
                    <w:rPr>
                      <w:rFonts w:hint="eastAsia" w:cs="Times New Roman"/>
                      <w:b w:val="0"/>
                      <w:color w:val="0000FF"/>
                      <w:spacing w:val="0"/>
                      <w:kern w:val="2"/>
                      <w:sz w:val="21"/>
                      <w:szCs w:val="21"/>
                      <w:highlight w:val="none"/>
                      <w:lang w:val="en-US" w:eastAsia="zh-CN" w:bidi="ar-SA"/>
                    </w:rPr>
                    <w:t>环境风险</w:t>
                  </w:r>
                </w:p>
              </w:tc>
              <w:tc>
                <w:tcPr>
                  <w:tcW w:w="2885" w:type="pct"/>
                  <w:tcBorders>
                    <w:tl2br w:val="nil"/>
                    <w:tr2bl w:val="nil"/>
                  </w:tcBorders>
                  <w:shd w:val="clear" w:color="auto" w:fill="auto"/>
                  <w:noWrap w:val="0"/>
                  <w:vAlign w:val="center"/>
                </w:tcPr>
                <w:p w14:paraId="485AE19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spacing w:val="0"/>
                      <w:kern w:val="2"/>
                      <w:sz w:val="21"/>
                      <w:szCs w:val="21"/>
                      <w:highlight w:val="none"/>
                      <w:lang w:val="en-US" w:eastAsia="zh-CN" w:bidi="ar-SA"/>
                    </w:rPr>
                  </w:pPr>
                  <w:r>
                    <w:rPr>
                      <w:rFonts w:hint="default" w:ascii="Times New Roman" w:hAnsi="Times New Roman" w:eastAsia="宋体" w:cs="Times New Roman"/>
                      <w:color w:val="0000FF"/>
                      <w:spacing w:val="0"/>
                      <w:sz w:val="21"/>
                      <w:szCs w:val="21"/>
                      <w:highlight w:val="none"/>
                      <w:lang w:val="en-US" w:eastAsia="zh-CN"/>
                    </w:rPr>
                    <w:t>罐区内除设置必要的围堰、防火堤，企业制定有突发环境事件应急预案，并定期开展演练</w:t>
                  </w:r>
                </w:p>
              </w:tc>
              <w:tc>
                <w:tcPr>
                  <w:tcW w:w="571" w:type="pct"/>
                  <w:tcBorders>
                    <w:tl2br w:val="nil"/>
                    <w:tr2bl w:val="nil"/>
                  </w:tcBorders>
                  <w:noWrap w:val="0"/>
                  <w:vAlign w:val="center"/>
                </w:tcPr>
                <w:p w14:paraId="38D9E2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pacing w:val="0"/>
                      <w:sz w:val="21"/>
                      <w:szCs w:val="21"/>
                      <w:highlight w:val="none"/>
                      <w:lang w:val="en-US" w:eastAsia="zh-CN"/>
                    </w:rPr>
                  </w:pPr>
                  <w:r>
                    <w:rPr>
                      <w:rFonts w:hint="default" w:ascii="Times New Roman" w:hAnsi="Times New Roman" w:cs="Times New Roman"/>
                      <w:color w:val="0000FF"/>
                      <w:spacing w:val="0"/>
                      <w:sz w:val="21"/>
                      <w:szCs w:val="21"/>
                      <w:highlight w:val="none"/>
                      <w:lang w:val="en-US" w:eastAsia="zh-CN"/>
                    </w:rPr>
                    <w:t>新建/已建成</w:t>
                  </w:r>
                </w:p>
              </w:tc>
            </w:tr>
          </w:tbl>
          <w:p w14:paraId="57BFF2A2">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480" w:lineRule="exact"/>
              <w:ind w:left="0" w:leftChars="0" w:right="0" w:firstLine="482" w:firstLineChars="200"/>
              <w:textAlignment w:val="auto"/>
              <w:rPr>
                <w:rFonts w:hint="eastAsia" w:cs="Times New Roman"/>
                <w:b/>
                <w:color w:val="0000FF"/>
                <w:spacing w:val="0"/>
                <w:sz w:val="24"/>
                <w:szCs w:val="24"/>
                <w:highlight w:val="none"/>
                <w:lang w:val="en-US" w:eastAsia="zh-CN"/>
              </w:rPr>
            </w:pPr>
            <w:r>
              <w:rPr>
                <w:rFonts w:hint="eastAsia" w:cs="Times New Roman"/>
                <w:b/>
                <w:color w:val="0000FF"/>
                <w:spacing w:val="0"/>
                <w:sz w:val="24"/>
                <w:szCs w:val="24"/>
                <w:highlight w:val="none"/>
                <w:lang w:val="en-US" w:eastAsia="zh-CN"/>
              </w:rPr>
              <w:t>3.产品方案</w:t>
            </w:r>
          </w:p>
          <w:p w14:paraId="310FE74E">
            <w:pPr>
              <w:pStyle w:val="5"/>
              <w:rPr>
                <w:rFonts w:hint="eastAsia" w:ascii="Times New Roman" w:hAnsi="Times New Roman" w:eastAsia="宋体" w:cs="Times New Roman"/>
                <w:b w:val="0"/>
                <w:bCs w:val="0"/>
                <w:snapToGrid w:val="0"/>
                <w:color w:val="0000FF"/>
                <w:spacing w:val="0"/>
                <w:kern w:val="0"/>
                <w:sz w:val="24"/>
                <w:szCs w:val="24"/>
                <w:highlight w:val="none"/>
                <w:lang w:val="en-US" w:eastAsia="zh-CN" w:bidi="ar-SA"/>
              </w:rPr>
            </w:pPr>
            <w:r>
              <w:rPr>
                <w:rFonts w:hint="eastAsia" w:ascii="宋体" w:hAnsi="宋体" w:eastAsia="宋体" w:cs="宋体"/>
                <w:b w:val="0"/>
                <w:bCs w:val="0"/>
                <w:color w:val="0000FF"/>
                <w:kern w:val="0"/>
                <w:sz w:val="24"/>
                <w:szCs w:val="24"/>
                <w:lang w:val="en-US" w:eastAsia="zh-CN" w:bidi="ar"/>
              </w:rPr>
              <w:t>本项目为硝酸储罐扩建项目，单个</w:t>
            </w:r>
            <w:r>
              <w:rPr>
                <w:rFonts w:hint="default" w:ascii="Times New Roman" w:hAnsi="Times New Roman" w:eastAsia="宋体" w:cs="Times New Roman"/>
                <w:b w:val="0"/>
                <w:bCs w:val="0"/>
                <w:color w:val="0000FF"/>
                <w:kern w:val="0"/>
                <w:sz w:val="24"/>
                <w:szCs w:val="24"/>
                <w:lang w:val="en-US" w:eastAsia="zh-CN" w:bidi="ar"/>
              </w:rPr>
              <w:t>储罐为1350m</w:t>
            </w:r>
            <w:r>
              <w:rPr>
                <w:rFonts w:hint="default" w:ascii="Times New Roman" w:hAnsi="Times New Roman" w:eastAsia="宋体" w:cs="Times New Roman"/>
                <w:b w:val="0"/>
                <w:bCs w:val="0"/>
                <w:color w:val="0000FF"/>
                <w:kern w:val="0"/>
                <w:sz w:val="24"/>
                <w:szCs w:val="24"/>
                <w:vertAlign w:val="superscript"/>
                <w:lang w:val="en-US" w:eastAsia="zh-CN" w:bidi="ar"/>
              </w:rPr>
              <w:t>3</w:t>
            </w:r>
            <w:r>
              <w:rPr>
                <w:rFonts w:hint="default" w:ascii="Times New Roman" w:hAnsi="Times New Roman" w:eastAsia="宋体" w:cs="Times New Roman"/>
                <w:b w:val="0"/>
                <w:bCs w:val="0"/>
                <w:color w:val="0000FF"/>
                <w:kern w:val="0"/>
                <w:sz w:val="24"/>
                <w:szCs w:val="24"/>
                <w:lang w:val="en-US" w:eastAsia="zh-CN" w:bidi="ar"/>
              </w:rPr>
              <w:t>，</w:t>
            </w:r>
            <w:r>
              <w:rPr>
                <w:rFonts w:hint="eastAsia" w:ascii="Times New Roman" w:hAnsi="Times New Roman" w:eastAsia="宋体" w:cs="Times New Roman"/>
                <w:b w:val="0"/>
                <w:bCs w:val="0"/>
                <w:color w:val="0000FF"/>
                <w:kern w:val="0"/>
                <w:sz w:val="24"/>
                <w:szCs w:val="24"/>
                <w:lang w:val="en-US" w:eastAsia="zh-CN" w:bidi="ar"/>
              </w:rPr>
              <w:t>当储存达85%时，联锁系统启动，不在送入硝酸，因此单个储罐最大储量约为1538t，</w:t>
            </w:r>
            <w:r>
              <w:rPr>
                <w:rFonts w:hint="default" w:ascii="Times New Roman" w:hAnsi="Times New Roman" w:eastAsia="宋体" w:cs="Times New Roman"/>
                <w:b w:val="0"/>
                <w:bCs w:val="0"/>
                <w:color w:val="0000FF"/>
                <w:kern w:val="0"/>
                <w:sz w:val="24"/>
                <w:szCs w:val="24"/>
                <w:lang w:val="en-US" w:eastAsia="zh-CN" w:bidi="ar"/>
              </w:rPr>
              <w:t>硝</w:t>
            </w:r>
            <w:r>
              <w:rPr>
                <w:rFonts w:hint="eastAsia" w:ascii="宋体" w:hAnsi="宋体" w:eastAsia="宋体" w:cs="宋体"/>
                <w:b w:val="0"/>
                <w:bCs w:val="0"/>
                <w:color w:val="0000FF"/>
                <w:kern w:val="0"/>
                <w:sz w:val="24"/>
                <w:szCs w:val="24"/>
                <w:lang w:val="en-US" w:eastAsia="zh-CN" w:bidi="ar"/>
              </w:rPr>
              <w:t>酸厂内储存规模</w:t>
            </w:r>
            <w:r>
              <w:rPr>
                <w:rFonts w:hint="eastAsia" w:ascii="Times New Roman" w:hAnsi="Times New Roman" w:eastAsia="宋体" w:cs="Times New Roman"/>
                <w:b w:val="0"/>
                <w:bCs w:val="0"/>
                <w:snapToGrid w:val="0"/>
                <w:color w:val="0000FF"/>
                <w:spacing w:val="0"/>
                <w:kern w:val="0"/>
                <w:sz w:val="24"/>
                <w:szCs w:val="24"/>
                <w:highlight w:val="none"/>
                <w:lang w:val="en-US" w:eastAsia="zh-CN" w:bidi="ar-SA"/>
              </w:rPr>
              <w:t>见表2-2。</w:t>
            </w:r>
          </w:p>
          <w:p w14:paraId="2E69C5A0">
            <w:pPr>
              <w:ind w:left="0" w:leftChars="0" w:firstLine="0" w:firstLineChars="0"/>
              <w:jc w:val="center"/>
              <w:rPr>
                <w:rFonts w:hint="eastAsia" w:ascii="Times New Roman" w:hAnsi="Times New Roman" w:eastAsia="宋体" w:cs="Times New Roman"/>
                <w:b/>
                <w:bCs/>
                <w:color w:val="0000FF"/>
                <w:spacing w:val="0"/>
                <w:sz w:val="21"/>
                <w:szCs w:val="21"/>
                <w:highlight w:val="none"/>
                <w:lang w:val="en-US" w:eastAsia="zh-CN"/>
              </w:rPr>
            </w:pPr>
            <w:r>
              <w:rPr>
                <w:rFonts w:hint="default" w:ascii="Times New Roman" w:hAnsi="Times New Roman" w:eastAsia="宋体" w:cs="Times New Roman"/>
                <w:b/>
                <w:bCs/>
                <w:color w:val="0000FF"/>
                <w:spacing w:val="0"/>
                <w:sz w:val="21"/>
                <w:szCs w:val="21"/>
                <w:highlight w:val="none"/>
                <w:lang w:val="en-US" w:eastAsia="zh-CN"/>
              </w:rPr>
              <w:t>表2-</w:t>
            </w:r>
            <w:r>
              <w:rPr>
                <w:rFonts w:hint="eastAsia" w:ascii="Times New Roman" w:hAnsi="Times New Roman" w:eastAsia="宋体" w:cs="Times New Roman"/>
                <w:b/>
                <w:bCs/>
                <w:color w:val="0000FF"/>
                <w:spacing w:val="0"/>
                <w:sz w:val="21"/>
                <w:szCs w:val="21"/>
                <w:highlight w:val="none"/>
                <w:lang w:val="en-US" w:eastAsia="zh-CN"/>
              </w:rPr>
              <w:t>2</w:t>
            </w:r>
            <w:r>
              <w:rPr>
                <w:rFonts w:hint="eastAsia" w:cs="Times New Roman"/>
                <w:b/>
                <w:bCs/>
                <w:color w:val="0000FF"/>
                <w:spacing w:val="0"/>
                <w:sz w:val="21"/>
                <w:szCs w:val="21"/>
                <w:highlight w:val="none"/>
                <w:lang w:val="en-US" w:eastAsia="zh-CN"/>
              </w:rPr>
              <w:t xml:space="preserve"> </w:t>
            </w:r>
            <w:r>
              <w:rPr>
                <w:rFonts w:hint="default" w:ascii="Times New Roman" w:hAnsi="Times New Roman" w:eastAsia="宋体" w:cs="Times New Roman"/>
                <w:b/>
                <w:bCs/>
                <w:color w:val="0000FF"/>
                <w:spacing w:val="0"/>
                <w:sz w:val="21"/>
                <w:szCs w:val="21"/>
                <w:highlight w:val="none"/>
                <w:lang w:val="en-US" w:eastAsia="zh-CN"/>
              </w:rPr>
              <w:t xml:space="preserve">  </w:t>
            </w:r>
            <w:r>
              <w:rPr>
                <w:rFonts w:hint="eastAsia" w:ascii="Times New Roman" w:hAnsi="Times New Roman" w:eastAsia="宋体" w:cs="Times New Roman"/>
                <w:b/>
                <w:bCs/>
                <w:color w:val="0000FF"/>
                <w:spacing w:val="0"/>
                <w:sz w:val="21"/>
                <w:szCs w:val="21"/>
                <w:highlight w:val="none"/>
                <w:lang w:val="en-US" w:eastAsia="zh-CN"/>
              </w:rPr>
              <w:t>硝酸厂内储存规模一览表</w:t>
            </w:r>
          </w:p>
          <w:tbl>
            <w:tblPr>
              <w:tblStyle w:val="22"/>
              <w:tblW w:w="86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200"/>
              <w:gridCol w:w="2010"/>
              <w:gridCol w:w="2025"/>
              <w:gridCol w:w="2124"/>
            </w:tblGrid>
            <w:tr w14:paraId="17A1C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noWrap w:val="0"/>
                  <w:vAlign w:val="center"/>
                </w:tcPr>
                <w:p w14:paraId="307527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FF"/>
                      <w:spacing w:val="0"/>
                      <w:sz w:val="21"/>
                      <w:highlight w:val="none"/>
                      <w:vertAlign w:val="baseline"/>
                      <w:lang w:val="en-US" w:eastAsia="zh-CN"/>
                    </w:rPr>
                  </w:pPr>
                  <w:r>
                    <w:rPr>
                      <w:rFonts w:hint="eastAsia" w:ascii="Times New Roman" w:hAnsi="Times New Roman" w:eastAsia="宋体" w:cs="Times New Roman"/>
                      <w:b/>
                      <w:bCs/>
                      <w:color w:val="0000FF"/>
                      <w:spacing w:val="0"/>
                      <w:sz w:val="21"/>
                      <w:highlight w:val="none"/>
                      <w:vertAlign w:val="baseline"/>
                      <w:lang w:val="en-US" w:eastAsia="zh-CN"/>
                    </w:rPr>
                    <w:t>产品</w:t>
                  </w:r>
                  <w:r>
                    <w:rPr>
                      <w:rFonts w:hint="default" w:ascii="Times New Roman" w:hAnsi="Times New Roman" w:eastAsia="宋体" w:cs="Times New Roman"/>
                      <w:b/>
                      <w:bCs/>
                      <w:color w:val="0000FF"/>
                      <w:spacing w:val="0"/>
                      <w:sz w:val="21"/>
                      <w:highlight w:val="none"/>
                      <w:vertAlign w:val="baseline"/>
                      <w:lang w:val="en-US" w:eastAsia="zh-CN"/>
                    </w:rPr>
                    <w:t>名称</w:t>
                  </w:r>
                </w:p>
              </w:tc>
              <w:tc>
                <w:tcPr>
                  <w:tcW w:w="1200" w:type="dxa"/>
                  <w:noWrap w:val="0"/>
                  <w:vAlign w:val="center"/>
                </w:tcPr>
                <w:p w14:paraId="27170D96">
                  <w:pPr>
                    <w:keepNext w:val="0"/>
                    <w:keepLines w:val="0"/>
                    <w:suppressLineNumbers w:val="0"/>
                    <w:spacing w:before="0" w:beforeAutospacing="0" w:after="0" w:afterAutospacing="0" w:line="240" w:lineRule="auto"/>
                    <w:ind w:left="0" w:right="0" w:firstLine="0" w:firstLineChars="0"/>
                    <w:jc w:val="center"/>
                    <w:rPr>
                      <w:rFonts w:hint="eastAsia" w:cs="Times New Roman"/>
                      <w:b/>
                      <w:bCs/>
                      <w:color w:val="0000FF"/>
                      <w:spacing w:val="0"/>
                      <w:sz w:val="21"/>
                      <w:highlight w:val="none"/>
                      <w:vertAlign w:val="baseline"/>
                      <w:lang w:val="en-US" w:eastAsia="zh-CN"/>
                    </w:rPr>
                  </w:pPr>
                  <w:r>
                    <w:rPr>
                      <w:rFonts w:hint="eastAsia" w:cs="Times New Roman"/>
                      <w:b/>
                      <w:bCs/>
                      <w:color w:val="0000FF"/>
                      <w:spacing w:val="0"/>
                      <w:sz w:val="21"/>
                      <w:highlight w:val="none"/>
                      <w:vertAlign w:val="baseline"/>
                      <w:lang w:val="en-US" w:eastAsia="zh-CN"/>
                    </w:rPr>
                    <w:t>浓度</w:t>
                  </w:r>
                </w:p>
              </w:tc>
              <w:tc>
                <w:tcPr>
                  <w:tcW w:w="2010" w:type="dxa"/>
                  <w:noWrap w:val="0"/>
                  <w:vAlign w:val="center"/>
                </w:tcPr>
                <w:p w14:paraId="0552B7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FF"/>
                      <w:spacing w:val="0"/>
                      <w:sz w:val="21"/>
                      <w:highlight w:val="none"/>
                      <w:vertAlign w:val="baseline"/>
                      <w:lang w:val="en-US" w:eastAsia="zh-CN"/>
                    </w:rPr>
                  </w:pPr>
                  <w:r>
                    <w:rPr>
                      <w:rFonts w:hint="eastAsia" w:cs="Times New Roman"/>
                      <w:b/>
                      <w:bCs/>
                      <w:color w:val="0000FF"/>
                      <w:spacing w:val="0"/>
                      <w:sz w:val="21"/>
                      <w:highlight w:val="none"/>
                      <w:vertAlign w:val="baseline"/>
                      <w:lang w:val="en-US" w:eastAsia="zh-CN"/>
                    </w:rPr>
                    <w:t>现有工程最大储量</w:t>
                  </w:r>
                </w:p>
              </w:tc>
              <w:tc>
                <w:tcPr>
                  <w:tcW w:w="2025" w:type="dxa"/>
                  <w:noWrap w:val="0"/>
                  <w:vAlign w:val="center"/>
                </w:tcPr>
                <w:p w14:paraId="0AD043C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FF"/>
                      <w:spacing w:val="0"/>
                      <w:sz w:val="21"/>
                      <w:highlight w:val="none"/>
                      <w:vertAlign w:val="baseline"/>
                      <w:lang w:val="en-US" w:eastAsia="zh-CN"/>
                    </w:rPr>
                  </w:pPr>
                  <w:r>
                    <w:rPr>
                      <w:rFonts w:hint="eastAsia" w:cs="Times New Roman"/>
                      <w:b/>
                      <w:bCs/>
                      <w:color w:val="0000FF"/>
                      <w:spacing w:val="0"/>
                      <w:sz w:val="21"/>
                      <w:highlight w:val="none"/>
                      <w:vertAlign w:val="baseline"/>
                      <w:lang w:val="en-US" w:eastAsia="zh-CN"/>
                    </w:rPr>
                    <w:t>本次扩建最大储量</w:t>
                  </w:r>
                </w:p>
              </w:tc>
              <w:tc>
                <w:tcPr>
                  <w:tcW w:w="2124" w:type="dxa"/>
                  <w:noWrap w:val="0"/>
                  <w:vAlign w:val="center"/>
                </w:tcPr>
                <w:p w14:paraId="22037BD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0000FF"/>
                      <w:spacing w:val="0"/>
                      <w:sz w:val="21"/>
                      <w:highlight w:val="none"/>
                      <w:vertAlign w:val="baseline"/>
                      <w:lang w:val="en-US" w:eastAsia="zh-CN"/>
                    </w:rPr>
                  </w:pPr>
                  <w:r>
                    <w:rPr>
                      <w:rFonts w:hint="eastAsia" w:ascii="Times New Roman" w:hAnsi="Times New Roman" w:eastAsia="宋体" w:cs="Times New Roman"/>
                      <w:b/>
                      <w:bCs/>
                      <w:color w:val="0000FF"/>
                      <w:spacing w:val="0"/>
                      <w:sz w:val="21"/>
                      <w:highlight w:val="none"/>
                      <w:vertAlign w:val="baseline"/>
                      <w:lang w:val="en-US" w:eastAsia="zh-CN"/>
                    </w:rPr>
                    <w:t>扩建后全厂最大储量</w:t>
                  </w:r>
                </w:p>
              </w:tc>
            </w:tr>
            <w:tr w14:paraId="20146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noWrap w:val="0"/>
                  <w:vAlign w:val="center"/>
                </w:tcPr>
                <w:p w14:paraId="571E41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FF"/>
                      <w:spacing w:val="0"/>
                      <w:sz w:val="21"/>
                      <w:highlight w:val="none"/>
                      <w:vertAlign w:val="baseline"/>
                      <w:lang w:val="en-US" w:eastAsia="zh-CN"/>
                    </w:rPr>
                  </w:pPr>
                  <w:r>
                    <w:rPr>
                      <w:rFonts w:hint="eastAsia" w:ascii="Times New Roman" w:hAnsi="Times New Roman" w:eastAsia="宋体" w:cs="Times New Roman"/>
                      <w:color w:val="0000FF"/>
                      <w:spacing w:val="0"/>
                      <w:sz w:val="21"/>
                      <w:highlight w:val="none"/>
                      <w:vertAlign w:val="baseline"/>
                      <w:lang w:val="en-US" w:eastAsia="zh-CN"/>
                    </w:rPr>
                    <w:t>硝酸</w:t>
                  </w:r>
                </w:p>
              </w:tc>
              <w:tc>
                <w:tcPr>
                  <w:tcW w:w="1200" w:type="dxa"/>
                  <w:noWrap w:val="0"/>
                  <w:vAlign w:val="center"/>
                </w:tcPr>
                <w:p w14:paraId="43287EF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FF"/>
                      <w:spacing w:val="0"/>
                      <w:sz w:val="21"/>
                      <w:highlight w:val="none"/>
                      <w:vertAlign w:val="baseline"/>
                      <w:lang w:val="en-US" w:eastAsia="zh-CN"/>
                    </w:rPr>
                  </w:pPr>
                  <w:r>
                    <w:rPr>
                      <w:rFonts w:hint="eastAsia" w:cs="Times New Roman"/>
                      <w:color w:val="0000FF"/>
                      <w:spacing w:val="0"/>
                      <w:sz w:val="21"/>
                      <w:highlight w:val="none"/>
                      <w:vertAlign w:val="baseline"/>
                      <w:lang w:val="en-US" w:eastAsia="zh-CN"/>
                    </w:rPr>
                    <w:t>5</w:t>
                  </w:r>
                  <w:r>
                    <w:rPr>
                      <w:rFonts w:hint="eastAsia" w:ascii="Times New Roman" w:hAnsi="Times New Roman" w:eastAsia="宋体" w:cs="Times New Roman"/>
                      <w:color w:val="0000FF"/>
                      <w:spacing w:val="0"/>
                      <w:sz w:val="21"/>
                      <w:highlight w:val="none"/>
                      <w:vertAlign w:val="baseline"/>
                      <w:lang w:val="en-US" w:eastAsia="zh-CN"/>
                    </w:rPr>
                    <w:t>8%</w:t>
                  </w:r>
                </w:p>
              </w:tc>
              <w:tc>
                <w:tcPr>
                  <w:tcW w:w="2010" w:type="dxa"/>
                  <w:noWrap w:val="0"/>
                  <w:vAlign w:val="top"/>
                </w:tcPr>
                <w:p w14:paraId="1FFFD0B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FF"/>
                      <w:spacing w:val="0"/>
                      <w:sz w:val="21"/>
                      <w:highlight w:val="none"/>
                      <w:vertAlign w:val="baseline"/>
                      <w:lang w:val="en-US" w:eastAsia="zh-CN"/>
                    </w:rPr>
                  </w:pPr>
                  <w:r>
                    <w:rPr>
                      <w:rFonts w:hint="eastAsia" w:cs="Times New Roman"/>
                      <w:color w:val="0000FF"/>
                      <w:spacing w:val="0"/>
                      <w:sz w:val="21"/>
                      <w:highlight w:val="none"/>
                      <w:vertAlign w:val="baseline"/>
                      <w:lang w:val="en-US" w:eastAsia="zh-CN"/>
                    </w:rPr>
                    <w:t>3076</w:t>
                  </w:r>
                  <w:r>
                    <w:rPr>
                      <w:rFonts w:hint="eastAsia" w:ascii="Times New Roman" w:hAnsi="Times New Roman" w:eastAsia="宋体" w:cs="Times New Roman"/>
                      <w:color w:val="0000FF"/>
                      <w:spacing w:val="0"/>
                      <w:sz w:val="21"/>
                      <w:highlight w:val="none"/>
                      <w:vertAlign w:val="baseline"/>
                      <w:lang w:val="en-US" w:eastAsia="zh-CN"/>
                    </w:rPr>
                    <w:t>t</w:t>
                  </w:r>
                </w:p>
                <w:p w14:paraId="592D4435">
                  <w:pPr>
                    <w:keepNext w:val="0"/>
                    <w:keepLines w:val="0"/>
                    <w:suppressLineNumbers w:val="0"/>
                    <w:spacing w:before="0" w:beforeAutospacing="0" w:after="0" w:afterAutospacing="0" w:line="240" w:lineRule="auto"/>
                    <w:ind w:left="0" w:right="0" w:firstLine="0" w:firstLineChars="0"/>
                    <w:jc w:val="center"/>
                    <w:rPr>
                      <w:rFonts w:hint="default"/>
                      <w:color w:val="0000FF"/>
                      <w:lang w:val="en-US" w:eastAsia="zh-CN"/>
                    </w:rPr>
                  </w:pPr>
                  <w:r>
                    <w:rPr>
                      <w:rFonts w:hint="eastAsia" w:ascii="Times New Roman" w:hAnsi="Times New Roman" w:eastAsia="宋体" w:cs="Times New Roman"/>
                      <w:color w:val="0000FF"/>
                      <w:spacing w:val="0"/>
                      <w:sz w:val="21"/>
                      <w:highlight w:val="none"/>
                      <w:vertAlign w:val="baseline"/>
                      <w:lang w:val="en-US" w:eastAsia="zh-CN"/>
                    </w:rPr>
                    <w:t>（2700</w:t>
                  </w:r>
                  <w:r>
                    <w:rPr>
                      <w:rFonts w:hint="default" w:ascii="Times New Roman" w:hAnsi="Times New Roman" w:eastAsia="宋体" w:cs="Times New Roman"/>
                      <w:color w:val="0000FF"/>
                      <w:spacing w:val="0"/>
                      <w:sz w:val="21"/>
                      <w:highlight w:val="none"/>
                      <w:vertAlign w:val="baseline"/>
                      <w:lang w:val="en-US" w:eastAsia="zh-CN"/>
                    </w:rPr>
                    <w:t>m³</w:t>
                  </w:r>
                  <w:r>
                    <w:rPr>
                      <w:rFonts w:hint="eastAsia" w:ascii="Times New Roman" w:hAnsi="Times New Roman" w:eastAsia="宋体" w:cs="Times New Roman"/>
                      <w:color w:val="0000FF"/>
                      <w:spacing w:val="0"/>
                      <w:sz w:val="21"/>
                      <w:highlight w:val="none"/>
                      <w:vertAlign w:val="baseline"/>
                      <w:lang w:val="en-US" w:eastAsia="zh-CN"/>
                    </w:rPr>
                    <w:t>）</w:t>
                  </w:r>
                </w:p>
              </w:tc>
              <w:tc>
                <w:tcPr>
                  <w:tcW w:w="2025" w:type="dxa"/>
                  <w:shd w:val="clear" w:color="auto" w:fill="auto"/>
                  <w:noWrap w:val="0"/>
                  <w:vAlign w:val="center"/>
                </w:tcPr>
                <w:p w14:paraId="47BDAF8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FF"/>
                      <w:spacing w:val="0"/>
                      <w:sz w:val="21"/>
                      <w:highlight w:val="none"/>
                      <w:vertAlign w:val="baseline"/>
                      <w:lang w:val="en-US" w:eastAsia="zh-CN"/>
                    </w:rPr>
                  </w:pPr>
                  <w:r>
                    <w:rPr>
                      <w:rFonts w:hint="eastAsia" w:cs="Times New Roman"/>
                      <w:color w:val="0000FF"/>
                      <w:spacing w:val="0"/>
                      <w:sz w:val="21"/>
                      <w:highlight w:val="none"/>
                      <w:vertAlign w:val="baseline"/>
                      <w:lang w:val="en-US" w:eastAsia="zh-CN"/>
                    </w:rPr>
                    <w:t>3076</w:t>
                  </w:r>
                  <w:r>
                    <w:rPr>
                      <w:rFonts w:hint="eastAsia" w:ascii="Times New Roman" w:hAnsi="Times New Roman" w:eastAsia="宋体" w:cs="Times New Roman"/>
                      <w:color w:val="0000FF"/>
                      <w:spacing w:val="0"/>
                      <w:sz w:val="21"/>
                      <w:highlight w:val="none"/>
                      <w:vertAlign w:val="baseline"/>
                      <w:lang w:val="en-US" w:eastAsia="zh-CN"/>
                    </w:rPr>
                    <w:t>t</w:t>
                  </w:r>
                </w:p>
                <w:p w14:paraId="207849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FF"/>
                      <w:spacing w:val="0"/>
                      <w:sz w:val="21"/>
                      <w:highlight w:val="none"/>
                      <w:vertAlign w:val="baseline"/>
                      <w:lang w:val="en-US" w:eastAsia="zh-CN"/>
                    </w:rPr>
                  </w:pPr>
                  <w:r>
                    <w:rPr>
                      <w:rFonts w:hint="eastAsia" w:ascii="Times New Roman" w:hAnsi="Times New Roman" w:eastAsia="宋体" w:cs="Times New Roman"/>
                      <w:color w:val="0000FF"/>
                      <w:spacing w:val="0"/>
                      <w:sz w:val="21"/>
                      <w:highlight w:val="none"/>
                      <w:vertAlign w:val="baseline"/>
                      <w:lang w:val="en-US" w:eastAsia="zh-CN"/>
                    </w:rPr>
                    <w:t>（2700</w:t>
                  </w:r>
                  <w:r>
                    <w:rPr>
                      <w:rFonts w:hint="default" w:ascii="Times New Roman" w:hAnsi="Times New Roman" w:eastAsia="宋体" w:cs="Times New Roman"/>
                      <w:color w:val="0000FF"/>
                      <w:spacing w:val="0"/>
                      <w:sz w:val="21"/>
                      <w:highlight w:val="none"/>
                      <w:vertAlign w:val="baseline"/>
                      <w:lang w:val="en-US" w:eastAsia="zh-CN"/>
                    </w:rPr>
                    <w:t>m³</w:t>
                  </w:r>
                  <w:r>
                    <w:rPr>
                      <w:rFonts w:hint="eastAsia" w:ascii="Times New Roman" w:hAnsi="Times New Roman" w:eastAsia="宋体" w:cs="Times New Roman"/>
                      <w:color w:val="0000FF"/>
                      <w:spacing w:val="0"/>
                      <w:sz w:val="21"/>
                      <w:highlight w:val="none"/>
                      <w:vertAlign w:val="baseline"/>
                      <w:lang w:val="en-US" w:eastAsia="zh-CN"/>
                    </w:rPr>
                    <w:t>）</w:t>
                  </w:r>
                </w:p>
              </w:tc>
              <w:tc>
                <w:tcPr>
                  <w:tcW w:w="2124" w:type="dxa"/>
                  <w:noWrap w:val="0"/>
                  <w:vAlign w:val="center"/>
                </w:tcPr>
                <w:p w14:paraId="40746F6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FF"/>
                      <w:spacing w:val="0"/>
                      <w:sz w:val="21"/>
                      <w:highlight w:val="none"/>
                      <w:vertAlign w:val="baseline"/>
                      <w:lang w:val="en-US" w:eastAsia="zh-CN"/>
                    </w:rPr>
                  </w:pPr>
                  <w:r>
                    <w:rPr>
                      <w:rFonts w:hint="eastAsia" w:cs="Times New Roman"/>
                      <w:color w:val="0000FF"/>
                      <w:spacing w:val="0"/>
                      <w:sz w:val="21"/>
                      <w:highlight w:val="none"/>
                      <w:vertAlign w:val="baseline"/>
                      <w:lang w:val="en-US" w:eastAsia="zh-CN"/>
                    </w:rPr>
                    <w:t>6152</w:t>
                  </w:r>
                  <w:r>
                    <w:rPr>
                      <w:rFonts w:hint="eastAsia" w:ascii="Times New Roman" w:hAnsi="Times New Roman" w:eastAsia="宋体" w:cs="Times New Roman"/>
                      <w:color w:val="0000FF"/>
                      <w:spacing w:val="0"/>
                      <w:sz w:val="21"/>
                      <w:highlight w:val="none"/>
                      <w:vertAlign w:val="baseline"/>
                      <w:lang w:val="en-US" w:eastAsia="zh-CN"/>
                    </w:rPr>
                    <w:t>t</w:t>
                  </w:r>
                </w:p>
                <w:p w14:paraId="12D4B00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FF"/>
                      <w:spacing w:val="0"/>
                      <w:sz w:val="21"/>
                      <w:highlight w:val="none"/>
                      <w:vertAlign w:val="baseline"/>
                      <w:lang w:val="en-US" w:eastAsia="zh-CN"/>
                    </w:rPr>
                  </w:pPr>
                  <w:r>
                    <w:rPr>
                      <w:rFonts w:hint="eastAsia" w:ascii="Times New Roman" w:hAnsi="Times New Roman" w:eastAsia="宋体" w:cs="Times New Roman"/>
                      <w:color w:val="0000FF"/>
                      <w:spacing w:val="0"/>
                      <w:sz w:val="21"/>
                      <w:highlight w:val="none"/>
                      <w:vertAlign w:val="baseline"/>
                      <w:lang w:val="en-US" w:eastAsia="zh-CN"/>
                    </w:rPr>
                    <w:t>（5400</w:t>
                  </w:r>
                  <w:r>
                    <w:rPr>
                      <w:rFonts w:hint="default" w:ascii="Times New Roman" w:hAnsi="Times New Roman" w:eastAsia="宋体" w:cs="Times New Roman"/>
                      <w:color w:val="0000FF"/>
                      <w:spacing w:val="0"/>
                      <w:sz w:val="21"/>
                      <w:highlight w:val="none"/>
                      <w:vertAlign w:val="baseline"/>
                      <w:lang w:val="en-US" w:eastAsia="zh-CN"/>
                    </w:rPr>
                    <w:t>m³</w:t>
                  </w:r>
                  <w:r>
                    <w:rPr>
                      <w:rFonts w:hint="eastAsia" w:ascii="Times New Roman" w:hAnsi="Times New Roman" w:eastAsia="宋体" w:cs="Times New Roman"/>
                      <w:color w:val="0000FF"/>
                      <w:spacing w:val="0"/>
                      <w:sz w:val="21"/>
                      <w:highlight w:val="none"/>
                      <w:vertAlign w:val="baseline"/>
                      <w:lang w:val="en-US" w:eastAsia="zh-CN"/>
                    </w:rPr>
                    <w:t>）</w:t>
                  </w:r>
                </w:p>
              </w:tc>
            </w:tr>
          </w:tbl>
          <w:p w14:paraId="54428A71">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480" w:lineRule="exact"/>
              <w:ind w:left="0" w:leftChars="0" w:right="0" w:firstLine="482" w:firstLineChars="200"/>
              <w:textAlignment w:val="auto"/>
              <w:rPr>
                <w:rFonts w:hint="default" w:ascii="Times New Roman" w:hAnsi="Times New Roman" w:eastAsia="宋体" w:cs="Times New Roman"/>
                <w:b/>
                <w:color w:val="auto"/>
                <w:spacing w:val="0"/>
                <w:sz w:val="24"/>
                <w:szCs w:val="24"/>
                <w:highlight w:val="none"/>
                <w:lang w:val="en-US" w:eastAsia="zh-CN"/>
              </w:rPr>
            </w:pPr>
            <w:r>
              <w:rPr>
                <w:rFonts w:hint="eastAsia" w:cs="Times New Roman"/>
                <w:b/>
                <w:color w:val="auto"/>
                <w:spacing w:val="0"/>
                <w:sz w:val="24"/>
                <w:szCs w:val="24"/>
                <w:highlight w:val="none"/>
                <w:lang w:val="en-US" w:eastAsia="zh-CN"/>
              </w:rPr>
              <w:t>4.</w:t>
            </w:r>
            <w:r>
              <w:rPr>
                <w:rFonts w:hint="default" w:ascii="Times New Roman" w:hAnsi="Times New Roman" w:cs="Times New Roman"/>
                <w:b/>
                <w:color w:val="auto"/>
                <w:spacing w:val="0"/>
                <w:sz w:val="24"/>
                <w:szCs w:val="24"/>
                <w:highlight w:val="none"/>
                <w:lang w:val="en-US" w:eastAsia="zh-CN"/>
              </w:rPr>
              <w:t>主要设备</w:t>
            </w:r>
          </w:p>
          <w:p w14:paraId="325B6985">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
                <w:bCs/>
                <w:color w:val="auto"/>
                <w:spacing w:val="0"/>
                <w:sz w:val="24"/>
                <w:szCs w:val="24"/>
                <w:highlight w:val="none"/>
                <w:lang w:eastAsia="zh-CN"/>
              </w:rPr>
            </w:pPr>
            <w:r>
              <w:rPr>
                <w:rFonts w:hint="default" w:ascii="Times New Roman" w:hAnsi="Times New Roman" w:eastAsia="宋体" w:cs="Times New Roman"/>
                <w:snapToGrid w:val="0"/>
                <w:color w:val="auto"/>
                <w:spacing w:val="0"/>
                <w:kern w:val="0"/>
                <w:sz w:val="24"/>
                <w:szCs w:val="24"/>
                <w:highlight w:val="none"/>
              </w:rPr>
              <w:t>本项目主要设备</w:t>
            </w:r>
            <w:r>
              <w:rPr>
                <w:rFonts w:hint="default" w:ascii="Times New Roman" w:hAnsi="Times New Roman" w:cs="Times New Roman"/>
                <w:snapToGrid w:val="0"/>
                <w:color w:val="auto"/>
                <w:spacing w:val="0"/>
                <w:kern w:val="0"/>
                <w:sz w:val="24"/>
                <w:szCs w:val="24"/>
                <w:highlight w:val="none"/>
                <w:lang w:val="en-US" w:eastAsia="zh-CN"/>
              </w:rPr>
              <w:t>及情况</w:t>
            </w:r>
            <w:r>
              <w:rPr>
                <w:rFonts w:hint="default" w:ascii="Times New Roman" w:hAnsi="Times New Roman" w:eastAsia="宋体" w:cs="Times New Roman"/>
                <w:snapToGrid w:val="0"/>
                <w:color w:val="auto"/>
                <w:spacing w:val="0"/>
                <w:kern w:val="0"/>
                <w:sz w:val="24"/>
                <w:szCs w:val="24"/>
                <w:highlight w:val="none"/>
              </w:rPr>
              <w:t>具体见表</w:t>
            </w:r>
            <w:r>
              <w:rPr>
                <w:rFonts w:hint="default" w:ascii="Times New Roman" w:hAnsi="Times New Roman" w:eastAsia="宋体" w:cs="Times New Roman"/>
                <w:snapToGrid w:val="0"/>
                <w:color w:val="auto"/>
                <w:spacing w:val="0"/>
                <w:kern w:val="0"/>
                <w:sz w:val="24"/>
                <w:szCs w:val="24"/>
                <w:highlight w:val="none"/>
                <w:lang w:val="en-US" w:eastAsia="zh-CN"/>
              </w:rPr>
              <w:t>2-</w:t>
            </w:r>
            <w:r>
              <w:rPr>
                <w:rFonts w:hint="eastAsia" w:cs="Times New Roman"/>
                <w:snapToGrid w:val="0"/>
                <w:color w:val="auto"/>
                <w:spacing w:val="0"/>
                <w:kern w:val="0"/>
                <w:sz w:val="24"/>
                <w:szCs w:val="24"/>
                <w:highlight w:val="none"/>
                <w:lang w:val="en-US" w:eastAsia="zh-CN"/>
              </w:rPr>
              <w:t>3</w:t>
            </w:r>
            <w:r>
              <w:rPr>
                <w:rFonts w:hint="default" w:ascii="Times New Roman" w:hAnsi="Times New Roman" w:eastAsia="宋体" w:cs="Times New Roman"/>
                <w:snapToGrid w:val="0"/>
                <w:color w:val="auto"/>
                <w:spacing w:val="0"/>
                <w:kern w:val="0"/>
                <w:sz w:val="24"/>
                <w:szCs w:val="24"/>
                <w:highlight w:val="none"/>
              </w:rPr>
              <w:t>。</w:t>
            </w:r>
          </w:p>
          <w:p w14:paraId="349686B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表2-</w:t>
            </w:r>
            <w:r>
              <w:rPr>
                <w:rFonts w:hint="eastAsia" w:cs="Times New Roman"/>
                <w:b/>
                <w:bCs/>
                <w:color w:val="auto"/>
                <w:spacing w:val="0"/>
                <w:sz w:val="21"/>
                <w:szCs w:val="21"/>
                <w:highlight w:val="none"/>
                <w:lang w:val="en-US" w:eastAsia="zh-CN"/>
              </w:rPr>
              <w:t xml:space="preserve">3 </w:t>
            </w:r>
            <w:r>
              <w:rPr>
                <w:rFonts w:hint="default" w:ascii="Times New Roman" w:hAnsi="Times New Roman" w:eastAsia="宋体" w:cs="Times New Roman"/>
                <w:b/>
                <w:bCs/>
                <w:color w:val="auto"/>
                <w:spacing w:val="0"/>
                <w:sz w:val="21"/>
                <w:szCs w:val="21"/>
                <w:highlight w:val="none"/>
                <w:lang w:val="en-US" w:eastAsia="zh-CN"/>
              </w:rPr>
              <w:t xml:space="preserve">   主要设备</w:t>
            </w:r>
          </w:p>
          <w:tbl>
            <w:tblPr>
              <w:tblStyle w:val="22"/>
              <w:tblW w:w="86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2000"/>
              <w:gridCol w:w="2872"/>
              <w:gridCol w:w="700"/>
              <w:gridCol w:w="749"/>
              <w:gridCol w:w="1530"/>
            </w:tblGrid>
            <w:tr w14:paraId="60964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dxa"/>
                  <w:noWrap w:val="0"/>
                  <w:vAlign w:val="center"/>
                </w:tcPr>
                <w:p w14:paraId="57F8D31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pacing w:val="0"/>
                      <w:sz w:val="21"/>
                      <w:highlight w:val="none"/>
                      <w:vertAlign w:val="baseline"/>
                      <w:lang w:val="en-US" w:eastAsia="zh-CN"/>
                    </w:rPr>
                  </w:pPr>
                  <w:r>
                    <w:rPr>
                      <w:rFonts w:hint="default" w:ascii="Times New Roman" w:hAnsi="Times New Roman" w:eastAsia="宋体" w:cs="Times New Roman"/>
                      <w:b/>
                      <w:bCs/>
                      <w:color w:val="auto"/>
                      <w:spacing w:val="0"/>
                      <w:sz w:val="21"/>
                      <w:highlight w:val="none"/>
                      <w:vertAlign w:val="baseline"/>
                      <w:lang w:val="en-US" w:eastAsia="zh-CN"/>
                    </w:rPr>
                    <w:t>序号</w:t>
                  </w:r>
                </w:p>
              </w:tc>
              <w:tc>
                <w:tcPr>
                  <w:tcW w:w="2000" w:type="dxa"/>
                  <w:noWrap w:val="0"/>
                  <w:vAlign w:val="center"/>
                </w:tcPr>
                <w:p w14:paraId="199E34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pacing w:val="0"/>
                      <w:sz w:val="21"/>
                      <w:highlight w:val="none"/>
                      <w:vertAlign w:val="baseline"/>
                      <w:lang w:val="en-US" w:eastAsia="zh-CN"/>
                    </w:rPr>
                  </w:pPr>
                  <w:r>
                    <w:rPr>
                      <w:rFonts w:hint="default" w:ascii="Times New Roman" w:hAnsi="Times New Roman" w:eastAsia="宋体" w:cs="Times New Roman"/>
                      <w:b/>
                      <w:bCs/>
                      <w:color w:val="auto"/>
                      <w:spacing w:val="0"/>
                      <w:sz w:val="21"/>
                      <w:highlight w:val="none"/>
                      <w:vertAlign w:val="baseline"/>
                      <w:lang w:val="en-US" w:eastAsia="zh-CN"/>
                    </w:rPr>
                    <w:t>设备名称</w:t>
                  </w:r>
                </w:p>
              </w:tc>
              <w:tc>
                <w:tcPr>
                  <w:tcW w:w="2872" w:type="dxa"/>
                  <w:noWrap w:val="0"/>
                  <w:vAlign w:val="center"/>
                </w:tcPr>
                <w:p w14:paraId="082307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pacing w:val="0"/>
                      <w:sz w:val="21"/>
                      <w:highlight w:val="none"/>
                      <w:vertAlign w:val="baseline"/>
                      <w:lang w:val="en-US" w:eastAsia="zh-CN"/>
                    </w:rPr>
                  </w:pPr>
                  <w:r>
                    <w:rPr>
                      <w:rFonts w:hint="eastAsia" w:cs="Times New Roman"/>
                      <w:b/>
                      <w:bCs/>
                      <w:color w:val="auto"/>
                      <w:spacing w:val="0"/>
                      <w:sz w:val="21"/>
                      <w:highlight w:val="none"/>
                      <w:vertAlign w:val="baseline"/>
                      <w:lang w:val="en-US" w:eastAsia="zh-CN"/>
                    </w:rPr>
                    <w:t>规格型号</w:t>
                  </w:r>
                </w:p>
              </w:tc>
              <w:tc>
                <w:tcPr>
                  <w:tcW w:w="700" w:type="dxa"/>
                  <w:noWrap w:val="0"/>
                  <w:vAlign w:val="center"/>
                </w:tcPr>
                <w:p w14:paraId="0009CD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pacing w:val="0"/>
                      <w:sz w:val="21"/>
                      <w:highlight w:val="none"/>
                      <w:vertAlign w:val="baseline"/>
                      <w:lang w:val="en-US" w:eastAsia="zh-CN"/>
                    </w:rPr>
                  </w:pPr>
                  <w:r>
                    <w:rPr>
                      <w:rFonts w:hint="default" w:ascii="Times New Roman" w:hAnsi="Times New Roman" w:eastAsia="宋体" w:cs="Times New Roman"/>
                      <w:b/>
                      <w:bCs/>
                      <w:color w:val="auto"/>
                      <w:spacing w:val="0"/>
                      <w:sz w:val="21"/>
                      <w:highlight w:val="none"/>
                      <w:vertAlign w:val="baseline"/>
                      <w:lang w:val="en-US" w:eastAsia="zh-CN"/>
                    </w:rPr>
                    <w:t>单位</w:t>
                  </w:r>
                </w:p>
              </w:tc>
              <w:tc>
                <w:tcPr>
                  <w:tcW w:w="749" w:type="dxa"/>
                  <w:noWrap w:val="0"/>
                  <w:vAlign w:val="center"/>
                </w:tcPr>
                <w:p w14:paraId="6EAD91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pacing w:val="0"/>
                      <w:sz w:val="21"/>
                      <w:highlight w:val="none"/>
                      <w:vertAlign w:val="baseline"/>
                      <w:lang w:val="en-US" w:eastAsia="zh-CN"/>
                    </w:rPr>
                  </w:pPr>
                  <w:r>
                    <w:rPr>
                      <w:rFonts w:hint="default" w:ascii="Times New Roman" w:hAnsi="Times New Roman" w:eastAsia="宋体" w:cs="Times New Roman"/>
                      <w:b/>
                      <w:bCs/>
                      <w:color w:val="auto"/>
                      <w:spacing w:val="0"/>
                      <w:sz w:val="21"/>
                      <w:highlight w:val="none"/>
                      <w:vertAlign w:val="baseline"/>
                      <w:lang w:val="en-US" w:eastAsia="zh-CN"/>
                    </w:rPr>
                    <w:t>数量</w:t>
                  </w:r>
                </w:p>
              </w:tc>
              <w:tc>
                <w:tcPr>
                  <w:tcW w:w="1530" w:type="dxa"/>
                  <w:noWrap w:val="0"/>
                  <w:vAlign w:val="center"/>
                </w:tcPr>
                <w:p w14:paraId="2BCFEC3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sz w:val="21"/>
                      <w:highlight w:val="none"/>
                      <w:vertAlign w:val="baseline"/>
                      <w:lang w:val="en-US" w:eastAsia="zh-CN"/>
                    </w:rPr>
                  </w:pPr>
                  <w:r>
                    <w:rPr>
                      <w:rFonts w:hint="eastAsia" w:ascii="Times New Roman" w:hAnsi="Times New Roman" w:eastAsia="宋体" w:cs="Times New Roman"/>
                      <w:b/>
                      <w:bCs/>
                      <w:color w:val="auto"/>
                      <w:spacing w:val="0"/>
                      <w:sz w:val="21"/>
                      <w:highlight w:val="none"/>
                      <w:vertAlign w:val="baseline"/>
                      <w:lang w:val="en-US" w:eastAsia="zh-CN"/>
                    </w:rPr>
                    <w:t>备注</w:t>
                  </w:r>
                </w:p>
              </w:tc>
            </w:tr>
            <w:tr w14:paraId="516FA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dxa"/>
                  <w:noWrap w:val="0"/>
                  <w:vAlign w:val="center"/>
                </w:tcPr>
                <w:p w14:paraId="4E1778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sz w:val="21"/>
                      <w:highlight w:val="none"/>
                      <w:vertAlign w:val="baseline"/>
                      <w:lang w:val="en-US" w:eastAsia="zh-CN"/>
                    </w:rPr>
                  </w:pPr>
                  <w:r>
                    <w:rPr>
                      <w:rFonts w:hint="eastAsia" w:cs="Times New Roman"/>
                      <w:color w:val="auto"/>
                      <w:spacing w:val="0"/>
                      <w:sz w:val="21"/>
                      <w:highlight w:val="none"/>
                      <w:vertAlign w:val="baseline"/>
                      <w:lang w:val="en-US" w:eastAsia="zh-CN"/>
                    </w:rPr>
                    <w:t>1</w:t>
                  </w:r>
                </w:p>
              </w:tc>
              <w:tc>
                <w:tcPr>
                  <w:tcW w:w="2000" w:type="dxa"/>
                  <w:noWrap w:val="0"/>
                  <w:vAlign w:val="center"/>
                </w:tcPr>
                <w:p w14:paraId="6E6571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sz w:val="21"/>
                      <w:highlight w:val="none"/>
                      <w:vertAlign w:val="baseline"/>
                      <w:lang w:val="en-US" w:eastAsia="zh-CN"/>
                    </w:rPr>
                  </w:pPr>
                  <w:r>
                    <w:rPr>
                      <w:rFonts w:hint="default" w:ascii="Times New Roman" w:hAnsi="Times New Roman" w:eastAsia="宋体" w:cs="Times New Roman"/>
                      <w:color w:val="auto"/>
                      <w:spacing w:val="0"/>
                      <w:sz w:val="21"/>
                      <w:highlight w:val="none"/>
                      <w:vertAlign w:val="baseline"/>
                      <w:lang w:val="en-US" w:eastAsia="zh-CN"/>
                    </w:rPr>
                    <w:t>成品酸罐</w:t>
                  </w:r>
                </w:p>
              </w:tc>
              <w:tc>
                <w:tcPr>
                  <w:tcW w:w="2872" w:type="dxa"/>
                  <w:noWrap w:val="0"/>
                  <w:vAlign w:val="top"/>
                </w:tcPr>
                <w:p w14:paraId="65BADC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sz w:val="21"/>
                      <w:highlight w:val="none"/>
                      <w:vertAlign w:val="baseline"/>
                      <w:lang w:val="en-US" w:eastAsia="zh-CN"/>
                    </w:rPr>
                  </w:pPr>
                  <w:r>
                    <w:rPr>
                      <w:rFonts w:hint="default" w:ascii="Times New Roman" w:hAnsi="Times New Roman" w:eastAsia="宋体" w:cs="Times New Roman"/>
                      <w:color w:val="auto"/>
                      <w:spacing w:val="0"/>
                      <w:sz w:val="21"/>
                      <w:highlight w:val="none"/>
                      <w:vertAlign w:val="baseline"/>
                      <w:lang w:val="en-US" w:eastAsia="zh-CN"/>
                    </w:rPr>
                    <w:t>Φ14600*8000</w:t>
                  </w:r>
                  <w:r>
                    <w:rPr>
                      <w:rFonts w:hint="eastAsia" w:cs="Times New Roman"/>
                      <w:color w:val="auto"/>
                      <w:spacing w:val="0"/>
                      <w:sz w:val="21"/>
                      <w:highlight w:val="none"/>
                      <w:vertAlign w:val="baseline"/>
                      <w:lang w:val="en-US" w:eastAsia="zh-CN"/>
                    </w:rPr>
                    <w:t>，</w:t>
                  </w:r>
                  <w:r>
                    <w:rPr>
                      <w:rFonts w:hint="default" w:ascii="Times New Roman" w:hAnsi="Times New Roman" w:eastAsia="宋体" w:cs="Times New Roman"/>
                      <w:color w:val="auto"/>
                      <w:spacing w:val="0"/>
                      <w:sz w:val="21"/>
                      <w:highlight w:val="none"/>
                      <w:vertAlign w:val="baseline"/>
                      <w:lang w:val="en-US" w:eastAsia="zh-CN"/>
                    </w:rPr>
                    <w:t>V=1350m³</w:t>
                  </w:r>
                </w:p>
              </w:tc>
              <w:tc>
                <w:tcPr>
                  <w:tcW w:w="700" w:type="dxa"/>
                  <w:shd w:val="clear" w:color="auto" w:fill="auto"/>
                  <w:noWrap w:val="0"/>
                  <w:vAlign w:val="center"/>
                </w:tcPr>
                <w:p w14:paraId="07C623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sz w:val="21"/>
                      <w:highlight w:val="none"/>
                      <w:vertAlign w:val="baseline"/>
                      <w:lang w:val="en-US" w:eastAsia="zh-CN"/>
                    </w:rPr>
                  </w:pPr>
                  <w:r>
                    <w:rPr>
                      <w:rFonts w:hint="eastAsia" w:cs="Times New Roman"/>
                      <w:color w:val="auto"/>
                      <w:spacing w:val="0"/>
                      <w:sz w:val="21"/>
                      <w:highlight w:val="none"/>
                      <w:vertAlign w:val="baseline"/>
                      <w:lang w:val="en-US" w:eastAsia="zh-CN"/>
                    </w:rPr>
                    <w:t>座</w:t>
                  </w:r>
                </w:p>
              </w:tc>
              <w:tc>
                <w:tcPr>
                  <w:tcW w:w="749" w:type="dxa"/>
                  <w:noWrap w:val="0"/>
                  <w:vAlign w:val="center"/>
                </w:tcPr>
                <w:p w14:paraId="7BF0B3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sz w:val="21"/>
                      <w:highlight w:val="none"/>
                      <w:vertAlign w:val="baseline"/>
                      <w:lang w:val="en-US" w:eastAsia="zh-CN"/>
                    </w:rPr>
                  </w:pPr>
                  <w:r>
                    <w:rPr>
                      <w:rFonts w:hint="eastAsia" w:cs="Times New Roman"/>
                      <w:color w:val="auto"/>
                      <w:spacing w:val="0"/>
                      <w:sz w:val="21"/>
                      <w:highlight w:val="none"/>
                      <w:vertAlign w:val="baseline"/>
                      <w:lang w:val="en-US" w:eastAsia="zh-CN"/>
                    </w:rPr>
                    <w:t>2</w:t>
                  </w:r>
                </w:p>
              </w:tc>
              <w:tc>
                <w:tcPr>
                  <w:tcW w:w="1530" w:type="dxa"/>
                  <w:noWrap w:val="0"/>
                  <w:vAlign w:val="center"/>
                </w:tcPr>
                <w:p w14:paraId="3973699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sz w:val="21"/>
                      <w:highlight w:val="none"/>
                      <w:vertAlign w:val="baseline"/>
                      <w:lang w:val="en-US" w:eastAsia="zh-CN"/>
                    </w:rPr>
                  </w:pPr>
                  <w:r>
                    <w:rPr>
                      <w:rFonts w:hint="eastAsia" w:cs="Times New Roman"/>
                      <w:color w:val="auto"/>
                      <w:spacing w:val="0"/>
                      <w:sz w:val="21"/>
                      <w:highlight w:val="none"/>
                      <w:vertAlign w:val="baseline"/>
                      <w:lang w:val="en-US" w:eastAsia="zh-CN"/>
                    </w:rPr>
                    <w:t>新建</w:t>
                  </w:r>
                </w:p>
              </w:tc>
            </w:tr>
            <w:tr w14:paraId="30DE5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dxa"/>
                  <w:shd w:val="clear" w:color="auto" w:fill="auto"/>
                  <w:noWrap w:val="0"/>
                  <w:vAlign w:val="center"/>
                </w:tcPr>
                <w:p w14:paraId="4CE8B10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4"/>
                      <w:highlight w:val="none"/>
                      <w:vertAlign w:val="baseline"/>
                      <w:lang w:val="en-US" w:eastAsia="zh-CN" w:bidi="ar-SA"/>
                    </w:rPr>
                  </w:pPr>
                  <w:r>
                    <w:rPr>
                      <w:rFonts w:hint="eastAsia" w:cs="Times New Roman"/>
                      <w:color w:val="auto"/>
                      <w:spacing w:val="0"/>
                      <w:kern w:val="2"/>
                      <w:sz w:val="21"/>
                      <w:szCs w:val="24"/>
                      <w:highlight w:val="none"/>
                      <w:vertAlign w:val="baseline"/>
                      <w:lang w:val="en-US" w:eastAsia="zh-CN" w:bidi="ar-SA"/>
                    </w:rPr>
                    <w:t>2</w:t>
                  </w:r>
                </w:p>
              </w:tc>
              <w:tc>
                <w:tcPr>
                  <w:tcW w:w="2000" w:type="dxa"/>
                  <w:noWrap w:val="0"/>
                  <w:vAlign w:val="center"/>
                </w:tcPr>
                <w:p w14:paraId="34660A4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sz w:val="21"/>
                      <w:highlight w:val="none"/>
                      <w:vertAlign w:val="baseline"/>
                      <w:lang w:val="en-US" w:eastAsia="zh-CN"/>
                    </w:rPr>
                  </w:pPr>
                  <w:r>
                    <w:rPr>
                      <w:rFonts w:hint="default" w:ascii="Times New Roman" w:hAnsi="Times New Roman" w:eastAsia="宋体" w:cs="Times New Roman"/>
                      <w:color w:val="auto"/>
                      <w:spacing w:val="0"/>
                      <w:sz w:val="21"/>
                      <w:highlight w:val="none"/>
                      <w:vertAlign w:val="baseline"/>
                      <w:lang w:val="en-US" w:eastAsia="zh-CN"/>
                    </w:rPr>
                    <w:t>成品酸泵</w:t>
                  </w:r>
                </w:p>
              </w:tc>
              <w:tc>
                <w:tcPr>
                  <w:tcW w:w="2872" w:type="dxa"/>
                  <w:noWrap w:val="0"/>
                  <w:vAlign w:val="top"/>
                </w:tcPr>
                <w:p w14:paraId="40856D7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sz w:val="21"/>
                      <w:highlight w:val="none"/>
                      <w:vertAlign w:val="baseline"/>
                      <w:lang w:val="en-US" w:eastAsia="zh-CN"/>
                    </w:rPr>
                  </w:pPr>
                  <w:r>
                    <w:rPr>
                      <w:rFonts w:hint="default" w:ascii="Times New Roman" w:hAnsi="Times New Roman" w:eastAsia="宋体" w:cs="Times New Roman"/>
                      <w:color w:val="auto"/>
                      <w:spacing w:val="0"/>
                      <w:sz w:val="21"/>
                      <w:highlight w:val="none"/>
                      <w:vertAlign w:val="baseline"/>
                      <w:lang w:val="en-US" w:eastAsia="zh-CN"/>
                    </w:rPr>
                    <w:t>HC50-250，Q=50m</w:t>
                  </w:r>
                  <w:r>
                    <w:rPr>
                      <w:rFonts w:hint="default" w:ascii="Times New Roman" w:hAnsi="Times New Roman" w:eastAsia="宋体" w:cs="Times New Roman"/>
                      <w:color w:val="auto"/>
                      <w:spacing w:val="0"/>
                      <w:sz w:val="21"/>
                      <w:highlight w:val="none"/>
                      <w:vertAlign w:val="superscript"/>
                      <w:lang w:val="en-US" w:eastAsia="zh-CN"/>
                    </w:rPr>
                    <w:t>3</w:t>
                  </w:r>
                  <w:r>
                    <w:rPr>
                      <w:rFonts w:hint="default" w:ascii="Times New Roman" w:hAnsi="Times New Roman" w:eastAsia="宋体" w:cs="Times New Roman"/>
                      <w:color w:val="auto"/>
                      <w:spacing w:val="0"/>
                      <w:sz w:val="21"/>
                      <w:highlight w:val="none"/>
                      <w:vertAlign w:val="baseline"/>
                      <w:lang w:val="en-US" w:eastAsia="zh-CN"/>
                    </w:rPr>
                    <w:t>/h</w:t>
                  </w:r>
                  <w:r>
                    <w:rPr>
                      <w:rFonts w:hint="eastAsia" w:cs="Times New Roman"/>
                      <w:color w:val="auto"/>
                      <w:spacing w:val="0"/>
                      <w:sz w:val="21"/>
                      <w:highlight w:val="none"/>
                      <w:vertAlign w:val="baseline"/>
                      <w:lang w:val="en-US" w:eastAsia="zh-CN"/>
                    </w:rPr>
                    <w:t>，</w:t>
                  </w:r>
                  <w:r>
                    <w:rPr>
                      <w:rFonts w:hint="default" w:ascii="Times New Roman" w:hAnsi="Times New Roman" w:eastAsia="宋体" w:cs="Times New Roman"/>
                      <w:color w:val="auto"/>
                      <w:spacing w:val="0"/>
                      <w:sz w:val="21"/>
                      <w:highlight w:val="none"/>
                      <w:vertAlign w:val="baseline"/>
                      <w:lang w:val="en-US" w:eastAsia="zh-CN"/>
                    </w:rPr>
                    <w:t>H=65m</w:t>
                  </w:r>
                </w:p>
              </w:tc>
              <w:tc>
                <w:tcPr>
                  <w:tcW w:w="700" w:type="dxa"/>
                  <w:shd w:val="clear" w:color="auto" w:fill="auto"/>
                  <w:noWrap w:val="0"/>
                  <w:vAlign w:val="center"/>
                </w:tcPr>
                <w:p w14:paraId="414AE62D">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pacing w:val="0"/>
                      <w:kern w:val="2"/>
                      <w:sz w:val="21"/>
                      <w:szCs w:val="24"/>
                      <w:highlight w:val="none"/>
                      <w:vertAlign w:val="baseline"/>
                      <w:lang w:val="en-US" w:eastAsia="zh-CN" w:bidi="ar-SA"/>
                    </w:rPr>
                  </w:pPr>
                  <w:r>
                    <w:rPr>
                      <w:rFonts w:hint="eastAsia" w:cs="Times New Roman"/>
                      <w:color w:val="auto"/>
                      <w:spacing w:val="0"/>
                      <w:kern w:val="2"/>
                      <w:sz w:val="21"/>
                      <w:szCs w:val="24"/>
                      <w:highlight w:val="none"/>
                      <w:vertAlign w:val="baseline"/>
                      <w:lang w:val="en-US" w:eastAsia="zh-CN" w:bidi="ar-SA"/>
                    </w:rPr>
                    <w:t>台</w:t>
                  </w:r>
                </w:p>
              </w:tc>
              <w:tc>
                <w:tcPr>
                  <w:tcW w:w="749" w:type="dxa"/>
                  <w:shd w:val="clear" w:color="auto" w:fill="auto"/>
                  <w:noWrap w:val="0"/>
                  <w:vAlign w:val="center"/>
                </w:tcPr>
                <w:p w14:paraId="034C49F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4"/>
                      <w:highlight w:val="none"/>
                      <w:vertAlign w:val="baseline"/>
                      <w:lang w:val="en-US" w:eastAsia="zh-CN" w:bidi="ar-SA"/>
                    </w:rPr>
                  </w:pPr>
                  <w:r>
                    <w:rPr>
                      <w:rFonts w:hint="eastAsia" w:cs="Times New Roman"/>
                      <w:color w:val="auto"/>
                      <w:spacing w:val="0"/>
                      <w:kern w:val="2"/>
                      <w:sz w:val="21"/>
                      <w:szCs w:val="24"/>
                      <w:highlight w:val="none"/>
                      <w:vertAlign w:val="baseline"/>
                      <w:lang w:val="en-US" w:eastAsia="zh-CN" w:bidi="ar-SA"/>
                    </w:rPr>
                    <w:t>2</w:t>
                  </w:r>
                </w:p>
              </w:tc>
              <w:tc>
                <w:tcPr>
                  <w:tcW w:w="1530" w:type="dxa"/>
                  <w:noWrap w:val="0"/>
                  <w:vAlign w:val="center"/>
                </w:tcPr>
                <w:p w14:paraId="1B3768A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sz w:val="21"/>
                      <w:highlight w:val="none"/>
                      <w:vertAlign w:val="baseline"/>
                      <w:lang w:val="en-US" w:eastAsia="zh-CN"/>
                    </w:rPr>
                  </w:pPr>
                  <w:r>
                    <w:rPr>
                      <w:rFonts w:hint="eastAsia" w:cs="Times New Roman"/>
                      <w:color w:val="auto"/>
                      <w:spacing w:val="0"/>
                      <w:sz w:val="21"/>
                      <w:highlight w:val="none"/>
                      <w:vertAlign w:val="baseline"/>
                      <w:lang w:val="en-US" w:eastAsia="zh-CN"/>
                    </w:rPr>
                    <w:t>新建</w:t>
                  </w:r>
                </w:p>
              </w:tc>
            </w:tr>
            <w:tr w14:paraId="5BE42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dxa"/>
                  <w:shd w:val="clear" w:color="auto" w:fill="auto"/>
                  <w:noWrap w:val="0"/>
                  <w:vAlign w:val="center"/>
                </w:tcPr>
                <w:p w14:paraId="43E6682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4"/>
                      <w:highlight w:val="none"/>
                      <w:vertAlign w:val="baseline"/>
                      <w:lang w:val="en-US" w:eastAsia="zh-CN" w:bidi="ar-SA"/>
                    </w:rPr>
                  </w:pPr>
                  <w:r>
                    <w:rPr>
                      <w:rFonts w:hint="eastAsia" w:cs="Times New Roman"/>
                      <w:color w:val="auto"/>
                      <w:spacing w:val="0"/>
                      <w:kern w:val="2"/>
                      <w:sz w:val="21"/>
                      <w:szCs w:val="24"/>
                      <w:highlight w:val="none"/>
                      <w:vertAlign w:val="baseline"/>
                      <w:lang w:val="en-US" w:eastAsia="zh-CN" w:bidi="ar-SA"/>
                    </w:rPr>
                    <w:t>3</w:t>
                  </w:r>
                </w:p>
              </w:tc>
              <w:tc>
                <w:tcPr>
                  <w:tcW w:w="2000" w:type="dxa"/>
                  <w:shd w:val="clear" w:color="auto" w:fill="auto"/>
                  <w:noWrap w:val="0"/>
                  <w:vAlign w:val="center"/>
                </w:tcPr>
                <w:p w14:paraId="7C0F22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sz w:val="21"/>
                      <w:highlight w:val="none"/>
                      <w:vertAlign w:val="baseline"/>
                      <w:lang w:val="en-US" w:eastAsia="zh-CN"/>
                    </w:rPr>
                  </w:pPr>
                  <w:r>
                    <w:rPr>
                      <w:rFonts w:hint="eastAsia" w:ascii="Times New Roman" w:hAnsi="Times New Roman" w:eastAsia="宋体" w:cs="Times New Roman"/>
                      <w:color w:val="auto"/>
                      <w:spacing w:val="0"/>
                      <w:sz w:val="21"/>
                      <w:highlight w:val="none"/>
                      <w:vertAlign w:val="baseline"/>
                      <w:lang w:val="en-US" w:eastAsia="zh-CN"/>
                    </w:rPr>
                    <w:t>酸罐地槽泵</w:t>
                  </w:r>
                </w:p>
              </w:tc>
              <w:tc>
                <w:tcPr>
                  <w:tcW w:w="2872" w:type="dxa"/>
                  <w:shd w:val="clear" w:color="auto" w:fill="auto"/>
                  <w:noWrap w:val="0"/>
                  <w:vAlign w:val="center"/>
                </w:tcPr>
                <w:p w14:paraId="3300949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sz w:val="21"/>
                      <w:highlight w:val="none"/>
                      <w:vertAlign w:val="baseline"/>
                      <w:lang w:val="en-US" w:eastAsia="zh-CN"/>
                    </w:rPr>
                  </w:pPr>
                  <w:r>
                    <w:rPr>
                      <w:rFonts w:hint="default" w:ascii="Times New Roman" w:hAnsi="Times New Roman" w:eastAsia="宋体" w:cs="Times New Roman"/>
                      <w:color w:val="auto"/>
                      <w:spacing w:val="0"/>
                      <w:sz w:val="21"/>
                      <w:highlight w:val="none"/>
                      <w:vertAlign w:val="baseline"/>
                      <w:lang w:val="en-US" w:eastAsia="zh-CN"/>
                    </w:rPr>
                    <w:t>HA25-200</w:t>
                  </w:r>
                  <w:r>
                    <w:rPr>
                      <w:rFonts w:hint="eastAsia" w:ascii="Times New Roman" w:hAnsi="Times New Roman" w:eastAsia="宋体" w:cs="Times New Roman"/>
                      <w:color w:val="auto"/>
                      <w:spacing w:val="0"/>
                      <w:sz w:val="21"/>
                      <w:highlight w:val="none"/>
                      <w:vertAlign w:val="baseline"/>
                      <w:lang w:val="en-US" w:eastAsia="zh-CN"/>
                    </w:rPr>
                    <w:t>，Q=</w:t>
                  </w:r>
                  <w:r>
                    <w:rPr>
                      <w:rFonts w:hint="default" w:ascii="Times New Roman" w:hAnsi="Times New Roman" w:eastAsia="宋体" w:cs="Times New Roman"/>
                      <w:color w:val="auto"/>
                      <w:spacing w:val="0"/>
                      <w:sz w:val="21"/>
                      <w:highlight w:val="none"/>
                      <w:vertAlign w:val="baseline"/>
                      <w:lang w:val="en-US" w:eastAsia="zh-CN"/>
                    </w:rPr>
                    <w:t>3</w:t>
                  </w:r>
                  <w:r>
                    <w:rPr>
                      <w:rFonts w:hint="eastAsia" w:ascii="Times New Roman" w:hAnsi="Times New Roman" w:eastAsia="宋体" w:cs="Times New Roman"/>
                      <w:color w:val="auto"/>
                      <w:spacing w:val="0"/>
                      <w:sz w:val="21"/>
                      <w:highlight w:val="none"/>
                      <w:vertAlign w:val="baseline"/>
                      <w:lang w:val="en-US" w:eastAsia="zh-CN"/>
                    </w:rPr>
                    <w:t>m</w:t>
                  </w:r>
                  <w:r>
                    <w:rPr>
                      <w:rFonts w:hint="eastAsia" w:ascii="Times New Roman" w:hAnsi="Times New Roman" w:eastAsia="宋体" w:cs="Times New Roman"/>
                      <w:color w:val="auto"/>
                      <w:spacing w:val="0"/>
                      <w:sz w:val="21"/>
                      <w:highlight w:val="none"/>
                      <w:vertAlign w:val="superscript"/>
                      <w:lang w:val="en-US" w:eastAsia="zh-CN"/>
                    </w:rPr>
                    <w:t>3</w:t>
                  </w:r>
                  <w:r>
                    <w:rPr>
                      <w:rFonts w:hint="eastAsia" w:ascii="Times New Roman" w:hAnsi="Times New Roman" w:eastAsia="宋体" w:cs="Times New Roman"/>
                      <w:color w:val="auto"/>
                      <w:spacing w:val="0"/>
                      <w:sz w:val="21"/>
                      <w:highlight w:val="none"/>
                      <w:vertAlign w:val="baseline"/>
                      <w:lang w:val="en-US" w:eastAsia="zh-CN"/>
                    </w:rPr>
                    <w:t>/h</w:t>
                  </w:r>
                  <w:r>
                    <w:rPr>
                      <w:rFonts w:hint="eastAsia" w:cs="Times New Roman"/>
                      <w:color w:val="auto"/>
                      <w:spacing w:val="0"/>
                      <w:sz w:val="21"/>
                      <w:highlight w:val="none"/>
                      <w:vertAlign w:val="baseline"/>
                      <w:lang w:val="en-US" w:eastAsia="zh-CN"/>
                    </w:rPr>
                    <w:t>，</w:t>
                  </w:r>
                  <w:r>
                    <w:rPr>
                      <w:rFonts w:hint="eastAsia" w:ascii="Times New Roman" w:hAnsi="Times New Roman" w:eastAsia="宋体" w:cs="Times New Roman"/>
                      <w:color w:val="auto"/>
                      <w:spacing w:val="0"/>
                      <w:sz w:val="21"/>
                      <w:highlight w:val="none"/>
                      <w:vertAlign w:val="baseline"/>
                      <w:lang w:val="en-US" w:eastAsia="zh-CN"/>
                    </w:rPr>
                    <w:t>H=25m</w:t>
                  </w:r>
                </w:p>
              </w:tc>
              <w:tc>
                <w:tcPr>
                  <w:tcW w:w="700" w:type="dxa"/>
                  <w:shd w:val="clear" w:color="auto" w:fill="auto"/>
                  <w:noWrap w:val="0"/>
                  <w:vAlign w:val="center"/>
                </w:tcPr>
                <w:p w14:paraId="62856832">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pacing w:val="0"/>
                      <w:kern w:val="2"/>
                      <w:sz w:val="21"/>
                      <w:szCs w:val="24"/>
                      <w:highlight w:val="none"/>
                      <w:vertAlign w:val="baseline"/>
                      <w:lang w:val="en-US" w:eastAsia="zh-CN" w:bidi="ar-SA"/>
                    </w:rPr>
                  </w:pPr>
                  <w:r>
                    <w:rPr>
                      <w:rFonts w:hint="eastAsia" w:cs="Times New Roman"/>
                      <w:color w:val="auto"/>
                      <w:spacing w:val="0"/>
                      <w:kern w:val="2"/>
                      <w:sz w:val="21"/>
                      <w:szCs w:val="24"/>
                      <w:highlight w:val="none"/>
                      <w:vertAlign w:val="baseline"/>
                      <w:lang w:val="en-US" w:eastAsia="zh-CN" w:bidi="ar-SA"/>
                    </w:rPr>
                    <w:t>台</w:t>
                  </w:r>
                </w:p>
              </w:tc>
              <w:tc>
                <w:tcPr>
                  <w:tcW w:w="749" w:type="dxa"/>
                  <w:shd w:val="clear" w:color="auto" w:fill="auto"/>
                  <w:noWrap w:val="0"/>
                  <w:vAlign w:val="center"/>
                </w:tcPr>
                <w:p w14:paraId="1083D23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4"/>
                      <w:highlight w:val="none"/>
                      <w:vertAlign w:val="baseline"/>
                      <w:lang w:val="en-US" w:eastAsia="zh-CN" w:bidi="ar-SA"/>
                    </w:rPr>
                  </w:pPr>
                  <w:r>
                    <w:rPr>
                      <w:rFonts w:hint="eastAsia" w:cs="Times New Roman"/>
                      <w:color w:val="auto"/>
                      <w:spacing w:val="0"/>
                      <w:kern w:val="2"/>
                      <w:sz w:val="21"/>
                      <w:szCs w:val="24"/>
                      <w:highlight w:val="none"/>
                      <w:vertAlign w:val="baseline"/>
                      <w:lang w:val="en-US" w:eastAsia="zh-CN" w:bidi="ar-SA"/>
                    </w:rPr>
                    <w:t>1</w:t>
                  </w:r>
                </w:p>
              </w:tc>
              <w:tc>
                <w:tcPr>
                  <w:tcW w:w="1530" w:type="dxa"/>
                  <w:noWrap w:val="0"/>
                  <w:vAlign w:val="center"/>
                </w:tcPr>
                <w:p w14:paraId="1CC5C61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sz w:val="21"/>
                      <w:highlight w:val="none"/>
                      <w:vertAlign w:val="baseline"/>
                      <w:lang w:val="en-US" w:eastAsia="zh-CN"/>
                    </w:rPr>
                  </w:pPr>
                  <w:r>
                    <w:rPr>
                      <w:rFonts w:hint="eastAsia" w:cs="Times New Roman"/>
                      <w:color w:val="auto"/>
                      <w:spacing w:val="0"/>
                      <w:sz w:val="21"/>
                      <w:highlight w:val="none"/>
                      <w:vertAlign w:val="baseline"/>
                      <w:lang w:val="en-US" w:eastAsia="zh-CN"/>
                    </w:rPr>
                    <w:t>依托原有</w:t>
                  </w:r>
                </w:p>
              </w:tc>
            </w:tr>
            <w:tr w14:paraId="663D3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dxa"/>
                  <w:shd w:val="clear" w:color="auto" w:fill="auto"/>
                  <w:noWrap w:val="0"/>
                  <w:vAlign w:val="center"/>
                </w:tcPr>
                <w:p w14:paraId="0AF47F5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4"/>
                      <w:highlight w:val="none"/>
                      <w:vertAlign w:val="baseline"/>
                      <w:lang w:val="en-US" w:eastAsia="zh-CN" w:bidi="ar-SA"/>
                    </w:rPr>
                  </w:pPr>
                  <w:r>
                    <w:rPr>
                      <w:rFonts w:hint="eastAsia" w:cs="Times New Roman"/>
                      <w:color w:val="auto"/>
                      <w:spacing w:val="0"/>
                      <w:kern w:val="2"/>
                      <w:sz w:val="21"/>
                      <w:szCs w:val="24"/>
                      <w:highlight w:val="none"/>
                      <w:vertAlign w:val="baseline"/>
                      <w:lang w:val="en-US" w:eastAsia="zh-CN" w:bidi="ar-SA"/>
                    </w:rPr>
                    <w:t>4</w:t>
                  </w:r>
                </w:p>
              </w:tc>
              <w:tc>
                <w:tcPr>
                  <w:tcW w:w="2000" w:type="dxa"/>
                  <w:shd w:val="clear" w:color="auto" w:fill="auto"/>
                  <w:noWrap w:val="0"/>
                  <w:vAlign w:val="center"/>
                </w:tcPr>
                <w:p w14:paraId="11F0458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sz w:val="21"/>
                      <w:highlight w:val="none"/>
                      <w:vertAlign w:val="baseline"/>
                      <w:lang w:val="en-US" w:eastAsia="zh-CN"/>
                    </w:rPr>
                  </w:pPr>
                  <w:r>
                    <w:rPr>
                      <w:rFonts w:hint="eastAsia" w:ascii="Times New Roman" w:hAnsi="Times New Roman" w:eastAsia="宋体" w:cs="Times New Roman"/>
                      <w:color w:val="auto"/>
                      <w:spacing w:val="0"/>
                      <w:sz w:val="21"/>
                      <w:highlight w:val="none"/>
                      <w:vertAlign w:val="baseline"/>
                      <w:lang w:val="en-US" w:eastAsia="zh-CN"/>
                    </w:rPr>
                    <w:t>装车酸泵</w:t>
                  </w:r>
                </w:p>
              </w:tc>
              <w:tc>
                <w:tcPr>
                  <w:tcW w:w="2872" w:type="dxa"/>
                  <w:shd w:val="clear" w:color="auto" w:fill="auto"/>
                  <w:noWrap w:val="0"/>
                  <w:vAlign w:val="center"/>
                </w:tcPr>
                <w:p w14:paraId="7E1BAE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sz w:val="21"/>
                      <w:highlight w:val="none"/>
                      <w:vertAlign w:val="baseline"/>
                      <w:lang w:val="en-US" w:eastAsia="zh-CN"/>
                    </w:rPr>
                  </w:pPr>
                  <w:r>
                    <w:rPr>
                      <w:rFonts w:hint="default" w:ascii="Times New Roman" w:hAnsi="Times New Roman" w:eastAsia="宋体" w:cs="Times New Roman"/>
                      <w:color w:val="auto"/>
                      <w:spacing w:val="0"/>
                      <w:sz w:val="21"/>
                      <w:highlight w:val="none"/>
                      <w:vertAlign w:val="baseline"/>
                      <w:lang w:val="en-US" w:eastAsia="zh-CN"/>
                    </w:rPr>
                    <w:t>HC50-160</w:t>
                  </w:r>
                  <w:r>
                    <w:rPr>
                      <w:rFonts w:hint="eastAsia" w:ascii="Times New Roman" w:hAnsi="Times New Roman" w:eastAsia="宋体" w:cs="Times New Roman"/>
                      <w:color w:val="auto"/>
                      <w:spacing w:val="0"/>
                      <w:sz w:val="21"/>
                      <w:highlight w:val="none"/>
                      <w:vertAlign w:val="baseline"/>
                      <w:lang w:val="en-US" w:eastAsia="zh-CN"/>
                    </w:rPr>
                    <w:t>，Q=</w:t>
                  </w:r>
                  <w:r>
                    <w:rPr>
                      <w:rFonts w:hint="default" w:ascii="Times New Roman" w:hAnsi="Times New Roman" w:eastAsia="宋体" w:cs="Times New Roman"/>
                      <w:color w:val="auto"/>
                      <w:spacing w:val="0"/>
                      <w:sz w:val="21"/>
                      <w:highlight w:val="none"/>
                      <w:vertAlign w:val="baseline"/>
                      <w:lang w:val="en-US" w:eastAsia="zh-CN"/>
                    </w:rPr>
                    <w:t>50</w:t>
                  </w:r>
                  <w:r>
                    <w:rPr>
                      <w:rFonts w:hint="eastAsia" w:ascii="Times New Roman" w:hAnsi="Times New Roman" w:eastAsia="宋体" w:cs="Times New Roman"/>
                      <w:color w:val="auto"/>
                      <w:spacing w:val="0"/>
                      <w:sz w:val="21"/>
                      <w:highlight w:val="none"/>
                      <w:vertAlign w:val="baseline"/>
                      <w:lang w:val="en-US" w:eastAsia="zh-CN"/>
                    </w:rPr>
                    <w:t>m</w:t>
                  </w:r>
                  <w:r>
                    <w:rPr>
                      <w:rFonts w:hint="eastAsia" w:ascii="Times New Roman" w:hAnsi="Times New Roman" w:eastAsia="宋体" w:cs="Times New Roman"/>
                      <w:color w:val="auto"/>
                      <w:spacing w:val="0"/>
                      <w:sz w:val="21"/>
                      <w:highlight w:val="none"/>
                      <w:vertAlign w:val="superscript"/>
                      <w:lang w:val="en-US" w:eastAsia="zh-CN"/>
                    </w:rPr>
                    <w:t>3</w:t>
                  </w:r>
                  <w:r>
                    <w:rPr>
                      <w:rFonts w:hint="eastAsia" w:ascii="Times New Roman" w:hAnsi="Times New Roman" w:eastAsia="宋体" w:cs="Times New Roman"/>
                      <w:color w:val="auto"/>
                      <w:spacing w:val="0"/>
                      <w:sz w:val="21"/>
                      <w:highlight w:val="none"/>
                      <w:vertAlign w:val="baseline"/>
                      <w:lang w:val="en-US" w:eastAsia="zh-CN"/>
                    </w:rPr>
                    <w:t>/h</w:t>
                  </w:r>
                  <w:r>
                    <w:rPr>
                      <w:rFonts w:hint="eastAsia" w:cs="Times New Roman"/>
                      <w:color w:val="auto"/>
                      <w:spacing w:val="0"/>
                      <w:sz w:val="21"/>
                      <w:highlight w:val="none"/>
                      <w:vertAlign w:val="baseline"/>
                      <w:lang w:val="en-US" w:eastAsia="zh-CN"/>
                    </w:rPr>
                    <w:t>，</w:t>
                  </w:r>
                  <w:r>
                    <w:rPr>
                      <w:rFonts w:hint="eastAsia" w:ascii="Times New Roman" w:hAnsi="Times New Roman" w:eastAsia="宋体" w:cs="Times New Roman"/>
                      <w:color w:val="auto"/>
                      <w:spacing w:val="0"/>
                      <w:sz w:val="21"/>
                      <w:highlight w:val="none"/>
                      <w:vertAlign w:val="baseline"/>
                      <w:lang w:val="en-US" w:eastAsia="zh-CN"/>
                    </w:rPr>
                    <w:t>H=4</w:t>
                  </w:r>
                  <w:r>
                    <w:rPr>
                      <w:rFonts w:hint="default" w:ascii="Times New Roman" w:hAnsi="Times New Roman" w:eastAsia="宋体" w:cs="Times New Roman"/>
                      <w:color w:val="auto"/>
                      <w:spacing w:val="0"/>
                      <w:sz w:val="21"/>
                      <w:highlight w:val="none"/>
                      <w:vertAlign w:val="baseline"/>
                      <w:lang w:val="en-US" w:eastAsia="zh-CN"/>
                    </w:rPr>
                    <w:t>0</w:t>
                  </w:r>
                  <w:r>
                    <w:rPr>
                      <w:rFonts w:hint="eastAsia" w:ascii="Times New Roman" w:hAnsi="Times New Roman" w:eastAsia="宋体" w:cs="Times New Roman"/>
                      <w:color w:val="auto"/>
                      <w:spacing w:val="0"/>
                      <w:sz w:val="21"/>
                      <w:highlight w:val="none"/>
                      <w:vertAlign w:val="baseline"/>
                      <w:lang w:val="en-US" w:eastAsia="zh-CN"/>
                    </w:rPr>
                    <w:t>m</w:t>
                  </w:r>
                </w:p>
              </w:tc>
              <w:tc>
                <w:tcPr>
                  <w:tcW w:w="700" w:type="dxa"/>
                  <w:shd w:val="clear" w:color="auto" w:fill="auto"/>
                  <w:noWrap w:val="0"/>
                  <w:vAlign w:val="center"/>
                </w:tcPr>
                <w:p w14:paraId="197D8D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sz w:val="21"/>
                      <w:highlight w:val="none"/>
                      <w:vertAlign w:val="baseline"/>
                      <w:lang w:val="en-US" w:eastAsia="zh-CN"/>
                    </w:rPr>
                  </w:pPr>
                  <w:r>
                    <w:rPr>
                      <w:rFonts w:hint="eastAsia" w:cs="Times New Roman"/>
                      <w:color w:val="auto"/>
                      <w:spacing w:val="0"/>
                      <w:sz w:val="21"/>
                      <w:highlight w:val="none"/>
                      <w:vertAlign w:val="baseline"/>
                      <w:lang w:val="en-US" w:eastAsia="zh-CN"/>
                    </w:rPr>
                    <w:t>台</w:t>
                  </w:r>
                </w:p>
              </w:tc>
              <w:tc>
                <w:tcPr>
                  <w:tcW w:w="749" w:type="dxa"/>
                  <w:noWrap w:val="0"/>
                  <w:vAlign w:val="center"/>
                </w:tcPr>
                <w:p w14:paraId="36DFECD5">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pacing w:val="0"/>
                      <w:sz w:val="21"/>
                      <w:highlight w:val="none"/>
                      <w:vertAlign w:val="baseline"/>
                      <w:lang w:val="en-US" w:eastAsia="zh-CN"/>
                    </w:rPr>
                  </w:pPr>
                  <w:r>
                    <w:rPr>
                      <w:rFonts w:hint="eastAsia" w:cs="Times New Roman"/>
                      <w:color w:val="auto"/>
                      <w:spacing w:val="0"/>
                      <w:sz w:val="21"/>
                      <w:highlight w:val="none"/>
                      <w:vertAlign w:val="baseline"/>
                      <w:lang w:val="en-US" w:eastAsia="zh-CN"/>
                    </w:rPr>
                    <w:t>1</w:t>
                  </w:r>
                </w:p>
              </w:tc>
              <w:tc>
                <w:tcPr>
                  <w:tcW w:w="1530" w:type="dxa"/>
                  <w:noWrap w:val="0"/>
                  <w:vAlign w:val="center"/>
                </w:tcPr>
                <w:p w14:paraId="03A5B58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sz w:val="21"/>
                      <w:highlight w:val="none"/>
                      <w:vertAlign w:val="baseline"/>
                      <w:lang w:val="en-US" w:eastAsia="zh-CN"/>
                    </w:rPr>
                  </w:pPr>
                  <w:r>
                    <w:rPr>
                      <w:rFonts w:hint="eastAsia" w:cs="Times New Roman"/>
                      <w:color w:val="auto"/>
                      <w:spacing w:val="0"/>
                      <w:sz w:val="21"/>
                      <w:highlight w:val="none"/>
                      <w:vertAlign w:val="baseline"/>
                      <w:lang w:val="en-US" w:eastAsia="zh-CN"/>
                    </w:rPr>
                    <w:t>依托原有</w:t>
                  </w:r>
                </w:p>
              </w:tc>
            </w:tr>
          </w:tbl>
          <w:p w14:paraId="72865F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cs="Times New Roman"/>
                <w:b/>
                <w:bCs/>
                <w:color w:val="auto"/>
                <w:spacing w:val="0"/>
                <w:sz w:val="24"/>
                <w:szCs w:val="24"/>
                <w:highlight w:val="none"/>
                <w:lang w:val="en-US" w:eastAsia="zh-CN"/>
              </w:rPr>
            </w:pPr>
            <w:r>
              <w:rPr>
                <w:rFonts w:hint="eastAsia" w:cs="Times New Roman"/>
                <w:b/>
                <w:bCs/>
                <w:color w:val="auto"/>
                <w:spacing w:val="0"/>
                <w:sz w:val="24"/>
                <w:szCs w:val="24"/>
                <w:highlight w:val="none"/>
                <w:lang w:val="en-US" w:eastAsia="zh-CN"/>
              </w:rPr>
              <w:t>5.</w:t>
            </w:r>
            <w:r>
              <w:rPr>
                <w:rFonts w:hint="default" w:ascii="Times New Roman" w:hAnsi="Times New Roman" w:cs="Times New Roman"/>
                <w:b/>
                <w:bCs/>
                <w:color w:val="auto"/>
                <w:spacing w:val="0"/>
                <w:sz w:val="24"/>
                <w:szCs w:val="24"/>
                <w:highlight w:val="none"/>
                <w:lang w:val="en-US" w:eastAsia="zh-CN"/>
              </w:rPr>
              <w:t>公用工程</w:t>
            </w:r>
          </w:p>
          <w:p w14:paraId="124885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cs="Times New Roman"/>
                <w:b/>
                <w:bCs/>
                <w:color w:val="auto"/>
                <w:spacing w:val="0"/>
                <w:sz w:val="24"/>
                <w:szCs w:val="24"/>
                <w:highlight w:val="none"/>
                <w:lang w:val="en-US" w:eastAsia="zh-CN"/>
              </w:rPr>
            </w:pPr>
            <w:r>
              <w:rPr>
                <w:rFonts w:hint="eastAsia" w:cs="Times New Roman"/>
                <w:b/>
                <w:bCs/>
                <w:color w:val="auto"/>
                <w:spacing w:val="0"/>
                <w:sz w:val="24"/>
                <w:szCs w:val="24"/>
                <w:highlight w:val="none"/>
                <w:lang w:val="en-US" w:eastAsia="zh-CN"/>
              </w:rPr>
              <w:t>5</w:t>
            </w:r>
            <w:r>
              <w:rPr>
                <w:rFonts w:hint="default" w:ascii="Times New Roman" w:hAnsi="Times New Roman" w:cs="Times New Roman"/>
                <w:b/>
                <w:bCs/>
                <w:color w:val="auto"/>
                <w:spacing w:val="0"/>
                <w:sz w:val="24"/>
                <w:szCs w:val="24"/>
                <w:highlight w:val="none"/>
                <w:lang w:val="en-US" w:eastAsia="zh-CN"/>
              </w:rPr>
              <w:t>.1供水</w:t>
            </w:r>
          </w:p>
          <w:p w14:paraId="370642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生产、生活给水系统：由阜康产业园供给。</w:t>
            </w:r>
          </w:p>
          <w:p w14:paraId="7F1127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消防水系统：消防管网环状布置，每隔120m设地上式消火栓</w:t>
            </w:r>
            <w:r>
              <w:rPr>
                <w:rFonts w:hint="eastAsia"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厂区已配套完成。</w:t>
            </w:r>
          </w:p>
          <w:p w14:paraId="1B43D1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5</w:t>
            </w:r>
            <w:r>
              <w:rPr>
                <w:rFonts w:hint="default" w:ascii="Times New Roman" w:hAnsi="Times New Roman" w:eastAsia="宋体" w:cs="Times New Roman"/>
                <w:b/>
                <w:bCs/>
                <w:color w:val="auto"/>
                <w:spacing w:val="0"/>
                <w:sz w:val="24"/>
                <w:szCs w:val="24"/>
                <w:highlight w:val="none"/>
                <w:lang w:val="en-US" w:eastAsia="zh-CN"/>
              </w:rPr>
              <w:t>.2排水</w:t>
            </w:r>
          </w:p>
          <w:p w14:paraId="5C27EF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本项目无新增劳动定员，无新增生活</w:t>
            </w:r>
            <w:r>
              <w:rPr>
                <w:rFonts w:hint="eastAsia" w:cs="Times New Roman" w:eastAsiaTheme="minorEastAsia"/>
                <w:color w:val="auto"/>
                <w:sz w:val="24"/>
                <w:szCs w:val="24"/>
                <w:lang w:val="en-US" w:eastAsia="zh-CN"/>
              </w:rPr>
              <w:t>污水</w:t>
            </w:r>
            <w:r>
              <w:rPr>
                <w:rFonts w:hint="eastAsia" w:ascii="Times New Roman" w:hAnsi="Times New Roman" w:cs="Times New Roman" w:eastAsiaTheme="minorEastAsia"/>
                <w:color w:val="auto"/>
                <w:sz w:val="24"/>
                <w:szCs w:val="24"/>
                <w:lang w:val="en-US" w:eastAsia="zh-CN"/>
              </w:rPr>
              <w:t>排放。</w:t>
            </w:r>
          </w:p>
          <w:p w14:paraId="5F295C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2" w:firstLineChars="200"/>
              <w:jc w:val="both"/>
              <w:textAlignment w:val="auto"/>
              <w:rPr>
                <w:rFonts w:hint="default" w:ascii="Times New Roman" w:hAnsi="Times New Roman" w:cs="Times New Roman"/>
                <w:b/>
                <w:bCs/>
                <w:color w:val="auto"/>
                <w:spacing w:val="0"/>
                <w:sz w:val="24"/>
                <w:szCs w:val="24"/>
                <w:highlight w:val="none"/>
                <w:lang w:val="en-US" w:eastAsia="zh-CN"/>
              </w:rPr>
            </w:pPr>
            <w:r>
              <w:rPr>
                <w:rFonts w:hint="eastAsia" w:cs="Times New Roman"/>
                <w:b/>
                <w:bCs/>
                <w:color w:val="auto"/>
                <w:spacing w:val="0"/>
                <w:sz w:val="24"/>
                <w:szCs w:val="24"/>
                <w:highlight w:val="none"/>
                <w:lang w:val="en-US" w:eastAsia="zh-CN"/>
              </w:rPr>
              <w:t>5</w:t>
            </w:r>
            <w:r>
              <w:rPr>
                <w:rFonts w:hint="default" w:ascii="Times New Roman" w:hAnsi="Times New Roman" w:cs="Times New Roman"/>
                <w:b/>
                <w:bCs/>
                <w:color w:val="auto"/>
                <w:spacing w:val="0"/>
                <w:sz w:val="24"/>
                <w:szCs w:val="24"/>
                <w:highlight w:val="none"/>
                <w:lang w:val="en-US" w:eastAsia="zh-CN"/>
              </w:rPr>
              <w:t>.3供电</w:t>
            </w:r>
          </w:p>
          <w:p w14:paraId="3E79D8EB">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本项目供电设施依托厂区原有设施，供电负荷满足本项目使用需求。</w:t>
            </w:r>
          </w:p>
          <w:p w14:paraId="18B7C178">
            <w:pPr>
              <w:pStyle w:val="4"/>
              <w:spacing w:after="0" w:line="360" w:lineRule="auto"/>
              <w:rPr>
                <w:rFonts w:hint="eastAsia" w:cs="Times New Roman"/>
                <w:b/>
                <w:bCs/>
                <w:color w:val="auto"/>
                <w:spacing w:val="0"/>
                <w:sz w:val="24"/>
                <w:szCs w:val="24"/>
                <w:highlight w:val="none"/>
                <w:lang w:val="en-US" w:eastAsia="zh-CN"/>
              </w:rPr>
            </w:pPr>
            <w:r>
              <w:rPr>
                <w:rFonts w:hint="eastAsia" w:cs="Times New Roman"/>
                <w:b/>
                <w:bCs/>
                <w:color w:val="auto"/>
                <w:spacing w:val="0"/>
                <w:sz w:val="24"/>
                <w:szCs w:val="24"/>
                <w:highlight w:val="none"/>
                <w:lang w:val="en-US" w:eastAsia="zh-CN"/>
              </w:rPr>
              <w:t>5.4供热</w:t>
            </w:r>
          </w:p>
          <w:p w14:paraId="0AF55F31">
            <w:pPr>
              <w:pStyle w:val="4"/>
              <w:spacing w:after="0" w:line="360" w:lineRule="auto"/>
              <w:rPr>
                <w:rFonts w:hint="eastAsia" w:ascii="宋体" w:hAnsi="宋体" w:eastAsia="宋体" w:cs="宋体"/>
                <w:color w:val="000000"/>
                <w:kern w:val="0"/>
                <w:sz w:val="24"/>
                <w:szCs w:val="24"/>
                <w:lang w:val="en-US" w:eastAsia="zh-CN" w:bidi="ar"/>
              </w:rPr>
            </w:pPr>
            <w:r>
              <w:rPr>
                <w:rFonts w:hint="eastAsia" w:ascii="宋体" w:hAnsi="宋体" w:eastAsia="宋体" w:cs="宋体"/>
                <w:b w:val="0"/>
                <w:bCs w:val="0"/>
                <w:color w:val="000000"/>
                <w:spacing w:val="0"/>
                <w:kern w:val="0"/>
                <w:sz w:val="24"/>
                <w:szCs w:val="24"/>
                <w:lang w:val="en-US" w:eastAsia="zh-CN" w:bidi="ar"/>
              </w:rPr>
              <w:t>本项目建成后，储罐区不设置采暖设施。</w:t>
            </w:r>
          </w:p>
          <w:p w14:paraId="74799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2" w:firstLineChars="200"/>
              <w:jc w:val="both"/>
              <w:textAlignment w:val="auto"/>
              <w:rPr>
                <w:rFonts w:hint="default" w:ascii="Times New Roman" w:hAnsi="Times New Roman" w:cs="Times New Roman"/>
                <w:b/>
                <w:bCs/>
                <w:color w:val="auto"/>
                <w:spacing w:val="0"/>
                <w:sz w:val="24"/>
                <w:szCs w:val="24"/>
                <w:highlight w:val="none"/>
                <w:lang w:val="en-US" w:eastAsia="zh-CN"/>
              </w:rPr>
            </w:pPr>
            <w:r>
              <w:rPr>
                <w:rFonts w:hint="eastAsia" w:cs="Times New Roman"/>
                <w:b/>
                <w:bCs/>
                <w:color w:val="auto"/>
                <w:spacing w:val="0"/>
                <w:sz w:val="24"/>
                <w:szCs w:val="24"/>
                <w:highlight w:val="none"/>
                <w:lang w:val="en-US" w:eastAsia="zh-CN"/>
              </w:rPr>
              <w:t>6.</w:t>
            </w:r>
            <w:r>
              <w:rPr>
                <w:rFonts w:hint="default" w:ascii="Times New Roman" w:hAnsi="Times New Roman" w:cs="Times New Roman"/>
                <w:b/>
                <w:bCs/>
                <w:color w:val="auto"/>
                <w:spacing w:val="0"/>
                <w:sz w:val="24"/>
                <w:szCs w:val="24"/>
                <w:highlight w:val="none"/>
                <w:lang w:val="en-US" w:eastAsia="zh-CN"/>
              </w:rPr>
              <w:t>劳动定员及工作制度</w:t>
            </w:r>
          </w:p>
          <w:p w14:paraId="5B464C0F">
            <w:pPr>
              <w:keepNext w:val="0"/>
              <w:keepLines w:val="0"/>
              <w:widowControl/>
              <w:suppressLineNumbers w:val="0"/>
              <w:jc w:val="left"/>
            </w:pPr>
            <w:r>
              <w:rPr>
                <w:rFonts w:hint="eastAsia"/>
                <w:snapToGrid w:val="0"/>
                <w:lang w:val="en-US" w:eastAsia="zh-CN"/>
              </w:rPr>
              <w:t>劳动定员：</w:t>
            </w:r>
            <w:r>
              <w:rPr>
                <w:rFonts w:hint="eastAsia" w:ascii="宋体" w:hAnsi="宋体" w:eastAsia="宋体" w:cs="宋体"/>
                <w:color w:val="000000"/>
                <w:kern w:val="0"/>
                <w:sz w:val="24"/>
                <w:szCs w:val="24"/>
                <w:lang w:val="en-US" w:eastAsia="zh-CN" w:bidi="ar"/>
              </w:rPr>
              <w:t>本次扩建项目不新增劳动定员，劳动定员由原硝酸装置的人员进行调整。</w:t>
            </w:r>
          </w:p>
          <w:p w14:paraId="33C4BE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rPr>
                <w:rFonts w:hint="default" w:cs="Times New Roman"/>
                <w:b/>
                <w:bCs/>
                <w:color w:val="auto"/>
                <w:spacing w:val="0"/>
                <w:sz w:val="24"/>
                <w:szCs w:val="24"/>
                <w:highlight w:val="none"/>
                <w:lang w:val="en-US" w:eastAsia="zh-CN"/>
              </w:rPr>
            </w:pPr>
            <w:r>
              <w:rPr>
                <w:rFonts w:hint="eastAsia"/>
                <w:snapToGrid w:val="0"/>
                <w:lang w:val="en-US" w:eastAsia="zh-CN"/>
              </w:rPr>
              <w:t>工作制度：采用四班三运转制（0:00-8:00，8:00-16:00，16:00-24:00），运行8000小时。</w:t>
            </w:r>
          </w:p>
          <w:p w14:paraId="3392AA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2" w:firstLineChars="200"/>
              <w:jc w:val="both"/>
              <w:textAlignment w:val="auto"/>
              <w:rPr>
                <w:rFonts w:hint="default" w:ascii="Times New Roman" w:hAnsi="Times New Roman" w:cs="Times New Roman"/>
                <w:b/>
                <w:bCs/>
                <w:color w:val="0000FF"/>
                <w:spacing w:val="0"/>
                <w:sz w:val="24"/>
                <w:szCs w:val="24"/>
                <w:highlight w:val="none"/>
                <w:lang w:val="en-US" w:eastAsia="zh-CN"/>
              </w:rPr>
            </w:pPr>
            <w:r>
              <w:rPr>
                <w:rFonts w:hint="eastAsia" w:cs="Times New Roman"/>
                <w:b/>
                <w:bCs/>
                <w:color w:val="0000FF"/>
                <w:spacing w:val="0"/>
                <w:sz w:val="24"/>
                <w:szCs w:val="24"/>
                <w:highlight w:val="none"/>
                <w:lang w:val="en-US" w:eastAsia="zh-CN"/>
              </w:rPr>
              <w:t>7.</w:t>
            </w:r>
            <w:r>
              <w:rPr>
                <w:rFonts w:hint="default" w:ascii="Times New Roman" w:hAnsi="Times New Roman" w:cs="Times New Roman"/>
                <w:b/>
                <w:bCs/>
                <w:color w:val="0000FF"/>
                <w:spacing w:val="0"/>
                <w:sz w:val="24"/>
                <w:szCs w:val="24"/>
                <w:highlight w:val="none"/>
                <w:lang w:val="en-US" w:eastAsia="zh-CN"/>
              </w:rPr>
              <w:t>平面布置</w:t>
            </w:r>
          </w:p>
          <w:p w14:paraId="6816C6C7">
            <w:pPr>
              <w:keepNext w:val="0"/>
              <w:keepLines w:val="0"/>
              <w:widowControl/>
              <w:suppressLineNumbers w:val="0"/>
              <w:jc w:val="left"/>
              <w:rPr>
                <w:rFonts w:hint="eastAsia" w:ascii="Times New Roman" w:hAnsi="Times New Roman" w:eastAsia="宋体" w:cs="Times New Roman"/>
                <w:color w:val="0000FF"/>
                <w:highlight w:val="none"/>
                <w:lang w:val="en-US" w:eastAsia="zh-CN"/>
              </w:rPr>
            </w:pPr>
            <w:r>
              <w:rPr>
                <w:rFonts w:hint="eastAsia" w:ascii="Times New Roman" w:hAnsi="Times New Roman" w:cs="Times New Roman"/>
                <w:color w:val="0000FF"/>
                <w:highlight w:val="none"/>
                <w:lang w:val="en-US" w:eastAsia="zh-CN"/>
              </w:rPr>
              <w:t>本项目位于</w:t>
            </w:r>
            <w:r>
              <w:rPr>
                <w:rFonts w:hint="default" w:ascii="Times New Roman" w:hAnsi="Times New Roman" w:eastAsia="宋体" w:cs="Times New Roman"/>
                <w:bCs/>
                <w:color w:val="0000FF"/>
                <w:kern w:val="0"/>
                <w:sz w:val="24"/>
                <w:szCs w:val="24"/>
                <w:highlight w:val="none"/>
                <w:lang w:val="en-US" w:eastAsia="zh-CN"/>
              </w:rPr>
              <w:t>新疆维吾尔自治区昌吉回族自治州</w:t>
            </w:r>
            <w:r>
              <w:rPr>
                <w:rFonts w:hint="default" w:ascii="Times New Roman" w:hAnsi="Times New Roman" w:eastAsia="宋体" w:cs="Times New Roman"/>
                <w:color w:val="0000FF"/>
                <w:highlight w:val="none"/>
                <w:lang w:val="en-US" w:eastAsia="zh-CN"/>
              </w:rPr>
              <w:t>阜康产业园</w:t>
            </w:r>
            <w:r>
              <w:rPr>
                <w:rFonts w:hint="eastAsia" w:ascii="Times New Roman" w:hAnsi="Times New Roman" w:cs="Times New Roman"/>
                <w:color w:val="0000FF"/>
                <w:highlight w:val="none"/>
                <w:lang w:val="en-US" w:eastAsia="zh-CN"/>
              </w:rPr>
              <w:t>西区（S303北侧乌准铁路南侧瑶池220KV变电站西侧）</w:t>
            </w:r>
            <w:r>
              <w:rPr>
                <w:rFonts w:hint="eastAsia"/>
                <w:color w:val="0000FF"/>
              </w:rPr>
              <w:t>新疆金象赛瑞化工科技有限</w:t>
            </w:r>
            <w:r>
              <w:rPr>
                <w:rFonts w:hint="eastAsia"/>
                <w:color w:val="0000FF"/>
                <w:lang w:eastAsia="zh-CN"/>
              </w:rPr>
              <w:t>公司</w:t>
            </w:r>
            <w:r>
              <w:rPr>
                <w:rFonts w:hint="eastAsia" w:ascii="Times New Roman" w:hAnsi="Times New Roman" w:eastAsia="宋体" w:cs="Times New Roman"/>
                <w:color w:val="0000FF"/>
                <w:highlight w:val="none"/>
                <w:lang w:val="en-US" w:eastAsia="zh-CN"/>
              </w:rPr>
              <w:t>厂区内，平面布局为长方形。硝酸储罐区位于厂区中部生产装置区左侧，现有工程为2座</w:t>
            </w:r>
            <w:r>
              <w:rPr>
                <w:rFonts w:hint="eastAsia" w:cs="Times New Roman"/>
                <w:color w:val="0000FF"/>
                <w:highlight w:val="none"/>
                <w:lang w:val="en-US" w:eastAsia="zh-CN"/>
              </w:rPr>
              <w:t>容积分别为</w:t>
            </w:r>
            <w:r>
              <w:rPr>
                <w:rFonts w:hint="eastAsia" w:ascii="Times New Roman" w:hAnsi="Times New Roman" w:eastAsia="宋体" w:cs="Times New Roman"/>
                <w:color w:val="0000FF"/>
                <w:highlight w:val="none"/>
                <w:lang w:val="en-US" w:eastAsia="zh-CN"/>
              </w:rPr>
              <w:t>1350m</w:t>
            </w:r>
            <w:r>
              <w:rPr>
                <w:rFonts w:hint="eastAsia" w:ascii="Times New Roman" w:hAnsi="Times New Roman" w:eastAsia="宋体" w:cs="Times New Roman"/>
                <w:color w:val="0000FF"/>
                <w:highlight w:val="none"/>
                <w:vertAlign w:val="superscript"/>
                <w:lang w:val="en-US" w:eastAsia="zh-CN"/>
              </w:rPr>
              <w:t>3</w:t>
            </w:r>
            <w:r>
              <w:rPr>
                <w:rFonts w:hint="eastAsia" w:ascii="Times New Roman" w:hAnsi="Times New Roman" w:eastAsia="宋体" w:cs="Times New Roman"/>
                <w:color w:val="0000FF"/>
                <w:highlight w:val="none"/>
                <w:lang w:val="en-US" w:eastAsia="zh-CN"/>
              </w:rPr>
              <w:t>的304L不锈钢</w:t>
            </w:r>
            <w:r>
              <w:rPr>
                <w:rFonts w:hint="eastAsia" w:ascii="宋体" w:hAnsi="宋体" w:eastAsia="宋体" w:cs="宋体"/>
                <w:b w:val="0"/>
                <w:bCs w:val="0"/>
                <w:color w:val="0000FF"/>
                <w:sz w:val="24"/>
                <w:szCs w:val="24"/>
              </w:rPr>
              <w:t>立式锥顶硝酸常压储罐</w:t>
            </w:r>
            <w:r>
              <w:rPr>
                <w:rFonts w:hint="eastAsia" w:ascii="Times New Roman" w:hAnsi="Times New Roman" w:eastAsia="宋体" w:cs="Times New Roman"/>
                <w:color w:val="0000FF"/>
                <w:highlight w:val="none"/>
                <w:lang w:val="en-US" w:eastAsia="zh-CN"/>
              </w:rPr>
              <w:t>及装卸区域，本次扩建新增2座</w:t>
            </w:r>
            <w:r>
              <w:rPr>
                <w:rFonts w:hint="eastAsia" w:cs="Times New Roman"/>
                <w:color w:val="0000FF"/>
                <w:highlight w:val="none"/>
                <w:lang w:val="en-US" w:eastAsia="zh-CN"/>
              </w:rPr>
              <w:t>容积分别为</w:t>
            </w:r>
            <w:r>
              <w:rPr>
                <w:rFonts w:hint="eastAsia" w:ascii="Times New Roman" w:hAnsi="Times New Roman" w:eastAsia="宋体" w:cs="Times New Roman"/>
                <w:color w:val="0000FF"/>
                <w:highlight w:val="none"/>
                <w:lang w:val="en-US" w:eastAsia="zh-CN"/>
              </w:rPr>
              <w:t>1350m</w:t>
            </w:r>
            <w:r>
              <w:rPr>
                <w:rFonts w:hint="eastAsia" w:ascii="Times New Roman" w:hAnsi="Times New Roman" w:eastAsia="宋体" w:cs="Times New Roman"/>
                <w:color w:val="0000FF"/>
                <w:highlight w:val="none"/>
                <w:vertAlign w:val="superscript"/>
                <w:lang w:val="en-US" w:eastAsia="zh-CN"/>
              </w:rPr>
              <w:t>3</w:t>
            </w:r>
            <w:r>
              <w:rPr>
                <w:rFonts w:hint="eastAsia" w:ascii="Times New Roman" w:hAnsi="Times New Roman" w:eastAsia="宋体" w:cs="Times New Roman"/>
                <w:color w:val="0000FF"/>
                <w:highlight w:val="none"/>
                <w:lang w:val="en-US" w:eastAsia="zh-CN"/>
              </w:rPr>
              <w:t>的304L不锈钢</w:t>
            </w:r>
            <w:r>
              <w:rPr>
                <w:rFonts w:hint="eastAsia" w:ascii="宋体" w:hAnsi="宋体" w:eastAsia="宋体" w:cs="宋体"/>
                <w:b w:val="0"/>
                <w:bCs w:val="0"/>
                <w:color w:val="0000FF"/>
                <w:sz w:val="24"/>
                <w:szCs w:val="24"/>
              </w:rPr>
              <w:t>立式锥顶硝酸常压储罐</w:t>
            </w:r>
            <w:r>
              <w:rPr>
                <w:rFonts w:hint="eastAsia" w:ascii="Times New Roman" w:hAnsi="Times New Roman" w:eastAsia="宋体" w:cs="Times New Roman"/>
                <w:color w:val="0000FF"/>
                <w:highlight w:val="none"/>
                <w:lang w:val="en-US" w:eastAsia="zh-CN"/>
              </w:rPr>
              <w:t>及配套设施，</w:t>
            </w:r>
            <w:r>
              <w:rPr>
                <w:rFonts w:hint="eastAsia" w:cs="Times New Roman"/>
                <w:color w:val="0000FF"/>
                <w:highlight w:val="none"/>
                <w:lang w:val="en-US" w:eastAsia="zh-CN"/>
              </w:rPr>
              <w:t>四座储罐由南至北依次为硝酸储罐A、硝酸储罐B、硝酸储罐C及硝酸储罐D，</w:t>
            </w:r>
            <w:r>
              <w:rPr>
                <w:rFonts w:hint="eastAsia" w:ascii="Times New Roman" w:hAnsi="Times New Roman" w:eastAsia="宋体" w:cs="Times New Roman"/>
                <w:color w:val="0000FF"/>
                <w:highlight w:val="none"/>
                <w:lang w:val="en-US" w:eastAsia="zh-CN"/>
              </w:rPr>
              <w:t>符合整体上工艺流程顺畅、合理，管线比较短。</w:t>
            </w:r>
          </w:p>
          <w:p w14:paraId="49034906">
            <w:pPr>
              <w:pStyle w:val="5"/>
              <w:rPr>
                <w:rFonts w:hint="default" w:ascii="Times New Roman" w:hAnsi="Times New Roman" w:cs="Times New Roman"/>
                <w:color w:val="auto"/>
                <w:spacing w:val="0"/>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本项目厂区布置合理可行，厂区平面布置图见附图3，硝酸储罐平面布置图见附件4。</w:t>
            </w:r>
          </w:p>
        </w:tc>
      </w:tr>
      <w:tr w14:paraId="039F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3" w:hRule="atLeast"/>
          <w:jc w:val="center"/>
        </w:trPr>
        <w:tc>
          <w:tcPr>
            <w:tcW w:w="437" w:type="pct"/>
            <w:tcBorders>
              <w:tl2br w:val="nil"/>
              <w:tr2bl w:val="nil"/>
            </w:tcBorders>
            <w:noWrap w:val="0"/>
            <w:vAlign w:val="center"/>
          </w:tcPr>
          <w:p w14:paraId="23B3C8D0">
            <w:pPr>
              <w:pStyle w:val="33"/>
              <w:keepNext w:val="0"/>
              <w:keepLines w:val="0"/>
              <w:suppressLineNumbers w:val="0"/>
              <w:bidi w:val="0"/>
              <w:spacing w:before="0" w:beforeAutospacing="0" w:after="0" w:afterAutospacing="0"/>
              <w:ind w:left="0" w:right="0"/>
              <w:rPr>
                <w:rFonts w:hint="default" w:ascii="Times New Roman" w:hAnsi="Times New Roman" w:cs="Times New Roman"/>
                <w:color w:val="auto"/>
                <w:spacing w:val="0"/>
                <w:highlight w:val="none"/>
              </w:rPr>
            </w:pPr>
            <w:r>
              <w:rPr>
                <w:rFonts w:hint="default" w:ascii="Times New Roman" w:hAnsi="Times New Roman" w:cs="Times New Roman"/>
                <w:color w:val="auto"/>
                <w:spacing w:val="0"/>
                <w:highlight w:val="none"/>
              </w:rPr>
              <w:t>工艺流程和产排污环节</w:t>
            </w:r>
          </w:p>
        </w:tc>
        <w:tc>
          <w:tcPr>
            <w:tcW w:w="4562" w:type="pct"/>
            <w:tcBorders>
              <w:tl2br w:val="nil"/>
              <w:tr2bl w:val="nil"/>
            </w:tcBorders>
            <w:noWrap w:val="0"/>
            <w:vAlign w:val="top"/>
          </w:tcPr>
          <w:p w14:paraId="7753F414">
            <w:pPr>
              <w:keepNext w:val="0"/>
              <w:keepLines w:val="0"/>
              <w:widowControl/>
              <w:suppressLineNumbers w:val="0"/>
              <w:jc w:val="left"/>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1.施工期工艺流程及产污环节</w:t>
            </w:r>
          </w:p>
          <w:p w14:paraId="2C18F567">
            <w:pPr>
              <w:keepNext w:val="0"/>
              <w:keepLines w:val="0"/>
              <w:widowControl/>
              <w:suppressLineNumbers w:val="0"/>
              <w:jc w:val="lef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本次工程建设内容主要新建2座</w:t>
            </w:r>
            <w:r>
              <w:rPr>
                <w:rFonts w:hint="eastAsia" w:cs="Times New Roman"/>
                <w:color w:val="auto"/>
                <w:highlight w:val="none"/>
                <w:lang w:val="en-US" w:eastAsia="zh-CN"/>
              </w:rPr>
              <w:t>容积分别为</w:t>
            </w:r>
            <w:r>
              <w:rPr>
                <w:rFonts w:hint="eastAsia" w:ascii="Times New Roman" w:hAnsi="Times New Roman" w:eastAsia="宋体" w:cs="Times New Roman"/>
                <w:color w:val="auto"/>
                <w:highlight w:val="none"/>
                <w:lang w:val="en-US" w:eastAsia="zh-CN"/>
              </w:rPr>
              <w:t>1350m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的304L不锈钢</w:t>
            </w:r>
            <w:r>
              <w:rPr>
                <w:rFonts w:hint="eastAsia" w:ascii="宋体" w:hAnsi="宋体" w:eastAsia="宋体" w:cs="宋体"/>
                <w:b w:val="0"/>
                <w:bCs w:val="0"/>
                <w:color w:val="000000" w:themeColor="text1"/>
                <w:sz w:val="24"/>
                <w:szCs w:val="24"/>
                <w14:textFill>
                  <w14:solidFill>
                    <w14:schemeClr w14:val="tx1"/>
                  </w14:solidFill>
                </w14:textFill>
              </w:rPr>
              <w:t>立式锥顶硝酸常压储罐</w:t>
            </w:r>
            <w:r>
              <w:rPr>
                <w:rFonts w:hint="eastAsia" w:ascii="Times New Roman" w:hAnsi="Times New Roman" w:eastAsia="宋体" w:cs="Times New Roman"/>
                <w:color w:val="auto"/>
                <w:highlight w:val="none"/>
                <w:lang w:val="en-US" w:eastAsia="zh-CN"/>
              </w:rPr>
              <w:t>及配套设施，后续施工期主要为储罐及围堰建设，因此施工期主要污染产生于场地开挖及土石方运输过程，施工期主要污染物为施工扬尘、施工废水、噪声及建筑垃圾等。</w:t>
            </w:r>
          </w:p>
          <w:p w14:paraId="279A6F50">
            <w:pPr>
              <w:keepNext w:val="0"/>
              <w:keepLines w:val="0"/>
              <w:widowControl/>
              <w:suppressLineNumbers w:val="0"/>
              <w:jc w:val="left"/>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2.运营期工艺流程及产污环节</w:t>
            </w:r>
          </w:p>
          <w:p w14:paraId="254C60F1">
            <w:pPr>
              <w:keepNext w:val="0"/>
              <w:keepLines w:val="0"/>
              <w:widowControl/>
              <w:suppressLineNumbers w:val="0"/>
              <w:jc w:val="left"/>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2.1运营期工艺流程</w:t>
            </w:r>
          </w:p>
          <w:p w14:paraId="6CDBBA2F">
            <w:pPr>
              <w:keepNext w:val="0"/>
              <w:keepLines w:val="0"/>
              <w:widowControl/>
              <w:suppressLineNumbers w:val="0"/>
              <w:ind w:left="0" w:leftChars="0" w:firstLine="0" w:firstLineChars="0"/>
              <w:jc w:val="center"/>
              <w:rPr>
                <w:rFonts w:hint="eastAsia" w:ascii="Times New Roman" w:hAnsi="Times New Roman" w:eastAsia="宋体" w:cs="Times New Roman"/>
                <w:b/>
                <w:bCs/>
                <w:color w:val="000000"/>
                <w:kern w:val="0"/>
                <w:sz w:val="24"/>
                <w:szCs w:val="24"/>
                <w:lang w:val="en-US" w:eastAsia="zh-CN" w:bidi="ar"/>
              </w:rPr>
            </w:pPr>
            <w:r>
              <w:rPr>
                <w:color w:val="FF0000"/>
              </w:rPr>
              <w:drawing>
                <wp:inline distT="0" distB="0" distL="0" distR="0">
                  <wp:extent cx="5293360" cy="1944370"/>
                  <wp:effectExtent l="0" t="0" r="2540" b="17780"/>
                  <wp:docPr id="1408" name="图片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图片 1408"/>
                          <pic:cNvPicPr>
                            <a:picLocks noChangeAspect="1"/>
                          </pic:cNvPicPr>
                        </pic:nvPicPr>
                        <pic:blipFill>
                          <a:blip r:embed="rId23" cstate="print"/>
                          <a:stretch>
                            <a:fillRect/>
                          </a:stretch>
                        </pic:blipFill>
                        <pic:spPr>
                          <a:xfrm>
                            <a:off x="0" y="0"/>
                            <a:ext cx="5293360" cy="1944370"/>
                          </a:xfrm>
                          <a:prstGeom prst="rect">
                            <a:avLst/>
                          </a:prstGeom>
                        </pic:spPr>
                      </pic:pic>
                    </a:graphicData>
                  </a:graphic>
                </wp:inline>
              </w:drawing>
            </w:r>
          </w:p>
          <w:p w14:paraId="13B8EF06">
            <w:pPr>
              <w:keepNext w:val="0"/>
              <w:keepLines w:val="0"/>
              <w:widowControl/>
              <w:suppressLineNumbers w:val="0"/>
              <w:ind w:left="0" w:leftChars="0" w:firstLine="0" w:firstLineChars="0"/>
              <w:jc w:val="center"/>
              <w:rPr>
                <w:rFonts w:hint="default" w:cs="Times New Roman"/>
                <w:b/>
                <w:bCs/>
                <w:color w:val="000000"/>
                <w:kern w:val="0"/>
                <w:sz w:val="21"/>
                <w:szCs w:val="21"/>
                <w:lang w:val="en-US" w:eastAsia="zh-CN" w:bidi="ar"/>
              </w:rPr>
            </w:pPr>
            <w:r>
              <w:rPr>
                <w:rFonts w:hint="eastAsia" w:cs="Times New Roman"/>
                <w:b/>
                <w:bCs/>
                <w:color w:val="000000"/>
                <w:kern w:val="0"/>
                <w:sz w:val="21"/>
                <w:szCs w:val="21"/>
                <w:lang w:val="en-US" w:eastAsia="zh-CN" w:bidi="ar"/>
              </w:rPr>
              <w:t>图1 运营期工艺流程图</w:t>
            </w:r>
          </w:p>
          <w:p w14:paraId="215E8E55">
            <w:pPr>
              <w:keepNext w:val="0"/>
              <w:keepLines w:val="0"/>
              <w:widowControl/>
              <w:suppressLineNumbers w:val="0"/>
              <w:jc w:val="left"/>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工艺流程简述:</w:t>
            </w:r>
            <w:r>
              <w:rPr>
                <w:rFonts w:hint="eastAsia" w:ascii="Times New Roman" w:hAnsi="Times New Roman" w:eastAsia="宋体" w:cs="Times New Roman"/>
                <w:color w:val="auto"/>
                <w:highlight w:val="none"/>
                <w:lang w:val="en-US" w:eastAsia="zh-CN"/>
              </w:rPr>
              <w:t>来自硝酸装置的硝酸，送入成品酸槽，储存计量，成品酸槽的硝酸，用成品酸泵送中和装置作为原料。当销售硝酸时，则经装车酸泵送装车鹤臂，对硝酸槽车进行充装。成品酸槽溢流管及检修各泵排放的硝酸，进入隔油池分离油污后进入地槽，经地槽泵抽回成品酸槽。</w:t>
            </w:r>
          </w:p>
          <w:p w14:paraId="2E7494E7">
            <w:pPr>
              <w:keepNext w:val="0"/>
              <w:keepLines w:val="0"/>
              <w:widowControl/>
              <w:suppressLineNumbers w:val="0"/>
              <w:jc w:val="left"/>
            </w:pPr>
            <w:r>
              <w:rPr>
                <w:rFonts w:hint="eastAsia" w:ascii="Times New Roman" w:hAnsi="Times New Roman" w:eastAsia="宋体"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 xml:space="preserve">.2 </w:t>
            </w:r>
            <w:r>
              <w:rPr>
                <w:rFonts w:hint="eastAsia" w:ascii="宋体" w:hAnsi="宋体" w:eastAsia="宋体" w:cs="宋体"/>
                <w:b/>
                <w:bCs/>
                <w:color w:val="000000"/>
                <w:kern w:val="0"/>
                <w:sz w:val="24"/>
                <w:szCs w:val="24"/>
                <w:lang w:val="en-US" w:eastAsia="zh-CN" w:bidi="ar"/>
              </w:rPr>
              <w:t>运营期产污环节</w:t>
            </w:r>
          </w:p>
          <w:p w14:paraId="15B84F54">
            <w:pPr>
              <w:pStyle w:val="5"/>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（1）废气：废气主要为</w:t>
            </w:r>
            <w:r>
              <w:rPr>
                <w:rFonts w:hint="eastAsia" w:ascii="Times New Roman" w:hAnsi="Times New Roman" w:eastAsia="宋体" w:cs="Times New Roman"/>
                <w:b w:val="0"/>
                <w:bCs w:val="0"/>
                <w:color w:val="auto"/>
                <w:kern w:val="2"/>
                <w:sz w:val="24"/>
                <w:szCs w:val="24"/>
                <w:highlight w:val="none"/>
                <w:lang w:val="en-US" w:eastAsia="zh-CN" w:bidi="ar-SA"/>
              </w:rPr>
              <w:t>硝酸</w:t>
            </w:r>
            <w:r>
              <w:rPr>
                <w:rFonts w:hint="default" w:ascii="Times New Roman" w:hAnsi="Times New Roman" w:eastAsia="宋体" w:cs="Times New Roman"/>
                <w:b w:val="0"/>
                <w:bCs w:val="0"/>
                <w:color w:val="auto"/>
                <w:kern w:val="2"/>
                <w:sz w:val="24"/>
                <w:szCs w:val="24"/>
                <w:highlight w:val="none"/>
                <w:lang w:val="en-US" w:eastAsia="zh-CN" w:bidi="ar-SA"/>
              </w:rPr>
              <w:t>罐大小呼吸产生的</w:t>
            </w:r>
            <w:r>
              <w:rPr>
                <w:rFonts w:hint="eastAsia" w:ascii="Times New Roman" w:hAnsi="Times New Roman" w:eastAsia="宋体" w:cs="Times New Roman"/>
                <w:b w:val="0"/>
                <w:bCs w:val="0"/>
                <w:color w:val="auto"/>
                <w:kern w:val="2"/>
                <w:sz w:val="24"/>
                <w:szCs w:val="24"/>
                <w:highlight w:val="none"/>
                <w:lang w:val="en-US" w:eastAsia="zh-CN" w:bidi="ar-SA"/>
              </w:rPr>
              <w:t>废气</w:t>
            </w:r>
            <w:r>
              <w:rPr>
                <w:rFonts w:hint="default" w:ascii="Times New Roman" w:hAnsi="Times New Roman" w:eastAsia="宋体" w:cs="Times New Roman"/>
                <w:b w:val="0"/>
                <w:bCs w:val="0"/>
                <w:color w:val="auto"/>
                <w:kern w:val="2"/>
                <w:sz w:val="24"/>
                <w:szCs w:val="24"/>
                <w:highlight w:val="none"/>
                <w:lang w:val="en-US" w:eastAsia="zh-CN" w:bidi="ar-SA"/>
              </w:rPr>
              <w:t>。</w:t>
            </w:r>
          </w:p>
          <w:p w14:paraId="5ACB72A4">
            <w:pPr>
              <w:pStyle w:val="5"/>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（2）废水：</w:t>
            </w:r>
            <w:r>
              <w:rPr>
                <w:rFonts w:hint="eastAsia" w:ascii="Times New Roman" w:hAnsi="Times New Roman" w:eastAsia="宋体" w:cs="Times New Roman"/>
                <w:b w:val="0"/>
                <w:bCs w:val="0"/>
                <w:color w:val="auto"/>
                <w:kern w:val="2"/>
                <w:sz w:val="24"/>
                <w:szCs w:val="24"/>
                <w:highlight w:val="none"/>
                <w:lang w:val="en-US" w:eastAsia="zh-CN" w:bidi="ar-SA"/>
              </w:rPr>
              <w:t>无</w:t>
            </w:r>
            <w:r>
              <w:rPr>
                <w:rFonts w:hint="default" w:ascii="Times New Roman" w:hAnsi="Times New Roman" w:eastAsia="宋体" w:cs="Times New Roman"/>
                <w:b w:val="0"/>
                <w:bCs w:val="0"/>
                <w:color w:val="auto"/>
                <w:kern w:val="2"/>
                <w:sz w:val="24"/>
                <w:szCs w:val="24"/>
                <w:highlight w:val="none"/>
                <w:lang w:val="en-US" w:eastAsia="zh-CN" w:bidi="ar-SA"/>
              </w:rPr>
              <w:t>。</w:t>
            </w:r>
          </w:p>
          <w:p w14:paraId="7BCF7B32">
            <w:pPr>
              <w:pStyle w:val="5"/>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（3）噪声：主要为输送泵噪声及运输车辆产生的噪声。</w:t>
            </w:r>
          </w:p>
          <w:p w14:paraId="79D6CEC3">
            <w:pPr>
              <w:pStyle w:val="5"/>
              <w:rPr>
                <w:rFonts w:hint="default"/>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（4）固废：</w:t>
            </w:r>
            <w:r>
              <w:rPr>
                <w:rFonts w:hint="eastAsia" w:ascii="Times New Roman" w:hAnsi="Times New Roman" w:eastAsia="宋体" w:cs="Times New Roman"/>
                <w:b w:val="0"/>
                <w:bCs w:val="0"/>
                <w:color w:val="auto"/>
                <w:kern w:val="2"/>
                <w:sz w:val="24"/>
                <w:szCs w:val="24"/>
                <w:highlight w:val="none"/>
                <w:lang w:val="en-US" w:eastAsia="zh-CN" w:bidi="ar-SA"/>
              </w:rPr>
              <w:t>无</w:t>
            </w:r>
            <w:r>
              <w:rPr>
                <w:rFonts w:hint="default" w:ascii="Times New Roman" w:hAnsi="Times New Roman" w:eastAsia="宋体" w:cs="Times New Roman"/>
                <w:b w:val="0"/>
                <w:bCs w:val="0"/>
                <w:color w:val="auto"/>
                <w:kern w:val="2"/>
                <w:sz w:val="24"/>
                <w:szCs w:val="24"/>
                <w:highlight w:val="none"/>
                <w:lang w:val="en-US" w:eastAsia="zh-CN" w:bidi="ar-SA"/>
              </w:rPr>
              <w:t>。</w:t>
            </w:r>
          </w:p>
        </w:tc>
      </w:tr>
      <w:tr w14:paraId="29EB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jc w:val="center"/>
        </w:trPr>
        <w:tc>
          <w:tcPr>
            <w:tcW w:w="437" w:type="pct"/>
            <w:tcBorders>
              <w:tl2br w:val="nil"/>
              <w:tr2bl w:val="nil"/>
            </w:tcBorders>
            <w:noWrap w:val="0"/>
            <w:vAlign w:val="center"/>
          </w:tcPr>
          <w:p w14:paraId="0389B1DD">
            <w:pPr>
              <w:pStyle w:val="33"/>
              <w:keepNext w:val="0"/>
              <w:keepLines w:val="0"/>
              <w:suppressLineNumbers w:val="0"/>
              <w:bidi w:val="0"/>
              <w:spacing w:before="0" w:beforeAutospacing="0" w:after="0" w:afterAutospacing="0"/>
              <w:ind w:left="0" w:right="0"/>
              <w:jc w:val="center"/>
              <w:rPr>
                <w:rFonts w:hint="default" w:ascii="Times New Roman" w:hAnsi="Times New Roman" w:cs="Times New Roman"/>
                <w:bCs/>
                <w:color w:val="auto"/>
                <w:spacing w:val="0"/>
                <w:kern w:val="2"/>
                <w:sz w:val="24"/>
                <w:szCs w:val="24"/>
                <w:highlight w:val="none"/>
              </w:rPr>
            </w:pPr>
            <w:r>
              <w:rPr>
                <w:rFonts w:hint="default" w:ascii="Times New Roman" w:hAnsi="Times New Roman" w:cs="Times New Roman"/>
                <w:bCs/>
                <w:color w:val="auto"/>
                <w:spacing w:val="0"/>
                <w:kern w:val="2"/>
                <w:sz w:val="24"/>
                <w:szCs w:val="24"/>
                <w:highlight w:val="none"/>
              </w:rPr>
              <w:t>与项目有关的原有环境污染问题</w:t>
            </w:r>
          </w:p>
        </w:tc>
        <w:tc>
          <w:tcPr>
            <w:tcW w:w="4562" w:type="pct"/>
            <w:tcBorders>
              <w:tl2br w:val="nil"/>
              <w:tr2bl w:val="nil"/>
            </w:tcBorders>
            <w:noWrap w:val="0"/>
            <w:vAlign w:val="center"/>
          </w:tcPr>
          <w:p w14:paraId="106DE441">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cs="Times New Roman"/>
                <w:b/>
                <w:bCs/>
                <w:color w:val="auto"/>
                <w:sz w:val="24"/>
                <w:highlight w:val="none"/>
              </w:rPr>
            </w:pPr>
            <w:r>
              <w:rPr>
                <w:rFonts w:hint="eastAsia" w:ascii="Times New Roman" w:hAnsi="Times New Roman" w:cs="Times New Roman"/>
                <w:b/>
                <w:bCs/>
                <w:color w:val="auto"/>
                <w:sz w:val="24"/>
                <w:highlight w:val="none"/>
              </w:rPr>
              <w:t>1</w:t>
            </w:r>
            <w:r>
              <w:rPr>
                <w:rFonts w:hint="eastAsia" w:cs="Times New Roman"/>
                <w:b/>
                <w:bCs/>
                <w:color w:val="auto"/>
                <w:sz w:val="24"/>
                <w:highlight w:val="none"/>
                <w:lang w:val="en-US" w:eastAsia="zh-CN"/>
              </w:rPr>
              <w:t>.</w:t>
            </w:r>
            <w:r>
              <w:rPr>
                <w:rFonts w:hint="eastAsia" w:ascii="Times New Roman" w:hAnsi="Times New Roman" w:cs="Times New Roman"/>
                <w:b/>
                <w:bCs/>
                <w:color w:val="auto"/>
                <w:sz w:val="24"/>
                <w:highlight w:val="none"/>
              </w:rPr>
              <w:t>现有工程概况</w:t>
            </w:r>
          </w:p>
          <w:p w14:paraId="3A6B403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新疆金象赛瑞化工科技有限公司 (曾用名：新疆金象赛瑞煤化工科技有限公司) ，成立于2012年，位于新疆维吾尔自治区昌吉回族自治州，是一家以从事化学原料和化学制品制造业为主的企业。占地面积约 67.77hm</w:t>
            </w:r>
            <w:r>
              <w:rPr>
                <w:rFonts w:hint="eastAsia" w:ascii="Times New Roman" w:hAnsi="Times New Roman" w:eastAsia="宋体" w:cs="Times New Roman"/>
                <w:color w:val="auto"/>
                <w:spacing w:val="0"/>
                <w:kern w:val="2"/>
                <w:sz w:val="24"/>
                <w:szCs w:val="24"/>
                <w:highlight w:val="none"/>
                <w:vertAlign w:val="superscript"/>
                <w:lang w:val="en-US" w:eastAsia="zh-CN" w:bidi="ar-SA"/>
              </w:rPr>
              <w:t>2</w:t>
            </w:r>
            <w:r>
              <w:rPr>
                <w:rFonts w:hint="eastAsia" w:ascii="Times New Roman" w:hAnsi="Times New Roman" w:eastAsia="宋体" w:cs="Times New Roman"/>
                <w:color w:val="auto"/>
                <w:spacing w:val="0"/>
                <w:kern w:val="2"/>
                <w:sz w:val="24"/>
                <w:szCs w:val="24"/>
                <w:highlight w:val="none"/>
                <w:lang w:val="en-US" w:eastAsia="zh-CN" w:bidi="ar-SA"/>
              </w:rPr>
              <w:t>，现已建成并投产年产10万吨三聚氨胺、15万吨硝酸、20万吨中和硝酸铵、15万吨固体(多孔)硝酸铵、60万吨硝基复合肥等生产装置。</w:t>
            </w:r>
          </w:p>
          <w:p w14:paraId="2EF91C8D">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ascii="Times New Roman" w:hAnsi="Times New Roman" w:cs="Times New Roman"/>
                <w:b/>
                <w:bCs/>
                <w:color w:val="0000FF"/>
                <w:sz w:val="24"/>
                <w:highlight w:val="none"/>
              </w:rPr>
            </w:pPr>
            <w:r>
              <w:rPr>
                <w:rFonts w:hint="eastAsia" w:ascii="Times New Roman" w:hAnsi="Times New Roman" w:cs="Times New Roman"/>
                <w:b/>
                <w:bCs/>
                <w:color w:val="0000FF"/>
                <w:sz w:val="24"/>
                <w:highlight w:val="none"/>
              </w:rPr>
              <w:t>2</w:t>
            </w:r>
            <w:r>
              <w:rPr>
                <w:rFonts w:hint="eastAsia" w:cs="Times New Roman"/>
                <w:b/>
                <w:bCs/>
                <w:color w:val="0000FF"/>
                <w:sz w:val="24"/>
                <w:highlight w:val="none"/>
                <w:lang w:val="en-US" w:eastAsia="zh-CN"/>
              </w:rPr>
              <w:t>.</w:t>
            </w:r>
            <w:r>
              <w:rPr>
                <w:rFonts w:hint="eastAsia" w:ascii="Times New Roman" w:hAnsi="Times New Roman" w:cs="Times New Roman"/>
                <w:b/>
                <w:bCs/>
                <w:color w:val="0000FF"/>
                <w:sz w:val="24"/>
                <w:highlight w:val="none"/>
              </w:rPr>
              <w:t>环保手续履行情况</w:t>
            </w:r>
          </w:p>
          <w:p w14:paraId="5B746ED2">
            <w:pPr>
              <w:keepNext w:val="0"/>
              <w:keepLines w:val="0"/>
              <w:widowControl/>
              <w:suppressLineNumbers w:val="0"/>
              <w:jc w:val="left"/>
              <w:rPr>
                <w:rFonts w:hint="default" w:ascii="Times New Roman" w:hAnsi="Times New Roman" w:eastAsia="宋体" w:cs="Times New Roman"/>
                <w:color w:val="0000FF"/>
                <w:spacing w:val="0"/>
                <w:highlight w:val="none"/>
                <w:lang w:val="en-US" w:eastAsia="zh-CN"/>
              </w:rPr>
            </w:pPr>
            <w:r>
              <w:rPr>
                <w:rFonts w:hint="default" w:ascii="Times New Roman" w:hAnsi="Times New Roman" w:eastAsia="宋体" w:cs="Times New Roman"/>
                <w:color w:val="0000FF"/>
                <w:spacing w:val="0"/>
                <w:highlight w:val="none"/>
                <w:lang w:val="en-US" w:eastAsia="zh-CN"/>
              </w:rPr>
              <w:t>2012年6月</w:t>
            </w:r>
            <w:r>
              <w:rPr>
                <w:rFonts w:hint="eastAsia"/>
                <w:color w:val="0000FF"/>
              </w:rPr>
              <w:t>新疆金象赛瑞化工科技有限</w:t>
            </w:r>
            <w:r>
              <w:rPr>
                <w:rFonts w:hint="eastAsia"/>
                <w:color w:val="0000FF"/>
                <w:lang w:eastAsia="zh-CN"/>
              </w:rPr>
              <w:t>公司</w:t>
            </w:r>
            <w:r>
              <w:rPr>
                <w:rFonts w:hint="default" w:ascii="Times New Roman" w:hAnsi="Times New Roman" w:eastAsia="宋体" w:cs="Times New Roman"/>
                <w:color w:val="0000FF"/>
                <w:spacing w:val="0"/>
                <w:highlight w:val="none"/>
                <w:lang w:val="en-US" w:eastAsia="zh-CN"/>
              </w:rPr>
              <w:t>委托新疆环境保护技术咨询中心编制《新疆金象赛瑞煤化工科技有限公司10万吨/年三聚氰胺联产60万吨/年硝基复合肥项目环境影响报告书》</w:t>
            </w:r>
            <w:r>
              <w:rPr>
                <w:rFonts w:hint="eastAsia" w:cs="Times New Roman"/>
                <w:color w:val="0000FF"/>
                <w:spacing w:val="0"/>
                <w:highlight w:val="none"/>
                <w:lang w:val="en-US" w:eastAsia="zh-CN"/>
              </w:rPr>
              <w:t>，于</w:t>
            </w:r>
            <w:r>
              <w:rPr>
                <w:rFonts w:hint="default" w:ascii="Times New Roman" w:hAnsi="Times New Roman" w:eastAsia="宋体" w:cs="Times New Roman"/>
                <w:color w:val="0000FF"/>
                <w:spacing w:val="0"/>
                <w:highlight w:val="none"/>
                <w:lang w:val="en-US" w:eastAsia="zh-CN"/>
              </w:rPr>
              <w:t>2012年6月8日取得新疆维吾尔自治区环境保护厅《关于新疆金象赛瑞煤化工科技有限公司10万吨/年三聚氰胺联产60万吨/年硝基复合肥项目环境影响报告书的批复》，批号：新环评价函〔2012〕576号</w:t>
            </w:r>
            <w:r>
              <w:rPr>
                <w:rFonts w:hint="eastAsia" w:cs="Times New Roman"/>
                <w:color w:val="0000FF"/>
                <w:spacing w:val="0"/>
                <w:highlight w:val="none"/>
                <w:lang w:val="en-US" w:eastAsia="zh-CN"/>
              </w:rPr>
              <w:t>；并于</w:t>
            </w:r>
            <w:r>
              <w:rPr>
                <w:rFonts w:hint="default" w:ascii="Times New Roman" w:hAnsi="Times New Roman" w:eastAsia="宋体" w:cs="Times New Roman"/>
                <w:color w:val="0000FF"/>
                <w:spacing w:val="0"/>
                <w:highlight w:val="none"/>
                <w:lang w:val="en-US" w:eastAsia="zh-CN"/>
              </w:rPr>
              <w:t>2018年6月24日完成一期验收，2022年1月16日完成二期验收；2021年6月</w:t>
            </w:r>
            <w:r>
              <w:rPr>
                <w:rFonts w:hint="eastAsia"/>
                <w:color w:val="0000FF"/>
              </w:rPr>
              <w:t>新疆金象赛瑞化工科技有限</w:t>
            </w:r>
            <w:r>
              <w:rPr>
                <w:rFonts w:hint="eastAsia"/>
                <w:color w:val="0000FF"/>
                <w:lang w:eastAsia="zh-CN"/>
              </w:rPr>
              <w:t>公司</w:t>
            </w:r>
            <w:r>
              <w:rPr>
                <w:rFonts w:hint="default" w:ascii="Times New Roman" w:hAnsi="Times New Roman" w:eastAsia="宋体" w:cs="Times New Roman"/>
                <w:color w:val="0000FF"/>
                <w:spacing w:val="0"/>
                <w:highlight w:val="none"/>
                <w:lang w:val="en-US" w:eastAsia="zh-CN"/>
              </w:rPr>
              <w:t>委托昌吉市新瑞鑫诚环保咨询服务有限公司编制《新疆金象赛瑞煤化工科技有限公司50t/h燃气锅炉改造项目环境影响报告表》；</w:t>
            </w:r>
            <w:r>
              <w:rPr>
                <w:rFonts w:hint="eastAsia" w:cs="Times New Roman"/>
                <w:color w:val="0000FF"/>
                <w:spacing w:val="0"/>
                <w:highlight w:val="none"/>
                <w:lang w:val="en-US" w:eastAsia="zh-CN"/>
              </w:rPr>
              <w:t>于</w:t>
            </w:r>
            <w:r>
              <w:rPr>
                <w:rFonts w:hint="default" w:ascii="Times New Roman" w:hAnsi="Times New Roman" w:eastAsia="宋体" w:cs="Times New Roman"/>
                <w:color w:val="0000FF"/>
                <w:spacing w:val="0"/>
                <w:highlight w:val="none"/>
                <w:lang w:val="en-US" w:eastAsia="zh-CN"/>
              </w:rPr>
              <w:t>2021年7月2日取得昌吉州生态环境局阜康市分局《关于新疆金象赛瑞煤化工科技有限公司50t/h燃气锅炉改造项目环境影响报告表的批复》，批号：阜环函〔2021〕30号；2021年12月完成验收；2021年11月</w:t>
            </w:r>
            <w:r>
              <w:rPr>
                <w:rFonts w:hint="eastAsia"/>
                <w:color w:val="0000FF"/>
              </w:rPr>
              <w:t>新疆金象赛瑞化工科技有限</w:t>
            </w:r>
            <w:r>
              <w:rPr>
                <w:rFonts w:hint="eastAsia"/>
                <w:color w:val="0000FF"/>
                <w:lang w:eastAsia="zh-CN"/>
              </w:rPr>
              <w:t>公司</w:t>
            </w:r>
            <w:r>
              <w:rPr>
                <w:rFonts w:hint="default" w:ascii="Times New Roman" w:hAnsi="Times New Roman" w:eastAsia="宋体" w:cs="Times New Roman"/>
                <w:color w:val="0000FF"/>
                <w:spacing w:val="0"/>
                <w:highlight w:val="none"/>
                <w:lang w:val="en-US" w:eastAsia="zh-CN"/>
              </w:rPr>
              <w:t>委托昌吉市新瑞鑫诚环保咨询服务有限公司编制《新疆金象赛瑞煤化工科技有限公司燃煤熔盐炉改天然气熔盐炉技改项目环境影响报告表》</w:t>
            </w:r>
            <w:r>
              <w:rPr>
                <w:rFonts w:hint="eastAsia" w:cs="Times New Roman"/>
                <w:color w:val="0000FF"/>
                <w:spacing w:val="0"/>
                <w:highlight w:val="none"/>
                <w:lang w:val="en-US" w:eastAsia="zh-CN"/>
              </w:rPr>
              <w:t>，于</w:t>
            </w:r>
            <w:r>
              <w:rPr>
                <w:rFonts w:hint="default" w:ascii="Times New Roman" w:hAnsi="Times New Roman" w:eastAsia="宋体" w:cs="Times New Roman"/>
                <w:color w:val="0000FF"/>
                <w:spacing w:val="0"/>
                <w:highlight w:val="none"/>
                <w:lang w:val="en-US" w:eastAsia="zh-CN"/>
              </w:rPr>
              <w:t>2022年1月25日取得昌吉回族自治州生态环境局《关于新疆金象赛瑞煤化工科技有限公司燃煤熔盐炉改天然气熔盐炉技改项目环境影响报告表的批复》，批号：昌州环评〔2022〕14号</w:t>
            </w:r>
            <w:r>
              <w:rPr>
                <w:rFonts w:hint="eastAsia" w:cs="Times New Roman"/>
                <w:color w:val="0000FF"/>
                <w:spacing w:val="0"/>
                <w:highlight w:val="none"/>
                <w:lang w:val="en-US" w:eastAsia="zh-CN"/>
              </w:rPr>
              <w:t>，并于</w:t>
            </w:r>
            <w:r>
              <w:rPr>
                <w:rFonts w:hint="default" w:ascii="Times New Roman" w:hAnsi="Times New Roman" w:eastAsia="宋体" w:cs="Times New Roman"/>
                <w:color w:val="0000FF"/>
                <w:spacing w:val="0"/>
                <w:highlight w:val="none"/>
                <w:lang w:val="en-US" w:eastAsia="zh-CN"/>
              </w:rPr>
              <w:t>2023年2月12日完成验收。</w:t>
            </w:r>
          </w:p>
          <w:p w14:paraId="7F31FDED">
            <w:pPr>
              <w:keepNext w:val="0"/>
              <w:keepLines w:val="0"/>
              <w:widowControl/>
              <w:suppressLineNumbers w:val="0"/>
              <w:jc w:val="left"/>
              <w:rPr>
                <w:rFonts w:hint="default" w:ascii="Times New Roman" w:hAnsi="Times New Roman" w:eastAsia="宋体" w:cs="Times New Roman"/>
                <w:color w:val="0000FF"/>
                <w:spacing w:val="0"/>
                <w:highlight w:val="none"/>
                <w:lang w:val="en-US" w:eastAsia="zh-CN"/>
              </w:rPr>
            </w:pPr>
            <w:r>
              <w:rPr>
                <w:rFonts w:hint="default" w:ascii="Times New Roman" w:hAnsi="Times New Roman" w:eastAsia="宋体" w:cs="Times New Roman"/>
                <w:color w:val="0000FF"/>
                <w:spacing w:val="0"/>
                <w:highlight w:val="none"/>
                <w:lang w:val="en-US" w:eastAsia="zh-CN"/>
              </w:rPr>
              <w:t>2020年3月11日，新疆金象赛瑞化工科技有限公司进行了排污许可证重点管理申请，于2025年2月24日申请延续，有效期为2025年3月11日至2030年3月10日，排污许可证编号为9165230259590223XX001V。</w:t>
            </w:r>
          </w:p>
          <w:p w14:paraId="48CDD13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s="Times New Roman"/>
                <w:color w:val="0000FF"/>
                <w:sz w:val="24"/>
                <w:highlight w:val="none"/>
                <w:lang w:val="en-US" w:eastAsia="zh-CN"/>
              </w:rPr>
            </w:pPr>
            <w:r>
              <w:rPr>
                <w:rFonts w:hint="default" w:ascii="Times New Roman" w:hAnsi="Times New Roman" w:eastAsia="宋体" w:cs="Times New Roman"/>
                <w:color w:val="0000FF"/>
                <w:spacing w:val="0"/>
                <w:highlight w:val="none"/>
                <w:lang w:val="en-US" w:eastAsia="zh-CN"/>
              </w:rPr>
              <w:t>新疆金象赛瑞化工科技有限公司</w:t>
            </w:r>
            <w:r>
              <w:rPr>
                <w:rFonts w:hint="eastAsia" w:ascii="Times New Roman" w:hAnsi="Times New Roman" w:eastAsia="宋体" w:cs="Times New Roman"/>
                <w:color w:val="0000FF"/>
                <w:sz w:val="24"/>
                <w:highlight w:val="none"/>
                <w:lang w:val="en-US" w:eastAsia="zh-CN"/>
              </w:rPr>
              <w:t>根据目前建设内容已编制完成突发环境应急事件应急预案，</w:t>
            </w:r>
            <w:r>
              <w:rPr>
                <w:rFonts w:hint="eastAsia" w:eastAsia="宋体" w:cs="Times New Roman"/>
                <w:color w:val="0000FF"/>
                <w:sz w:val="24"/>
                <w:highlight w:val="none"/>
                <w:lang w:val="en-US" w:eastAsia="zh-CN"/>
              </w:rPr>
              <w:t>并于2025年3月28日在昌吉回族自治州生态环境局阜康分局</w:t>
            </w:r>
            <w:r>
              <w:rPr>
                <w:rFonts w:hint="eastAsia" w:ascii="Times New Roman" w:hAnsi="Times New Roman" w:eastAsia="宋体" w:cs="Times New Roman"/>
                <w:color w:val="0000FF"/>
                <w:sz w:val="24"/>
                <w:highlight w:val="none"/>
                <w:lang w:val="en-US" w:eastAsia="zh-CN"/>
              </w:rPr>
              <w:t>备案（备案编号：</w:t>
            </w:r>
            <w:r>
              <w:rPr>
                <w:rFonts w:hint="eastAsia" w:eastAsia="宋体" w:cs="Times New Roman"/>
                <w:color w:val="0000FF"/>
                <w:sz w:val="24"/>
                <w:highlight w:val="none"/>
                <w:lang w:val="en-US" w:eastAsia="zh-CN"/>
              </w:rPr>
              <w:t>652302-2025-016-M</w:t>
            </w:r>
            <w:r>
              <w:rPr>
                <w:rFonts w:hint="eastAsia" w:ascii="Times New Roman" w:hAnsi="Times New Roman" w:eastAsia="宋体" w:cs="Times New Roman"/>
                <w:color w:val="0000FF"/>
                <w:sz w:val="24"/>
                <w:highlight w:val="none"/>
                <w:lang w:val="en-US" w:eastAsia="zh-CN"/>
              </w:rPr>
              <w:t>）</w:t>
            </w:r>
            <w:r>
              <w:rPr>
                <w:rFonts w:hint="eastAsia" w:eastAsia="宋体" w:cs="Times New Roman"/>
                <w:color w:val="0000FF"/>
                <w:sz w:val="24"/>
                <w:highlight w:val="none"/>
                <w:lang w:val="en-US" w:eastAsia="zh-CN"/>
              </w:rPr>
              <w:t>。</w:t>
            </w:r>
          </w:p>
          <w:p w14:paraId="1FF0CAC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eastAsia="宋体" w:cs="Times New Roman"/>
                <w:color w:val="0000FF"/>
                <w:sz w:val="24"/>
                <w:highlight w:val="none"/>
                <w:lang w:val="en-US" w:eastAsia="zh-CN"/>
              </w:rPr>
            </w:pPr>
            <w:r>
              <w:rPr>
                <w:rFonts w:hint="default" w:ascii="Times New Roman" w:hAnsi="Times New Roman" w:eastAsia="宋体" w:cs="Times New Roman"/>
                <w:color w:val="0000FF"/>
                <w:spacing w:val="0"/>
                <w:highlight w:val="none"/>
                <w:lang w:val="en-US" w:eastAsia="zh-CN"/>
              </w:rPr>
              <w:t>新疆金象赛瑞化工科技有限公司</w:t>
            </w:r>
            <w:r>
              <w:rPr>
                <w:rFonts w:hint="default" w:eastAsia="宋体" w:cs="Times New Roman"/>
                <w:color w:val="0000FF"/>
                <w:sz w:val="24"/>
                <w:highlight w:val="none"/>
                <w:lang w:val="en-US" w:eastAsia="zh-CN"/>
              </w:rPr>
              <w:t>按照202</w:t>
            </w:r>
            <w:r>
              <w:rPr>
                <w:rFonts w:hint="eastAsia" w:cs="Times New Roman"/>
                <w:color w:val="0000FF"/>
                <w:sz w:val="24"/>
                <w:highlight w:val="none"/>
                <w:lang w:val="en-US" w:eastAsia="zh-CN"/>
              </w:rPr>
              <w:t>5</w:t>
            </w:r>
            <w:r>
              <w:rPr>
                <w:rFonts w:hint="default" w:eastAsia="宋体" w:cs="Times New Roman"/>
                <w:color w:val="0000FF"/>
                <w:sz w:val="24"/>
                <w:highlight w:val="none"/>
                <w:lang w:val="en-US" w:eastAsia="zh-CN"/>
              </w:rPr>
              <w:t>年自行监测方案开展本年度自行监测，</w:t>
            </w:r>
            <w:r>
              <w:rPr>
                <w:rFonts w:hint="eastAsia" w:cs="Times New Roman"/>
                <w:color w:val="0000FF"/>
                <w:sz w:val="24"/>
                <w:highlight w:val="none"/>
                <w:lang w:val="en-US" w:eastAsia="zh-CN"/>
              </w:rPr>
              <w:t>根据自行监测方案</w:t>
            </w:r>
            <w:r>
              <w:rPr>
                <w:rFonts w:hint="default" w:eastAsia="宋体" w:cs="Times New Roman"/>
                <w:color w:val="0000FF"/>
                <w:sz w:val="24"/>
                <w:highlight w:val="none"/>
                <w:lang w:val="en-US" w:eastAsia="zh-CN"/>
              </w:rPr>
              <w:t>本年度</w:t>
            </w:r>
            <w:r>
              <w:rPr>
                <w:rFonts w:hint="eastAsia" w:cs="Times New Roman"/>
                <w:color w:val="0000FF"/>
                <w:sz w:val="24"/>
                <w:highlight w:val="none"/>
                <w:lang w:val="en-US" w:eastAsia="zh-CN"/>
              </w:rPr>
              <w:t>应</w:t>
            </w:r>
            <w:r>
              <w:rPr>
                <w:rFonts w:hint="default" w:eastAsia="宋体" w:cs="Times New Roman"/>
                <w:color w:val="0000FF"/>
                <w:sz w:val="24"/>
                <w:highlight w:val="none"/>
                <w:lang w:val="en-US" w:eastAsia="zh-CN"/>
              </w:rPr>
              <w:t>开展12次月度自行监测，4次季度自行监测，1次年度自行监测。并将自行监测数据和报告上传至新疆维吾尔自治区监测数据管理与信息共享系统及排污许可月度执行报告附件中。</w:t>
            </w:r>
          </w:p>
          <w:p w14:paraId="16702FA1">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left"/>
              <w:textAlignment w:val="auto"/>
              <w:rPr>
                <w:rFonts w:ascii="Times New Roman" w:hAnsi="Times New Roman" w:cs="Times New Roman"/>
                <w:b/>
                <w:bCs/>
                <w:color w:val="0000FF"/>
                <w:kern w:val="0"/>
                <w:sz w:val="24"/>
                <w:highlight w:val="none"/>
              </w:rPr>
            </w:pPr>
            <w:r>
              <w:rPr>
                <w:rFonts w:hint="eastAsia" w:ascii="Times New Roman" w:hAnsi="Times New Roman" w:cs="Times New Roman"/>
                <w:b/>
                <w:bCs/>
                <w:color w:val="0000FF"/>
                <w:kern w:val="0"/>
                <w:sz w:val="24"/>
                <w:highlight w:val="none"/>
              </w:rPr>
              <w:t>3</w:t>
            </w:r>
            <w:r>
              <w:rPr>
                <w:rFonts w:hint="eastAsia" w:cs="Times New Roman"/>
                <w:b/>
                <w:bCs/>
                <w:color w:val="0000FF"/>
                <w:kern w:val="0"/>
                <w:sz w:val="24"/>
                <w:highlight w:val="none"/>
                <w:lang w:val="en-US" w:eastAsia="zh-CN"/>
              </w:rPr>
              <w:t>.</w:t>
            </w:r>
            <w:r>
              <w:rPr>
                <w:rFonts w:hint="eastAsia" w:ascii="Times New Roman" w:hAnsi="Times New Roman" w:cs="Times New Roman"/>
                <w:b/>
                <w:bCs/>
                <w:color w:val="0000FF"/>
                <w:kern w:val="0"/>
                <w:sz w:val="24"/>
                <w:highlight w:val="none"/>
              </w:rPr>
              <w:t>现有工程</w:t>
            </w:r>
            <w:r>
              <w:rPr>
                <w:rFonts w:ascii="Times New Roman" w:hAnsi="Times New Roman" w:cs="Times New Roman"/>
                <w:b/>
                <w:bCs/>
                <w:color w:val="0000FF"/>
                <w:kern w:val="0"/>
                <w:sz w:val="24"/>
                <w:highlight w:val="none"/>
              </w:rPr>
              <w:t>污染</w:t>
            </w:r>
            <w:r>
              <w:rPr>
                <w:rFonts w:hint="eastAsia" w:ascii="Times New Roman" w:hAnsi="Times New Roman" w:cs="Times New Roman"/>
                <w:b/>
                <w:bCs/>
                <w:color w:val="0000FF"/>
                <w:kern w:val="0"/>
                <w:sz w:val="24"/>
                <w:highlight w:val="none"/>
              </w:rPr>
              <w:t>物治理</w:t>
            </w:r>
            <w:r>
              <w:rPr>
                <w:rFonts w:ascii="Times New Roman" w:hAnsi="Times New Roman" w:cs="Times New Roman"/>
                <w:b/>
                <w:bCs/>
                <w:color w:val="0000FF"/>
                <w:kern w:val="0"/>
                <w:sz w:val="24"/>
                <w:highlight w:val="none"/>
              </w:rPr>
              <w:t>情况</w:t>
            </w:r>
          </w:p>
          <w:p w14:paraId="41F05DB8">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cs="Times New Roman"/>
                <w:b/>
                <w:bCs/>
                <w:color w:val="0000FF"/>
                <w:sz w:val="24"/>
                <w:szCs w:val="24"/>
                <w:highlight w:val="none"/>
                <w:lang w:val="en-US" w:eastAsia="zh-CN"/>
              </w:rPr>
            </w:pPr>
            <w:r>
              <w:rPr>
                <w:rFonts w:hint="eastAsia" w:ascii="Times New Roman" w:hAnsi="Times New Roman" w:cs="Times New Roman"/>
                <w:b/>
                <w:bCs/>
                <w:color w:val="0000FF"/>
                <w:sz w:val="24"/>
                <w:szCs w:val="24"/>
                <w:highlight w:val="none"/>
              </w:rPr>
              <w:t>3.1</w:t>
            </w:r>
            <w:r>
              <w:rPr>
                <w:rFonts w:hint="eastAsia" w:ascii="Times New Roman" w:hAnsi="Times New Roman" w:cs="Times New Roman"/>
                <w:b/>
                <w:bCs/>
                <w:color w:val="0000FF"/>
                <w:sz w:val="24"/>
                <w:szCs w:val="24"/>
                <w:highlight w:val="none"/>
                <w:lang w:val="en-US" w:eastAsia="zh-CN"/>
              </w:rPr>
              <w:t>废气</w:t>
            </w:r>
          </w:p>
          <w:p w14:paraId="17416B6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b w:val="0"/>
                <w:bCs w:val="0"/>
                <w:color w:val="0000FF"/>
                <w:sz w:val="24"/>
                <w:szCs w:val="24"/>
                <w:highlight w:val="none"/>
                <w:lang w:val="en-US" w:eastAsia="zh-CN"/>
              </w:rPr>
            </w:pPr>
            <w:r>
              <w:rPr>
                <w:rFonts w:hint="eastAsia" w:ascii="Times New Roman" w:hAnsi="Times New Roman" w:cs="Times New Roman"/>
                <w:b w:val="0"/>
                <w:bCs w:val="0"/>
                <w:color w:val="0000FF"/>
                <w:sz w:val="24"/>
                <w:szCs w:val="24"/>
                <w:highlight w:val="none"/>
                <w:lang w:val="en-US" w:eastAsia="zh-CN"/>
              </w:rPr>
              <w:t>①熔盐加热炉燃烧产生的废气经低氮燃烧+烟气再循环工艺处理后，经35m高排气筒达标排放；</w:t>
            </w:r>
          </w:p>
          <w:p w14:paraId="670B65A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b w:val="0"/>
                <w:bCs w:val="0"/>
                <w:color w:val="0000FF"/>
                <w:sz w:val="24"/>
                <w:szCs w:val="24"/>
                <w:highlight w:val="none"/>
                <w:lang w:val="en-US" w:eastAsia="zh-CN"/>
              </w:rPr>
            </w:pPr>
            <w:r>
              <w:rPr>
                <w:rFonts w:hint="eastAsia" w:ascii="Times New Roman" w:hAnsi="Times New Roman" w:cs="Times New Roman"/>
                <w:b w:val="0"/>
                <w:bCs w:val="0"/>
                <w:color w:val="0000FF"/>
                <w:sz w:val="24"/>
                <w:szCs w:val="24"/>
                <w:highlight w:val="none"/>
                <w:lang w:val="en-US" w:eastAsia="zh-CN"/>
              </w:rPr>
              <w:t>②三聚氰胺输送为风送，在料仓顶部设密闭集气罩，粉尘经布袋除尘后返回系统，收尘后其余尾气入洗涤烟囱洗涤后经仓顶20m排气筒排放；</w:t>
            </w:r>
          </w:p>
          <w:p w14:paraId="0E2C64B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b w:val="0"/>
                <w:bCs w:val="0"/>
                <w:color w:val="0000FF"/>
                <w:sz w:val="24"/>
                <w:szCs w:val="24"/>
                <w:highlight w:val="none"/>
                <w:lang w:val="en-US" w:eastAsia="zh-CN"/>
              </w:rPr>
            </w:pPr>
            <w:r>
              <w:rPr>
                <w:rFonts w:hint="eastAsia" w:ascii="Times New Roman" w:hAnsi="Times New Roman" w:cs="Times New Roman"/>
                <w:b w:val="0"/>
                <w:bCs w:val="0"/>
                <w:color w:val="0000FF"/>
                <w:sz w:val="24"/>
                <w:szCs w:val="24"/>
                <w:highlight w:val="none"/>
                <w:lang w:val="en-US" w:eastAsia="zh-CN"/>
              </w:rPr>
              <w:t>③成品包装尾气，在包装机的包装工作台上设抽风集气装置，含尘废气经脉冲袋式除尘器收尘后返回系统，收尘后其余（1％）尾气经15m排气筒排放；</w:t>
            </w:r>
          </w:p>
          <w:p w14:paraId="13B8410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b w:val="0"/>
                <w:bCs w:val="0"/>
                <w:color w:val="0000FF"/>
                <w:sz w:val="24"/>
                <w:szCs w:val="24"/>
                <w:highlight w:val="none"/>
                <w:lang w:val="en-US" w:eastAsia="zh-CN"/>
              </w:rPr>
            </w:pPr>
            <w:r>
              <w:rPr>
                <w:rFonts w:hint="eastAsia" w:ascii="Times New Roman" w:hAnsi="Times New Roman" w:cs="Times New Roman"/>
                <w:b w:val="0"/>
                <w:bCs w:val="0"/>
                <w:color w:val="0000FF"/>
                <w:sz w:val="24"/>
                <w:szCs w:val="24"/>
                <w:highlight w:val="none"/>
                <w:lang w:val="en-US" w:eastAsia="zh-CN"/>
              </w:rPr>
              <w:t>④硝酸装置生产过程中的废气源主要为吸收塔尾气，采用SCR法脱销，经65m高排气筒排放；</w:t>
            </w:r>
          </w:p>
          <w:p w14:paraId="1E7F66E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b w:val="0"/>
                <w:bCs w:val="0"/>
                <w:color w:val="0000FF"/>
                <w:sz w:val="24"/>
                <w:szCs w:val="24"/>
                <w:highlight w:val="none"/>
                <w:lang w:val="en-US" w:eastAsia="zh-CN"/>
              </w:rPr>
            </w:pPr>
            <w:r>
              <w:rPr>
                <w:rFonts w:hint="eastAsia" w:ascii="Times New Roman" w:hAnsi="Times New Roman" w:cs="Times New Roman"/>
                <w:b w:val="0"/>
                <w:bCs w:val="0"/>
                <w:color w:val="0000FF"/>
                <w:sz w:val="24"/>
                <w:szCs w:val="24"/>
                <w:highlight w:val="none"/>
                <w:lang w:val="en-US" w:eastAsia="zh-CN"/>
              </w:rPr>
              <w:t>⑤硝酸铵装置中和塔尾气，采用中和捕集器+冷凝回收工艺处理，经80m高排气筒排入大气；</w:t>
            </w:r>
          </w:p>
          <w:p w14:paraId="23D992B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b w:val="0"/>
                <w:bCs w:val="0"/>
                <w:color w:val="0000FF"/>
                <w:sz w:val="24"/>
                <w:szCs w:val="24"/>
                <w:highlight w:val="none"/>
                <w:lang w:val="en-US" w:eastAsia="zh-CN"/>
              </w:rPr>
            </w:pPr>
            <w:r>
              <w:rPr>
                <w:rFonts w:hint="eastAsia" w:ascii="Times New Roman" w:hAnsi="Times New Roman" w:cs="Times New Roman"/>
                <w:b w:val="0"/>
                <w:bCs w:val="0"/>
                <w:color w:val="0000FF"/>
                <w:sz w:val="24"/>
                <w:szCs w:val="24"/>
                <w:highlight w:val="none"/>
                <w:lang w:val="en-US" w:eastAsia="zh-CN"/>
              </w:rPr>
              <w:t>⑥硝酸铵溶液经两段蒸发器浓缩过程中产生一定量的硝酸铵蒸发器尾气，经喷淋洗涤后，由35m高排气筒排放；</w:t>
            </w:r>
          </w:p>
          <w:p w14:paraId="3ED8BEF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b w:val="0"/>
                <w:bCs w:val="0"/>
                <w:color w:val="0000FF"/>
                <w:sz w:val="24"/>
                <w:szCs w:val="24"/>
                <w:highlight w:val="none"/>
                <w:lang w:val="en-US" w:eastAsia="zh-CN"/>
              </w:rPr>
            </w:pPr>
            <w:r>
              <w:rPr>
                <w:rFonts w:hint="eastAsia" w:ascii="Times New Roman" w:hAnsi="Times New Roman" w:cs="Times New Roman"/>
                <w:b w:val="0"/>
                <w:bCs w:val="0"/>
                <w:color w:val="0000FF"/>
                <w:sz w:val="24"/>
                <w:szCs w:val="24"/>
                <w:highlight w:val="none"/>
                <w:lang w:val="en-US" w:eastAsia="zh-CN"/>
              </w:rPr>
              <w:t>⑦复合肥生产过程中产生的复肥造粒塔尾气，尾气经喷淋洗涤后，经108m高排放筒排放至大气；</w:t>
            </w:r>
          </w:p>
          <w:p w14:paraId="408C788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b w:val="0"/>
                <w:bCs w:val="0"/>
                <w:color w:val="0000FF"/>
                <w:sz w:val="24"/>
                <w:szCs w:val="24"/>
                <w:highlight w:val="none"/>
                <w:lang w:val="en-US" w:eastAsia="zh-CN"/>
              </w:rPr>
            </w:pPr>
            <w:r>
              <w:rPr>
                <w:rFonts w:hint="eastAsia" w:ascii="Times New Roman" w:hAnsi="Times New Roman" w:cs="Times New Roman"/>
                <w:b w:val="0"/>
                <w:bCs w:val="0"/>
                <w:color w:val="0000FF"/>
                <w:sz w:val="24"/>
                <w:szCs w:val="24"/>
                <w:highlight w:val="none"/>
                <w:lang w:val="en-US" w:eastAsia="zh-CN"/>
              </w:rPr>
              <w:t>⑧复合肥备料系统尾气采用集尘罩通过脉冲袋式除尘器除尘后，通过15m高排气筒排放；</w:t>
            </w:r>
          </w:p>
          <w:p w14:paraId="2EB28F8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b w:val="0"/>
                <w:bCs w:val="0"/>
                <w:color w:val="0000FF"/>
                <w:sz w:val="24"/>
                <w:szCs w:val="24"/>
                <w:highlight w:val="none"/>
                <w:lang w:val="en-US" w:eastAsia="zh-CN"/>
              </w:rPr>
            </w:pPr>
            <w:r>
              <w:rPr>
                <w:rFonts w:hint="eastAsia" w:ascii="Times New Roman" w:hAnsi="Times New Roman" w:cs="Times New Roman"/>
                <w:b w:val="0"/>
                <w:bCs w:val="0"/>
                <w:color w:val="0000FF"/>
                <w:sz w:val="24"/>
                <w:szCs w:val="24"/>
                <w:highlight w:val="none"/>
                <w:lang w:val="en-US" w:eastAsia="zh-CN"/>
              </w:rPr>
              <w:t>⑨燃气锅炉运行过程中产生锅炉烟气，经低氮燃烧器+烟气再循环风机处理后经20米烟囱排入大气；</w:t>
            </w:r>
          </w:p>
          <w:p w14:paraId="6EBBA9A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b w:val="0"/>
                <w:bCs w:val="0"/>
                <w:color w:val="0000FF"/>
                <w:sz w:val="24"/>
                <w:szCs w:val="24"/>
                <w:highlight w:val="none"/>
                <w:lang w:val="en-US" w:eastAsia="zh-CN"/>
              </w:rPr>
            </w:pPr>
            <w:r>
              <w:rPr>
                <w:rFonts w:hint="eastAsia" w:ascii="Times New Roman" w:hAnsi="Times New Roman" w:cs="Times New Roman"/>
                <w:b w:val="0"/>
                <w:bCs w:val="0"/>
                <w:color w:val="0000FF"/>
                <w:sz w:val="24"/>
                <w:szCs w:val="24"/>
                <w:highlight w:val="none"/>
                <w:lang w:val="en-US" w:eastAsia="zh-CN"/>
              </w:rPr>
              <w:t>⑩熔融尿素尾气采用吸收柱洗涤塔洗涤后，通过20m高排气筒排放至大气；</w:t>
            </w:r>
          </w:p>
          <w:p w14:paraId="0E34362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b w:val="0"/>
                <w:bCs w:val="0"/>
                <w:color w:val="0000FF"/>
                <w:sz w:val="24"/>
                <w:szCs w:val="24"/>
                <w:highlight w:val="none"/>
                <w:lang w:val="en-US" w:eastAsia="zh-CN"/>
              </w:rPr>
            </w:pPr>
            <w:r>
              <w:rPr>
                <w:rFonts w:hint="eastAsia" w:ascii="Times New Roman" w:hAnsi="Times New Roman" w:cs="Times New Roman"/>
                <w:b w:val="0"/>
                <w:bCs w:val="0"/>
                <w:color w:val="0000FF"/>
                <w:sz w:val="24"/>
                <w:szCs w:val="24"/>
                <w:highlight w:val="none"/>
                <w:lang w:val="en-US" w:eastAsia="zh-CN"/>
              </w:rPr>
              <w:t>⑪硝酸铵生产过程中产生的硝酸铵造粒塔尾气，尾气经喷淋洗涤后，经80m高排气筒排放至大气。</w:t>
            </w:r>
          </w:p>
          <w:p w14:paraId="3CC821E8">
            <w:pPr>
              <w:pStyle w:val="27"/>
              <w:rPr>
                <w:rFonts w:hint="eastAsia"/>
                <w:color w:val="0000FF"/>
                <w:lang w:val="en-US" w:eastAsia="zh-CN"/>
              </w:rPr>
            </w:pPr>
            <w:r>
              <w:rPr>
                <w:rFonts w:hint="eastAsia" w:ascii="Times New Roman" w:hAnsi="Times New Roman" w:cs="Times New Roman"/>
                <w:b w:val="0"/>
                <w:bCs w:val="0"/>
                <w:color w:val="0000FF"/>
                <w:sz w:val="24"/>
                <w:szCs w:val="24"/>
                <w:highlight w:val="none"/>
                <w:lang w:val="en-US" w:eastAsia="zh-CN"/>
              </w:rPr>
              <w:t>综上所述，现有工程废气治理措施切实可行，根据在线监测和自行监测报告，现有工程废气污染物均能够达标排放。</w:t>
            </w:r>
          </w:p>
          <w:p w14:paraId="13A5C980">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s="Times New Roman"/>
                <w:b/>
                <w:bCs/>
                <w:color w:val="0000FF"/>
                <w:sz w:val="24"/>
                <w:szCs w:val="24"/>
                <w:highlight w:val="none"/>
                <w:lang w:val="en-US"/>
              </w:rPr>
            </w:pPr>
            <w:r>
              <w:rPr>
                <w:rFonts w:hint="eastAsia" w:ascii="Times New Roman" w:hAnsi="Times New Roman" w:eastAsia="宋体" w:cs="Times New Roman"/>
                <w:b/>
                <w:bCs/>
                <w:color w:val="0000FF"/>
                <w:sz w:val="24"/>
                <w:szCs w:val="24"/>
                <w:highlight w:val="none"/>
                <w:lang w:val="en-US" w:eastAsia="zh-CN"/>
              </w:rPr>
              <w:t>3.2</w:t>
            </w:r>
            <w:r>
              <w:rPr>
                <w:rFonts w:hint="eastAsia" w:ascii="Times New Roman" w:hAnsi="Times New Roman" w:eastAsia="宋体" w:cs="Times New Roman"/>
                <w:b/>
                <w:bCs/>
                <w:color w:val="0000FF"/>
                <w:sz w:val="24"/>
                <w:szCs w:val="24"/>
                <w:highlight w:val="none"/>
                <w:lang w:val="en-US"/>
              </w:rPr>
              <w:t>废水</w:t>
            </w:r>
          </w:p>
          <w:p w14:paraId="02D2D60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0000FF"/>
                <w:sz w:val="24"/>
                <w:szCs w:val="24"/>
                <w:highlight w:val="none"/>
                <w:lang w:val="en-US"/>
              </w:rPr>
            </w:pPr>
            <w:r>
              <w:rPr>
                <w:rFonts w:hint="eastAsia" w:ascii="Times New Roman" w:hAnsi="Times New Roman" w:eastAsia="宋体" w:cs="Times New Roman"/>
                <w:b w:val="0"/>
                <w:bCs w:val="0"/>
                <w:color w:val="0000FF"/>
                <w:sz w:val="24"/>
                <w:szCs w:val="24"/>
                <w:highlight w:val="none"/>
                <w:lang w:val="en-US"/>
              </w:rPr>
              <w:t>①生活污水</w:t>
            </w:r>
          </w:p>
          <w:p w14:paraId="6927AEF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0000FF"/>
                <w:sz w:val="24"/>
                <w:szCs w:val="24"/>
                <w:highlight w:val="none"/>
                <w:lang w:val="en-US"/>
              </w:rPr>
            </w:pPr>
            <w:r>
              <w:rPr>
                <w:rFonts w:hint="eastAsia" w:ascii="Times New Roman" w:hAnsi="Times New Roman" w:eastAsia="宋体" w:cs="Times New Roman"/>
                <w:b w:val="0"/>
                <w:bCs w:val="0"/>
                <w:color w:val="0000FF"/>
                <w:sz w:val="24"/>
                <w:szCs w:val="24"/>
                <w:highlight w:val="none"/>
                <w:lang w:val="en-US"/>
              </w:rPr>
              <w:t>生活污水由污水处理站处理合格，经与昌吉州生态环境局实时联网的在线监测设备监测合格后，排入阜康产业园东区污水处理厂。</w:t>
            </w:r>
          </w:p>
          <w:p w14:paraId="11D163E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0000FF"/>
                <w:sz w:val="24"/>
                <w:szCs w:val="24"/>
                <w:highlight w:val="none"/>
                <w:lang w:val="en-US"/>
              </w:rPr>
            </w:pPr>
            <w:r>
              <w:rPr>
                <w:rFonts w:hint="eastAsia" w:ascii="Times New Roman" w:hAnsi="Times New Roman" w:eastAsia="宋体" w:cs="Times New Roman"/>
                <w:b w:val="0"/>
                <w:bCs w:val="0"/>
                <w:color w:val="0000FF"/>
                <w:sz w:val="24"/>
                <w:szCs w:val="24"/>
                <w:highlight w:val="none"/>
                <w:lang w:val="en-US"/>
              </w:rPr>
              <w:t>②生产污水</w:t>
            </w:r>
          </w:p>
          <w:p w14:paraId="3A0C8CA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0000FF"/>
                <w:sz w:val="24"/>
                <w:szCs w:val="24"/>
                <w:highlight w:val="none"/>
                <w:lang w:val="en-US"/>
              </w:rPr>
            </w:pPr>
            <w:r>
              <w:rPr>
                <w:rFonts w:hint="eastAsia" w:ascii="Times New Roman" w:hAnsi="Times New Roman" w:eastAsia="宋体" w:cs="Times New Roman"/>
                <w:b w:val="0"/>
                <w:bCs w:val="0"/>
                <w:color w:val="0000FF"/>
                <w:sz w:val="24"/>
                <w:szCs w:val="24"/>
                <w:highlight w:val="none"/>
                <w:lang w:val="en-US"/>
              </w:rPr>
              <w:t>工艺产生的废水经处理后，全部循环使用，不外排。</w:t>
            </w:r>
          </w:p>
          <w:p w14:paraId="76614297">
            <w:pPr>
              <w:keepNext w:val="0"/>
              <w:keepLines w:val="0"/>
              <w:widowControl/>
              <w:suppressLineNumbers w:val="0"/>
              <w:ind w:left="0" w:leftChars="0" w:firstLine="480" w:firstLineChars="200"/>
              <w:jc w:val="left"/>
              <w:rPr>
                <w:color w:val="0000FF"/>
              </w:rPr>
            </w:pPr>
            <w:r>
              <w:rPr>
                <w:rFonts w:hint="eastAsia" w:ascii="宋体" w:hAnsi="宋体" w:eastAsia="宋体" w:cs="宋体"/>
                <w:color w:val="0000FF"/>
                <w:kern w:val="0"/>
                <w:sz w:val="24"/>
                <w:szCs w:val="24"/>
                <w:lang w:val="en-US" w:eastAsia="zh-CN" w:bidi="ar"/>
              </w:rPr>
              <w:t>综上所述，现有工程废水治理措施切实可行，对项目所在地水环境影响较小。</w:t>
            </w:r>
          </w:p>
          <w:p w14:paraId="00FE6D60">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s="Times New Roman"/>
                <w:b/>
                <w:bCs/>
                <w:color w:val="0000FF"/>
                <w:sz w:val="24"/>
                <w:szCs w:val="24"/>
                <w:highlight w:val="none"/>
                <w:lang w:val="en-US" w:eastAsia="zh-CN"/>
              </w:rPr>
            </w:pPr>
            <w:r>
              <w:rPr>
                <w:rFonts w:hint="eastAsia" w:ascii="Times New Roman" w:hAnsi="Times New Roman" w:eastAsia="宋体" w:cs="Times New Roman"/>
                <w:b/>
                <w:bCs/>
                <w:color w:val="0000FF"/>
                <w:sz w:val="24"/>
                <w:szCs w:val="24"/>
                <w:highlight w:val="none"/>
                <w:lang w:val="en-US" w:eastAsia="zh-CN"/>
              </w:rPr>
              <w:t>3.3固体废物</w:t>
            </w:r>
          </w:p>
          <w:p w14:paraId="7720931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①原料编织袋</w:t>
            </w:r>
          </w:p>
          <w:p w14:paraId="3828699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生产过程产生的原料编织袋集中收集后全部委托有资质的单位进行处置。</w:t>
            </w:r>
          </w:p>
          <w:p w14:paraId="3595F63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②危险废物</w:t>
            </w:r>
          </w:p>
          <w:p w14:paraId="3F8A510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设备日常维护润滑油更换产生的废机油、质检中心对三聚氰胺产品质量分析产生的甲醛有机废液（常温下为固态）及在线设备产生的分析废液等危险废物暂存于厂区危废暂存间，定期委托有危险废物处置资质的单位处理。</w:t>
            </w:r>
          </w:p>
          <w:p w14:paraId="18C372E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③生活垃圾</w:t>
            </w:r>
          </w:p>
          <w:p w14:paraId="20C0504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bCs/>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生活垃圾经厂区生活垃圾收集箱暂存后全部委托有资质单位定期清运。</w:t>
            </w:r>
          </w:p>
          <w:p w14:paraId="5AA6B886">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s="Times New Roman"/>
                <w:b/>
                <w:bCs/>
                <w:color w:val="0000FF"/>
                <w:sz w:val="24"/>
                <w:szCs w:val="24"/>
                <w:highlight w:val="none"/>
                <w:lang w:val="en-US" w:eastAsia="zh-CN"/>
              </w:rPr>
            </w:pPr>
            <w:r>
              <w:rPr>
                <w:rFonts w:hint="eastAsia" w:ascii="Times New Roman" w:hAnsi="Times New Roman" w:eastAsia="宋体" w:cs="Times New Roman"/>
                <w:b/>
                <w:bCs/>
                <w:color w:val="0000FF"/>
                <w:sz w:val="24"/>
                <w:szCs w:val="24"/>
                <w:highlight w:val="none"/>
                <w:lang w:val="en-US" w:eastAsia="zh-CN"/>
              </w:rPr>
              <w:t>3.4噪声</w:t>
            </w:r>
          </w:p>
          <w:p w14:paraId="209E304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FF"/>
                <w:highlight w:val="none"/>
                <w:lang w:val="en-US" w:eastAsia="zh-CN"/>
              </w:rPr>
            </w:pPr>
            <w:r>
              <w:rPr>
                <w:rFonts w:hint="eastAsia" w:ascii="Times New Roman" w:hAnsi="Times New Roman" w:eastAsia="宋体" w:cs="Times New Roman"/>
                <w:color w:val="0000FF"/>
                <w:highlight w:val="none"/>
                <w:lang w:val="en-US" w:eastAsia="zh-CN"/>
              </w:rPr>
              <w:t>噪声来源主要为生产设备、各类泵、空压机和风机等设备运行时产生的噪声。选用环保低噪型设备</w:t>
            </w:r>
            <w:r>
              <w:rPr>
                <w:rFonts w:hint="eastAsia" w:eastAsia="宋体" w:cs="Times New Roman"/>
                <w:color w:val="0000FF"/>
                <w:highlight w:val="none"/>
                <w:lang w:val="en-US" w:eastAsia="zh-CN"/>
              </w:rPr>
              <w:t>，</w:t>
            </w:r>
            <w:r>
              <w:rPr>
                <w:rFonts w:hint="eastAsia" w:ascii="Times New Roman" w:hAnsi="Times New Roman" w:eastAsia="宋体" w:cs="Times New Roman"/>
                <w:color w:val="0000FF"/>
                <w:highlight w:val="none"/>
                <w:lang w:val="en-US" w:eastAsia="zh-CN"/>
              </w:rPr>
              <w:t>对风机、泵等设备安装减震器等防治措施</w:t>
            </w:r>
            <w:r>
              <w:rPr>
                <w:rFonts w:hint="eastAsia" w:eastAsia="宋体" w:cs="Times New Roman"/>
                <w:color w:val="0000FF"/>
                <w:highlight w:val="none"/>
                <w:lang w:val="en-US" w:eastAsia="zh-CN"/>
              </w:rPr>
              <w:t>。采用以上措施后，可有效减少噪声对环境的影响，</w:t>
            </w:r>
            <w:r>
              <w:rPr>
                <w:rFonts w:hint="eastAsia" w:cs="Times New Roman"/>
                <w:color w:val="0000FF"/>
                <w:highlight w:val="none"/>
                <w:lang w:val="en-US" w:eastAsia="zh-CN"/>
              </w:rPr>
              <w:t>根据自行监测报告现有工程厂界噪声均可达标，</w:t>
            </w:r>
            <w:r>
              <w:rPr>
                <w:rFonts w:hint="eastAsia" w:ascii="Times New Roman" w:hAnsi="Times New Roman" w:cs="Times New Roman"/>
                <w:color w:val="0000FF"/>
                <w:spacing w:val="0"/>
                <w:position w:val="0"/>
                <w:sz w:val="24"/>
                <w:highlight w:val="none"/>
                <w:lang w:eastAsia="zh-CN"/>
              </w:rPr>
              <w:t>现有工程</w:t>
            </w:r>
            <w:r>
              <w:rPr>
                <w:rFonts w:hint="default" w:ascii="Times New Roman" w:hAnsi="Times New Roman" w:cs="Times New Roman"/>
                <w:color w:val="0000FF"/>
                <w:spacing w:val="0"/>
                <w:position w:val="0"/>
                <w:sz w:val="24"/>
                <w:highlight w:val="none"/>
              </w:rPr>
              <w:t>噪声排放对周围的环境影响较小，噪声防治措施可行。</w:t>
            </w:r>
          </w:p>
          <w:p w14:paraId="5FF718A0">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left"/>
              <w:textAlignment w:val="auto"/>
              <w:rPr>
                <w:rFonts w:hint="eastAsia" w:ascii="Times New Roman" w:hAnsi="Times New Roman" w:cs="Times New Roman"/>
                <w:b/>
                <w:bCs/>
                <w:color w:val="0000FF"/>
                <w:kern w:val="0"/>
                <w:sz w:val="24"/>
                <w:highlight w:val="none"/>
                <w:lang w:val="en-US" w:eastAsia="zh-CN"/>
              </w:rPr>
            </w:pPr>
            <w:r>
              <w:rPr>
                <w:rFonts w:hint="eastAsia" w:ascii="Times New Roman" w:hAnsi="Times New Roman" w:cs="Times New Roman"/>
                <w:b/>
                <w:bCs/>
                <w:color w:val="0000FF"/>
                <w:kern w:val="0"/>
                <w:sz w:val="24"/>
                <w:highlight w:val="none"/>
              </w:rPr>
              <w:t>4</w:t>
            </w:r>
            <w:r>
              <w:rPr>
                <w:rFonts w:hint="eastAsia" w:cs="Times New Roman"/>
                <w:b/>
                <w:bCs/>
                <w:color w:val="0000FF"/>
                <w:kern w:val="0"/>
                <w:sz w:val="24"/>
                <w:highlight w:val="none"/>
                <w:lang w:val="en-US" w:eastAsia="zh-CN"/>
              </w:rPr>
              <w:t>.</w:t>
            </w:r>
            <w:r>
              <w:rPr>
                <w:rFonts w:hint="eastAsia" w:ascii="Times New Roman" w:hAnsi="Times New Roman" w:cs="Times New Roman"/>
                <w:b/>
                <w:bCs/>
                <w:color w:val="0000FF"/>
                <w:kern w:val="0"/>
                <w:sz w:val="24"/>
                <w:highlight w:val="none"/>
              </w:rPr>
              <w:t>现有工程</w:t>
            </w:r>
            <w:r>
              <w:rPr>
                <w:rFonts w:hint="eastAsia" w:ascii="Times New Roman" w:hAnsi="Times New Roman" w:cs="Times New Roman"/>
                <w:b/>
                <w:bCs/>
                <w:color w:val="0000FF"/>
                <w:kern w:val="0"/>
                <w:sz w:val="24"/>
                <w:highlight w:val="none"/>
                <w:lang w:val="en-US" w:eastAsia="zh-CN"/>
              </w:rPr>
              <w:t>污染物达标情况</w:t>
            </w:r>
          </w:p>
          <w:p w14:paraId="4B3087E9">
            <w:pPr>
              <w:pStyle w:val="55"/>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Cs/>
                <w:color w:val="0000FF"/>
                <w:kern w:val="2"/>
                <w:sz w:val="24"/>
                <w:szCs w:val="24"/>
                <w:highlight w:val="none"/>
                <w:lang w:val="en-US" w:eastAsia="zh-CN" w:bidi="ar-SA"/>
              </w:rPr>
            </w:pPr>
            <w:r>
              <w:rPr>
                <w:rFonts w:hint="eastAsia" w:ascii="Times New Roman" w:hAnsi="Times New Roman" w:eastAsia="宋体" w:cs="Times New Roman"/>
                <w:color w:val="0000FF"/>
                <w:spacing w:val="0"/>
                <w:kern w:val="2"/>
                <w:sz w:val="24"/>
                <w:szCs w:val="24"/>
                <w:highlight w:val="none"/>
                <w:lang w:val="en-US" w:eastAsia="zh-CN" w:bidi="ar-SA"/>
              </w:rPr>
              <w:t>现有工程污染物实际排放总量详见表2-4。</w:t>
            </w:r>
          </w:p>
          <w:p w14:paraId="6F12E1AC">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Times New Roman" w:hAnsi="Times New Roman" w:eastAsia="宋体" w:cs="Times New Roman"/>
                <w:b/>
                <w:bCs/>
                <w:snapToGrid w:val="0"/>
                <w:color w:val="0000FF"/>
                <w:spacing w:val="0"/>
                <w:w w:val="100"/>
                <w:kern w:val="2"/>
                <w:position w:val="0"/>
                <w:sz w:val="21"/>
                <w:szCs w:val="21"/>
                <w:highlight w:val="none"/>
                <w:lang w:val="en-US" w:eastAsia="zh-CN" w:bidi="ar-SA"/>
              </w:rPr>
            </w:pPr>
            <w:r>
              <w:rPr>
                <w:rFonts w:hint="eastAsia" w:ascii="Times New Roman" w:hAnsi="Times New Roman" w:eastAsia="宋体" w:cs="Times New Roman"/>
                <w:b/>
                <w:bCs/>
                <w:snapToGrid w:val="0"/>
                <w:color w:val="0000FF"/>
                <w:spacing w:val="0"/>
                <w:w w:val="100"/>
                <w:kern w:val="2"/>
                <w:position w:val="0"/>
                <w:sz w:val="21"/>
                <w:szCs w:val="21"/>
                <w:highlight w:val="none"/>
                <w:lang w:val="en-US" w:eastAsia="zh-CN" w:bidi="ar-SA"/>
              </w:rPr>
              <w:t>表2-</w:t>
            </w:r>
            <w:r>
              <w:rPr>
                <w:rFonts w:hint="eastAsia" w:ascii="Times New Roman" w:hAnsi="Times New Roman" w:cs="Times New Roman"/>
                <w:b/>
                <w:bCs/>
                <w:snapToGrid w:val="0"/>
                <w:color w:val="0000FF"/>
                <w:spacing w:val="0"/>
                <w:w w:val="100"/>
                <w:kern w:val="2"/>
                <w:position w:val="0"/>
                <w:sz w:val="21"/>
                <w:szCs w:val="21"/>
                <w:highlight w:val="none"/>
                <w:lang w:val="en-US" w:eastAsia="zh-CN" w:bidi="ar-SA"/>
              </w:rPr>
              <w:t>4</w:t>
            </w:r>
            <w:r>
              <w:rPr>
                <w:rFonts w:hint="eastAsia" w:ascii="Times New Roman" w:hAnsi="Times New Roman" w:eastAsia="宋体" w:cs="Times New Roman"/>
                <w:b/>
                <w:bCs/>
                <w:snapToGrid w:val="0"/>
                <w:color w:val="0000FF"/>
                <w:spacing w:val="0"/>
                <w:w w:val="100"/>
                <w:kern w:val="2"/>
                <w:position w:val="0"/>
                <w:sz w:val="21"/>
                <w:szCs w:val="21"/>
                <w:highlight w:val="none"/>
                <w:lang w:val="en-US" w:eastAsia="zh-CN" w:bidi="ar-SA"/>
              </w:rPr>
              <w:t xml:space="preserve">        现有工程污染物排放总量一览表</w:t>
            </w:r>
          </w:p>
          <w:tbl>
            <w:tblPr>
              <w:tblStyle w:val="22"/>
              <w:tblW w:w="491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1955"/>
              <w:gridCol w:w="2641"/>
              <w:gridCol w:w="2370"/>
            </w:tblGrid>
            <w:tr w14:paraId="55660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874" w:type="pct"/>
                  <w:tcBorders>
                    <w:tl2br w:val="nil"/>
                    <w:tr2bl w:val="nil"/>
                  </w:tcBorders>
                  <w:noWrap w:val="0"/>
                  <w:vAlign w:val="center"/>
                </w:tcPr>
                <w:p w14:paraId="27C03E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color w:val="0000FF"/>
                      <w:sz w:val="21"/>
                      <w:szCs w:val="21"/>
                    </w:rPr>
                  </w:pPr>
                  <w:r>
                    <w:rPr>
                      <w:rFonts w:hint="default" w:ascii="Times New Roman" w:hAnsi="Times New Roman" w:cs="Times New Roman" w:eastAsiaTheme="minorEastAsia"/>
                      <w:b/>
                      <w:color w:val="0000FF"/>
                      <w:sz w:val="21"/>
                      <w:szCs w:val="21"/>
                    </w:rPr>
                    <w:t>类 别</w:t>
                  </w:r>
                </w:p>
              </w:tc>
              <w:tc>
                <w:tcPr>
                  <w:tcW w:w="1157" w:type="pct"/>
                  <w:tcBorders>
                    <w:tl2br w:val="nil"/>
                    <w:tr2bl w:val="nil"/>
                  </w:tcBorders>
                  <w:noWrap w:val="0"/>
                  <w:vAlign w:val="center"/>
                </w:tcPr>
                <w:p w14:paraId="636B60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color w:val="0000FF"/>
                      <w:sz w:val="21"/>
                      <w:szCs w:val="21"/>
                    </w:rPr>
                  </w:pPr>
                  <w:r>
                    <w:rPr>
                      <w:rFonts w:hint="default" w:ascii="Times New Roman" w:hAnsi="Times New Roman" w:cs="Times New Roman" w:eastAsiaTheme="minorEastAsia"/>
                      <w:b/>
                      <w:color w:val="0000FF"/>
                      <w:sz w:val="21"/>
                      <w:szCs w:val="21"/>
                    </w:rPr>
                    <w:t>污染物种类</w:t>
                  </w:r>
                </w:p>
              </w:tc>
              <w:tc>
                <w:tcPr>
                  <w:tcW w:w="1564" w:type="pct"/>
                  <w:tcBorders>
                    <w:tl2br w:val="nil"/>
                    <w:tr2bl w:val="nil"/>
                  </w:tcBorders>
                  <w:noWrap w:val="0"/>
                  <w:vAlign w:val="center"/>
                </w:tcPr>
                <w:p w14:paraId="61FB7A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color w:val="0000FF"/>
                      <w:sz w:val="21"/>
                      <w:szCs w:val="21"/>
                    </w:rPr>
                  </w:pPr>
                  <w:r>
                    <w:rPr>
                      <w:rFonts w:hint="eastAsia" w:cs="Times New Roman" w:eastAsiaTheme="minorEastAsia"/>
                      <w:b/>
                      <w:color w:val="0000FF"/>
                      <w:sz w:val="21"/>
                      <w:szCs w:val="21"/>
                      <w:lang w:eastAsia="zh-CN"/>
                    </w:rPr>
                    <w:t>许可</w:t>
                  </w:r>
                  <w:r>
                    <w:rPr>
                      <w:rFonts w:hint="default" w:ascii="Times New Roman" w:hAnsi="Times New Roman" w:cs="Times New Roman" w:eastAsiaTheme="minorEastAsia"/>
                      <w:b/>
                      <w:color w:val="0000FF"/>
                      <w:sz w:val="21"/>
                      <w:szCs w:val="21"/>
                    </w:rPr>
                    <w:t>量</w:t>
                  </w:r>
                </w:p>
              </w:tc>
              <w:tc>
                <w:tcPr>
                  <w:tcW w:w="1403" w:type="pct"/>
                  <w:tcBorders>
                    <w:tl2br w:val="nil"/>
                    <w:tr2bl w:val="nil"/>
                  </w:tcBorders>
                  <w:noWrap w:val="0"/>
                  <w:vAlign w:val="center"/>
                </w:tcPr>
                <w:p w14:paraId="0EBF9D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color w:val="0000FF"/>
                      <w:sz w:val="21"/>
                      <w:szCs w:val="21"/>
                    </w:rPr>
                  </w:pPr>
                  <w:r>
                    <w:rPr>
                      <w:rFonts w:hint="default" w:ascii="Times New Roman" w:hAnsi="Times New Roman" w:cs="Times New Roman" w:eastAsiaTheme="minorEastAsia"/>
                      <w:b/>
                      <w:color w:val="0000FF"/>
                      <w:sz w:val="21"/>
                      <w:szCs w:val="21"/>
                      <w:lang w:eastAsia="zh-CN"/>
                    </w:rPr>
                    <w:t>排放</w:t>
                  </w:r>
                  <w:r>
                    <w:rPr>
                      <w:rFonts w:hint="default" w:ascii="Times New Roman" w:hAnsi="Times New Roman" w:cs="Times New Roman" w:eastAsiaTheme="minorEastAsia"/>
                      <w:b/>
                      <w:color w:val="0000FF"/>
                      <w:sz w:val="21"/>
                      <w:szCs w:val="21"/>
                    </w:rPr>
                    <w:t>量</w:t>
                  </w:r>
                </w:p>
              </w:tc>
            </w:tr>
            <w:tr w14:paraId="7366B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74" w:type="pct"/>
                  <w:vMerge w:val="restart"/>
                  <w:tcBorders>
                    <w:tl2br w:val="nil"/>
                    <w:tr2bl w:val="nil"/>
                  </w:tcBorders>
                  <w:noWrap w:val="0"/>
                  <w:vAlign w:val="center"/>
                </w:tcPr>
                <w:p w14:paraId="7FF21B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rPr>
                  </w:pPr>
                  <w:r>
                    <w:rPr>
                      <w:rFonts w:hint="default" w:ascii="Times New Roman" w:hAnsi="Times New Roman" w:cs="Times New Roman" w:eastAsiaTheme="minorEastAsia"/>
                      <w:color w:val="0000FF"/>
                      <w:sz w:val="21"/>
                      <w:szCs w:val="21"/>
                    </w:rPr>
                    <w:t>大气污染物</w:t>
                  </w:r>
                </w:p>
              </w:tc>
              <w:tc>
                <w:tcPr>
                  <w:tcW w:w="1157" w:type="pct"/>
                  <w:tcBorders>
                    <w:tl2br w:val="nil"/>
                    <w:tr2bl w:val="nil"/>
                  </w:tcBorders>
                  <w:shd w:val="clear" w:color="auto" w:fill="auto"/>
                  <w:noWrap w:val="0"/>
                  <w:vAlign w:val="center"/>
                </w:tcPr>
                <w:p w14:paraId="45520793">
                  <w:pPr>
                    <w:spacing w:line="240" w:lineRule="auto"/>
                    <w:ind w:firstLine="0" w:firstLineChars="0"/>
                    <w:jc w:val="center"/>
                    <w:rPr>
                      <w:rFonts w:hint="default" w:ascii="Times New Roman" w:hAnsi="Times New Roman" w:eastAsia="宋体" w:cs="Times New Roman"/>
                      <w:bCs/>
                      <w:snapToGrid w:val="0"/>
                      <w:color w:val="0000FF"/>
                      <w:kern w:val="21"/>
                      <w:sz w:val="24"/>
                      <w:szCs w:val="21"/>
                      <w:lang w:val="en-US" w:eastAsia="zh-CN" w:bidi="ar-SA"/>
                    </w:rPr>
                  </w:pPr>
                  <w:r>
                    <w:rPr>
                      <w:rFonts w:hint="eastAsia"/>
                      <w:bCs/>
                      <w:color w:val="0000FF"/>
                      <w:szCs w:val="21"/>
                    </w:rPr>
                    <w:t>氨气</w:t>
                  </w:r>
                </w:p>
              </w:tc>
              <w:tc>
                <w:tcPr>
                  <w:tcW w:w="1564" w:type="pct"/>
                  <w:tcBorders>
                    <w:tl2br w:val="nil"/>
                    <w:tr2bl w:val="nil"/>
                  </w:tcBorders>
                  <w:shd w:val="clear" w:color="auto" w:fill="auto"/>
                  <w:noWrap w:val="0"/>
                  <w:vAlign w:val="center"/>
                </w:tcPr>
                <w:p w14:paraId="5A1F8B81">
                  <w:pPr>
                    <w:spacing w:line="240" w:lineRule="auto"/>
                    <w:ind w:firstLine="0" w:firstLineChars="0"/>
                    <w:jc w:val="center"/>
                    <w:rPr>
                      <w:rFonts w:hint="default" w:ascii="Times New Roman" w:hAnsi="Times New Roman" w:eastAsia="宋体" w:cs="Times New Roman"/>
                      <w:snapToGrid w:val="0"/>
                      <w:color w:val="0000FF"/>
                      <w:kern w:val="21"/>
                      <w:sz w:val="21"/>
                      <w:szCs w:val="21"/>
                      <w:lang w:val="en-US" w:eastAsia="zh-CN" w:bidi="ar-SA"/>
                    </w:rPr>
                  </w:pPr>
                  <w:r>
                    <w:rPr>
                      <w:rFonts w:hint="eastAsia" w:cs="Times New Roman"/>
                      <w:snapToGrid w:val="0"/>
                      <w:color w:val="0000FF"/>
                      <w:kern w:val="21"/>
                      <w:sz w:val="21"/>
                      <w:szCs w:val="21"/>
                      <w:lang w:val="en-US" w:eastAsia="zh-CN" w:bidi="ar-SA"/>
                    </w:rPr>
                    <w:t>75</w:t>
                  </w:r>
                  <w:r>
                    <w:rPr>
                      <w:rFonts w:hint="eastAsia"/>
                      <w:color w:val="0000FF"/>
                    </w:rPr>
                    <w:t>t/a</w:t>
                  </w:r>
                </w:p>
              </w:tc>
              <w:tc>
                <w:tcPr>
                  <w:tcW w:w="1403" w:type="pct"/>
                  <w:tcBorders>
                    <w:tl2br w:val="nil"/>
                    <w:tr2bl w:val="nil"/>
                  </w:tcBorders>
                  <w:shd w:val="clear" w:color="auto" w:fill="auto"/>
                  <w:noWrap w:val="0"/>
                  <w:vAlign w:val="center"/>
                </w:tcPr>
                <w:p w14:paraId="7FCA1008">
                  <w:pPr>
                    <w:spacing w:line="240" w:lineRule="auto"/>
                    <w:ind w:firstLine="0" w:firstLineChars="0"/>
                    <w:jc w:val="center"/>
                    <w:rPr>
                      <w:rFonts w:hint="default" w:ascii="Times New Roman" w:hAnsi="Times New Roman" w:eastAsia="宋体" w:cs="Times New Roman"/>
                      <w:snapToGrid w:val="0"/>
                      <w:color w:val="0000FF"/>
                      <w:kern w:val="21"/>
                      <w:sz w:val="21"/>
                      <w:szCs w:val="21"/>
                      <w:lang w:val="en-US" w:eastAsia="zh-CN" w:bidi="ar-SA"/>
                    </w:rPr>
                  </w:pPr>
                  <w:r>
                    <w:rPr>
                      <w:rFonts w:hint="eastAsia"/>
                      <w:color w:val="0000FF"/>
                      <w:sz w:val="21"/>
                      <w:szCs w:val="21"/>
                    </w:rPr>
                    <w:t>64.292t/a</w:t>
                  </w:r>
                </w:p>
              </w:tc>
            </w:tr>
            <w:tr w14:paraId="2293E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74" w:type="pct"/>
                  <w:vMerge w:val="continue"/>
                  <w:tcBorders>
                    <w:tl2br w:val="nil"/>
                    <w:tr2bl w:val="nil"/>
                  </w:tcBorders>
                  <w:noWrap w:val="0"/>
                  <w:vAlign w:val="center"/>
                </w:tcPr>
                <w:p w14:paraId="6D945D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FF"/>
                      <w:sz w:val="21"/>
                      <w:szCs w:val="21"/>
                    </w:rPr>
                  </w:pPr>
                </w:p>
              </w:tc>
              <w:tc>
                <w:tcPr>
                  <w:tcW w:w="1157" w:type="pct"/>
                  <w:tcBorders>
                    <w:tl2br w:val="nil"/>
                    <w:tr2bl w:val="nil"/>
                  </w:tcBorders>
                  <w:shd w:val="clear" w:color="auto" w:fill="auto"/>
                  <w:noWrap w:val="0"/>
                  <w:vAlign w:val="center"/>
                </w:tcPr>
                <w:p w14:paraId="7F437A49">
                  <w:pPr>
                    <w:spacing w:line="240" w:lineRule="auto"/>
                    <w:ind w:firstLine="0" w:firstLineChars="0"/>
                    <w:jc w:val="center"/>
                    <w:rPr>
                      <w:rFonts w:hint="default" w:ascii="Times New Roman" w:hAnsi="Times New Roman" w:eastAsia="宋体" w:cs="Times New Roman"/>
                      <w:bCs/>
                      <w:color w:val="0000FF"/>
                      <w:kern w:val="2"/>
                      <w:sz w:val="24"/>
                      <w:szCs w:val="21"/>
                      <w:lang w:val="en-US" w:eastAsia="zh-CN" w:bidi="ar-SA"/>
                    </w:rPr>
                  </w:pPr>
                  <w:r>
                    <w:rPr>
                      <w:rFonts w:hint="eastAsia"/>
                      <w:bCs/>
                      <w:color w:val="0000FF"/>
                      <w:szCs w:val="21"/>
                    </w:rPr>
                    <w:t>氮氧化物</w:t>
                  </w:r>
                </w:p>
              </w:tc>
              <w:tc>
                <w:tcPr>
                  <w:tcW w:w="1564" w:type="pct"/>
                  <w:tcBorders>
                    <w:tl2br w:val="nil"/>
                    <w:tr2bl w:val="nil"/>
                  </w:tcBorders>
                  <w:shd w:val="clear" w:color="auto" w:fill="auto"/>
                  <w:noWrap w:val="0"/>
                  <w:vAlign w:val="center"/>
                </w:tcPr>
                <w:p w14:paraId="7B00E2FC">
                  <w:pPr>
                    <w:pStyle w:val="32"/>
                    <w:ind w:left="0" w:leftChars="0" w:firstLine="0" w:firstLineChars="0"/>
                    <w:rPr>
                      <w:rFonts w:hint="default" w:ascii="Times New Roman" w:hAnsi="Times New Roman" w:eastAsia="宋体" w:cs="Times New Roman"/>
                      <w:snapToGrid w:val="0"/>
                      <w:color w:val="0000FF"/>
                      <w:kern w:val="21"/>
                      <w:sz w:val="21"/>
                      <w:szCs w:val="21"/>
                      <w:lang w:val="en-US" w:eastAsia="zh-CN" w:bidi="ar-SA"/>
                    </w:rPr>
                  </w:pPr>
                  <w:r>
                    <w:rPr>
                      <w:rFonts w:hint="eastAsia"/>
                      <w:snapToGrid w:val="0"/>
                      <w:color w:val="0000FF"/>
                      <w:kern w:val="21"/>
                    </w:rPr>
                    <w:t>190.</w:t>
                  </w:r>
                  <w:r>
                    <w:rPr>
                      <w:rFonts w:hint="eastAsia"/>
                      <w:snapToGrid w:val="0"/>
                      <w:color w:val="0000FF"/>
                      <w:kern w:val="21"/>
                      <w:lang w:val="en-US" w:eastAsia="zh-CN"/>
                    </w:rPr>
                    <w:t>78</w:t>
                  </w:r>
                  <w:r>
                    <w:rPr>
                      <w:rFonts w:hint="eastAsia"/>
                      <w:color w:val="0000FF"/>
                    </w:rPr>
                    <w:t>t/a</w:t>
                  </w:r>
                </w:p>
              </w:tc>
              <w:tc>
                <w:tcPr>
                  <w:tcW w:w="1403" w:type="pct"/>
                  <w:tcBorders>
                    <w:tl2br w:val="nil"/>
                    <w:tr2bl w:val="nil"/>
                  </w:tcBorders>
                  <w:shd w:val="clear" w:color="auto" w:fill="auto"/>
                  <w:noWrap w:val="0"/>
                  <w:vAlign w:val="center"/>
                </w:tcPr>
                <w:p w14:paraId="150C2B69">
                  <w:pPr>
                    <w:spacing w:line="240" w:lineRule="auto"/>
                    <w:ind w:firstLine="0" w:firstLineChars="0"/>
                    <w:jc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rPr>
                    <w:t>67.886t/a</w:t>
                  </w:r>
                </w:p>
              </w:tc>
            </w:tr>
            <w:tr w14:paraId="04C77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74" w:type="pct"/>
                  <w:vMerge w:val="continue"/>
                  <w:tcBorders>
                    <w:tl2br w:val="nil"/>
                    <w:tr2bl w:val="nil"/>
                  </w:tcBorders>
                  <w:noWrap w:val="0"/>
                  <w:vAlign w:val="center"/>
                </w:tcPr>
                <w:p w14:paraId="72149A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lang w:eastAsia="zh-CN"/>
                    </w:rPr>
                  </w:pPr>
                </w:p>
              </w:tc>
              <w:tc>
                <w:tcPr>
                  <w:tcW w:w="1157" w:type="pct"/>
                  <w:tcBorders>
                    <w:tl2br w:val="nil"/>
                    <w:tr2bl w:val="nil"/>
                  </w:tcBorders>
                  <w:shd w:val="clear" w:color="auto" w:fill="auto"/>
                  <w:noWrap w:val="0"/>
                  <w:vAlign w:val="center"/>
                </w:tcPr>
                <w:p w14:paraId="226E473C">
                  <w:pPr>
                    <w:spacing w:line="240" w:lineRule="auto"/>
                    <w:ind w:firstLine="0" w:firstLineChars="0"/>
                    <w:jc w:val="center"/>
                    <w:rPr>
                      <w:rFonts w:hint="default" w:ascii="Times New Roman" w:hAnsi="Times New Roman" w:eastAsia="宋体" w:cs="Times New Roman"/>
                      <w:bCs/>
                      <w:color w:val="0000FF"/>
                      <w:kern w:val="2"/>
                      <w:sz w:val="24"/>
                      <w:szCs w:val="21"/>
                      <w:lang w:val="en-US" w:eastAsia="zh-CN" w:bidi="ar-SA"/>
                    </w:rPr>
                  </w:pPr>
                  <w:r>
                    <w:rPr>
                      <w:rFonts w:hint="eastAsia"/>
                      <w:bCs/>
                      <w:color w:val="0000FF"/>
                      <w:szCs w:val="21"/>
                    </w:rPr>
                    <w:t>二氧化硫</w:t>
                  </w:r>
                </w:p>
              </w:tc>
              <w:tc>
                <w:tcPr>
                  <w:tcW w:w="1564" w:type="pct"/>
                  <w:tcBorders>
                    <w:tl2br w:val="nil"/>
                    <w:tr2bl w:val="nil"/>
                  </w:tcBorders>
                  <w:shd w:val="clear" w:color="auto" w:fill="auto"/>
                  <w:noWrap w:val="0"/>
                  <w:vAlign w:val="center"/>
                </w:tcPr>
                <w:p w14:paraId="00755BBD">
                  <w:pPr>
                    <w:pStyle w:val="32"/>
                    <w:ind w:left="0" w:leftChars="0" w:firstLine="0" w:firstLineChars="0"/>
                    <w:rPr>
                      <w:rFonts w:hint="default" w:ascii="Times New Roman" w:hAnsi="Times New Roman" w:eastAsia="宋体" w:cs="Times New Roman"/>
                      <w:snapToGrid w:val="0"/>
                      <w:color w:val="0000FF"/>
                      <w:kern w:val="21"/>
                      <w:sz w:val="21"/>
                      <w:szCs w:val="21"/>
                      <w:lang w:val="en-US" w:eastAsia="zh-CN" w:bidi="ar-SA"/>
                    </w:rPr>
                  </w:pPr>
                  <w:r>
                    <w:rPr>
                      <w:rFonts w:hint="eastAsia"/>
                      <w:snapToGrid w:val="0"/>
                      <w:color w:val="0000FF"/>
                      <w:kern w:val="21"/>
                    </w:rPr>
                    <w:t>1.08</w:t>
                  </w:r>
                  <w:r>
                    <w:rPr>
                      <w:rFonts w:hint="eastAsia"/>
                      <w:color w:val="0000FF"/>
                    </w:rPr>
                    <w:t>t/a</w:t>
                  </w:r>
                </w:p>
              </w:tc>
              <w:tc>
                <w:tcPr>
                  <w:tcW w:w="1403" w:type="pct"/>
                  <w:tcBorders>
                    <w:tl2br w:val="nil"/>
                    <w:tr2bl w:val="nil"/>
                  </w:tcBorders>
                  <w:shd w:val="clear" w:color="auto" w:fill="auto"/>
                  <w:noWrap w:val="0"/>
                  <w:vAlign w:val="center"/>
                </w:tcPr>
                <w:p w14:paraId="4E3503A7">
                  <w:pPr>
                    <w:spacing w:line="240" w:lineRule="auto"/>
                    <w:ind w:firstLine="0" w:firstLineChars="0"/>
                    <w:jc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rPr>
                    <w:t>0.382t/a</w:t>
                  </w:r>
                </w:p>
              </w:tc>
            </w:tr>
            <w:tr w14:paraId="3FD1C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74" w:type="pct"/>
                  <w:vMerge w:val="continue"/>
                  <w:tcBorders>
                    <w:tl2br w:val="nil"/>
                    <w:tr2bl w:val="nil"/>
                  </w:tcBorders>
                  <w:noWrap w:val="0"/>
                  <w:vAlign w:val="center"/>
                </w:tcPr>
                <w:p w14:paraId="59E8E9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lang w:eastAsia="zh-CN"/>
                    </w:rPr>
                  </w:pPr>
                </w:p>
              </w:tc>
              <w:tc>
                <w:tcPr>
                  <w:tcW w:w="1157" w:type="pct"/>
                  <w:tcBorders>
                    <w:tl2br w:val="nil"/>
                    <w:tr2bl w:val="nil"/>
                  </w:tcBorders>
                  <w:shd w:val="clear" w:color="auto" w:fill="auto"/>
                  <w:noWrap w:val="0"/>
                  <w:vAlign w:val="center"/>
                </w:tcPr>
                <w:p w14:paraId="5441E689">
                  <w:pPr>
                    <w:spacing w:line="240" w:lineRule="auto"/>
                    <w:ind w:firstLine="0" w:firstLineChars="0"/>
                    <w:jc w:val="center"/>
                    <w:rPr>
                      <w:rFonts w:hint="default" w:ascii="Times New Roman" w:hAnsi="Times New Roman" w:eastAsia="宋体" w:cs="Times New Roman"/>
                      <w:bCs/>
                      <w:color w:val="0000FF"/>
                      <w:kern w:val="2"/>
                      <w:sz w:val="24"/>
                      <w:szCs w:val="21"/>
                      <w:lang w:val="en-US" w:eastAsia="zh-CN" w:bidi="ar-SA"/>
                    </w:rPr>
                  </w:pPr>
                  <w:r>
                    <w:rPr>
                      <w:rFonts w:hint="eastAsia"/>
                      <w:bCs/>
                      <w:color w:val="0000FF"/>
                      <w:szCs w:val="21"/>
                    </w:rPr>
                    <w:t>颗粒物</w:t>
                  </w:r>
                </w:p>
              </w:tc>
              <w:tc>
                <w:tcPr>
                  <w:tcW w:w="1564" w:type="pct"/>
                  <w:tcBorders>
                    <w:tl2br w:val="nil"/>
                    <w:tr2bl w:val="nil"/>
                  </w:tcBorders>
                  <w:shd w:val="clear" w:color="auto" w:fill="auto"/>
                  <w:noWrap w:val="0"/>
                  <w:vAlign w:val="center"/>
                </w:tcPr>
                <w:p w14:paraId="712E6718">
                  <w:pPr>
                    <w:pStyle w:val="32"/>
                    <w:ind w:left="0" w:leftChars="0" w:firstLine="0" w:firstLineChars="0"/>
                    <w:rPr>
                      <w:rFonts w:hint="default" w:ascii="Times New Roman" w:hAnsi="Times New Roman" w:eastAsia="宋体" w:cs="Times New Roman"/>
                      <w:snapToGrid w:val="0"/>
                      <w:color w:val="0000FF"/>
                      <w:kern w:val="21"/>
                      <w:sz w:val="21"/>
                      <w:szCs w:val="21"/>
                      <w:lang w:val="en-US" w:eastAsia="zh-CN" w:bidi="ar-SA"/>
                    </w:rPr>
                  </w:pPr>
                  <w:r>
                    <w:rPr>
                      <w:rFonts w:hint="eastAsia"/>
                      <w:snapToGrid w:val="0"/>
                      <w:color w:val="0000FF"/>
                      <w:kern w:val="21"/>
                    </w:rPr>
                    <w:t>428.68</w:t>
                  </w:r>
                  <w:r>
                    <w:rPr>
                      <w:rFonts w:hint="eastAsia"/>
                      <w:color w:val="0000FF"/>
                    </w:rPr>
                    <w:t>t/a</w:t>
                  </w:r>
                </w:p>
              </w:tc>
              <w:tc>
                <w:tcPr>
                  <w:tcW w:w="1403" w:type="pct"/>
                  <w:tcBorders>
                    <w:tl2br w:val="nil"/>
                    <w:tr2bl w:val="nil"/>
                  </w:tcBorders>
                  <w:shd w:val="clear" w:color="auto" w:fill="auto"/>
                  <w:noWrap w:val="0"/>
                  <w:vAlign w:val="center"/>
                </w:tcPr>
                <w:p w14:paraId="30A14155">
                  <w:pPr>
                    <w:spacing w:line="240" w:lineRule="auto"/>
                    <w:ind w:firstLine="0" w:firstLineChars="0"/>
                    <w:jc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rPr>
                    <w:t>44.699t/a</w:t>
                  </w:r>
                </w:p>
              </w:tc>
            </w:tr>
            <w:tr w14:paraId="7F79B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874" w:type="pct"/>
                  <w:vMerge w:val="restart"/>
                  <w:tcBorders>
                    <w:tl2br w:val="nil"/>
                    <w:tr2bl w:val="nil"/>
                  </w:tcBorders>
                  <w:noWrap w:val="0"/>
                  <w:vAlign w:val="center"/>
                </w:tcPr>
                <w:p w14:paraId="667C5A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rPr>
                  </w:pPr>
                  <w:r>
                    <w:rPr>
                      <w:rFonts w:hint="default" w:ascii="Times New Roman" w:hAnsi="Times New Roman" w:cs="Times New Roman" w:eastAsiaTheme="minorEastAsia"/>
                      <w:color w:val="0000FF"/>
                      <w:sz w:val="21"/>
                      <w:szCs w:val="21"/>
                    </w:rPr>
                    <w:t>水污染物</w:t>
                  </w:r>
                </w:p>
              </w:tc>
              <w:tc>
                <w:tcPr>
                  <w:tcW w:w="1157" w:type="pct"/>
                  <w:tcBorders>
                    <w:tl2br w:val="nil"/>
                    <w:tr2bl w:val="nil"/>
                  </w:tcBorders>
                  <w:noWrap w:val="0"/>
                  <w:vAlign w:val="center"/>
                </w:tcPr>
                <w:p w14:paraId="66050026">
                  <w:pPr>
                    <w:spacing w:line="240" w:lineRule="auto"/>
                    <w:ind w:firstLine="0" w:firstLineChars="0"/>
                    <w:jc w:val="center"/>
                    <w:rPr>
                      <w:rFonts w:hint="default" w:ascii="Times New Roman" w:hAnsi="Times New Roman" w:cs="Times New Roman" w:eastAsiaTheme="minorEastAsia"/>
                      <w:color w:val="0000FF"/>
                      <w:kern w:val="2"/>
                      <w:sz w:val="21"/>
                      <w:szCs w:val="21"/>
                      <w:lang w:val="en-US" w:eastAsia="zh-CN" w:bidi="ar-SA"/>
                    </w:rPr>
                  </w:pPr>
                  <w:r>
                    <w:rPr>
                      <w:rFonts w:hint="eastAsia"/>
                      <w:bCs/>
                      <w:color w:val="0000FF"/>
                      <w:szCs w:val="21"/>
                    </w:rPr>
                    <w:t>COD</w:t>
                  </w:r>
                </w:p>
              </w:tc>
              <w:tc>
                <w:tcPr>
                  <w:tcW w:w="1564" w:type="pct"/>
                  <w:tcBorders>
                    <w:tl2br w:val="nil"/>
                    <w:tr2bl w:val="nil"/>
                  </w:tcBorders>
                  <w:noWrap w:val="0"/>
                  <w:vAlign w:val="center"/>
                </w:tcPr>
                <w:p w14:paraId="767AFD91">
                  <w:pPr>
                    <w:pStyle w:val="32"/>
                    <w:ind w:left="0" w:leftChars="0" w:firstLine="0" w:firstLineChars="0"/>
                    <w:rPr>
                      <w:rFonts w:hint="default" w:ascii="Times New Roman" w:hAnsi="Times New Roman" w:cs="Times New Roman" w:eastAsiaTheme="minorEastAsia"/>
                      <w:color w:val="0000FF"/>
                      <w:sz w:val="21"/>
                      <w:szCs w:val="21"/>
                      <w:lang w:val="en-US" w:eastAsia="zh-CN"/>
                    </w:rPr>
                  </w:pPr>
                  <w:r>
                    <w:rPr>
                      <w:rFonts w:hint="eastAsia"/>
                      <w:snapToGrid w:val="0"/>
                      <w:color w:val="0000FF"/>
                      <w:kern w:val="21"/>
                    </w:rPr>
                    <w:t>26.28t/a</w:t>
                  </w:r>
                </w:p>
              </w:tc>
              <w:tc>
                <w:tcPr>
                  <w:tcW w:w="1403" w:type="pct"/>
                  <w:tcBorders>
                    <w:tl2br w:val="nil"/>
                    <w:tr2bl w:val="nil"/>
                  </w:tcBorders>
                  <w:noWrap w:val="0"/>
                  <w:vAlign w:val="center"/>
                </w:tcPr>
                <w:p w14:paraId="20D34D66">
                  <w:pPr>
                    <w:spacing w:line="240" w:lineRule="auto"/>
                    <w:ind w:firstLine="0" w:firstLineChars="0"/>
                    <w:jc w:val="center"/>
                    <w:rPr>
                      <w:rFonts w:hint="default" w:ascii="Times New Roman" w:hAnsi="Times New Roman" w:cs="Times New Roman" w:eastAsiaTheme="minorEastAsia"/>
                      <w:color w:val="0000FF"/>
                      <w:sz w:val="21"/>
                      <w:szCs w:val="21"/>
                      <w:lang w:val="en-US" w:eastAsia="zh-CN"/>
                    </w:rPr>
                  </w:pPr>
                  <w:r>
                    <w:rPr>
                      <w:rFonts w:hint="eastAsia"/>
                      <w:snapToGrid w:val="0"/>
                      <w:color w:val="0000FF"/>
                      <w:kern w:val="21"/>
                      <w:sz w:val="21"/>
                      <w:szCs w:val="21"/>
                    </w:rPr>
                    <w:t>1.687t/a</w:t>
                  </w:r>
                </w:p>
              </w:tc>
            </w:tr>
            <w:tr w14:paraId="68E12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874" w:type="pct"/>
                  <w:vMerge w:val="continue"/>
                  <w:tcBorders>
                    <w:tl2br w:val="nil"/>
                    <w:tr2bl w:val="nil"/>
                  </w:tcBorders>
                  <w:noWrap w:val="0"/>
                  <w:vAlign w:val="center"/>
                </w:tcPr>
                <w:p w14:paraId="01F902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rPr>
                  </w:pPr>
                </w:p>
              </w:tc>
              <w:tc>
                <w:tcPr>
                  <w:tcW w:w="1157" w:type="pct"/>
                  <w:tcBorders>
                    <w:tl2br w:val="nil"/>
                    <w:tr2bl w:val="nil"/>
                  </w:tcBorders>
                  <w:noWrap w:val="0"/>
                  <w:vAlign w:val="center"/>
                </w:tcPr>
                <w:p w14:paraId="60A51720">
                  <w:pPr>
                    <w:adjustRightInd w:val="0"/>
                    <w:snapToGrid w:val="0"/>
                    <w:spacing w:line="240" w:lineRule="auto"/>
                    <w:ind w:firstLine="0" w:firstLineChars="0"/>
                    <w:jc w:val="center"/>
                    <w:rPr>
                      <w:color w:val="0000FF"/>
                      <w:sz w:val="21"/>
                      <w:szCs w:val="21"/>
                    </w:rPr>
                  </w:pPr>
                  <w:r>
                    <w:rPr>
                      <w:rFonts w:hint="eastAsia"/>
                      <w:color w:val="0000FF"/>
                      <w:sz w:val="21"/>
                      <w:szCs w:val="21"/>
                    </w:rPr>
                    <w:t>总氮</w:t>
                  </w:r>
                </w:p>
                <w:p w14:paraId="4E8392C1">
                  <w:pPr>
                    <w:adjustRightInd w:val="0"/>
                    <w:snapToGrid w:val="0"/>
                    <w:spacing w:line="240" w:lineRule="auto"/>
                    <w:ind w:firstLine="0" w:firstLineChars="0"/>
                    <w:jc w:val="center"/>
                    <w:rPr>
                      <w:rFonts w:hint="default" w:ascii="Times New Roman" w:hAnsi="Times New Roman" w:cs="Times New Roman" w:eastAsiaTheme="minorEastAsia"/>
                      <w:color w:val="0000FF"/>
                      <w:kern w:val="2"/>
                      <w:sz w:val="21"/>
                      <w:szCs w:val="21"/>
                      <w:lang w:val="en-US" w:eastAsia="zh-CN" w:bidi="ar-SA"/>
                    </w:rPr>
                  </w:pPr>
                  <w:r>
                    <w:rPr>
                      <w:rFonts w:hint="eastAsia"/>
                      <w:color w:val="0000FF"/>
                      <w:sz w:val="21"/>
                      <w:szCs w:val="21"/>
                    </w:rPr>
                    <w:t>（以N计）</w:t>
                  </w:r>
                </w:p>
              </w:tc>
              <w:tc>
                <w:tcPr>
                  <w:tcW w:w="1564" w:type="pct"/>
                  <w:tcBorders>
                    <w:tl2br w:val="nil"/>
                    <w:tr2bl w:val="nil"/>
                  </w:tcBorders>
                  <w:noWrap w:val="0"/>
                  <w:vAlign w:val="center"/>
                </w:tcPr>
                <w:p w14:paraId="3F8893E1">
                  <w:pPr>
                    <w:pStyle w:val="32"/>
                    <w:ind w:left="0" w:leftChars="0" w:firstLine="0" w:firstLineChars="0"/>
                    <w:rPr>
                      <w:rFonts w:hint="default" w:ascii="Times New Roman" w:hAnsi="Times New Roman" w:cs="Times New Roman" w:eastAsiaTheme="minorEastAsia"/>
                      <w:color w:val="0000FF"/>
                      <w:sz w:val="21"/>
                      <w:szCs w:val="21"/>
                      <w:lang w:val="en-US" w:eastAsia="zh-CN"/>
                    </w:rPr>
                  </w:pPr>
                  <w:r>
                    <w:rPr>
                      <w:snapToGrid w:val="0"/>
                      <w:color w:val="0000FF"/>
                      <w:kern w:val="21"/>
                    </w:rPr>
                    <w:t>/</w:t>
                  </w:r>
                </w:p>
              </w:tc>
              <w:tc>
                <w:tcPr>
                  <w:tcW w:w="1403" w:type="pct"/>
                  <w:tcBorders>
                    <w:tl2br w:val="nil"/>
                    <w:tr2bl w:val="nil"/>
                  </w:tcBorders>
                  <w:noWrap w:val="0"/>
                  <w:vAlign w:val="center"/>
                </w:tcPr>
                <w:p w14:paraId="60A69B2C">
                  <w:pPr>
                    <w:adjustRightInd w:val="0"/>
                    <w:snapToGrid w:val="0"/>
                    <w:spacing w:line="240" w:lineRule="auto"/>
                    <w:ind w:firstLine="0" w:firstLineChars="0"/>
                    <w:jc w:val="center"/>
                    <w:rPr>
                      <w:rFonts w:hint="default" w:ascii="Times New Roman" w:hAnsi="Times New Roman" w:cs="Times New Roman" w:eastAsiaTheme="minorEastAsia"/>
                      <w:color w:val="0000FF"/>
                      <w:sz w:val="21"/>
                      <w:szCs w:val="21"/>
                      <w:lang w:val="en-US" w:eastAsia="zh-CN"/>
                    </w:rPr>
                  </w:pPr>
                  <w:r>
                    <w:rPr>
                      <w:rFonts w:hint="eastAsia"/>
                      <w:color w:val="0000FF"/>
                      <w:sz w:val="21"/>
                      <w:szCs w:val="21"/>
                    </w:rPr>
                    <w:t>3.72t/a</w:t>
                  </w:r>
                </w:p>
              </w:tc>
            </w:tr>
            <w:tr w14:paraId="5A0F0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874" w:type="pct"/>
                  <w:vMerge w:val="continue"/>
                  <w:tcBorders>
                    <w:tl2br w:val="nil"/>
                    <w:tr2bl w:val="nil"/>
                  </w:tcBorders>
                  <w:noWrap w:val="0"/>
                  <w:vAlign w:val="center"/>
                </w:tcPr>
                <w:p w14:paraId="18D3EC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0000FF"/>
                      <w:sz w:val="21"/>
                      <w:szCs w:val="21"/>
                      <w:lang w:eastAsia="zh-CN"/>
                    </w:rPr>
                  </w:pPr>
                </w:p>
              </w:tc>
              <w:tc>
                <w:tcPr>
                  <w:tcW w:w="1157" w:type="pct"/>
                  <w:tcBorders>
                    <w:tl2br w:val="nil"/>
                    <w:tr2bl w:val="nil"/>
                  </w:tcBorders>
                  <w:noWrap w:val="0"/>
                  <w:vAlign w:val="center"/>
                </w:tcPr>
                <w:p w14:paraId="4F9781AE">
                  <w:pPr>
                    <w:spacing w:line="240" w:lineRule="auto"/>
                    <w:ind w:firstLine="0" w:firstLineChars="0"/>
                    <w:jc w:val="center"/>
                    <w:rPr>
                      <w:rFonts w:hint="eastAsia" w:ascii="Times New Roman" w:hAnsi="Times New Roman" w:cs="Times New Roman" w:eastAsiaTheme="minorEastAsia"/>
                      <w:color w:val="0000FF"/>
                      <w:sz w:val="21"/>
                      <w:szCs w:val="21"/>
                      <w:lang w:eastAsia="zh-CN"/>
                    </w:rPr>
                  </w:pPr>
                  <w:r>
                    <w:rPr>
                      <w:rFonts w:hint="eastAsia"/>
                      <w:bCs/>
                      <w:color w:val="0000FF"/>
                      <w:szCs w:val="21"/>
                    </w:rPr>
                    <w:t>SS</w:t>
                  </w:r>
                </w:p>
              </w:tc>
              <w:tc>
                <w:tcPr>
                  <w:tcW w:w="1564" w:type="pct"/>
                  <w:tcBorders>
                    <w:tl2br w:val="nil"/>
                    <w:tr2bl w:val="nil"/>
                  </w:tcBorders>
                  <w:noWrap w:val="0"/>
                  <w:vAlign w:val="center"/>
                </w:tcPr>
                <w:p w14:paraId="611945DA">
                  <w:pPr>
                    <w:pStyle w:val="32"/>
                    <w:ind w:left="0" w:leftChars="0" w:firstLine="0" w:firstLineChars="0"/>
                    <w:rPr>
                      <w:rFonts w:hint="eastAsia" w:ascii="Times New Roman" w:hAnsi="Times New Roman" w:cs="Times New Roman" w:eastAsiaTheme="minorEastAsia"/>
                      <w:color w:val="0000FF"/>
                      <w:sz w:val="21"/>
                      <w:szCs w:val="21"/>
                      <w:lang w:val="en-US" w:eastAsia="zh-CN"/>
                    </w:rPr>
                  </w:pPr>
                  <w:r>
                    <w:rPr>
                      <w:snapToGrid w:val="0"/>
                      <w:color w:val="0000FF"/>
                      <w:kern w:val="21"/>
                    </w:rPr>
                    <w:t>/</w:t>
                  </w:r>
                </w:p>
              </w:tc>
              <w:tc>
                <w:tcPr>
                  <w:tcW w:w="1403" w:type="pct"/>
                  <w:tcBorders>
                    <w:tl2br w:val="nil"/>
                    <w:tr2bl w:val="nil"/>
                  </w:tcBorders>
                  <w:noWrap w:val="0"/>
                  <w:vAlign w:val="center"/>
                </w:tcPr>
                <w:p w14:paraId="40514143">
                  <w:pPr>
                    <w:spacing w:line="240" w:lineRule="auto"/>
                    <w:ind w:firstLine="0" w:firstLineChars="0"/>
                    <w:jc w:val="center"/>
                    <w:rPr>
                      <w:rFonts w:hint="eastAsia" w:ascii="Times New Roman" w:hAnsi="Times New Roman" w:cs="Times New Roman" w:eastAsiaTheme="minorEastAsia"/>
                      <w:color w:val="0000FF"/>
                      <w:sz w:val="21"/>
                      <w:szCs w:val="21"/>
                      <w:lang w:val="en-US" w:eastAsia="zh-CN"/>
                    </w:rPr>
                  </w:pPr>
                  <w:r>
                    <w:rPr>
                      <w:rFonts w:hint="eastAsia"/>
                      <w:snapToGrid w:val="0"/>
                      <w:color w:val="0000FF"/>
                      <w:kern w:val="21"/>
                      <w:sz w:val="21"/>
                      <w:szCs w:val="21"/>
                    </w:rPr>
                    <w:t>0.000689t/a</w:t>
                  </w:r>
                </w:p>
              </w:tc>
            </w:tr>
            <w:tr w14:paraId="0C53A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874" w:type="pct"/>
                  <w:vMerge w:val="continue"/>
                  <w:tcBorders>
                    <w:tl2br w:val="nil"/>
                    <w:tr2bl w:val="nil"/>
                  </w:tcBorders>
                  <w:noWrap w:val="0"/>
                  <w:vAlign w:val="center"/>
                </w:tcPr>
                <w:p w14:paraId="0B9D72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0000FF"/>
                      <w:sz w:val="21"/>
                      <w:szCs w:val="21"/>
                      <w:lang w:eastAsia="zh-CN"/>
                    </w:rPr>
                  </w:pPr>
                </w:p>
              </w:tc>
              <w:tc>
                <w:tcPr>
                  <w:tcW w:w="1157" w:type="pct"/>
                  <w:tcBorders>
                    <w:tl2br w:val="nil"/>
                    <w:tr2bl w:val="nil"/>
                  </w:tcBorders>
                  <w:noWrap w:val="0"/>
                  <w:vAlign w:val="center"/>
                </w:tcPr>
                <w:p w14:paraId="33E9E20D">
                  <w:pPr>
                    <w:spacing w:line="240" w:lineRule="auto"/>
                    <w:ind w:firstLine="0" w:firstLineChars="0"/>
                    <w:jc w:val="center"/>
                    <w:rPr>
                      <w:rFonts w:hint="eastAsia" w:ascii="Times New Roman" w:hAnsi="Times New Roman" w:cs="Times New Roman" w:eastAsiaTheme="minorEastAsia"/>
                      <w:color w:val="0000FF"/>
                      <w:sz w:val="21"/>
                      <w:szCs w:val="21"/>
                      <w:lang w:eastAsia="zh-CN"/>
                    </w:rPr>
                  </w:pPr>
                  <w:r>
                    <w:rPr>
                      <w:rFonts w:hint="eastAsia"/>
                      <w:bCs/>
                      <w:color w:val="0000FF"/>
                      <w:szCs w:val="21"/>
                    </w:rPr>
                    <w:t>氨氮</w:t>
                  </w:r>
                </w:p>
              </w:tc>
              <w:tc>
                <w:tcPr>
                  <w:tcW w:w="1564" w:type="pct"/>
                  <w:tcBorders>
                    <w:tl2br w:val="nil"/>
                    <w:tr2bl w:val="nil"/>
                  </w:tcBorders>
                  <w:noWrap w:val="0"/>
                  <w:vAlign w:val="center"/>
                </w:tcPr>
                <w:p w14:paraId="590B6ADB">
                  <w:pPr>
                    <w:pStyle w:val="32"/>
                    <w:ind w:left="0" w:leftChars="0" w:firstLine="0" w:firstLineChars="0"/>
                    <w:rPr>
                      <w:rFonts w:hint="eastAsia" w:ascii="Times New Roman" w:hAnsi="Times New Roman" w:cs="Times New Roman" w:eastAsiaTheme="minorEastAsia"/>
                      <w:color w:val="0000FF"/>
                      <w:sz w:val="21"/>
                      <w:szCs w:val="21"/>
                      <w:lang w:val="en-US" w:eastAsia="zh-CN"/>
                    </w:rPr>
                  </w:pPr>
                  <w:r>
                    <w:rPr>
                      <w:rFonts w:hint="eastAsia"/>
                      <w:snapToGrid w:val="0"/>
                      <w:color w:val="0000FF"/>
                      <w:kern w:val="21"/>
                    </w:rPr>
                    <w:t>6.57t/a</w:t>
                  </w:r>
                </w:p>
              </w:tc>
              <w:tc>
                <w:tcPr>
                  <w:tcW w:w="1403" w:type="pct"/>
                  <w:tcBorders>
                    <w:tl2br w:val="nil"/>
                    <w:tr2bl w:val="nil"/>
                  </w:tcBorders>
                  <w:noWrap w:val="0"/>
                  <w:vAlign w:val="center"/>
                </w:tcPr>
                <w:p w14:paraId="4A68B7FD">
                  <w:pPr>
                    <w:spacing w:line="240" w:lineRule="auto"/>
                    <w:ind w:firstLine="0" w:firstLineChars="0"/>
                    <w:jc w:val="center"/>
                    <w:rPr>
                      <w:rFonts w:hint="eastAsia" w:ascii="Times New Roman" w:hAnsi="Times New Roman" w:cs="Times New Roman" w:eastAsiaTheme="minorEastAsia"/>
                      <w:color w:val="0000FF"/>
                      <w:sz w:val="21"/>
                      <w:szCs w:val="21"/>
                      <w:lang w:val="en-US" w:eastAsia="zh-CN"/>
                    </w:rPr>
                  </w:pPr>
                  <w:r>
                    <w:rPr>
                      <w:rFonts w:hint="eastAsia"/>
                      <w:color w:val="0000FF"/>
                      <w:sz w:val="21"/>
                      <w:szCs w:val="21"/>
                    </w:rPr>
                    <w:t>0.73t/a</w:t>
                  </w:r>
                </w:p>
              </w:tc>
            </w:tr>
            <w:tr w14:paraId="3252C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874" w:type="pct"/>
                  <w:vMerge w:val="restart"/>
                  <w:tcBorders>
                    <w:tl2br w:val="nil"/>
                    <w:tr2bl w:val="nil"/>
                  </w:tcBorders>
                  <w:noWrap w:val="0"/>
                  <w:vAlign w:val="center"/>
                </w:tcPr>
                <w:p w14:paraId="07A150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0000FF"/>
                      <w:sz w:val="21"/>
                      <w:szCs w:val="21"/>
                      <w:lang w:eastAsia="zh-CN"/>
                    </w:rPr>
                  </w:pPr>
                  <w:r>
                    <w:rPr>
                      <w:rFonts w:hint="eastAsia" w:ascii="Times New Roman" w:hAnsi="Times New Roman" w:cs="Times New Roman" w:eastAsiaTheme="minorEastAsia"/>
                      <w:color w:val="0000FF"/>
                      <w:sz w:val="21"/>
                      <w:szCs w:val="21"/>
                      <w:lang w:eastAsia="zh-CN"/>
                    </w:rPr>
                    <w:t>固废</w:t>
                  </w:r>
                </w:p>
              </w:tc>
              <w:tc>
                <w:tcPr>
                  <w:tcW w:w="1157" w:type="pct"/>
                  <w:tcBorders>
                    <w:tl2br w:val="nil"/>
                    <w:tr2bl w:val="nil"/>
                  </w:tcBorders>
                  <w:noWrap w:val="0"/>
                  <w:vAlign w:val="center"/>
                </w:tcPr>
                <w:p w14:paraId="3413CD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lang w:eastAsia="zh-CN"/>
                    </w:rPr>
                  </w:pPr>
                  <w:r>
                    <w:rPr>
                      <w:rFonts w:hint="eastAsia" w:ascii="Times New Roman" w:hAnsi="Times New Roman" w:cs="Times New Roman" w:eastAsiaTheme="minorEastAsia"/>
                      <w:color w:val="0000FF"/>
                      <w:sz w:val="21"/>
                      <w:szCs w:val="21"/>
                      <w:lang w:eastAsia="zh-CN"/>
                    </w:rPr>
                    <w:t>一般固废</w:t>
                  </w:r>
                </w:p>
              </w:tc>
              <w:tc>
                <w:tcPr>
                  <w:tcW w:w="1564" w:type="pct"/>
                  <w:tcBorders>
                    <w:tl2br w:val="nil"/>
                    <w:tr2bl w:val="nil"/>
                  </w:tcBorders>
                  <w:noWrap w:val="0"/>
                  <w:vAlign w:val="center"/>
                </w:tcPr>
                <w:p w14:paraId="3D245D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lang w:val="en-US" w:eastAsia="zh-CN"/>
                    </w:rPr>
                  </w:pPr>
                  <w:r>
                    <w:rPr>
                      <w:rFonts w:hint="eastAsia" w:ascii="Times New Roman" w:hAnsi="Times New Roman" w:cs="Times New Roman" w:eastAsiaTheme="minorEastAsia"/>
                      <w:color w:val="0000FF"/>
                      <w:sz w:val="21"/>
                      <w:szCs w:val="21"/>
                      <w:lang w:val="en-US" w:eastAsia="zh-CN"/>
                    </w:rPr>
                    <w:t>50435t</w:t>
                  </w:r>
                  <w:r>
                    <w:rPr>
                      <w:rFonts w:hint="default" w:ascii="Times New Roman" w:hAnsi="Times New Roman" w:cs="Times New Roman" w:eastAsiaTheme="minorEastAsia"/>
                      <w:color w:val="0000FF"/>
                      <w:sz w:val="21"/>
                      <w:szCs w:val="21"/>
                      <w:lang w:val="en-US" w:eastAsia="zh-CN"/>
                    </w:rPr>
                    <w:t>/a</w:t>
                  </w:r>
                </w:p>
              </w:tc>
              <w:tc>
                <w:tcPr>
                  <w:tcW w:w="1403" w:type="pct"/>
                  <w:tcBorders>
                    <w:tl2br w:val="nil"/>
                    <w:tr2bl w:val="nil"/>
                  </w:tcBorders>
                  <w:noWrap w:val="0"/>
                  <w:vAlign w:val="center"/>
                </w:tcPr>
                <w:p w14:paraId="63F50C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lang w:val="en-US" w:eastAsia="zh-CN"/>
                    </w:rPr>
                  </w:pPr>
                  <w:r>
                    <w:rPr>
                      <w:rFonts w:hint="eastAsia" w:cs="Times New Roman" w:eastAsiaTheme="minorEastAsia"/>
                      <w:color w:val="0000FF"/>
                      <w:sz w:val="21"/>
                      <w:szCs w:val="21"/>
                      <w:lang w:val="en-US" w:eastAsia="zh-CN"/>
                    </w:rPr>
                    <w:t>107.655</w:t>
                  </w:r>
                  <w:r>
                    <w:rPr>
                      <w:rFonts w:hint="eastAsia" w:ascii="Times New Roman" w:hAnsi="Times New Roman" w:cs="Times New Roman" w:eastAsiaTheme="minorEastAsia"/>
                      <w:color w:val="0000FF"/>
                      <w:sz w:val="21"/>
                      <w:szCs w:val="21"/>
                      <w:lang w:val="en-US" w:eastAsia="zh-CN"/>
                    </w:rPr>
                    <w:t>t</w:t>
                  </w:r>
                  <w:r>
                    <w:rPr>
                      <w:rFonts w:hint="default" w:ascii="Times New Roman" w:hAnsi="Times New Roman" w:cs="Times New Roman" w:eastAsiaTheme="minorEastAsia"/>
                      <w:color w:val="0000FF"/>
                      <w:sz w:val="21"/>
                      <w:szCs w:val="21"/>
                      <w:lang w:val="en-US" w:eastAsia="zh-CN"/>
                    </w:rPr>
                    <w:t>/a</w:t>
                  </w:r>
                </w:p>
              </w:tc>
            </w:tr>
            <w:tr w14:paraId="39D73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74" w:type="pct"/>
                  <w:vMerge w:val="continue"/>
                  <w:tcBorders>
                    <w:tl2br w:val="nil"/>
                    <w:tr2bl w:val="nil"/>
                  </w:tcBorders>
                  <w:noWrap w:val="0"/>
                  <w:vAlign w:val="center"/>
                </w:tcPr>
                <w:p w14:paraId="7EEF2E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lang w:val="en-US" w:eastAsia="zh-CN"/>
                    </w:rPr>
                  </w:pPr>
                </w:p>
              </w:tc>
              <w:tc>
                <w:tcPr>
                  <w:tcW w:w="1157" w:type="pct"/>
                  <w:tcBorders>
                    <w:tl2br w:val="nil"/>
                    <w:tr2bl w:val="nil"/>
                  </w:tcBorders>
                  <w:noWrap w:val="0"/>
                  <w:vAlign w:val="center"/>
                </w:tcPr>
                <w:p w14:paraId="3469C6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lang w:val="en-US" w:eastAsia="zh-CN"/>
                    </w:rPr>
                  </w:pPr>
                  <w:r>
                    <w:rPr>
                      <w:rFonts w:hint="eastAsia" w:ascii="Times New Roman" w:hAnsi="Times New Roman" w:cs="Times New Roman" w:eastAsiaTheme="minorEastAsia"/>
                      <w:color w:val="0000FF"/>
                      <w:sz w:val="21"/>
                      <w:szCs w:val="21"/>
                      <w:lang w:val="en-US" w:eastAsia="zh-CN"/>
                    </w:rPr>
                    <w:t>危险废物</w:t>
                  </w:r>
                </w:p>
              </w:tc>
              <w:tc>
                <w:tcPr>
                  <w:tcW w:w="1564" w:type="pct"/>
                  <w:tcBorders>
                    <w:tl2br w:val="nil"/>
                    <w:tr2bl w:val="nil"/>
                  </w:tcBorders>
                  <w:noWrap w:val="0"/>
                  <w:vAlign w:val="center"/>
                </w:tcPr>
                <w:p w14:paraId="6F01863A">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val="0"/>
                      <w:bCs w:val="0"/>
                      <w:color w:val="0000FF"/>
                      <w:kern w:val="2"/>
                      <w:sz w:val="21"/>
                      <w:szCs w:val="21"/>
                      <w:lang w:val="en-US" w:eastAsia="zh-CN" w:bidi="ar-SA"/>
                    </w:rPr>
                  </w:pPr>
                  <w:r>
                    <w:rPr>
                      <w:rFonts w:hint="eastAsia" w:cs="Times New Roman" w:eastAsiaTheme="minorEastAsia"/>
                      <w:b w:val="0"/>
                      <w:bCs w:val="0"/>
                      <w:color w:val="0000FF"/>
                      <w:kern w:val="2"/>
                      <w:sz w:val="21"/>
                      <w:szCs w:val="21"/>
                      <w:lang w:val="en-US" w:eastAsia="zh-CN" w:bidi="ar-SA"/>
                    </w:rPr>
                    <w:t>12</w:t>
                  </w:r>
                  <w:r>
                    <w:rPr>
                      <w:rFonts w:hint="eastAsia" w:ascii="Times New Roman" w:hAnsi="Times New Roman" w:cs="Times New Roman" w:eastAsiaTheme="minorEastAsia"/>
                      <w:b w:val="0"/>
                      <w:bCs w:val="0"/>
                      <w:color w:val="0000FF"/>
                      <w:sz w:val="21"/>
                      <w:szCs w:val="21"/>
                      <w:lang w:val="en-US" w:eastAsia="zh-CN"/>
                    </w:rPr>
                    <w:t>t</w:t>
                  </w:r>
                  <w:r>
                    <w:rPr>
                      <w:rFonts w:hint="default" w:ascii="Times New Roman" w:hAnsi="Times New Roman" w:cs="Times New Roman" w:eastAsiaTheme="minorEastAsia"/>
                      <w:b w:val="0"/>
                      <w:bCs w:val="0"/>
                      <w:color w:val="0000FF"/>
                      <w:sz w:val="21"/>
                      <w:szCs w:val="21"/>
                      <w:lang w:val="en-US" w:eastAsia="zh-CN"/>
                    </w:rPr>
                    <w:t>/a</w:t>
                  </w:r>
                </w:p>
              </w:tc>
              <w:tc>
                <w:tcPr>
                  <w:tcW w:w="1403" w:type="pct"/>
                  <w:tcBorders>
                    <w:tl2br w:val="nil"/>
                    <w:tr2bl w:val="nil"/>
                  </w:tcBorders>
                  <w:noWrap w:val="0"/>
                  <w:vAlign w:val="center"/>
                </w:tcPr>
                <w:p w14:paraId="2806AE04">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val="0"/>
                      <w:bCs w:val="0"/>
                      <w:color w:val="0000FF"/>
                      <w:kern w:val="2"/>
                      <w:sz w:val="21"/>
                      <w:szCs w:val="21"/>
                      <w:lang w:val="en-US" w:eastAsia="zh-CN" w:bidi="ar-SA"/>
                    </w:rPr>
                  </w:pPr>
                  <w:r>
                    <w:rPr>
                      <w:rFonts w:hint="eastAsia" w:cs="Times New Roman" w:eastAsiaTheme="minorEastAsia"/>
                      <w:b w:val="0"/>
                      <w:bCs w:val="0"/>
                      <w:color w:val="0000FF"/>
                      <w:kern w:val="2"/>
                      <w:sz w:val="21"/>
                      <w:szCs w:val="21"/>
                      <w:lang w:val="en-US" w:eastAsia="zh-CN" w:bidi="ar-SA"/>
                    </w:rPr>
                    <w:t>10</w:t>
                  </w:r>
                  <w:r>
                    <w:rPr>
                      <w:rFonts w:hint="eastAsia" w:ascii="Times New Roman" w:hAnsi="Times New Roman" w:cs="Times New Roman" w:eastAsiaTheme="minorEastAsia"/>
                      <w:b w:val="0"/>
                      <w:bCs w:val="0"/>
                      <w:color w:val="0000FF"/>
                      <w:sz w:val="21"/>
                      <w:szCs w:val="21"/>
                      <w:lang w:val="en-US" w:eastAsia="zh-CN"/>
                    </w:rPr>
                    <w:t>t</w:t>
                  </w:r>
                  <w:r>
                    <w:rPr>
                      <w:rFonts w:hint="default" w:ascii="Times New Roman" w:hAnsi="Times New Roman" w:cs="Times New Roman" w:eastAsiaTheme="minorEastAsia"/>
                      <w:b w:val="0"/>
                      <w:bCs w:val="0"/>
                      <w:color w:val="0000FF"/>
                      <w:sz w:val="21"/>
                      <w:szCs w:val="21"/>
                      <w:lang w:val="en-US" w:eastAsia="zh-CN"/>
                    </w:rPr>
                    <w:t>/a</w:t>
                  </w:r>
                </w:p>
              </w:tc>
            </w:tr>
            <w:tr w14:paraId="7E111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74" w:type="pct"/>
                  <w:vMerge w:val="continue"/>
                  <w:tcBorders>
                    <w:tl2br w:val="nil"/>
                    <w:tr2bl w:val="nil"/>
                  </w:tcBorders>
                  <w:noWrap w:val="0"/>
                  <w:vAlign w:val="center"/>
                </w:tcPr>
                <w:p w14:paraId="457113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lang w:val="en-US" w:eastAsia="zh-CN"/>
                    </w:rPr>
                  </w:pPr>
                </w:p>
              </w:tc>
              <w:tc>
                <w:tcPr>
                  <w:tcW w:w="1157" w:type="pct"/>
                  <w:tcBorders>
                    <w:tl2br w:val="nil"/>
                    <w:tr2bl w:val="nil"/>
                  </w:tcBorders>
                  <w:noWrap w:val="0"/>
                  <w:vAlign w:val="center"/>
                </w:tcPr>
                <w:p w14:paraId="10B3AE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lang w:val="en-US" w:eastAsia="zh-CN"/>
                    </w:rPr>
                  </w:pPr>
                  <w:r>
                    <w:rPr>
                      <w:rFonts w:hint="eastAsia" w:ascii="Times New Roman" w:hAnsi="Times New Roman" w:cs="Times New Roman" w:eastAsiaTheme="minorEastAsia"/>
                      <w:color w:val="0000FF"/>
                      <w:sz w:val="21"/>
                      <w:szCs w:val="21"/>
                      <w:lang w:val="en-US" w:eastAsia="zh-CN"/>
                    </w:rPr>
                    <w:t>生活垃圾</w:t>
                  </w:r>
                </w:p>
              </w:tc>
              <w:tc>
                <w:tcPr>
                  <w:tcW w:w="1564" w:type="pct"/>
                  <w:tcBorders>
                    <w:tl2br w:val="nil"/>
                    <w:tr2bl w:val="nil"/>
                  </w:tcBorders>
                  <w:noWrap w:val="0"/>
                  <w:vAlign w:val="center"/>
                </w:tcPr>
                <w:p w14:paraId="22BA7FE9">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val="0"/>
                      <w:bCs w:val="0"/>
                      <w:color w:val="0000FF"/>
                      <w:kern w:val="2"/>
                      <w:sz w:val="21"/>
                      <w:szCs w:val="21"/>
                      <w:lang w:val="en-US" w:eastAsia="zh-CN" w:bidi="ar-SA"/>
                    </w:rPr>
                  </w:pPr>
                  <w:r>
                    <w:rPr>
                      <w:rFonts w:hint="eastAsia" w:ascii="Times New Roman" w:hAnsi="Times New Roman" w:cs="Times New Roman" w:eastAsiaTheme="minorEastAsia"/>
                      <w:b w:val="0"/>
                      <w:bCs w:val="0"/>
                      <w:color w:val="0000FF"/>
                      <w:kern w:val="2"/>
                      <w:sz w:val="21"/>
                      <w:szCs w:val="21"/>
                      <w:lang w:val="en-US" w:eastAsia="zh-CN" w:bidi="ar-SA"/>
                    </w:rPr>
                    <w:t>140</w:t>
                  </w:r>
                  <w:r>
                    <w:rPr>
                      <w:rFonts w:hint="eastAsia" w:ascii="Times New Roman" w:hAnsi="Times New Roman" w:cs="Times New Roman" w:eastAsiaTheme="minorEastAsia"/>
                      <w:b w:val="0"/>
                      <w:bCs w:val="0"/>
                      <w:color w:val="0000FF"/>
                      <w:sz w:val="21"/>
                      <w:szCs w:val="21"/>
                      <w:lang w:val="en-US" w:eastAsia="zh-CN"/>
                    </w:rPr>
                    <w:t>t</w:t>
                  </w:r>
                  <w:r>
                    <w:rPr>
                      <w:rFonts w:hint="default" w:ascii="Times New Roman" w:hAnsi="Times New Roman" w:cs="Times New Roman" w:eastAsiaTheme="minorEastAsia"/>
                      <w:b w:val="0"/>
                      <w:bCs w:val="0"/>
                      <w:color w:val="0000FF"/>
                      <w:sz w:val="21"/>
                      <w:szCs w:val="21"/>
                      <w:lang w:val="en-US" w:eastAsia="zh-CN"/>
                    </w:rPr>
                    <w:t>/a</w:t>
                  </w:r>
                </w:p>
              </w:tc>
              <w:tc>
                <w:tcPr>
                  <w:tcW w:w="1403" w:type="pct"/>
                  <w:tcBorders>
                    <w:tl2br w:val="nil"/>
                    <w:tr2bl w:val="nil"/>
                  </w:tcBorders>
                  <w:noWrap w:val="0"/>
                  <w:vAlign w:val="center"/>
                </w:tcPr>
                <w:p w14:paraId="63CE272D">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val="0"/>
                      <w:bCs w:val="0"/>
                      <w:color w:val="0000FF"/>
                      <w:kern w:val="2"/>
                      <w:sz w:val="21"/>
                      <w:szCs w:val="21"/>
                      <w:lang w:val="en-US" w:eastAsia="zh-CN" w:bidi="ar-SA"/>
                    </w:rPr>
                  </w:pPr>
                  <w:r>
                    <w:rPr>
                      <w:rFonts w:hint="eastAsia" w:ascii="Times New Roman" w:hAnsi="Times New Roman" w:cs="Times New Roman" w:eastAsiaTheme="minorEastAsia"/>
                      <w:b w:val="0"/>
                      <w:bCs w:val="0"/>
                      <w:color w:val="0000FF"/>
                      <w:kern w:val="2"/>
                      <w:sz w:val="21"/>
                      <w:szCs w:val="21"/>
                      <w:lang w:val="en-US" w:eastAsia="zh-CN" w:bidi="ar-SA"/>
                    </w:rPr>
                    <w:t>140</w:t>
                  </w:r>
                  <w:r>
                    <w:rPr>
                      <w:rFonts w:hint="eastAsia" w:ascii="Times New Roman" w:hAnsi="Times New Roman" w:cs="Times New Roman" w:eastAsiaTheme="minorEastAsia"/>
                      <w:b w:val="0"/>
                      <w:bCs w:val="0"/>
                      <w:color w:val="0000FF"/>
                      <w:sz w:val="21"/>
                      <w:szCs w:val="21"/>
                      <w:lang w:val="en-US" w:eastAsia="zh-CN"/>
                    </w:rPr>
                    <w:t>t</w:t>
                  </w:r>
                  <w:r>
                    <w:rPr>
                      <w:rFonts w:hint="default" w:ascii="Times New Roman" w:hAnsi="Times New Roman" w:cs="Times New Roman" w:eastAsiaTheme="minorEastAsia"/>
                      <w:b w:val="0"/>
                      <w:bCs w:val="0"/>
                      <w:color w:val="0000FF"/>
                      <w:sz w:val="21"/>
                      <w:szCs w:val="21"/>
                      <w:lang w:val="en-US" w:eastAsia="zh-CN"/>
                    </w:rPr>
                    <w:t>/a</w:t>
                  </w:r>
                </w:p>
              </w:tc>
            </w:tr>
            <w:tr w14:paraId="19BDB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74" w:type="pct"/>
                  <w:tcBorders>
                    <w:tl2br w:val="nil"/>
                    <w:tr2bl w:val="nil"/>
                  </w:tcBorders>
                  <w:noWrap w:val="0"/>
                  <w:vAlign w:val="center"/>
                </w:tcPr>
                <w:p w14:paraId="1AC010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lang w:val="en-US" w:eastAsia="zh-CN"/>
                    </w:rPr>
                  </w:pPr>
                  <w:r>
                    <w:rPr>
                      <w:rFonts w:hint="default" w:ascii="Times New Roman" w:hAnsi="Times New Roman" w:cs="Times New Roman" w:eastAsiaTheme="minorEastAsia"/>
                      <w:color w:val="0000FF"/>
                      <w:sz w:val="21"/>
                      <w:szCs w:val="21"/>
                      <w:lang w:val="en-US" w:eastAsia="zh-CN"/>
                    </w:rPr>
                    <w:t>噪声</w:t>
                  </w:r>
                </w:p>
              </w:tc>
              <w:tc>
                <w:tcPr>
                  <w:tcW w:w="1157" w:type="pct"/>
                  <w:tcBorders>
                    <w:tl2br w:val="nil"/>
                    <w:tr2bl w:val="nil"/>
                  </w:tcBorders>
                  <w:noWrap w:val="0"/>
                  <w:vAlign w:val="center"/>
                </w:tcPr>
                <w:p w14:paraId="6921B4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FF"/>
                      <w:sz w:val="21"/>
                      <w:szCs w:val="21"/>
                      <w:lang w:val="en-US" w:eastAsia="zh-CN"/>
                    </w:rPr>
                  </w:pPr>
                  <w:r>
                    <w:rPr>
                      <w:rFonts w:hint="default" w:ascii="Times New Roman" w:hAnsi="Times New Roman" w:cs="Times New Roman" w:eastAsiaTheme="minorEastAsia"/>
                      <w:color w:val="0000FF"/>
                      <w:sz w:val="21"/>
                      <w:szCs w:val="21"/>
                      <w:lang w:val="en-US" w:eastAsia="zh-CN"/>
                    </w:rPr>
                    <w:t>机械噪声</w:t>
                  </w:r>
                </w:p>
              </w:tc>
              <w:tc>
                <w:tcPr>
                  <w:tcW w:w="1564" w:type="pct"/>
                  <w:tcBorders>
                    <w:tl2br w:val="nil"/>
                    <w:tr2bl w:val="nil"/>
                  </w:tcBorders>
                  <w:noWrap w:val="0"/>
                  <w:vAlign w:val="center"/>
                </w:tcPr>
                <w:p w14:paraId="26D88A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FF"/>
                      <w:sz w:val="21"/>
                      <w:szCs w:val="21"/>
                      <w:lang w:val="en-US" w:eastAsia="zh-CN"/>
                    </w:rPr>
                  </w:pPr>
                  <w:r>
                    <w:rPr>
                      <w:rFonts w:hint="default" w:ascii="Times New Roman" w:hAnsi="Times New Roman" w:cs="Times New Roman" w:eastAsiaTheme="minorEastAsia"/>
                      <w:b w:val="0"/>
                      <w:bCs w:val="0"/>
                      <w:color w:val="0000FF"/>
                      <w:sz w:val="21"/>
                      <w:szCs w:val="21"/>
                      <w:lang w:val="en-US" w:eastAsia="zh-CN"/>
                    </w:rPr>
                    <w:t>昼间＜6</w:t>
                  </w:r>
                  <w:r>
                    <w:rPr>
                      <w:rFonts w:hint="eastAsia" w:ascii="Times New Roman" w:hAnsi="Times New Roman" w:cs="Times New Roman" w:eastAsiaTheme="minorEastAsia"/>
                      <w:b w:val="0"/>
                      <w:bCs w:val="0"/>
                      <w:color w:val="0000FF"/>
                      <w:sz w:val="21"/>
                      <w:szCs w:val="21"/>
                      <w:lang w:val="en-US" w:eastAsia="zh-CN"/>
                    </w:rPr>
                    <w:t>5</w:t>
                  </w:r>
                  <w:r>
                    <w:rPr>
                      <w:rFonts w:hint="default" w:ascii="Times New Roman" w:hAnsi="Times New Roman" w:cs="Times New Roman" w:eastAsiaTheme="minorEastAsia"/>
                      <w:b w:val="0"/>
                      <w:bCs w:val="0"/>
                      <w:color w:val="0000FF"/>
                      <w:sz w:val="21"/>
                      <w:szCs w:val="21"/>
                      <w:lang w:val="en-US" w:eastAsia="zh-CN"/>
                    </w:rPr>
                    <w:t>dB（A）</w:t>
                  </w:r>
                </w:p>
                <w:p w14:paraId="073C88E4">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val="0"/>
                      <w:bCs w:val="0"/>
                      <w:color w:val="0000FF"/>
                      <w:sz w:val="21"/>
                      <w:szCs w:val="21"/>
                      <w:lang w:val="en-US" w:eastAsia="zh-CN"/>
                    </w:rPr>
                  </w:pPr>
                  <w:bookmarkStart w:id="4" w:name="_Toc12887"/>
                  <w:bookmarkStart w:id="5" w:name="_Toc7351"/>
                  <w:r>
                    <w:rPr>
                      <w:rFonts w:hint="default" w:ascii="Times New Roman" w:hAnsi="Times New Roman" w:cs="Times New Roman" w:eastAsiaTheme="minorEastAsia"/>
                      <w:b w:val="0"/>
                      <w:bCs w:val="0"/>
                      <w:color w:val="0000FF"/>
                      <w:kern w:val="2"/>
                      <w:sz w:val="21"/>
                      <w:szCs w:val="21"/>
                      <w:lang w:val="en-US" w:eastAsia="zh-CN" w:bidi="ar-SA"/>
                    </w:rPr>
                    <w:t>夜间＜5</w:t>
                  </w:r>
                  <w:r>
                    <w:rPr>
                      <w:rFonts w:hint="eastAsia" w:ascii="Times New Roman" w:hAnsi="Times New Roman" w:cs="Times New Roman" w:eastAsiaTheme="minorEastAsia"/>
                      <w:b w:val="0"/>
                      <w:bCs w:val="0"/>
                      <w:color w:val="0000FF"/>
                      <w:kern w:val="2"/>
                      <w:sz w:val="21"/>
                      <w:szCs w:val="21"/>
                      <w:lang w:val="en-US" w:eastAsia="zh-CN" w:bidi="ar-SA"/>
                    </w:rPr>
                    <w:t>5</w:t>
                  </w:r>
                  <w:r>
                    <w:rPr>
                      <w:rFonts w:hint="default" w:ascii="Times New Roman" w:hAnsi="Times New Roman" w:cs="Times New Roman" w:eastAsiaTheme="minorEastAsia"/>
                      <w:b w:val="0"/>
                      <w:bCs w:val="0"/>
                      <w:color w:val="0000FF"/>
                      <w:kern w:val="2"/>
                      <w:sz w:val="21"/>
                      <w:szCs w:val="21"/>
                      <w:lang w:val="en-US" w:eastAsia="zh-CN" w:bidi="ar-SA"/>
                    </w:rPr>
                    <w:t>dB（A）</w:t>
                  </w:r>
                  <w:bookmarkEnd w:id="4"/>
                  <w:bookmarkEnd w:id="5"/>
                </w:p>
              </w:tc>
              <w:tc>
                <w:tcPr>
                  <w:tcW w:w="1403" w:type="pct"/>
                  <w:tcBorders>
                    <w:tl2br w:val="nil"/>
                    <w:tr2bl w:val="nil"/>
                  </w:tcBorders>
                  <w:noWrap w:val="0"/>
                  <w:vAlign w:val="center"/>
                </w:tcPr>
                <w:p w14:paraId="20F924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FF"/>
                      <w:sz w:val="21"/>
                      <w:szCs w:val="21"/>
                      <w:lang w:val="en-US" w:eastAsia="zh-CN"/>
                    </w:rPr>
                  </w:pPr>
                  <w:r>
                    <w:rPr>
                      <w:rFonts w:hint="default" w:ascii="Times New Roman" w:hAnsi="Times New Roman" w:cs="Times New Roman" w:eastAsiaTheme="minorEastAsia"/>
                      <w:b w:val="0"/>
                      <w:bCs w:val="0"/>
                      <w:color w:val="0000FF"/>
                      <w:sz w:val="21"/>
                      <w:szCs w:val="21"/>
                      <w:lang w:val="en-US" w:eastAsia="zh-CN"/>
                    </w:rPr>
                    <w:t>昼间＜6</w:t>
                  </w:r>
                  <w:r>
                    <w:rPr>
                      <w:rFonts w:hint="eastAsia" w:ascii="Times New Roman" w:hAnsi="Times New Roman" w:cs="Times New Roman" w:eastAsiaTheme="minorEastAsia"/>
                      <w:b w:val="0"/>
                      <w:bCs w:val="0"/>
                      <w:color w:val="0000FF"/>
                      <w:sz w:val="21"/>
                      <w:szCs w:val="21"/>
                      <w:lang w:val="en-US" w:eastAsia="zh-CN"/>
                    </w:rPr>
                    <w:t>5</w:t>
                  </w:r>
                  <w:r>
                    <w:rPr>
                      <w:rFonts w:hint="default" w:ascii="Times New Roman" w:hAnsi="Times New Roman" w:cs="Times New Roman" w:eastAsiaTheme="minorEastAsia"/>
                      <w:b w:val="0"/>
                      <w:bCs w:val="0"/>
                      <w:color w:val="0000FF"/>
                      <w:sz w:val="21"/>
                      <w:szCs w:val="21"/>
                      <w:lang w:val="en-US" w:eastAsia="zh-CN"/>
                    </w:rPr>
                    <w:t>dB（A）</w:t>
                  </w:r>
                </w:p>
                <w:p w14:paraId="59EE85D4">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val="0"/>
                      <w:bCs w:val="0"/>
                      <w:color w:val="0000FF"/>
                      <w:kern w:val="2"/>
                      <w:sz w:val="21"/>
                      <w:szCs w:val="21"/>
                      <w:lang w:val="en-US" w:eastAsia="zh-CN" w:bidi="ar-SA"/>
                    </w:rPr>
                  </w:pPr>
                  <w:bookmarkStart w:id="6" w:name="_Toc23652"/>
                  <w:r>
                    <w:rPr>
                      <w:rFonts w:hint="default" w:ascii="Times New Roman" w:hAnsi="Times New Roman" w:cs="Times New Roman" w:eastAsiaTheme="minorEastAsia"/>
                      <w:b w:val="0"/>
                      <w:bCs w:val="0"/>
                      <w:color w:val="0000FF"/>
                      <w:kern w:val="2"/>
                      <w:sz w:val="21"/>
                      <w:szCs w:val="21"/>
                      <w:lang w:val="en-US" w:eastAsia="zh-CN" w:bidi="ar-SA"/>
                    </w:rPr>
                    <w:t>夜间＜5</w:t>
                  </w:r>
                  <w:r>
                    <w:rPr>
                      <w:rFonts w:hint="eastAsia" w:ascii="Times New Roman" w:hAnsi="Times New Roman" w:cs="Times New Roman" w:eastAsiaTheme="minorEastAsia"/>
                      <w:b w:val="0"/>
                      <w:bCs w:val="0"/>
                      <w:color w:val="0000FF"/>
                      <w:kern w:val="2"/>
                      <w:sz w:val="21"/>
                      <w:szCs w:val="21"/>
                      <w:lang w:val="en-US" w:eastAsia="zh-CN" w:bidi="ar-SA"/>
                    </w:rPr>
                    <w:t>5</w:t>
                  </w:r>
                  <w:r>
                    <w:rPr>
                      <w:rFonts w:hint="default" w:ascii="Times New Roman" w:hAnsi="Times New Roman" w:cs="Times New Roman" w:eastAsiaTheme="minorEastAsia"/>
                      <w:b w:val="0"/>
                      <w:bCs w:val="0"/>
                      <w:color w:val="0000FF"/>
                      <w:kern w:val="2"/>
                      <w:sz w:val="21"/>
                      <w:szCs w:val="21"/>
                      <w:lang w:val="en-US" w:eastAsia="zh-CN" w:bidi="ar-SA"/>
                    </w:rPr>
                    <w:t>dB（A）</w:t>
                  </w:r>
                  <w:bookmarkEnd w:id="6"/>
                </w:p>
              </w:tc>
            </w:tr>
          </w:tbl>
          <w:p w14:paraId="4A41A3B6">
            <w:pPr>
              <w:keepNext w:val="0"/>
              <w:keepLines w:val="0"/>
              <w:widowControl/>
              <w:suppressLineNumbers w:val="0"/>
              <w:jc w:val="left"/>
              <w:rPr>
                <w:rFonts w:hint="eastAsia" w:ascii="Times New Roman" w:hAnsi="Times New Roman" w:eastAsia="宋体" w:cs="Times New Roman"/>
                <w:color w:val="0000FF"/>
                <w:highlight w:val="none"/>
                <w:lang w:val="en-US" w:eastAsia="zh-CN"/>
              </w:rPr>
            </w:pPr>
            <w:r>
              <w:rPr>
                <w:rFonts w:hint="eastAsia" w:ascii="Times New Roman" w:hAnsi="Times New Roman" w:eastAsia="宋体" w:cs="Times New Roman"/>
                <w:color w:val="0000FF"/>
                <w:highlight w:val="none"/>
                <w:lang w:val="en-US" w:eastAsia="zh-CN"/>
              </w:rPr>
              <w:t>现有工程环保行政主管部门核发的总量</w:t>
            </w:r>
            <w:r>
              <w:rPr>
                <w:rFonts w:hint="eastAsia" w:cs="Times New Roman"/>
                <w:color w:val="0000FF"/>
                <w:highlight w:val="none"/>
                <w:lang w:val="en-US" w:eastAsia="zh-CN"/>
              </w:rPr>
              <w:t>颗粒物为428.68t/a，二氧化硫为1.08t/a，氮氧化物为</w:t>
            </w:r>
            <w:r>
              <w:rPr>
                <w:rFonts w:hint="eastAsia"/>
                <w:snapToGrid w:val="0"/>
                <w:color w:val="0000FF"/>
                <w:kern w:val="21"/>
              </w:rPr>
              <w:t>190.</w:t>
            </w:r>
            <w:r>
              <w:rPr>
                <w:rFonts w:hint="eastAsia"/>
                <w:snapToGrid w:val="0"/>
                <w:color w:val="0000FF"/>
                <w:kern w:val="21"/>
                <w:lang w:val="en-US" w:eastAsia="zh-CN"/>
              </w:rPr>
              <w:t>78</w:t>
            </w:r>
            <w:r>
              <w:rPr>
                <w:rFonts w:hint="eastAsia"/>
                <w:color w:val="0000FF"/>
              </w:rPr>
              <w:t>t/a</w:t>
            </w:r>
            <w:r>
              <w:rPr>
                <w:rFonts w:hint="eastAsia"/>
                <w:color w:val="0000FF"/>
                <w:lang w:eastAsia="zh-CN"/>
              </w:rPr>
              <w:t>，氨气为</w:t>
            </w:r>
            <w:r>
              <w:rPr>
                <w:rFonts w:hint="eastAsia"/>
                <w:color w:val="0000FF"/>
                <w:lang w:val="en-US" w:eastAsia="zh-CN"/>
              </w:rPr>
              <w:t>75</w:t>
            </w:r>
            <w:r>
              <w:rPr>
                <w:rFonts w:hint="eastAsia"/>
                <w:color w:val="0000FF"/>
              </w:rPr>
              <w:t>t/a</w:t>
            </w:r>
            <w:r>
              <w:rPr>
                <w:rFonts w:hint="eastAsia"/>
                <w:color w:val="0000FF"/>
                <w:lang w:eastAsia="zh-CN"/>
              </w:rPr>
              <w:t>。本项目为硝酸储罐建设项目，没有有组织排放，只有</w:t>
            </w:r>
            <w:r>
              <w:rPr>
                <w:rFonts w:hint="eastAsia" w:ascii="Times New Roman" w:hAnsi="Times New Roman" w:eastAsia="宋体" w:cs="Times New Roman"/>
                <w:color w:val="0000FF"/>
                <w:highlight w:val="none"/>
                <w:lang w:val="en-US" w:eastAsia="zh-CN"/>
              </w:rPr>
              <w:t>硝酸储罐小呼吸产生的无组织废气及硝酸装卸过程大呼吸产生的无组织废气</w:t>
            </w:r>
            <w:r>
              <w:rPr>
                <w:rFonts w:hint="eastAsia" w:cs="Times New Roman"/>
                <w:color w:val="0000FF"/>
                <w:highlight w:val="none"/>
                <w:lang w:val="en-US" w:eastAsia="zh-CN"/>
              </w:rPr>
              <w:t>，</w:t>
            </w:r>
            <w:r>
              <w:rPr>
                <w:rFonts w:hint="eastAsia"/>
                <w:color w:val="0000FF"/>
                <w:lang w:eastAsia="zh-CN"/>
              </w:rPr>
              <w:t>因此本项目</w:t>
            </w:r>
            <w:r>
              <w:rPr>
                <w:rFonts w:hint="default" w:ascii="Times New Roman" w:hAnsi="Times New Roman" w:cs="Times New Roman"/>
                <w:color w:val="0000FF"/>
                <w:spacing w:val="0"/>
                <w:sz w:val="24"/>
                <w:highlight w:val="none"/>
              </w:rPr>
              <w:t>不涉及废气总量控制因子。</w:t>
            </w:r>
          </w:p>
          <w:p w14:paraId="48864082">
            <w:pPr>
              <w:keepNext w:val="0"/>
              <w:keepLines w:val="0"/>
              <w:widowControl/>
              <w:suppressLineNumbers w:val="0"/>
              <w:jc w:val="left"/>
              <w:rPr>
                <w:rFonts w:hint="default" w:eastAsia="宋体" w:cs="Times New Roman"/>
                <w:b/>
                <w:bCs/>
                <w:color w:val="0000FF"/>
                <w:kern w:val="0"/>
                <w:sz w:val="24"/>
                <w:highlight w:val="none"/>
                <w:lang w:val="en-US" w:eastAsia="zh-CN"/>
              </w:rPr>
            </w:pPr>
            <w:r>
              <w:rPr>
                <w:rFonts w:hint="default" w:eastAsia="宋体" w:cs="Times New Roman"/>
                <w:b/>
                <w:bCs/>
                <w:color w:val="0000FF"/>
                <w:kern w:val="0"/>
                <w:sz w:val="24"/>
                <w:highlight w:val="none"/>
                <w:lang w:val="en-US" w:eastAsia="zh-CN"/>
              </w:rPr>
              <w:t>5</w:t>
            </w:r>
            <w:r>
              <w:rPr>
                <w:rFonts w:hint="eastAsia" w:eastAsia="宋体" w:cs="Times New Roman"/>
                <w:b/>
                <w:bCs/>
                <w:color w:val="0000FF"/>
                <w:kern w:val="0"/>
                <w:sz w:val="24"/>
                <w:highlight w:val="none"/>
                <w:lang w:val="en-US" w:eastAsia="zh-CN"/>
              </w:rPr>
              <w:t>.</w:t>
            </w:r>
            <w:r>
              <w:rPr>
                <w:rFonts w:hint="default" w:eastAsia="宋体" w:cs="Times New Roman"/>
                <w:b/>
                <w:bCs/>
                <w:color w:val="0000FF"/>
                <w:kern w:val="0"/>
                <w:sz w:val="24"/>
                <w:highlight w:val="none"/>
                <w:lang w:val="en-US" w:eastAsia="zh-CN"/>
              </w:rPr>
              <w:t>现有工程存在的主要环境问题</w:t>
            </w:r>
            <w:r>
              <w:rPr>
                <w:rFonts w:hint="eastAsia" w:cs="Times New Roman"/>
                <w:b/>
                <w:bCs/>
                <w:color w:val="0000FF"/>
                <w:kern w:val="0"/>
                <w:sz w:val="24"/>
                <w:highlight w:val="none"/>
                <w:lang w:val="en-US" w:eastAsia="zh-CN"/>
              </w:rPr>
              <w:t>及整改措施</w:t>
            </w:r>
          </w:p>
          <w:p w14:paraId="05456566">
            <w:pPr>
              <w:keepNext w:val="0"/>
              <w:keepLines w:val="0"/>
              <w:widowControl/>
              <w:suppressLineNumbers w:val="0"/>
              <w:jc w:val="left"/>
              <w:rPr>
                <w:rFonts w:hint="eastAsia" w:ascii="Times New Roman" w:hAnsi="Times New Roman" w:eastAsia="宋体" w:cs="Times New Roman"/>
                <w:color w:val="0000FF"/>
                <w:highlight w:val="none"/>
                <w:lang w:val="en-US" w:eastAsia="zh-CN"/>
              </w:rPr>
            </w:pPr>
            <w:r>
              <w:rPr>
                <w:rFonts w:hint="default" w:ascii="Times New Roman" w:hAnsi="Times New Roman" w:eastAsia="宋体" w:cs="Times New Roman"/>
                <w:color w:val="0000FF"/>
                <w:highlight w:val="none"/>
                <w:lang w:val="en-US" w:eastAsia="zh-CN"/>
              </w:rPr>
              <w:t>已自查环保手续履行情况，原有项目</w:t>
            </w:r>
            <w:r>
              <w:rPr>
                <w:rFonts w:hint="eastAsia" w:ascii="Times New Roman" w:hAnsi="Times New Roman" w:eastAsia="宋体" w:cs="Times New Roman"/>
                <w:color w:val="0000FF"/>
                <w:highlight w:val="none"/>
                <w:lang w:val="en-US" w:eastAsia="zh-CN"/>
              </w:rPr>
              <w:t>已于</w:t>
            </w:r>
            <w:r>
              <w:rPr>
                <w:rFonts w:hint="default" w:ascii="Times New Roman" w:hAnsi="Times New Roman" w:eastAsia="宋体" w:cs="Times New Roman"/>
                <w:color w:val="0000FF"/>
                <w:spacing w:val="0"/>
                <w:highlight w:val="none"/>
                <w:lang w:val="en-US" w:eastAsia="zh-CN"/>
              </w:rPr>
              <w:t>2023年2月12日</w:t>
            </w:r>
            <w:r>
              <w:rPr>
                <w:rFonts w:hint="eastAsia" w:ascii="Times New Roman" w:hAnsi="Times New Roman" w:eastAsia="宋体" w:cs="Times New Roman"/>
                <w:color w:val="0000FF"/>
                <w:spacing w:val="0"/>
                <w:highlight w:val="none"/>
                <w:lang w:val="en-US" w:eastAsia="zh-CN"/>
              </w:rPr>
              <w:t>全部</w:t>
            </w:r>
            <w:r>
              <w:rPr>
                <w:rFonts w:hint="default" w:ascii="Times New Roman" w:hAnsi="Times New Roman" w:eastAsia="宋体" w:cs="Times New Roman"/>
                <w:color w:val="0000FF"/>
                <w:highlight w:val="none"/>
                <w:lang w:val="en-US" w:eastAsia="zh-CN"/>
              </w:rPr>
              <w:t>完成竣工环保验收，已办理排污许可证，按要求开展自行监测和台账填报，根据现场踏勘，</w:t>
            </w:r>
            <w:r>
              <w:rPr>
                <w:rFonts w:hint="eastAsia" w:ascii="Times New Roman" w:hAnsi="Times New Roman" w:eastAsia="宋体" w:cs="Times New Roman"/>
                <w:color w:val="0000FF"/>
                <w:highlight w:val="none"/>
                <w:lang w:val="en-US" w:eastAsia="zh-CN"/>
              </w:rPr>
              <w:t>现有项目</w:t>
            </w:r>
            <w:r>
              <w:rPr>
                <w:rFonts w:hint="eastAsia" w:cs="Times New Roman"/>
                <w:color w:val="0000FF"/>
                <w:highlight w:val="none"/>
                <w:lang w:val="en-US" w:eastAsia="zh-CN"/>
              </w:rPr>
              <w:t>存在的主要问题为项目建</w:t>
            </w:r>
            <w:r>
              <w:rPr>
                <w:rFonts w:hint="eastAsia" w:ascii="Times New Roman" w:hAnsi="Times New Roman" w:eastAsia="宋体" w:cs="Times New Roman"/>
                <w:color w:val="0000FF"/>
                <w:highlight w:val="none"/>
                <w:lang w:val="en-US" w:eastAsia="zh-CN"/>
              </w:rPr>
              <w:t>成后对现有突发环境事件应急预案进行修编。</w:t>
            </w:r>
          </w:p>
          <w:p w14:paraId="749A7489">
            <w:pPr>
              <w:pStyle w:val="5"/>
              <w:rPr>
                <w:rFonts w:hint="default"/>
                <w:lang w:val="en-US" w:eastAsia="zh-CN"/>
              </w:rPr>
            </w:pPr>
          </w:p>
        </w:tc>
      </w:tr>
    </w:tbl>
    <w:p w14:paraId="536C68F3">
      <w:r>
        <w:br w:type="page"/>
      </w:r>
    </w:p>
    <w:p w14:paraId="7CB54519">
      <w:pPr>
        <w:numPr>
          <w:ilvl w:val="0"/>
          <w:numId w:val="0"/>
        </w:numPr>
        <w:ind w:left="0" w:leftChars="0" w:firstLine="0" w:firstLineChars="0"/>
        <w:jc w:val="center"/>
        <w:outlineLvl w:val="0"/>
        <w:rPr>
          <w:rFonts w:hint="default" w:ascii="Times New Roman" w:hAnsi="Times New Roman" w:eastAsia="黑体" w:cs="Times New Roman"/>
          <w:snapToGrid w:val="0"/>
          <w:color w:val="auto"/>
          <w:sz w:val="30"/>
          <w:szCs w:val="30"/>
          <w:highlight w:val="none"/>
        </w:rPr>
      </w:pPr>
      <w:bookmarkStart w:id="7" w:name="_Toc7800"/>
      <w:r>
        <w:rPr>
          <w:rFonts w:hint="eastAsia" w:ascii="Times New Roman" w:hAnsi="Times New Roman" w:eastAsia="黑体" w:cs="Times New Roman"/>
          <w:snapToGrid w:val="0"/>
          <w:color w:val="auto"/>
          <w:kern w:val="2"/>
          <w:sz w:val="30"/>
          <w:szCs w:val="30"/>
          <w:lang w:val="en-US" w:eastAsia="zh-CN" w:bidi="ar-SA"/>
        </w:rPr>
        <w:t>三、</w:t>
      </w:r>
      <w:r>
        <w:rPr>
          <w:rFonts w:hint="default" w:ascii="Times New Roman" w:hAnsi="Times New Roman" w:eastAsia="黑体" w:cs="Times New Roman"/>
          <w:snapToGrid w:val="0"/>
          <w:color w:val="auto"/>
          <w:sz w:val="30"/>
          <w:szCs w:val="30"/>
          <w:highlight w:val="none"/>
        </w:rPr>
        <w:t>区域环境质量现状、环境保护目标及评价标准</w:t>
      </w:r>
      <w:bookmarkEnd w:id="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8202"/>
      </w:tblGrid>
      <w:tr w14:paraId="6A8E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0" w:type="dxa"/>
            <w:tcBorders>
              <w:tl2br w:val="nil"/>
              <w:tr2bl w:val="nil"/>
            </w:tcBorders>
            <w:noWrap w:val="0"/>
            <w:vAlign w:val="center"/>
          </w:tcPr>
          <w:p w14:paraId="4403B65C">
            <w:pPr>
              <w:pStyle w:val="33"/>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区域</w:t>
            </w:r>
          </w:p>
          <w:p w14:paraId="05D4CA59">
            <w:pPr>
              <w:pStyle w:val="33"/>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环境</w:t>
            </w:r>
          </w:p>
          <w:p w14:paraId="18272CCE">
            <w:pPr>
              <w:pStyle w:val="33"/>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质量</w:t>
            </w:r>
          </w:p>
          <w:p w14:paraId="0D7C798D">
            <w:pPr>
              <w:pStyle w:val="33"/>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现状</w:t>
            </w:r>
          </w:p>
        </w:tc>
        <w:tc>
          <w:tcPr>
            <w:tcW w:w="8202" w:type="dxa"/>
            <w:tcBorders>
              <w:tl2br w:val="nil"/>
              <w:tr2bl w:val="nil"/>
            </w:tcBorders>
            <w:noWrap w:val="0"/>
            <w:vAlign w:val="center"/>
          </w:tcPr>
          <w:p w14:paraId="2C639ED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80" w:lineRule="exact"/>
              <w:ind w:left="0" w:leftChars="0" w:right="0" w:rightChars="0" w:firstLine="0" w:firstLineChars="0"/>
              <w:jc w:val="both"/>
              <w:textAlignment w:val="auto"/>
              <w:outlineLvl w:val="9"/>
              <w:rPr>
                <w:rFonts w:hint="default" w:ascii="Times New Roman" w:hAnsi="Times New Roman" w:eastAsia="宋体" w:cs="Times New Roman"/>
                <w:b/>
                <w:color w:val="auto"/>
                <w:kern w:val="2"/>
                <w:sz w:val="24"/>
                <w:szCs w:val="24"/>
                <w:highlight w:val="none"/>
                <w:lang w:val="en-US" w:eastAsia="zh-CN" w:bidi="ar"/>
              </w:rPr>
            </w:pPr>
            <w:r>
              <w:rPr>
                <w:rFonts w:hint="eastAsia" w:cs="Times New Roman"/>
                <w:b/>
                <w:color w:val="auto"/>
                <w:kern w:val="2"/>
                <w:sz w:val="24"/>
                <w:szCs w:val="24"/>
                <w:highlight w:val="none"/>
                <w:lang w:val="en-US" w:eastAsia="zh-CN" w:bidi="ar"/>
              </w:rPr>
              <w:t>1.</w:t>
            </w:r>
            <w:r>
              <w:rPr>
                <w:rFonts w:hint="default" w:ascii="Times New Roman" w:hAnsi="Times New Roman" w:eastAsia="宋体" w:cs="Times New Roman"/>
                <w:b/>
                <w:color w:val="auto"/>
                <w:kern w:val="2"/>
                <w:sz w:val="24"/>
                <w:szCs w:val="24"/>
                <w:highlight w:val="none"/>
                <w:lang w:val="en-US" w:eastAsia="zh-CN" w:bidi="ar"/>
              </w:rPr>
              <w:t>环境空气质量现状</w:t>
            </w:r>
          </w:p>
          <w:p w14:paraId="5CEA156E">
            <w:pPr>
              <w:keepNext w:val="0"/>
              <w:keepLines w:val="0"/>
              <w:pageBreakBefore w:val="0"/>
              <w:suppressLineNumbers w:val="0"/>
              <w:kinsoku/>
              <w:wordWrap/>
              <w:overflowPunct/>
              <w:topLinePunct w:val="0"/>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（1）数据来源</w:t>
            </w:r>
          </w:p>
          <w:p w14:paraId="3588AAA5">
            <w:pPr>
              <w:keepNext w:val="0"/>
              <w:keepLines w:val="0"/>
              <w:pageBreakBefore w:val="0"/>
              <w:suppressLineNumbers w:val="0"/>
              <w:kinsoku/>
              <w:wordWrap/>
              <w:overflowPunct/>
              <w:topLinePunct w:val="0"/>
              <w:autoSpaceDN/>
              <w:bidi w:val="0"/>
              <w:adjustRightInd/>
              <w:snapToGrid/>
              <w:spacing w:before="0" w:beforeAutospacing="0" w:after="0" w:afterAutospacing="0" w:line="480" w:lineRule="exact"/>
              <w:ind w:left="0" w:right="0" w:firstLine="480" w:firstLineChars="200"/>
              <w:jc w:val="both"/>
              <w:textAlignment w:val="auto"/>
              <w:outlineLvl w:val="9"/>
              <w:rPr>
                <w:rFonts w:hint="default" w:eastAsia="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根据《建设项目环境影响报告表编制技术指南（污染影响类）（试行）》常规污染物引用与建设项目距离近的有效数据，包括近</w:t>
            </w:r>
            <w:r>
              <w:rPr>
                <w:rFonts w:hint="default" w:ascii="Times New Roman" w:hAnsi="宋体" w:cs="Times New Roman"/>
                <w:color w:val="000000" w:themeColor="text1"/>
                <w:kern w:val="2"/>
                <w:sz w:val="24"/>
                <w:szCs w:val="24"/>
                <w:highlight w:val="none"/>
                <w:lang w:val="en-US" w:eastAsia="zh-CN" w:bidi="ar"/>
                <w14:textFill>
                  <w14:solidFill>
                    <w14:schemeClr w14:val="tx1"/>
                  </w14:solidFill>
                </w14:textFill>
              </w:rPr>
              <w:t>3</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年的规划环境影响评价的监测数据，国家、地方环境空气质量监测网数据或生态环境主管部门公开发布的质量数据等。</w:t>
            </w:r>
            <w:r>
              <w:rPr>
                <w:rFonts w:hint="eastAsia" w:ascii="Times New Roman" w:eastAsia="宋体"/>
                <w:color w:val="000000" w:themeColor="text1"/>
                <w:highlight w:val="none"/>
                <w:lang w:val="en-US" w:eastAsia="zh-CN"/>
                <w14:textFill>
                  <w14:solidFill>
                    <w14:schemeClr w14:val="tx1"/>
                  </w14:solidFill>
                </w14:textFill>
              </w:rPr>
              <w:t>本次选择</w:t>
            </w:r>
            <w:r>
              <w:rPr>
                <w:rFonts w:hint="eastAsia"/>
                <w:color w:val="000000" w:themeColor="text1"/>
                <w:highlight w:val="none"/>
                <w:lang w:val="en-US" w:eastAsia="zh-CN"/>
                <w14:textFill>
                  <w14:solidFill>
                    <w14:schemeClr w14:val="tx1"/>
                  </w14:solidFill>
                </w14:textFill>
              </w:rPr>
              <w:t>阜康市天山天池监测站点</w:t>
            </w:r>
            <w:r>
              <w:rPr>
                <w:rFonts w:hint="default"/>
                <w:color w:val="000000" w:themeColor="text1"/>
                <w:highlight w:val="none"/>
                <w:lang w:val="en-US" w:eastAsia="zh-CN"/>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3</w:t>
            </w:r>
            <w:r>
              <w:rPr>
                <w:rFonts w:hint="eastAsia" w:ascii="Times New Roman" w:eastAsia="宋体"/>
                <w:color w:val="000000" w:themeColor="text1"/>
                <w:highlight w:val="none"/>
                <w:lang w:val="en-US" w:eastAsia="zh-CN"/>
                <w14:textFill>
                  <w14:solidFill>
                    <w14:schemeClr w14:val="tx1"/>
                  </w14:solidFill>
                </w14:textFill>
              </w:rPr>
              <w:t>年的监测数据作为本项目环境空气现状评价基本污染物</w:t>
            </w:r>
            <w:r>
              <w:rPr>
                <w:rFonts w:hint="default"/>
                <w:color w:val="000000" w:themeColor="text1"/>
                <w:highlight w:val="none"/>
                <w:lang w:val="en-US" w:eastAsia="zh-CN"/>
                <w14:textFill>
                  <w14:solidFill>
                    <w14:schemeClr w14:val="tx1"/>
                  </w14:solidFill>
                </w14:textFill>
              </w:rPr>
              <w:t>SO</w:t>
            </w:r>
            <w:r>
              <w:rPr>
                <w:rFonts w:hint="default"/>
                <w:color w:val="000000" w:themeColor="text1"/>
                <w:highlight w:val="none"/>
                <w:vertAlign w:val="subscript"/>
                <w:lang w:val="en-US" w:eastAsia="zh-CN"/>
                <w14:textFill>
                  <w14:solidFill>
                    <w14:schemeClr w14:val="tx1"/>
                  </w14:solidFill>
                </w14:textFill>
              </w:rPr>
              <w:t>2</w:t>
            </w:r>
            <w:r>
              <w:rPr>
                <w:rFonts w:hint="eastAsia" w:ascii="Times New Roman" w:eastAsia="宋体"/>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NO</w:t>
            </w:r>
            <w:r>
              <w:rPr>
                <w:rFonts w:hint="default"/>
                <w:color w:val="000000" w:themeColor="text1"/>
                <w:highlight w:val="none"/>
                <w:vertAlign w:val="subscript"/>
                <w:lang w:val="en-US" w:eastAsia="zh-CN"/>
                <w14:textFill>
                  <w14:solidFill>
                    <w14:schemeClr w14:val="tx1"/>
                  </w14:solidFill>
                </w14:textFill>
              </w:rPr>
              <w:t>2</w:t>
            </w:r>
            <w:r>
              <w:rPr>
                <w:rFonts w:hint="eastAsia" w:ascii="Times New Roman" w:eastAsia="宋体"/>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PM</w:t>
            </w:r>
            <w:r>
              <w:rPr>
                <w:rFonts w:hint="default"/>
                <w:color w:val="000000" w:themeColor="text1"/>
                <w:highlight w:val="none"/>
                <w:vertAlign w:val="subscript"/>
                <w:lang w:val="en-US" w:eastAsia="zh-CN"/>
                <w14:textFill>
                  <w14:solidFill>
                    <w14:schemeClr w14:val="tx1"/>
                  </w14:solidFill>
                </w14:textFill>
              </w:rPr>
              <w:t>10</w:t>
            </w:r>
            <w:r>
              <w:rPr>
                <w:rFonts w:hint="eastAsia" w:ascii="Times New Roman" w:eastAsia="宋体"/>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PM</w:t>
            </w:r>
            <w:r>
              <w:rPr>
                <w:rFonts w:hint="default"/>
                <w:color w:val="000000" w:themeColor="text1"/>
                <w:highlight w:val="none"/>
                <w:vertAlign w:val="subscript"/>
                <w:lang w:val="en-US" w:eastAsia="zh-CN"/>
                <w14:textFill>
                  <w14:solidFill>
                    <w14:schemeClr w14:val="tx1"/>
                  </w14:solidFill>
                </w14:textFill>
              </w:rPr>
              <w:t>2.5</w:t>
            </w:r>
            <w:r>
              <w:rPr>
                <w:rFonts w:hint="eastAsia" w:ascii="Times New Roman" w:eastAsia="宋体"/>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CO</w:t>
            </w:r>
            <w:r>
              <w:rPr>
                <w:rFonts w:hint="eastAsia" w:ascii="Times New Roman" w:eastAsia="宋体"/>
                <w:color w:val="000000" w:themeColor="text1"/>
                <w:highlight w:val="none"/>
                <w:lang w:val="en-US" w:eastAsia="zh-CN"/>
                <w14:textFill>
                  <w14:solidFill>
                    <w14:schemeClr w14:val="tx1"/>
                  </w14:solidFill>
                </w14:textFill>
              </w:rPr>
              <w:t>和</w:t>
            </w:r>
            <w:r>
              <w:rPr>
                <w:rFonts w:hint="default"/>
                <w:color w:val="000000" w:themeColor="text1"/>
                <w:highlight w:val="none"/>
                <w:lang w:val="en-US" w:eastAsia="zh-CN"/>
                <w14:textFill>
                  <w14:solidFill>
                    <w14:schemeClr w14:val="tx1"/>
                  </w14:solidFill>
                </w14:textFill>
              </w:rPr>
              <w:t>O</w:t>
            </w:r>
            <w:r>
              <w:rPr>
                <w:rFonts w:hint="default"/>
                <w:color w:val="000000" w:themeColor="text1"/>
                <w:highlight w:val="none"/>
                <w:vertAlign w:val="subscript"/>
                <w:lang w:val="en-US" w:eastAsia="zh-CN"/>
                <w14:textFill>
                  <w14:solidFill>
                    <w14:schemeClr w14:val="tx1"/>
                  </w14:solidFill>
                </w14:textFill>
              </w:rPr>
              <w:t>3</w:t>
            </w:r>
            <w:r>
              <w:rPr>
                <w:rFonts w:hint="eastAsia" w:ascii="Times New Roman" w:eastAsia="宋体"/>
                <w:color w:val="000000" w:themeColor="text1"/>
                <w:highlight w:val="none"/>
                <w:lang w:val="en-US" w:eastAsia="zh-CN"/>
                <w14:textFill>
                  <w14:solidFill>
                    <w14:schemeClr w14:val="tx1"/>
                  </w14:solidFill>
                </w14:textFill>
              </w:rPr>
              <w:t>的数据来源</w:t>
            </w:r>
            <w:r>
              <w:rPr>
                <w:rFonts w:hint="eastAsia" w:ascii="宋体" w:hAnsi="宋体" w:eastAsia="宋体" w:cs="宋体"/>
                <w:color w:val="000000" w:themeColor="text1"/>
                <w:kern w:val="2"/>
                <w:sz w:val="24"/>
                <w:szCs w:val="24"/>
                <w:highlight w:val="none"/>
                <w:shd w:val="clear" w:color="auto" w:fill="auto"/>
                <w:lang w:val="en-US" w:eastAsia="zh-CN" w:bidi="ar"/>
                <w14:textFill>
                  <w14:solidFill>
                    <w14:schemeClr w14:val="tx1"/>
                  </w14:solidFill>
                </w14:textFill>
              </w:rPr>
              <w:t>。</w:t>
            </w:r>
          </w:p>
          <w:p w14:paraId="17236AF6">
            <w:pPr>
              <w:keepNext w:val="0"/>
              <w:keepLines w:val="0"/>
              <w:pageBreakBefore w:val="0"/>
              <w:suppressLineNumbers w:val="0"/>
              <w:kinsoku/>
              <w:wordWrap/>
              <w:overflowPunct/>
              <w:topLinePunct w:val="0"/>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（2）评价标准</w:t>
            </w:r>
          </w:p>
          <w:p w14:paraId="0E699CBD">
            <w:pPr>
              <w:keepNext w:val="0"/>
              <w:keepLines w:val="0"/>
              <w:pageBreakBefore w:val="0"/>
              <w:suppressLineNumbers w:val="0"/>
              <w:kinsoku/>
              <w:wordWrap/>
              <w:overflowPunct/>
              <w:topLinePunct w:val="0"/>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评价标准：基本污染物NO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、SO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PM</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、CO、O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执行《环境空气质量标准》（GB3095-2012）二级标准</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及其修改单</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22EC8CA">
            <w:pPr>
              <w:keepNext w:val="0"/>
              <w:keepLines w:val="0"/>
              <w:pageBreakBefore w:val="0"/>
              <w:suppressLineNumbers w:val="0"/>
              <w:kinsoku/>
              <w:wordWrap/>
              <w:overflowPunct/>
              <w:topLinePunct w:val="0"/>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（3）评价方法</w:t>
            </w:r>
          </w:p>
          <w:p w14:paraId="30F45D3A">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480" w:lineRule="exact"/>
              <w:ind w:left="0" w:right="0" w:firstLine="480" w:firstLineChars="200"/>
              <w:jc w:val="both"/>
              <w:textAlignment w:val="auto"/>
              <w:outlineLvl w:val="9"/>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评价方法：基本污染物按照《环境空气质量评价技术规范（试行）》HJ663-2013中各评价项目的年评价指标进行判定。年评价指标中的年均浓度和相应百分位数24h平均或8h平均质量浓度满足GB3095中浓度限值要求的即为达标。</w:t>
            </w:r>
          </w:p>
          <w:p w14:paraId="33480CE1">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基本</w:t>
            </w:r>
            <w:r>
              <w:rPr>
                <w:rFonts w:hint="default" w:ascii="Times New Roman" w:hAnsi="Times New Roman" w:eastAsia="宋体" w:cs="Times New Roman"/>
                <w:color w:val="000000" w:themeColor="text1"/>
                <w:sz w:val="24"/>
                <w:szCs w:val="24"/>
                <w:highlight w:val="none"/>
                <w14:textFill>
                  <w14:solidFill>
                    <w14:schemeClr w14:val="tx1"/>
                  </w14:solidFill>
                </w14:textFill>
              </w:rPr>
              <w:t>污染物采用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占标率法</w:t>
            </w:r>
            <w:r>
              <w:rPr>
                <w:rFonts w:hint="default" w:ascii="Times New Roman" w:hAnsi="Times New Roman" w:eastAsia="宋体" w:cs="Times New Roman"/>
                <w:color w:val="000000" w:themeColor="text1"/>
                <w:sz w:val="24"/>
                <w:szCs w:val="24"/>
                <w:highlight w:val="none"/>
                <w14:textFill>
                  <w14:solidFill>
                    <w14:schemeClr w14:val="tx1"/>
                  </w14:solidFill>
                </w14:textFill>
              </w:rPr>
              <w:t>，其单项参数i在第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0i</w:t>
            </w:r>
            <w:r>
              <w:rPr>
                <w:rFonts w:hint="default" w:ascii="Times New Roman" w:hAnsi="Times New Roman" w:eastAsia="宋体" w:cs="Times New Roman"/>
                <w:color w:val="000000" w:themeColor="text1"/>
                <w:sz w:val="24"/>
                <w:szCs w:val="24"/>
                <w:highlight w:val="none"/>
                <w14:textFill>
                  <w14:solidFill>
                    <w14:schemeClr w14:val="tx1"/>
                  </w14:solidFill>
                </w14:textFill>
              </w:rPr>
              <w:t>点的标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占标率</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p>
          <w:p w14:paraId="08A0C780">
            <w:pPr>
              <w:keepNext w:val="0"/>
              <w:keepLines w:val="0"/>
              <w:widowControl/>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i/>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i/>
                <w:color w:val="000000" w:themeColor="text1"/>
                <w:position w:val="-30"/>
                <w:sz w:val="24"/>
                <w:szCs w:val="24"/>
                <w:highlight w:val="none"/>
                <w:lang w:eastAsia="zh-CN"/>
                <w14:textFill>
                  <w14:solidFill>
                    <w14:schemeClr w14:val="tx1"/>
                  </w14:solidFill>
                </w14:textFill>
              </w:rPr>
              <w:object>
                <v:shape id="_x0000_i1025" o:spt="75" type="#_x0000_t75" style="height:34pt;width:78pt;" o:ole="t" filled="f" o:preferrelative="t" stroked="f" coordsize="21600,21600">
                  <v:path/>
                  <v:fill on="f" focussize="0,0"/>
                  <v:stroke on="f"/>
                  <v:imagedata r:id="rId25" o:title=""/>
                  <o:lock v:ext="edit" aspectratio="t"/>
                  <w10:wrap type="none"/>
                  <w10:anchorlock/>
                </v:shape>
                <o:OLEObject Type="Embed" ProgID="Equation.KSEE3" ShapeID="_x0000_i1025" DrawAspect="Content" ObjectID="_1468075725" r:id="rId24">
                  <o:LockedField>false</o:LockedField>
                </o:OLEObject>
              </w:object>
            </w:r>
          </w:p>
          <w:p w14:paraId="2688AA22">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第i个污染物的最大地面空气质量浓度占标率，%</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29AFB1C">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highlight w:val="none"/>
                <w14:textFill>
                  <w14:solidFill>
                    <w14:schemeClr w14:val="tx1"/>
                  </w14:solidFill>
                </w14:textFill>
              </w:rPr>
              <w:t>－i污染物的浓度，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u</w:t>
            </w:r>
            <w:r>
              <w:rPr>
                <w:rFonts w:hint="default" w:ascii="Times New Roman" w:hAnsi="Times New Roman" w:eastAsia="宋体" w:cs="Times New Roman"/>
                <w:color w:val="000000" w:themeColor="text1"/>
                <w:sz w:val="24"/>
                <w:szCs w:val="24"/>
                <w:highlight w:val="none"/>
                <w14:textFill>
                  <w14:solidFill>
                    <w14:schemeClr w14:val="tx1"/>
                  </w14:solidFill>
                </w14:textFill>
              </w:rPr>
              <w:t>g/m³；</w:t>
            </w:r>
          </w:p>
          <w:p w14:paraId="6DBB2100">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C</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0i</w:t>
            </w:r>
            <w:r>
              <w:rPr>
                <w:rFonts w:hint="default" w:ascii="Times New Roman" w:hAnsi="Times New Roman" w:eastAsia="宋体" w:cs="Times New Roman"/>
                <w:color w:val="000000" w:themeColor="text1"/>
                <w:sz w:val="24"/>
                <w:szCs w:val="24"/>
                <w:highlight w:val="none"/>
                <w14:textFill>
                  <w14:solidFill>
                    <w14:schemeClr w14:val="tx1"/>
                  </w14:solidFill>
                </w14:textFill>
              </w:rPr>
              <w:t>－i污染物的评价标准，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u</w:t>
            </w:r>
            <w:r>
              <w:rPr>
                <w:rFonts w:hint="default" w:ascii="Times New Roman" w:hAnsi="Times New Roman" w:eastAsia="宋体" w:cs="Times New Roman"/>
                <w:color w:val="000000" w:themeColor="text1"/>
                <w:sz w:val="24"/>
                <w:szCs w:val="24"/>
                <w:highlight w:val="none"/>
                <w14:textFill>
                  <w14:solidFill>
                    <w14:schemeClr w14:val="tx1"/>
                  </w14:solidFill>
                </w14:textFill>
              </w:rPr>
              <w:t>g/m³。</w:t>
            </w:r>
          </w:p>
          <w:p w14:paraId="7BD11A96">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环境空气质量现状监测及评价结果见表</w:t>
            </w:r>
            <w:r>
              <w:rPr>
                <w:rFonts w:hint="default" w:ascii="Times New Roman" w:hAnsi="Times New Roman" w:cs="Times New Roman"/>
                <w:color w:val="000000" w:themeColor="text1"/>
                <w:highlight w:val="none"/>
                <w:lang w:val="en-US" w:eastAsia="zh-CN"/>
                <w14:textFill>
                  <w14:solidFill>
                    <w14:schemeClr w14:val="tx1"/>
                  </w14:solidFill>
                </w14:textFill>
              </w:rPr>
              <w:t>3-1</w:t>
            </w:r>
            <w:r>
              <w:rPr>
                <w:rFonts w:hint="default" w:ascii="Times New Roman" w:hAnsi="Times New Roman" w:cs="Times New Roman"/>
                <w:color w:val="000000" w:themeColor="text1"/>
                <w:highlight w:val="none"/>
                <w14:textFill>
                  <w14:solidFill>
                    <w14:schemeClr w14:val="tx1"/>
                  </w14:solidFill>
                </w14:textFill>
              </w:rPr>
              <w:t>。</w:t>
            </w:r>
          </w:p>
          <w:p w14:paraId="3FA39C8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right="0"/>
              <w:textAlignment w:val="auto"/>
              <w:rPr>
                <w:rFonts w:hint="default" w:ascii="Times New Roman" w:hAnsi="Times New Roman" w:cs="Times New Roman"/>
                <w:b/>
                <w:bCs/>
                <w:color w:val="000000" w:themeColor="text1"/>
                <w:sz w:val="24"/>
                <w:szCs w:val="24"/>
                <w:highlight w:val="none"/>
                <w:vertAlign w:val="superscript"/>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 xml:space="preserve">3-1 </w:t>
            </w:r>
            <w:r>
              <w:rPr>
                <w:rFonts w:hint="default" w:ascii="Times New Roman" w:hAnsi="Times New Roman" w:cs="Times New Roman"/>
                <w:b/>
                <w:bCs/>
                <w:color w:val="000000" w:themeColor="text1"/>
                <w:sz w:val="24"/>
                <w:szCs w:val="24"/>
                <w:highlight w:val="none"/>
                <w14:textFill>
                  <w14:solidFill>
                    <w14:schemeClr w14:val="tx1"/>
                  </w14:solidFill>
                </w14:textFill>
              </w:rPr>
              <w:t xml:space="preserve">  环境空气基本污染物现状监测结果及评价统计表</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highlight w:val="none"/>
                <w14:textFill>
                  <w14:solidFill>
                    <w14:schemeClr w14:val="tx1"/>
                  </w14:solidFill>
                </w14:textFill>
              </w:rPr>
              <w:t>单位：mg/m</w:t>
            </w:r>
            <w:r>
              <w:rPr>
                <w:rFonts w:hint="default" w:ascii="Times New Roman" w:hAnsi="Times New Roman" w:cs="Times New Roman"/>
                <w:b/>
                <w:bCs/>
                <w:color w:val="000000" w:themeColor="text1"/>
                <w:sz w:val="24"/>
                <w:szCs w:val="24"/>
                <w:highlight w:val="none"/>
                <w:vertAlign w:val="superscript"/>
                <w14:textFill>
                  <w14:solidFill>
                    <w14:schemeClr w14:val="tx1"/>
                  </w14:solidFill>
                </w14:textFill>
              </w:rPr>
              <w:t>3</w:t>
            </w:r>
          </w:p>
          <w:tbl>
            <w:tblPr>
              <w:tblStyle w:val="23"/>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58"/>
              <w:gridCol w:w="2583"/>
              <w:gridCol w:w="1232"/>
              <w:gridCol w:w="1232"/>
              <w:gridCol w:w="978"/>
              <w:gridCol w:w="1002"/>
            </w:tblGrid>
            <w:tr w14:paraId="172CEC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946" w:type="dxa"/>
                  <w:tcBorders>
                    <w:tl2br w:val="nil"/>
                    <w:tr2bl w:val="nil"/>
                  </w:tcBorders>
                  <w:shd w:val="clear" w:color="auto" w:fill="auto"/>
                  <w:vAlign w:val="center"/>
                </w:tcPr>
                <w:p w14:paraId="22501A6F">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b/>
                      <w:bCs/>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污染物</w:t>
                  </w:r>
                </w:p>
              </w:tc>
              <w:tc>
                <w:tcPr>
                  <w:tcW w:w="2552" w:type="dxa"/>
                  <w:tcBorders>
                    <w:tl2br w:val="nil"/>
                    <w:tr2bl w:val="nil"/>
                  </w:tcBorders>
                  <w:shd w:val="clear" w:color="auto" w:fill="auto"/>
                  <w:vAlign w:val="center"/>
                </w:tcPr>
                <w:p w14:paraId="76F81FA5">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b/>
                      <w:bCs/>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年评价指标</w:t>
                  </w:r>
                </w:p>
              </w:tc>
              <w:tc>
                <w:tcPr>
                  <w:tcW w:w="1217" w:type="dxa"/>
                  <w:tcBorders>
                    <w:tl2br w:val="nil"/>
                    <w:tr2bl w:val="nil"/>
                  </w:tcBorders>
                  <w:shd w:val="clear" w:color="auto" w:fill="auto"/>
                  <w:vAlign w:val="center"/>
                </w:tcPr>
                <w:p w14:paraId="69EED885">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b/>
                      <w:bCs/>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现状浓度</w:t>
                  </w:r>
                </w:p>
                <w:p w14:paraId="520D53B6">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b/>
                      <w:bCs/>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w:t>
                  </w:r>
                  <w:r>
                    <w:rPr>
                      <w:rFonts w:hint="default" w:ascii="Times New Roman" w:hAnsi="Times New Roman" w:cs="Times New Roman"/>
                      <w:b/>
                      <w:bCs/>
                      <w:color w:val="000000" w:themeColor="text1"/>
                      <w:kern w:val="2"/>
                      <w:sz w:val="21"/>
                      <w:szCs w:val="21"/>
                      <w:highlight w:val="none"/>
                      <w:lang w:val="en-US" w:eastAsia="zh-CN" w:bidi="ar"/>
                      <w14:textFill>
                        <w14:solidFill>
                          <w14:schemeClr w14:val="tx1"/>
                        </w14:solidFill>
                      </w14:textFill>
                    </w:rPr>
                    <w:t>μg/m</w:t>
                  </w:r>
                  <w:r>
                    <w:rPr>
                      <w:rFonts w:hint="default" w:ascii="Times New Roman" w:hAnsi="Times New Roman" w:cs="Times New Roman"/>
                      <w:b/>
                      <w:bCs/>
                      <w:color w:val="000000" w:themeColor="text1"/>
                      <w:kern w:val="2"/>
                      <w:sz w:val="21"/>
                      <w:szCs w:val="21"/>
                      <w:highlight w:val="none"/>
                      <w:vertAlign w:val="superscript"/>
                      <w:lang w:val="en-US" w:eastAsia="zh-CN" w:bidi="ar"/>
                      <w14:textFill>
                        <w14:solidFill>
                          <w14:schemeClr w14:val="tx1"/>
                        </w14:solidFill>
                      </w14:textFill>
                    </w:rPr>
                    <w:t>3</w:t>
                  </w: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w:t>
                  </w:r>
                </w:p>
              </w:tc>
              <w:tc>
                <w:tcPr>
                  <w:tcW w:w="1217" w:type="dxa"/>
                  <w:tcBorders>
                    <w:tl2br w:val="nil"/>
                    <w:tr2bl w:val="nil"/>
                  </w:tcBorders>
                  <w:shd w:val="clear" w:color="auto" w:fill="auto"/>
                  <w:vAlign w:val="center"/>
                </w:tcPr>
                <w:p w14:paraId="66A20DF7">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b/>
                      <w:bCs/>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标准限值</w:t>
                  </w:r>
                </w:p>
                <w:p w14:paraId="30889710">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b/>
                      <w:bCs/>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w:t>
                  </w:r>
                  <w:r>
                    <w:rPr>
                      <w:rFonts w:hint="default" w:ascii="Times New Roman" w:hAnsi="Times New Roman" w:cs="Times New Roman"/>
                      <w:b/>
                      <w:bCs/>
                      <w:color w:val="000000" w:themeColor="text1"/>
                      <w:kern w:val="2"/>
                      <w:sz w:val="21"/>
                      <w:szCs w:val="21"/>
                      <w:highlight w:val="none"/>
                      <w:lang w:val="en-US" w:eastAsia="zh-CN" w:bidi="ar"/>
                      <w14:textFill>
                        <w14:solidFill>
                          <w14:schemeClr w14:val="tx1"/>
                        </w14:solidFill>
                      </w14:textFill>
                    </w:rPr>
                    <w:t>μg/m</w:t>
                  </w:r>
                  <w:r>
                    <w:rPr>
                      <w:rFonts w:hint="default" w:ascii="Times New Roman" w:hAnsi="Times New Roman" w:cs="Times New Roman"/>
                      <w:b/>
                      <w:bCs/>
                      <w:color w:val="000000" w:themeColor="text1"/>
                      <w:kern w:val="2"/>
                      <w:sz w:val="21"/>
                      <w:szCs w:val="21"/>
                      <w:highlight w:val="none"/>
                      <w:vertAlign w:val="superscript"/>
                      <w:lang w:val="en-US" w:eastAsia="zh-CN" w:bidi="ar"/>
                      <w14:textFill>
                        <w14:solidFill>
                          <w14:schemeClr w14:val="tx1"/>
                        </w14:solidFill>
                      </w14:textFill>
                    </w:rPr>
                    <w:t>3</w:t>
                  </w: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w:t>
                  </w:r>
                </w:p>
              </w:tc>
              <w:tc>
                <w:tcPr>
                  <w:tcW w:w="966" w:type="dxa"/>
                  <w:tcBorders>
                    <w:tl2br w:val="nil"/>
                    <w:tr2bl w:val="nil"/>
                  </w:tcBorders>
                  <w:shd w:val="clear" w:color="auto" w:fill="auto"/>
                  <w:vAlign w:val="center"/>
                </w:tcPr>
                <w:p w14:paraId="4B348883">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b/>
                      <w:bCs/>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占标率</w:t>
                  </w:r>
                </w:p>
                <w:p w14:paraId="4566DECD">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b/>
                      <w:bCs/>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w:t>
                  </w:r>
                  <w:r>
                    <w:rPr>
                      <w:rFonts w:hint="default" w:ascii="Times New Roman" w:hAnsi="Times New Roman" w:cs="Times New Roman"/>
                      <w:b/>
                      <w:bCs/>
                      <w:color w:val="000000" w:themeColor="text1"/>
                      <w:kern w:val="2"/>
                      <w:sz w:val="21"/>
                      <w:szCs w:val="21"/>
                      <w:highlight w:val="none"/>
                      <w:lang w:val="en-US" w:eastAsia="zh-CN" w:bidi="ar"/>
                      <w14:textFill>
                        <w14:solidFill>
                          <w14:schemeClr w14:val="tx1"/>
                        </w14:solidFill>
                      </w14:textFill>
                    </w:rPr>
                    <w:t>%</w:t>
                  </w: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w:t>
                  </w:r>
                </w:p>
              </w:tc>
              <w:tc>
                <w:tcPr>
                  <w:tcW w:w="990" w:type="dxa"/>
                  <w:tcBorders>
                    <w:tl2br w:val="nil"/>
                    <w:tr2bl w:val="nil"/>
                  </w:tcBorders>
                  <w:shd w:val="clear" w:color="auto" w:fill="auto"/>
                  <w:vAlign w:val="center"/>
                </w:tcPr>
                <w:p w14:paraId="6A9795ED">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b/>
                      <w:bCs/>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达标情况</w:t>
                  </w:r>
                </w:p>
              </w:tc>
            </w:tr>
            <w:tr w14:paraId="1FC8DE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6" w:type="dxa"/>
                  <w:tcBorders>
                    <w:tl2br w:val="nil"/>
                    <w:tr2bl w:val="nil"/>
                  </w:tcBorders>
                  <w:shd w:val="clear" w:color="auto" w:fill="auto"/>
                  <w:vAlign w:val="center"/>
                </w:tcPr>
                <w:p w14:paraId="660B9332">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SO</w:t>
                  </w:r>
                  <w:r>
                    <w:rPr>
                      <w:rFonts w:hint="default" w:ascii="Times New Roman" w:hAnsi="Times New Roman" w:cs="Times New Roman"/>
                      <w:color w:val="000000" w:themeColor="text1"/>
                      <w:kern w:val="2"/>
                      <w:sz w:val="21"/>
                      <w:szCs w:val="21"/>
                      <w:highlight w:val="none"/>
                      <w:vertAlign w:val="subscript"/>
                      <w:lang w:val="en-US" w:eastAsia="zh-CN" w:bidi="ar"/>
                      <w14:textFill>
                        <w14:solidFill>
                          <w14:schemeClr w14:val="tx1"/>
                        </w14:solidFill>
                      </w14:textFill>
                    </w:rPr>
                    <w:t>2</w:t>
                  </w:r>
                </w:p>
              </w:tc>
              <w:tc>
                <w:tcPr>
                  <w:tcW w:w="2552" w:type="dxa"/>
                  <w:tcBorders>
                    <w:tl2br w:val="nil"/>
                    <w:tr2bl w:val="nil"/>
                  </w:tcBorders>
                  <w:shd w:val="clear" w:color="auto" w:fill="auto"/>
                  <w:vAlign w:val="center"/>
                </w:tcPr>
                <w:p w14:paraId="3152EF1C">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年平均质量浓度</w:t>
                  </w:r>
                </w:p>
              </w:tc>
              <w:tc>
                <w:tcPr>
                  <w:tcW w:w="1217" w:type="dxa"/>
                  <w:tcBorders>
                    <w:tl2br w:val="nil"/>
                    <w:tr2bl w:val="nil"/>
                  </w:tcBorders>
                  <w:shd w:val="clear" w:color="auto" w:fill="auto"/>
                  <w:vAlign w:val="center"/>
                </w:tcPr>
                <w:p w14:paraId="0AFD00E7">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7</w:t>
                  </w:r>
                </w:p>
              </w:tc>
              <w:tc>
                <w:tcPr>
                  <w:tcW w:w="1217" w:type="dxa"/>
                  <w:tcBorders>
                    <w:tl2br w:val="nil"/>
                    <w:tr2bl w:val="nil"/>
                  </w:tcBorders>
                  <w:shd w:val="clear" w:color="auto" w:fill="auto"/>
                  <w:vAlign w:val="center"/>
                </w:tcPr>
                <w:p w14:paraId="0736964A">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60</w:t>
                  </w:r>
                </w:p>
              </w:tc>
              <w:tc>
                <w:tcPr>
                  <w:tcW w:w="966" w:type="dxa"/>
                  <w:tcBorders>
                    <w:tl2br w:val="nil"/>
                    <w:tr2bl w:val="nil"/>
                  </w:tcBorders>
                  <w:shd w:val="clear" w:color="auto" w:fill="auto"/>
                  <w:vAlign w:val="center"/>
                </w:tcPr>
                <w:p w14:paraId="2B60DC53">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 xml:space="preserve">11.7 </w:t>
                  </w:r>
                </w:p>
              </w:tc>
              <w:tc>
                <w:tcPr>
                  <w:tcW w:w="990" w:type="dxa"/>
                  <w:tcBorders>
                    <w:tl2br w:val="nil"/>
                    <w:tr2bl w:val="nil"/>
                  </w:tcBorders>
                  <w:shd w:val="clear" w:color="auto" w:fill="auto"/>
                  <w:vAlign w:val="center"/>
                </w:tcPr>
                <w:p w14:paraId="555CBAE2">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达标</w:t>
                  </w:r>
                </w:p>
              </w:tc>
            </w:tr>
            <w:tr w14:paraId="4BAF33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946" w:type="dxa"/>
                  <w:tcBorders>
                    <w:tl2br w:val="nil"/>
                    <w:tr2bl w:val="nil"/>
                  </w:tcBorders>
                  <w:shd w:val="clear" w:color="auto" w:fill="auto"/>
                  <w:vAlign w:val="center"/>
                </w:tcPr>
                <w:p w14:paraId="572E43D8">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NO</w:t>
                  </w:r>
                  <w:r>
                    <w:rPr>
                      <w:rFonts w:hint="default" w:ascii="Times New Roman" w:hAnsi="Times New Roman" w:cs="Times New Roman"/>
                      <w:color w:val="000000" w:themeColor="text1"/>
                      <w:kern w:val="2"/>
                      <w:sz w:val="21"/>
                      <w:szCs w:val="21"/>
                      <w:highlight w:val="none"/>
                      <w:vertAlign w:val="subscript"/>
                      <w:lang w:val="en-US" w:eastAsia="zh-CN" w:bidi="ar"/>
                      <w14:textFill>
                        <w14:solidFill>
                          <w14:schemeClr w14:val="tx1"/>
                        </w14:solidFill>
                      </w14:textFill>
                    </w:rPr>
                    <w:t>2</w:t>
                  </w:r>
                </w:p>
              </w:tc>
              <w:tc>
                <w:tcPr>
                  <w:tcW w:w="2552" w:type="dxa"/>
                  <w:tcBorders>
                    <w:tl2br w:val="nil"/>
                    <w:tr2bl w:val="nil"/>
                  </w:tcBorders>
                  <w:shd w:val="clear" w:color="auto" w:fill="auto"/>
                  <w:vAlign w:val="center"/>
                </w:tcPr>
                <w:p w14:paraId="32EF3965">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年平均质量浓度</w:t>
                  </w:r>
                </w:p>
              </w:tc>
              <w:tc>
                <w:tcPr>
                  <w:tcW w:w="1217" w:type="dxa"/>
                  <w:tcBorders>
                    <w:tl2br w:val="nil"/>
                    <w:tr2bl w:val="nil"/>
                  </w:tcBorders>
                  <w:shd w:val="clear" w:color="auto" w:fill="auto"/>
                  <w:vAlign w:val="center"/>
                </w:tcPr>
                <w:p w14:paraId="1E626C3E">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32</w:t>
                  </w:r>
                </w:p>
              </w:tc>
              <w:tc>
                <w:tcPr>
                  <w:tcW w:w="1217" w:type="dxa"/>
                  <w:tcBorders>
                    <w:tl2br w:val="nil"/>
                    <w:tr2bl w:val="nil"/>
                  </w:tcBorders>
                  <w:shd w:val="clear" w:color="auto" w:fill="auto"/>
                  <w:vAlign w:val="center"/>
                </w:tcPr>
                <w:p w14:paraId="1DBD4613">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40</w:t>
                  </w:r>
                </w:p>
              </w:tc>
              <w:tc>
                <w:tcPr>
                  <w:tcW w:w="966" w:type="dxa"/>
                  <w:tcBorders>
                    <w:tl2br w:val="nil"/>
                    <w:tr2bl w:val="nil"/>
                  </w:tcBorders>
                  <w:shd w:val="clear" w:color="auto" w:fill="auto"/>
                  <w:vAlign w:val="center"/>
                </w:tcPr>
                <w:p w14:paraId="42385231">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80.0</w:t>
                  </w:r>
                </w:p>
              </w:tc>
              <w:tc>
                <w:tcPr>
                  <w:tcW w:w="990" w:type="dxa"/>
                  <w:tcBorders>
                    <w:tl2br w:val="nil"/>
                    <w:tr2bl w:val="nil"/>
                  </w:tcBorders>
                  <w:shd w:val="clear" w:color="auto" w:fill="auto"/>
                  <w:vAlign w:val="center"/>
                </w:tcPr>
                <w:p w14:paraId="0F7C0A22">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达标</w:t>
                  </w:r>
                </w:p>
              </w:tc>
            </w:tr>
            <w:tr w14:paraId="0D4678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6" w:type="dxa"/>
                  <w:tcBorders>
                    <w:tl2br w:val="nil"/>
                    <w:tr2bl w:val="nil"/>
                  </w:tcBorders>
                  <w:shd w:val="clear" w:color="auto" w:fill="auto"/>
                  <w:vAlign w:val="center"/>
                </w:tcPr>
                <w:p w14:paraId="08C90071">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CO</w:t>
                  </w:r>
                </w:p>
              </w:tc>
              <w:tc>
                <w:tcPr>
                  <w:tcW w:w="2552" w:type="dxa"/>
                  <w:tcBorders>
                    <w:tl2br w:val="nil"/>
                    <w:tr2bl w:val="nil"/>
                  </w:tcBorders>
                  <w:shd w:val="clear" w:color="auto" w:fill="auto"/>
                  <w:vAlign w:val="center"/>
                </w:tcPr>
                <w:p w14:paraId="761704D6">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第</w:t>
                  </w: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95</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百分位数日平均浓度</w:t>
                  </w:r>
                </w:p>
              </w:tc>
              <w:tc>
                <w:tcPr>
                  <w:tcW w:w="1217" w:type="dxa"/>
                  <w:tcBorders>
                    <w:tl2br w:val="nil"/>
                    <w:tr2bl w:val="nil"/>
                  </w:tcBorders>
                  <w:shd w:val="clear" w:color="auto" w:fill="auto"/>
                  <w:vAlign w:val="center"/>
                </w:tcPr>
                <w:p w14:paraId="3167A28C">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2200</w:t>
                  </w:r>
                </w:p>
              </w:tc>
              <w:tc>
                <w:tcPr>
                  <w:tcW w:w="1217" w:type="dxa"/>
                  <w:tcBorders>
                    <w:tl2br w:val="nil"/>
                    <w:tr2bl w:val="nil"/>
                  </w:tcBorders>
                  <w:shd w:val="clear" w:color="auto" w:fill="auto"/>
                  <w:vAlign w:val="center"/>
                </w:tcPr>
                <w:p w14:paraId="674D6036">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4000</w:t>
                  </w:r>
                </w:p>
              </w:tc>
              <w:tc>
                <w:tcPr>
                  <w:tcW w:w="966" w:type="dxa"/>
                  <w:tcBorders>
                    <w:tl2br w:val="nil"/>
                    <w:tr2bl w:val="nil"/>
                  </w:tcBorders>
                  <w:shd w:val="clear" w:color="auto" w:fill="auto"/>
                  <w:vAlign w:val="center"/>
                </w:tcPr>
                <w:p w14:paraId="6379B0E8">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55.0</w:t>
                  </w:r>
                </w:p>
              </w:tc>
              <w:tc>
                <w:tcPr>
                  <w:tcW w:w="990" w:type="dxa"/>
                  <w:tcBorders>
                    <w:tl2br w:val="nil"/>
                    <w:tr2bl w:val="nil"/>
                  </w:tcBorders>
                  <w:shd w:val="clear" w:color="auto" w:fill="auto"/>
                  <w:vAlign w:val="center"/>
                </w:tcPr>
                <w:p w14:paraId="5073A907">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达标</w:t>
                  </w:r>
                </w:p>
              </w:tc>
            </w:tr>
            <w:tr w14:paraId="48D898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946" w:type="dxa"/>
                  <w:tcBorders>
                    <w:tl2br w:val="nil"/>
                    <w:tr2bl w:val="nil"/>
                  </w:tcBorders>
                  <w:shd w:val="clear" w:color="auto" w:fill="auto"/>
                  <w:vAlign w:val="center"/>
                </w:tcPr>
                <w:p w14:paraId="1882EDAB">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O</w:t>
                  </w:r>
                  <w:r>
                    <w:rPr>
                      <w:rFonts w:hint="default" w:ascii="Times New Roman" w:hAnsi="Times New Roman" w:cs="Times New Roman"/>
                      <w:color w:val="000000" w:themeColor="text1"/>
                      <w:kern w:val="2"/>
                      <w:sz w:val="21"/>
                      <w:szCs w:val="21"/>
                      <w:highlight w:val="none"/>
                      <w:vertAlign w:val="subscript"/>
                      <w:lang w:val="en-US" w:eastAsia="zh-CN" w:bidi="ar"/>
                      <w14:textFill>
                        <w14:solidFill>
                          <w14:schemeClr w14:val="tx1"/>
                        </w14:solidFill>
                      </w14:textFill>
                    </w:rPr>
                    <w:t>3</w:t>
                  </w:r>
                </w:p>
              </w:tc>
              <w:tc>
                <w:tcPr>
                  <w:tcW w:w="2552" w:type="dxa"/>
                  <w:tcBorders>
                    <w:tl2br w:val="nil"/>
                    <w:tr2bl w:val="nil"/>
                  </w:tcBorders>
                  <w:shd w:val="clear" w:color="auto" w:fill="auto"/>
                  <w:vAlign w:val="center"/>
                </w:tcPr>
                <w:p w14:paraId="1808E0D4">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第</w:t>
                  </w: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90</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百分位数</w:t>
                  </w: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8</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小时日平均浓度</w:t>
                  </w:r>
                </w:p>
              </w:tc>
              <w:tc>
                <w:tcPr>
                  <w:tcW w:w="1217" w:type="dxa"/>
                  <w:tcBorders>
                    <w:tl2br w:val="nil"/>
                    <w:tr2bl w:val="nil"/>
                  </w:tcBorders>
                  <w:shd w:val="clear" w:color="auto" w:fill="auto"/>
                  <w:vAlign w:val="center"/>
                </w:tcPr>
                <w:p w14:paraId="5AFA0F05">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143</w:t>
                  </w:r>
                </w:p>
              </w:tc>
              <w:tc>
                <w:tcPr>
                  <w:tcW w:w="1217" w:type="dxa"/>
                  <w:tcBorders>
                    <w:tl2br w:val="nil"/>
                    <w:tr2bl w:val="nil"/>
                  </w:tcBorders>
                  <w:shd w:val="clear" w:color="auto" w:fill="auto"/>
                  <w:vAlign w:val="center"/>
                </w:tcPr>
                <w:p w14:paraId="0B671E05">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160</w:t>
                  </w:r>
                </w:p>
              </w:tc>
              <w:tc>
                <w:tcPr>
                  <w:tcW w:w="966" w:type="dxa"/>
                  <w:tcBorders>
                    <w:tl2br w:val="nil"/>
                    <w:tr2bl w:val="nil"/>
                  </w:tcBorders>
                  <w:shd w:val="clear" w:color="auto" w:fill="auto"/>
                  <w:vAlign w:val="center"/>
                </w:tcPr>
                <w:p w14:paraId="40F6AD9F">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89.4</w:t>
                  </w:r>
                </w:p>
              </w:tc>
              <w:tc>
                <w:tcPr>
                  <w:tcW w:w="990" w:type="dxa"/>
                  <w:tcBorders>
                    <w:tl2br w:val="nil"/>
                    <w:tr2bl w:val="nil"/>
                  </w:tcBorders>
                  <w:shd w:val="clear" w:color="auto" w:fill="auto"/>
                  <w:vAlign w:val="center"/>
                </w:tcPr>
                <w:p w14:paraId="19AF47C7">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达标</w:t>
                  </w:r>
                </w:p>
              </w:tc>
            </w:tr>
            <w:tr w14:paraId="4899DE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946" w:type="dxa"/>
                  <w:tcBorders>
                    <w:tl2br w:val="nil"/>
                    <w:tr2bl w:val="nil"/>
                  </w:tcBorders>
                  <w:shd w:val="clear" w:color="auto" w:fill="auto"/>
                  <w:vAlign w:val="center"/>
                </w:tcPr>
                <w:p w14:paraId="1A92BD40">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PM</w:t>
                  </w:r>
                  <w:r>
                    <w:rPr>
                      <w:rFonts w:hint="default" w:ascii="Times New Roman" w:hAnsi="Times New Roman" w:cs="Times New Roman"/>
                      <w:color w:val="000000" w:themeColor="text1"/>
                      <w:kern w:val="2"/>
                      <w:sz w:val="21"/>
                      <w:szCs w:val="21"/>
                      <w:highlight w:val="none"/>
                      <w:vertAlign w:val="subscript"/>
                      <w:lang w:val="en-US" w:eastAsia="zh-CN" w:bidi="ar"/>
                      <w14:textFill>
                        <w14:solidFill>
                          <w14:schemeClr w14:val="tx1"/>
                        </w14:solidFill>
                      </w14:textFill>
                    </w:rPr>
                    <w:t>10</w:t>
                  </w:r>
                </w:p>
              </w:tc>
              <w:tc>
                <w:tcPr>
                  <w:tcW w:w="2552" w:type="dxa"/>
                  <w:tcBorders>
                    <w:tl2br w:val="nil"/>
                    <w:tr2bl w:val="nil"/>
                  </w:tcBorders>
                  <w:shd w:val="clear" w:color="auto" w:fill="auto"/>
                  <w:vAlign w:val="center"/>
                </w:tcPr>
                <w:p w14:paraId="0243575C">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年平均质量浓度</w:t>
                  </w:r>
                </w:p>
              </w:tc>
              <w:tc>
                <w:tcPr>
                  <w:tcW w:w="1217" w:type="dxa"/>
                  <w:tcBorders>
                    <w:tl2br w:val="nil"/>
                    <w:tr2bl w:val="nil"/>
                  </w:tcBorders>
                  <w:shd w:val="clear" w:color="auto" w:fill="auto"/>
                  <w:vAlign w:val="center"/>
                </w:tcPr>
                <w:p w14:paraId="1A1F1A8E">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83</w:t>
                  </w:r>
                </w:p>
              </w:tc>
              <w:tc>
                <w:tcPr>
                  <w:tcW w:w="1217" w:type="dxa"/>
                  <w:tcBorders>
                    <w:tl2br w:val="nil"/>
                    <w:tr2bl w:val="nil"/>
                  </w:tcBorders>
                  <w:shd w:val="clear" w:color="auto" w:fill="auto"/>
                  <w:vAlign w:val="center"/>
                </w:tcPr>
                <w:p w14:paraId="3E62454D">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70</w:t>
                  </w:r>
                </w:p>
              </w:tc>
              <w:tc>
                <w:tcPr>
                  <w:tcW w:w="966" w:type="dxa"/>
                  <w:tcBorders>
                    <w:tl2br w:val="nil"/>
                    <w:tr2bl w:val="nil"/>
                  </w:tcBorders>
                  <w:shd w:val="clear" w:color="auto" w:fill="auto"/>
                  <w:vAlign w:val="center"/>
                </w:tcPr>
                <w:p w14:paraId="6B036047">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118.6</w:t>
                  </w:r>
                </w:p>
              </w:tc>
              <w:tc>
                <w:tcPr>
                  <w:tcW w:w="990" w:type="dxa"/>
                  <w:tcBorders>
                    <w:tl2br w:val="nil"/>
                    <w:tr2bl w:val="nil"/>
                  </w:tcBorders>
                  <w:shd w:val="clear" w:color="auto" w:fill="auto"/>
                  <w:vAlign w:val="center"/>
                </w:tcPr>
                <w:p w14:paraId="3064A76B">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超标</w:t>
                  </w:r>
                </w:p>
              </w:tc>
            </w:tr>
            <w:tr w14:paraId="014875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946" w:type="dxa"/>
                  <w:tcBorders>
                    <w:tl2br w:val="nil"/>
                    <w:tr2bl w:val="nil"/>
                  </w:tcBorders>
                  <w:shd w:val="clear" w:color="auto" w:fill="auto"/>
                  <w:vAlign w:val="center"/>
                </w:tcPr>
                <w:p w14:paraId="1F72B037">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PM</w:t>
                  </w:r>
                  <w:r>
                    <w:rPr>
                      <w:rFonts w:hint="default" w:ascii="Times New Roman" w:hAnsi="Times New Roman" w:cs="Times New Roman"/>
                      <w:color w:val="000000" w:themeColor="text1"/>
                      <w:kern w:val="2"/>
                      <w:sz w:val="21"/>
                      <w:szCs w:val="21"/>
                      <w:highlight w:val="none"/>
                      <w:vertAlign w:val="subscript"/>
                      <w:lang w:val="en-US" w:eastAsia="zh-CN" w:bidi="ar"/>
                      <w14:textFill>
                        <w14:solidFill>
                          <w14:schemeClr w14:val="tx1"/>
                        </w14:solidFill>
                      </w14:textFill>
                    </w:rPr>
                    <w:t>2.5</w:t>
                  </w:r>
                </w:p>
              </w:tc>
              <w:tc>
                <w:tcPr>
                  <w:tcW w:w="2552" w:type="dxa"/>
                  <w:tcBorders>
                    <w:tl2br w:val="nil"/>
                    <w:tr2bl w:val="nil"/>
                  </w:tcBorders>
                  <w:shd w:val="clear" w:color="auto" w:fill="auto"/>
                  <w:vAlign w:val="center"/>
                </w:tcPr>
                <w:p w14:paraId="0ED08E4A">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年平均质量浓度</w:t>
                  </w:r>
                </w:p>
              </w:tc>
              <w:tc>
                <w:tcPr>
                  <w:tcW w:w="1217" w:type="dxa"/>
                  <w:tcBorders>
                    <w:tl2br w:val="nil"/>
                    <w:tr2bl w:val="nil"/>
                  </w:tcBorders>
                  <w:shd w:val="clear" w:color="auto" w:fill="auto"/>
                  <w:vAlign w:val="center"/>
                </w:tcPr>
                <w:p w14:paraId="18A3DC80">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48</w:t>
                  </w:r>
                </w:p>
              </w:tc>
              <w:tc>
                <w:tcPr>
                  <w:tcW w:w="1217" w:type="dxa"/>
                  <w:tcBorders>
                    <w:tl2br w:val="nil"/>
                    <w:tr2bl w:val="nil"/>
                  </w:tcBorders>
                  <w:shd w:val="clear" w:color="auto" w:fill="auto"/>
                  <w:vAlign w:val="center"/>
                </w:tcPr>
                <w:p w14:paraId="46BF538A">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35</w:t>
                  </w:r>
                </w:p>
              </w:tc>
              <w:tc>
                <w:tcPr>
                  <w:tcW w:w="966" w:type="dxa"/>
                  <w:tcBorders>
                    <w:tl2br w:val="nil"/>
                    <w:tr2bl w:val="nil"/>
                  </w:tcBorders>
                  <w:shd w:val="clear" w:color="auto" w:fill="auto"/>
                  <w:vAlign w:val="center"/>
                </w:tcPr>
                <w:p w14:paraId="0334FFE2">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 xml:space="preserve">137.1 </w:t>
                  </w:r>
                </w:p>
              </w:tc>
              <w:tc>
                <w:tcPr>
                  <w:tcW w:w="990" w:type="dxa"/>
                  <w:tcBorders>
                    <w:tl2br w:val="nil"/>
                    <w:tr2bl w:val="nil"/>
                  </w:tcBorders>
                  <w:shd w:val="clear" w:color="auto" w:fill="auto"/>
                  <w:vAlign w:val="center"/>
                </w:tcPr>
                <w:p w14:paraId="08A791AF">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cs="宋体"/>
                      <w:color w:val="000000" w:themeColor="text1"/>
                      <w:kern w:val="2"/>
                      <w:sz w:val="21"/>
                      <w:szCs w:val="21"/>
                      <w:highlight w:val="none"/>
                      <w:lang w:val="en-US" w:eastAsia="zh-CN" w:bidi="ar"/>
                      <w14:textFill>
                        <w14:solidFill>
                          <w14:schemeClr w14:val="tx1"/>
                        </w14:solidFill>
                      </w14:textFill>
                    </w:rPr>
                    <w:t>超标</w:t>
                  </w:r>
                </w:p>
              </w:tc>
            </w:tr>
          </w:tbl>
          <w:p w14:paraId="065CC03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480" w:lineRule="exact"/>
              <w:ind w:left="0" w:right="0" w:firstLine="480" w:firstLineChars="200"/>
              <w:jc w:val="both"/>
              <w:textAlignment w:val="auto"/>
              <w:outlineLvl w:val="9"/>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根据表3-1对基本污染物的年评价指标分析结果，20</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2</w:t>
            </w:r>
            <w:r>
              <w:rPr>
                <w:rFonts w:hint="eastAsia" w:cs="Times New Roman"/>
                <w:color w:val="000000" w:themeColor="text1"/>
                <w:kern w:val="0"/>
                <w:szCs w:val="21"/>
                <w:highlight w:val="none"/>
                <w:lang w:val="en-US" w:eastAsia="zh-CN"/>
                <w14:textFill>
                  <w14:solidFill>
                    <w14:schemeClr w14:val="tx1"/>
                  </w14:solidFill>
                </w14:textFill>
              </w:rPr>
              <w:t>3</w:t>
            </w:r>
            <w:r>
              <w:rPr>
                <w:rFonts w:hint="default" w:ascii="Times New Roman" w:hAnsi="Times New Roman" w:cs="Times New Roman"/>
                <w:color w:val="000000" w:themeColor="text1"/>
                <w:kern w:val="0"/>
                <w:szCs w:val="21"/>
                <w:highlight w:val="none"/>
                <w14:textFill>
                  <w14:solidFill>
                    <w14:schemeClr w14:val="tx1"/>
                  </w14:solidFill>
                </w14:textFill>
              </w:rPr>
              <w:t>年</w:t>
            </w:r>
            <w:r>
              <w:rPr>
                <w:rFonts w:hint="eastAsia" w:cs="Times New Roman"/>
                <w:color w:val="000000" w:themeColor="text1"/>
                <w:kern w:val="0"/>
                <w:szCs w:val="21"/>
                <w:highlight w:val="none"/>
                <w:lang w:val="en-US" w:eastAsia="zh-CN"/>
                <w14:textFill>
                  <w14:solidFill>
                    <w14:schemeClr w14:val="tx1"/>
                  </w14:solidFill>
                </w14:textFill>
              </w:rPr>
              <w:t>阜康市</w:t>
            </w:r>
            <w:r>
              <w:rPr>
                <w:rFonts w:hint="default" w:ascii="Times New Roman" w:hAnsi="Times New Roman" w:cs="Times New Roman"/>
                <w:color w:val="000000" w:themeColor="text1"/>
                <w:kern w:val="0"/>
                <w:szCs w:val="21"/>
                <w:highlight w:val="none"/>
                <w14:textFill>
                  <w14:solidFill>
                    <w14:schemeClr w14:val="tx1"/>
                  </w14:solidFill>
                </w14:textFill>
              </w:rPr>
              <w:t>除PM</w:t>
            </w:r>
            <w:r>
              <w:rPr>
                <w:rFonts w:hint="eastAsia" w:ascii="Times New Roman" w:hAnsi="Times New Roman" w:cs="Times New Roman"/>
                <w:color w:val="000000" w:themeColor="text1"/>
                <w:kern w:val="0"/>
                <w:szCs w:val="21"/>
                <w:highlight w:val="none"/>
                <w:vertAlign w:val="subscript"/>
                <w:lang w:val="en-US" w:eastAsia="zh-CN"/>
                <w14:textFill>
                  <w14:solidFill>
                    <w14:schemeClr w14:val="tx1"/>
                  </w14:solidFill>
                </w14:textFill>
              </w:rPr>
              <w:t>10</w:t>
            </w:r>
            <w:r>
              <w:rPr>
                <w:rFonts w:hint="eastAsia" w:cs="Times New Roman"/>
                <w:color w:val="000000" w:themeColor="text1"/>
                <w:kern w:val="0"/>
                <w:szCs w:val="21"/>
                <w:highlight w:val="none"/>
                <w:vertAlign w:val="baseline"/>
                <w:lang w:val="en-US" w:eastAsia="zh-CN"/>
                <w14:textFill>
                  <w14:solidFill>
                    <w14:schemeClr w14:val="tx1"/>
                  </w14:solidFill>
                </w14:textFill>
              </w:rPr>
              <w:t>、</w:t>
            </w:r>
            <w:r>
              <w:rPr>
                <w:rFonts w:hint="eastAsia" w:ascii="Times New Roman" w:hAnsi="Times New Roman" w:cs="Times New Roman"/>
                <w:color w:val="000000" w:themeColor="text1"/>
                <w:kern w:val="0"/>
                <w:szCs w:val="21"/>
                <w:highlight w:val="none"/>
                <w:vertAlign w:val="baseline"/>
                <w:lang w:val="en-US" w:eastAsia="zh-CN"/>
                <w14:textFill>
                  <w14:solidFill>
                    <w14:schemeClr w14:val="tx1"/>
                  </w14:solidFill>
                </w14:textFill>
              </w:rPr>
              <w:t>PM</w:t>
            </w:r>
            <w:r>
              <w:rPr>
                <w:rFonts w:hint="eastAsia" w:ascii="Times New Roman" w:hAnsi="Times New Roman" w:cs="Times New Roman"/>
                <w:color w:val="000000" w:themeColor="text1"/>
                <w:kern w:val="0"/>
                <w:szCs w:val="21"/>
                <w:highlight w:val="none"/>
                <w:vertAlign w:val="subscript"/>
                <w:lang w:val="en-US" w:eastAsia="zh-CN"/>
                <w14:textFill>
                  <w14:solidFill>
                    <w14:schemeClr w14:val="tx1"/>
                  </w14:solidFill>
                </w14:textFill>
              </w:rPr>
              <w:t>2.5</w:t>
            </w:r>
            <w:r>
              <w:rPr>
                <w:rFonts w:hint="eastAsia" w:cs="Times New Roman"/>
                <w:color w:val="000000" w:themeColor="text1"/>
                <w:kern w:val="0"/>
                <w:szCs w:val="21"/>
                <w:highlight w:val="none"/>
                <w:vertAlign w:val="baseline"/>
                <w:lang w:val="en-US" w:eastAsia="zh-CN"/>
                <w14:textFill>
                  <w14:solidFill>
                    <w14:schemeClr w14:val="tx1"/>
                  </w14:solidFill>
                </w14:textFill>
              </w:rPr>
              <w:t>评价指标</w:t>
            </w:r>
            <w:r>
              <w:rPr>
                <w:rFonts w:hint="default" w:ascii="Times New Roman" w:hAnsi="Times New Roman" w:cs="Times New Roman"/>
                <w:color w:val="000000" w:themeColor="text1"/>
                <w:kern w:val="0"/>
                <w:szCs w:val="21"/>
                <w:highlight w:val="none"/>
                <w14:textFill>
                  <w14:solidFill>
                    <w14:schemeClr w14:val="tx1"/>
                  </w14:solidFill>
                </w14:textFill>
              </w:rPr>
              <w:t>超标外，其余基本污染物的评价指标能满足《环境空气质量标准》（GB3095-2012）中二级标准要求，本项目所在区域为不达标区域。</w:t>
            </w:r>
          </w:p>
          <w:p w14:paraId="6032E01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480" w:lineRule="exact"/>
              <w:ind w:left="0" w:leftChars="0" w:right="0" w:rightChars="0" w:firstLine="0" w:firstLineChars="0"/>
              <w:jc w:val="both"/>
              <w:textAlignment w:val="auto"/>
              <w:outlineLvl w:val="9"/>
              <w:rPr>
                <w:rFonts w:hint="default" w:ascii="Times New Roman" w:hAnsi="Times New Roman" w:eastAsia="宋体" w:cs="Times New Roman"/>
                <w:b/>
                <w:color w:val="000000" w:themeColor="text1"/>
                <w:kern w:val="2"/>
                <w:sz w:val="24"/>
                <w:szCs w:val="24"/>
                <w:highlight w:val="none"/>
                <w:lang w:val="en-US" w:eastAsia="zh-CN" w:bidi="ar"/>
                <w14:textFill>
                  <w14:solidFill>
                    <w14:schemeClr w14:val="tx1"/>
                  </w14:solidFill>
                </w14:textFill>
              </w:rPr>
            </w:pPr>
            <w:r>
              <w:rPr>
                <w:rFonts w:hint="eastAsia" w:cs="Times New Roman"/>
                <w:b/>
                <w:color w:val="000000" w:themeColor="text1"/>
                <w:kern w:val="2"/>
                <w:sz w:val="24"/>
                <w:szCs w:val="24"/>
                <w:highlight w:val="none"/>
                <w:lang w:val="en-US" w:eastAsia="zh-CN" w:bidi="ar"/>
                <w14:textFill>
                  <w14:solidFill>
                    <w14:schemeClr w14:val="tx1"/>
                  </w14:solidFill>
                </w14:textFill>
              </w:rPr>
              <w:t>2.</w:t>
            </w:r>
            <w:r>
              <w:rPr>
                <w:rFonts w:hint="default" w:ascii="Times New Roman" w:hAnsi="Times New Roman" w:eastAsia="宋体" w:cs="Times New Roman"/>
                <w:b/>
                <w:color w:val="000000" w:themeColor="text1"/>
                <w:kern w:val="2"/>
                <w:sz w:val="24"/>
                <w:szCs w:val="24"/>
                <w:highlight w:val="none"/>
                <w:lang w:val="en-US" w:eastAsia="zh-CN" w:bidi="ar"/>
                <w14:textFill>
                  <w14:solidFill>
                    <w14:schemeClr w14:val="tx1"/>
                  </w14:solidFill>
                </w14:textFill>
              </w:rPr>
              <w:t>地表水环境质量现状</w:t>
            </w:r>
          </w:p>
          <w:p w14:paraId="075234E0">
            <w:pPr>
              <w:keepNext w:val="0"/>
              <w:keepLines w:val="0"/>
              <w:pageBreakBefore w:val="0"/>
              <w:widowControl w:val="0"/>
              <w:suppressLineNumbers w:val="0"/>
              <w:tabs>
                <w:tab w:val="left" w:pos="5252"/>
              </w:tabs>
              <w:kinsoku/>
              <w:wordWrap/>
              <w:overflowPunct/>
              <w:topLinePunct w:val="0"/>
              <w:autoSpaceDE/>
              <w:autoSpaceDN/>
              <w:bidi w:val="0"/>
              <w:adjustRightInd w:val="0"/>
              <w:snapToGrid w:val="0"/>
              <w:spacing w:before="0" w:beforeAutospacing="0" w:after="0" w:afterAutospacing="0" w:line="480" w:lineRule="exact"/>
              <w:ind w:left="0" w:leftChars="0" w:right="0" w:rightChars="0" w:firstLine="480" w:firstLineChars="200"/>
              <w:jc w:val="both"/>
              <w:textAlignment w:val="auto"/>
              <w:outlineLvl w:val="9"/>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环境影响报告表编制技术指南（污染影响类）（试行）》要求“引用与建设项目距离近的有效数据，包括近3年的规划环境影响评价的监测数据，所在流域控制单元内国家、地方控制断面监测数据，生态</w:t>
            </w:r>
            <w:r>
              <w:rPr>
                <w:rFonts w:hint="eastAsia"/>
                <w:color w:val="000000" w:themeColor="text1"/>
                <w:sz w:val="24"/>
                <w:lang w:eastAsia="zh-CN"/>
                <w14:textFill>
                  <w14:solidFill>
                    <w14:schemeClr w14:val="tx1"/>
                  </w14:solidFill>
                </w14:textFill>
              </w:rPr>
              <w:t>环境</w:t>
            </w:r>
            <w:r>
              <w:rPr>
                <w:rFonts w:hint="eastAsia"/>
                <w:color w:val="000000" w:themeColor="text1"/>
                <w:sz w:val="24"/>
                <w14:textFill>
                  <w14:solidFill>
                    <w14:schemeClr w14:val="tx1"/>
                  </w14:solidFill>
                </w14:textFill>
              </w:rPr>
              <w:t>主管部门发布的水环境质量数据或地表水达标情况的结论”。</w:t>
            </w:r>
          </w:p>
          <w:p w14:paraId="72CC1E3D">
            <w:pPr>
              <w:keepNext w:val="0"/>
              <w:keepLines w:val="0"/>
              <w:pageBreakBefore w:val="0"/>
              <w:widowControl w:val="0"/>
              <w:suppressLineNumbers w:val="0"/>
              <w:tabs>
                <w:tab w:val="left" w:pos="5252"/>
              </w:tabs>
              <w:kinsoku/>
              <w:wordWrap/>
              <w:overflowPunct/>
              <w:topLinePunct w:val="0"/>
              <w:autoSpaceDE/>
              <w:autoSpaceDN/>
              <w:bidi w:val="0"/>
              <w:adjustRightInd w:val="0"/>
              <w:snapToGrid w:val="0"/>
              <w:spacing w:before="0" w:beforeAutospacing="0" w:after="0" w:afterAutospacing="0" w:line="480" w:lineRule="exact"/>
              <w:ind w:left="0" w:leftChars="0" w:right="0" w:rightChars="0" w:firstLine="480" w:firstLineChars="200"/>
              <w:jc w:val="both"/>
              <w:textAlignment w:val="auto"/>
              <w:outlineLvl w:val="9"/>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根据阜康市生态环境局发布《2025年1月阜康市第一水厂、水磨河水质质量状况》，202</w:t>
            </w:r>
            <w:r>
              <w:rPr>
                <w:rFonts w:hint="eastAsia"/>
                <w:color w:val="000000" w:themeColor="text1"/>
                <w:sz w:val="24"/>
                <w:lang w:val="en-US" w:eastAsia="zh-CN"/>
                <w14:textFill>
                  <w14:solidFill>
                    <w14:schemeClr w14:val="tx1"/>
                  </w14:solidFill>
                </w14:textFill>
              </w:rPr>
              <w:t>5</w:t>
            </w:r>
            <w:r>
              <w:rPr>
                <w:rFonts w:hint="eastAsia"/>
                <w:color w:val="000000" w:themeColor="text1"/>
                <w:sz w:val="24"/>
                <w:lang w:eastAsia="zh-CN"/>
                <w14:textFill>
                  <w14:solidFill>
                    <w14:schemeClr w14:val="tx1"/>
                  </w14:solidFill>
                </w14:textFill>
              </w:rPr>
              <w:t>年1月，水磨河水源地水质达到《地表水环境质量标准》（GB3838-2002）Ⅱ类标准。</w:t>
            </w:r>
          </w:p>
          <w:p w14:paraId="281117CA">
            <w:pPr>
              <w:keepNext w:val="0"/>
              <w:keepLines w:val="0"/>
              <w:pageBreakBefore w:val="0"/>
              <w:widowControl w:val="0"/>
              <w:suppressLineNumbers w:val="0"/>
              <w:tabs>
                <w:tab w:val="left" w:pos="5252"/>
              </w:tabs>
              <w:kinsoku/>
              <w:wordWrap/>
              <w:overflowPunct/>
              <w:topLinePunct w:val="0"/>
              <w:autoSpaceDE/>
              <w:autoSpaceDN/>
              <w:bidi w:val="0"/>
              <w:adjustRightInd w:val="0"/>
              <w:snapToGrid w:val="0"/>
              <w:spacing w:before="0" w:beforeAutospacing="0" w:after="0" w:afterAutospacing="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eastAsia"/>
                <w:color w:val="000000" w:themeColor="text1"/>
                <w:sz w:val="24"/>
                <w14:textFill>
                  <w14:solidFill>
                    <w14:schemeClr w14:val="tx1"/>
                  </w14:solidFill>
                </w14:textFill>
              </w:rPr>
              <w:t>本项目与地表水体</w:t>
            </w:r>
            <w:r>
              <w:rPr>
                <w:rFonts w:hint="eastAsia"/>
                <w:color w:val="000000" w:themeColor="text1"/>
                <w:sz w:val="24"/>
                <w:lang w:val="en-US" w:eastAsia="zh-CN"/>
                <w14:textFill>
                  <w14:solidFill>
                    <w14:schemeClr w14:val="tx1"/>
                  </w14:solidFill>
                </w14:textFill>
              </w:rPr>
              <w:t>不发生水力联系</w:t>
            </w:r>
            <w:r>
              <w:rPr>
                <w:rFonts w:hint="eastAsia"/>
                <w:color w:val="000000" w:themeColor="text1"/>
                <w:sz w:val="24"/>
                <w14:textFill>
                  <w14:solidFill>
                    <w14:schemeClr w14:val="tx1"/>
                  </w14:solidFill>
                </w14:textFill>
              </w:rPr>
              <w:t>，既不从地表水体取水，也不向其中排水。</w:t>
            </w:r>
            <w:r>
              <w:rPr>
                <w:color w:val="000000" w:themeColor="text1"/>
                <w:sz w:val="24"/>
                <w14:textFill>
                  <w14:solidFill>
                    <w14:schemeClr w14:val="tx1"/>
                  </w14:solidFill>
                </w14:textFill>
              </w:rPr>
              <w:t>根据《环境影响评价技术导则 地表水环境》（HJ2.3-2018），本项目地表水环境评价等级为三级B</w:t>
            </w:r>
            <w:r>
              <w:rPr>
                <w:rFonts w:hint="eastAsia"/>
                <w:color w:val="000000" w:themeColor="text1"/>
                <w:sz w:val="24"/>
                <w14:textFill>
                  <w14:solidFill>
                    <w14:schemeClr w14:val="tx1"/>
                  </w14:solidFill>
                </w14:textFill>
              </w:rPr>
              <w:t>，项目区厂界外1km范围内无地表水环境保护目标</w:t>
            </w:r>
            <w:r>
              <w:rPr>
                <w:color w:val="000000" w:themeColor="text1"/>
                <w:sz w:val="24"/>
                <w14:textFill>
                  <w14:solidFill>
                    <w14:schemeClr w14:val="tx1"/>
                  </w14:solidFill>
                </w14:textFill>
              </w:rPr>
              <w:t>。</w:t>
            </w:r>
          </w:p>
          <w:p w14:paraId="12CEBBA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480" w:lineRule="exact"/>
              <w:ind w:left="0" w:leftChars="0" w:right="0" w:rightChars="0" w:firstLine="0" w:firstLineChars="0"/>
              <w:jc w:val="both"/>
              <w:textAlignment w:val="auto"/>
              <w:outlineLvl w:val="9"/>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地下水环境现状调查及评价</w:t>
            </w:r>
          </w:p>
          <w:p w14:paraId="22BAFD6B">
            <w:pPr>
              <w:pStyle w:val="5"/>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本次评价地下水质量现状监测委托</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新疆水清清环境监测技术服务有限公司</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对项目区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周边甘河镇井水、土墩子农场井水、小泉村井水及厂区井水</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进行的监测，监测时间为202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年</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月</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日。</w:t>
            </w:r>
          </w:p>
          <w:p w14:paraId="19F8667B">
            <w:pPr>
              <w:keepNext w:val="0"/>
              <w:keepLines w:val="0"/>
              <w:widowControl/>
              <w:suppressLineNumbers w:val="0"/>
              <w:jc w:val="left"/>
            </w:pPr>
            <w:r>
              <w:rPr>
                <w:rFonts w:hint="eastAsia" w:ascii="Times New Roman" w:hAnsi="Times New Roman" w:eastAsia="宋体"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 xml:space="preserve">.1 </w:t>
            </w:r>
            <w:r>
              <w:rPr>
                <w:rFonts w:hint="eastAsia" w:ascii="宋体" w:hAnsi="宋体" w:eastAsia="宋体" w:cs="宋体"/>
                <w:b/>
                <w:bCs/>
                <w:color w:val="000000"/>
                <w:kern w:val="0"/>
                <w:sz w:val="24"/>
                <w:szCs w:val="24"/>
                <w:lang w:val="en-US" w:eastAsia="zh-CN" w:bidi="ar"/>
              </w:rPr>
              <w:t>监测项目</w:t>
            </w:r>
          </w:p>
          <w:p w14:paraId="695C4E4B">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pH值、耗氧量（CODMn）、硫酸盐、氰化物、镉、六价铬、砷、汞、总硬度、硝酸盐氮、亚硝酸盐氮、氯化物、氨氮、氟化物、溶解性总固体、</w:t>
            </w:r>
            <w:r>
              <w:rPr>
                <w:rFonts w:hint="eastAsia"/>
                <w:color w:val="000000" w:themeColor="text1"/>
                <w:lang w:val="en-US" w:eastAsia="zh-CN"/>
                <w14:textFill>
                  <w14:solidFill>
                    <w14:schemeClr w14:val="tx1"/>
                  </w14:solidFill>
                </w14:textFill>
              </w:rPr>
              <w:t>铁</w:t>
            </w:r>
            <w:r>
              <w:rPr>
                <w:rFonts w:hint="default"/>
                <w:color w:val="000000" w:themeColor="text1"/>
                <w:lang w:val="en-US" w:eastAsia="zh-CN"/>
                <w14:textFill>
                  <w14:solidFill>
                    <w14:schemeClr w14:val="tx1"/>
                  </w14:solidFill>
                </w14:textFill>
              </w:rPr>
              <w:t>、挥发酚</w:t>
            </w:r>
            <w:r>
              <w:rPr>
                <w:rFonts w:hint="eastAsia"/>
                <w:color w:val="000000" w:themeColor="text1"/>
                <w:lang w:val="en-US" w:eastAsia="zh-CN"/>
                <w14:textFill>
                  <w14:solidFill>
                    <w14:schemeClr w14:val="tx1"/>
                  </w14:solidFill>
                </w14:textFill>
              </w:rPr>
              <w:t>、锰</w:t>
            </w:r>
            <w:r>
              <w:rPr>
                <w:rFonts w:hint="default"/>
                <w:color w:val="000000" w:themeColor="text1"/>
                <w:lang w:val="en-US" w:eastAsia="zh-CN"/>
                <w14:textFill>
                  <w14:solidFill>
                    <w14:schemeClr w14:val="tx1"/>
                  </w14:solidFill>
                </w14:textFill>
              </w:rPr>
              <w:t>共计</w:t>
            </w:r>
            <w:r>
              <w:rPr>
                <w:rFonts w:hint="eastAsia"/>
                <w:color w:val="000000" w:themeColor="text1"/>
                <w:lang w:val="en-US" w:eastAsia="zh-CN"/>
                <w14:textFill>
                  <w14:solidFill>
                    <w14:schemeClr w14:val="tx1"/>
                  </w14:solidFill>
                </w14:textFill>
              </w:rPr>
              <w:t>18</w:t>
            </w:r>
            <w:r>
              <w:rPr>
                <w:rFonts w:hint="default"/>
                <w:color w:val="000000" w:themeColor="text1"/>
                <w:lang w:val="en-US" w:eastAsia="zh-CN"/>
                <w14:textFill>
                  <w14:solidFill>
                    <w14:schemeClr w14:val="tx1"/>
                  </w14:solidFill>
                </w14:textFill>
              </w:rPr>
              <w:t>项。</w:t>
            </w:r>
          </w:p>
          <w:p w14:paraId="1D18395E">
            <w:pPr>
              <w:keepNext w:val="0"/>
              <w:keepLines w:val="0"/>
              <w:widowControl/>
              <w:suppressLineNumbers w:val="0"/>
              <w:jc w:val="left"/>
            </w:pPr>
            <w:r>
              <w:rPr>
                <w:rFonts w:hint="eastAsia" w:ascii="Times New Roman" w:hAnsi="Times New Roman" w:eastAsia="宋体"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 xml:space="preserve">.2 </w:t>
            </w:r>
            <w:r>
              <w:rPr>
                <w:rFonts w:hint="eastAsia" w:ascii="宋体" w:hAnsi="宋体" w:eastAsia="宋体" w:cs="宋体"/>
                <w:b/>
                <w:bCs/>
                <w:color w:val="000000"/>
                <w:kern w:val="0"/>
                <w:sz w:val="24"/>
                <w:szCs w:val="24"/>
                <w:lang w:val="en-US" w:eastAsia="zh-CN" w:bidi="ar"/>
              </w:rPr>
              <w:t xml:space="preserve">采样、质控、数据处理方法 </w:t>
            </w:r>
          </w:p>
          <w:p w14:paraId="7E56EE36">
            <w:pPr>
              <w:keepNext w:val="0"/>
              <w:keepLines w:val="0"/>
              <w:widowControl/>
              <w:suppressLineNumbers w:val="0"/>
              <w:jc w:val="left"/>
            </w:pPr>
            <w:r>
              <w:rPr>
                <w:rFonts w:hint="eastAsia" w:ascii="宋体" w:hAnsi="宋体" w:eastAsia="宋体" w:cs="宋体"/>
                <w:color w:val="000000"/>
                <w:kern w:val="0"/>
                <w:sz w:val="24"/>
                <w:szCs w:val="24"/>
                <w:lang w:val="en-US" w:eastAsia="zh-CN" w:bidi="ar"/>
              </w:rPr>
              <w:t>按照《地下水质量标准》（</w:t>
            </w:r>
            <w:r>
              <w:rPr>
                <w:rFonts w:hint="default" w:ascii="Times New Roman" w:hAnsi="Times New Roman" w:eastAsia="宋体" w:cs="Times New Roman"/>
                <w:color w:val="000000"/>
                <w:kern w:val="0"/>
                <w:sz w:val="24"/>
                <w:szCs w:val="24"/>
                <w:lang w:val="en-US" w:eastAsia="zh-CN" w:bidi="ar"/>
              </w:rPr>
              <w:t>GB/T14848-2017</w:t>
            </w:r>
            <w:r>
              <w:rPr>
                <w:rFonts w:hint="eastAsia" w:ascii="宋体" w:hAnsi="宋体" w:eastAsia="宋体" w:cs="宋体"/>
                <w:color w:val="000000"/>
                <w:kern w:val="0"/>
                <w:sz w:val="24"/>
                <w:szCs w:val="24"/>
                <w:lang w:val="en-US" w:eastAsia="zh-CN" w:bidi="ar"/>
              </w:rPr>
              <w:t xml:space="preserve">）的要求进行采样及分析。 </w:t>
            </w:r>
          </w:p>
          <w:p w14:paraId="00ABAC93">
            <w:pPr>
              <w:keepNext w:val="0"/>
              <w:keepLines w:val="0"/>
              <w:widowControl/>
              <w:suppressLineNumbers w:val="0"/>
              <w:jc w:val="left"/>
            </w:pPr>
            <w:r>
              <w:rPr>
                <w:rFonts w:hint="eastAsia" w:ascii="Times New Roman" w:hAnsi="Times New Roman" w:eastAsia="宋体"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 xml:space="preserve">.3 </w:t>
            </w:r>
            <w:r>
              <w:rPr>
                <w:rFonts w:hint="eastAsia" w:ascii="宋体" w:hAnsi="宋体" w:eastAsia="宋体" w:cs="宋体"/>
                <w:b/>
                <w:bCs/>
                <w:color w:val="000000"/>
                <w:kern w:val="0"/>
                <w:sz w:val="24"/>
                <w:szCs w:val="24"/>
                <w:lang w:val="en-US" w:eastAsia="zh-CN" w:bidi="ar"/>
              </w:rPr>
              <w:t xml:space="preserve">评价标准 </w:t>
            </w:r>
          </w:p>
          <w:p w14:paraId="7C468654">
            <w:pPr>
              <w:keepNext w:val="0"/>
              <w:keepLines w:val="0"/>
              <w:widowControl/>
              <w:suppressLineNumbers w:val="0"/>
              <w:jc w:val="left"/>
            </w:pPr>
            <w:r>
              <w:rPr>
                <w:rFonts w:hint="eastAsia" w:ascii="宋体" w:hAnsi="宋体" w:eastAsia="宋体" w:cs="宋体"/>
                <w:color w:val="000000"/>
                <w:kern w:val="0"/>
                <w:sz w:val="24"/>
                <w:szCs w:val="24"/>
                <w:lang w:val="en-US" w:eastAsia="zh-CN" w:bidi="ar"/>
              </w:rPr>
              <w:t>《地下水质量标准》（</w:t>
            </w:r>
            <w:r>
              <w:rPr>
                <w:rFonts w:hint="default" w:ascii="Times New Roman" w:hAnsi="Times New Roman" w:eastAsia="宋体" w:cs="Times New Roman"/>
                <w:color w:val="000000"/>
                <w:kern w:val="0"/>
                <w:sz w:val="24"/>
                <w:szCs w:val="24"/>
                <w:lang w:val="en-US" w:eastAsia="zh-CN" w:bidi="ar"/>
              </w:rPr>
              <w:t>GB/T14848-2017</w:t>
            </w:r>
            <w:r>
              <w:rPr>
                <w:rFonts w:hint="eastAsia" w:ascii="宋体" w:hAnsi="宋体" w:eastAsia="宋体" w:cs="宋体"/>
                <w:color w:val="000000"/>
                <w:kern w:val="0"/>
                <w:sz w:val="24"/>
                <w:szCs w:val="24"/>
                <w:lang w:val="en-US" w:eastAsia="zh-CN" w:bidi="ar"/>
              </w:rPr>
              <w:t xml:space="preserve">）Ⅲ类标准进行评价。 </w:t>
            </w:r>
          </w:p>
          <w:p w14:paraId="672E32A8">
            <w:pPr>
              <w:keepNext w:val="0"/>
              <w:keepLines w:val="0"/>
              <w:widowControl/>
              <w:suppressLineNumbers w:val="0"/>
              <w:jc w:val="left"/>
            </w:pPr>
            <w:r>
              <w:rPr>
                <w:rFonts w:hint="eastAsia" w:ascii="Times New Roman" w:hAnsi="Times New Roman" w:eastAsia="宋体"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 xml:space="preserve">.4 </w:t>
            </w:r>
            <w:r>
              <w:rPr>
                <w:rFonts w:hint="eastAsia" w:ascii="宋体" w:hAnsi="宋体" w:eastAsia="宋体" w:cs="宋体"/>
                <w:b/>
                <w:bCs/>
                <w:color w:val="000000"/>
                <w:kern w:val="0"/>
                <w:sz w:val="24"/>
                <w:szCs w:val="24"/>
                <w:lang w:val="en-US" w:eastAsia="zh-CN" w:bidi="ar"/>
              </w:rPr>
              <w:t xml:space="preserve">评价方法 </w:t>
            </w:r>
          </w:p>
          <w:p w14:paraId="296A5BF2">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）采用标准指数法，按《地下水质量标准》（</w:t>
            </w:r>
            <w:r>
              <w:rPr>
                <w:rFonts w:hint="default" w:ascii="Times New Roman" w:hAnsi="Times New Roman" w:eastAsia="宋体" w:cs="Times New Roman"/>
                <w:color w:val="000000"/>
                <w:kern w:val="0"/>
                <w:sz w:val="24"/>
                <w:szCs w:val="24"/>
                <w:lang w:val="en-US" w:eastAsia="zh-CN" w:bidi="ar"/>
              </w:rPr>
              <w:t>GB/T14848-2017</w:t>
            </w:r>
            <w:r>
              <w:rPr>
                <w:rFonts w:hint="eastAsia" w:ascii="宋体" w:hAnsi="宋体" w:eastAsia="宋体" w:cs="宋体"/>
                <w:color w:val="000000"/>
                <w:kern w:val="0"/>
                <w:sz w:val="24"/>
                <w:szCs w:val="24"/>
                <w:lang w:val="en-US" w:eastAsia="zh-CN" w:bidi="ar"/>
              </w:rPr>
              <w:t xml:space="preserve">）中Ⅲ类标准进行评价。评价模式为： </w:t>
            </w:r>
          </w:p>
          <w:p w14:paraId="483E450F">
            <w:pPr>
              <w:keepNext w:val="0"/>
              <w:keepLines w:val="0"/>
              <w:widowControl/>
              <w:suppressLineNumbers w:val="0"/>
              <w:ind w:left="0" w:leftChars="0" w:firstLine="0" w:firstLineChars="0"/>
              <w:jc w:val="center"/>
            </w:pPr>
            <w:r>
              <w:rPr>
                <w:rFonts w:hint="default" w:ascii="Times New Roman" w:hAnsi="Times New Roman" w:eastAsia="宋体" w:cs="Times New Roman"/>
                <w:color w:val="000000"/>
                <w:kern w:val="0"/>
                <w:sz w:val="24"/>
                <w:szCs w:val="24"/>
                <w:lang w:val="en-US" w:eastAsia="zh-CN" w:bidi="ar"/>
              </w:rPr>
              <w:t>Pi=Ci / C0</w:t>
            </w:r>
          </w:p>
          <w:p w14:paraId="18EB30EB">
            <w:pPr>
              <w:keepNext w:val="0"/>
              <w:keepLines w:val="0"/>
              <w:widowControl/>
              <w:suppressLineNumbers w:val="0"/>
              <w:jc w:val="left"/>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Pi——</w:t>
            </w:r>
            <w:r>
              <w:rPr>
                <w:rFonts w:hint="eastAsia" w:ascii="宋体" w:hAnsi="宋体" w:eastAsia="宋体" w:cs="宋体"/>
                <w:color w:val="000000"/>
                <w:kern w:val="0"/>
                <w:sz w:val="24"/>
                <w:szCs w:val="24"/>
                <w:lang w:val="en-US" w:eastAsia="zh-CN" w:bidi="ar"/>
              </w:rPr>
              <w:t xml:space="preserve">标准指数 </w:t>
            </w:r>
          </w:p>
          <w:p w14:paraId="72CAF9E9">
            <w:pPr>
              <w:keepNext w:val="0"/>
              <w:keepLines w:val="0"/>
              <w:widowControl/>
              <w:suppressLineNumbers w:val="0"/>
              <w:ind w:firstLine="1200" w:firstLineChars="500"/>
              <w:jc w:val="left"/>
            </w:pPr>
            <w:r>
              <w:rPr>
                <w:rFonts w:hint="default" w:ascii="Times New Roman" w:hAnsi="Times New Roman" w:eastAsia="宋体" w:cs="Times New Roman"/>
                <w:color w:val="000000"/>
                <w:kern w:val="0"/>
                <w:sz w:val="24"/>
                <w:szCs w:val="24"/>
                <w:lang w:val="en-US" w:eastAsia="zh-CN" w:bidi="ar"/>
              </w:rPr>
              <w:t>Ci——</w:t>
            </w:r>
            <w:r>
              <w:rPr>
                <w:rFonts w:hint="eastAsia" w:ascii="宋体" w:hAnsi="宋体" w:eastAsia="宋体" w:cs="宋体"/>
                <w:color w:val="000000"/>
                <w:kern w:val="0"/>
                <w:sz w:val="24"/>
                <w:szCs w:val="24"/>
                <w:lang w:val="en-US" w:eastAsia="zh-CN" w:bidi="ar"/>
              </w:rPr>
              <w:t>水质参数</w:t>
            </w:r>
            <w:r>
              <w:rPr>
                <w:rFonts w:hint="default" w:ascii="Times New Roman" w:hAnsi="Times New Roman" w:eastAsia="宋体" w:cs="Times New Roman"/>
                <w:color w:val="000000"/>
                <w:kern w:val="0"/>
                <w:sz w:val="24"/>
                <w:szCs w:val="24"/>
                <w:lang w:val="en-US" w:eastAsia="zh-CN" w:bidi="ar"/>
              </w:rPr>
              <w:t>i</w:t>
            </w:r>
            <w:r>
              <w:rPr>
                <w:rFonts w:hint="eastAsia" w:ascii="宋体" w:hAnsi="宋体" w:eastAsia="宋体" w:cs="宋体"/>
                <w:color w:val="000000"/>
                <w:kern w:val="0"/>
                <w:sz w:val="24"/>
                <w:szCs w:val="24"/>
                <w:lang w:val="en-US" w:eastAsia="zh-CN" w:bidi="ar"/>
              </w:rPr>
              <w:t>的监测浓度值</w:t>
            </w:r>
            <w:r>
              <w:rPr>
                <w:rFonts w:hint="default" w:ascii="Times New Roman" w:hAnsi="Times New Roman" w:eastAsia="宋体" w:cs="Times New Roman"/>
                <w:color w:val="000000"/>
                <w:kern w:val="0"/>
                <w:sz w:val="24"/>
                <w:szCs w:val="24"/>
                <w:lang w:val="en-US" w:eastAsia="zh-CN" w:bidi="ar"/>
              </w:rPr>
              <w:t>(mg/m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 xml:space="preserve">) </w:t>
            </w:r>
          </w:p>
          <w:p w14:paraId="3298596D">
            <w:pPr>
              <w:keepNext w:val="0"/>
              <w:keepLines w:val="0"/>
              <w:widowControl/>
              <w:suppressLineNumbers w:val="0"/>
              <w:ind w:firstLine="1200" w:firstLineChars="500"/>
              <w:jc w:val="left"/>
            </w:pPr>
            <w:r>
              <w:rPr>
                <w:rFonts w:hint="default" w:ascii="Times New Roman" w:hAnsi="Times New Roman" w:eastAsia="宋体" w:cs="Times New Roman"/>
                <w:color w:val="000000"/>
                <w:kern w:val="0"/>
                <w:sz w:val="24"/>
                <w:szCs w:val="24"/>
                <w:lang w:val="en-US" w:eastAsia="zh-CN" w:bidi="ar"/>
              </w:rPr>
              <w:t>C0——</w:t>
            </w:r>
            <w:r>
              <w:rPr>
                <w:rFonts w:hint="eastAsia" w:ascii="宋体" w:hAnsi="宋体" w:eastAsia="宋体" w:cs="宋体"/>
                <w:color w:val="000000"/>
                <w:kern w:val="0"/>
                <w:sz w:val="24"/>
                <w:szCs w:val="24"/>
                <w:lang w:val="en-US" w:eastAsia="zh-CN" w:bidi="ar"/>
              </w:rPr>
              <w:t>水质参数</w:t>
            </w:r>
            <w:r>
              <w:rPr>
                <w:rFonts w:hint="default" w:ascii="Times New Roman" w:hAnsi="Times New Roman" w:eastAsia="宋体" w:cs="Times New Roman"/>
                <w:color w:val="000000"/>
                <w:kern w:val="0"/>
                <w:sz w:val="24"/>
                <w:szCs w:val="24"/>
                <w:lang w:val="en-US" w:eastAsia="zh-CN" w:bidi="ar"/>
              </w:rPr>
              <w:t>i</w:t>
            </w:r>
            <w:r>
              <w:rPr>
                <w:rFonts w:hint="eastAsia" w:ascii="宋体" w:hAnsi="宋体" w:eastAsia="宋体" w:cs="宋体"/>
                <w:color w:val="000000"/>
                <w:kern w:val="0"/>
                <w:sz w:val="24"/>
                <w:szCs w:val="24"/>
                <w:lang w:val="en-US" w:eastAsia="zh-CN" w:bidi="ar"/>
              </w:rPr>
              <w:t>标准浓度值</w:t>
            </w:r>
            <w:r>
              <w:rPr>
                <w:rFonts w:hint="default" w:ascii="Times New Roman" w:hAnsi="Times New Roman" w:eastAsia="宋体" w:cs="Times New Roman"/>
                <w:color w:val="000000"/>
                <w:kern w:val="0"/>
                <w:sz w:val="24"/>
                <w:szCs w:val="24"/>
                <w:lang w:val="en-US" w:eastAsia="zh-CN" w:bidi="ar"/>
              </w:rPr>
              <w:t>(mg/m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p>
          <w:p w14:paraId="697FDD86">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）对于评价标准为区间值的水质因子（如</w:t>
            </w:r>
            <w:r>
              <w:rPr>
                <w:rFonts w:hint="default" w:ascii="Times New Roman" w:hAnsi="Times New Roman" w:eastAsia="宋体" w:cs="Times New Roman"/>
                <w:color w:val="000000"/>
                <w:kern w:val="0"/>
                <w:sz w:val="24"/>
                <w:szCs w:val="24"/>
                <w:lang w:val="en-US" w:eastAsia="zh-CN" w:bidi="ar"/>
              </w:rPr>
              <w:t>pH</w:t>
            </w:r>
            <w:r>
              <w:rPr>
                <w:rFonts w:hint="eastAsia" w:ascii="宋体" w:hAnsi="宋体" w:eastAsia="宋体" w:cs="宋体"/>
                <w:color w:val="000000"/>
                <w:kern w:val="0"/>
                <w:sz w:val="24"/>
                <w:szCs w:val="24"/>
                <w:lang w:val="en-US" w:eastAsia="zh-CN" w:bidi="ar"/>
              </w:rPr>
              <w:t xml:space="preserve">值），其标准指数计算 公式为： </w:t>
            </w:r>
          </w:p>
          <w:p w14:paraId="6302C97E">
            <w:pPr>
              <w:keepNext w:val="0"/>
              <w:keepLines w:val="0"/>
              <w:widowControl/>
              <w:suppressLineNumbers w:val="0"/>
              <w:ind w:left="0" w:leftChars="0" w:firstLine="0" w:firstLineChars="0"/>
              <w:jc w:val="center"/>
            </w:pPr>
            <w:r>
              <w:rPr>
                <w:rFonts w:hint="default" w:ascii="Times New Roman" w:hAnsi="Times New Roman" w:eastAsia="宋体" w:cs="Times New Roman"/>
                <w:color w:val="000000"/>
                <w:kern w:val="0"/>
                <w:sz w:val="24"/>
                <w:szCs w:val="24"/>
                <w:lang w:val="en-US" w:eastAsia="zh-CN" w:bidi="ar"/>
              </w:rPr>
              <w:t>PpH=</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pH</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pHsd</w:t>
            </w:r>
            <w:r>
              <w:rPr>
                <w:rFonts w:hint="eastAsia" w:ascii="宋体" w:hAnsi="宋体" w:eastAsia="宋体" w:cs="宋体"/>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pH</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7 </w:t>
            </w:r>
            <w:r>
              <w:rPr>
                <w:rFonts w:hint="eastAsia" w:ascii="宋体" w:hAnsi="宋体" w:eastAsia="宋体" w:cs="宋体"/>
                <w:color w:val="000000"/>
                <w:kern w:val="0"/>
                <w:sz w:val="24"/>
                <w:szCs w:val="24"/>
                <w:lang w:val="en-US" w:eastAsia="zh-CN" w:bidi="ar"/>
              </w:rPr>
              <w:t xml:space="preserve">时 </w:t>
            </w:r>
          </w:p>
          <w:p w14:paraId="56855B5F">
            <w:pPr>
              <w:keepNext w:val="0"/>
              <w:keepLines w:val="0"/>
              <w:widowControl/>
              <w:suppressLineNumbers w:val="0"/>
              <w:ind w:left="0" w:leftChars="0" w:firstLine="0" w:firstLineChars="0"/>
              <w:jc w:val="center"/>
            </w:pPr>
            <w:r>
              <w:rPr>
                <w:rFonts w:hint="default" w:ascii="Times New Roman" w:hAnsi="Times New Roman" w:eastAsia="宋体" w:cs="Times New Roman"/>
                <w:color w:val="000000"/>
                <w:kern w:val="0"/>
                <w:sz w:val="24"/>
                <w:szCs w:val="24"/>
                <w:lang w:val="en-US" w:eastAsia="zh-CN" w:bidi="ar"/>
              </w:rPr>
              <w:t>PpH=</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pH</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pHsu</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7.0</w:t>
            </w:r>
            <w:r>
              <w:rPr>
                <w:rFonts w:hint="eastAsia" w:ascii="宋体" w:hAnsi="宋体" w:eastAsia="宋体" w:cs="宋体"/>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pH</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7 </w:t>
            </w:r>
            <w:r>
              <w:rPr>
                <w:rFonts w:hint="eastAsia" w:ascii="宋体" w:hAnsi="宋体" w:eastAsia="宋体" w:cs="宋体"/>
                <w:color w:val="000000"/>
                <w:kern w:val="0"/>
                <w:sz w:val="24"/>
                <w:szCs w:val="24"/>
                <w:lang w:val="en-US" w:eastAsia="zh-CN" w:bidi="ar"/>
              </w:rPr>
              <w:t xml:space="preserve">时 </w:t>
            </w:r>
          </w:p>
          <w:p w14:paraId="559030ED">
            <w:pPr>
              <w:keepNext w:val="0"/>
              <w:keepLines w:val="0"/>
              <w:widowControl/>
              <w:suppressLineNumbers w:val="0"/>
              <w:jc w:val="left"/>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 xml:space="preserve">PpH—pH </w:t>
            </w:r>
            <w:r>
              <w:rPr>
                <w:rFonts w:hint="eastAsia" w:ascii="宋体" w:hAnsi="宋体" w:eastAsia="宋体" w:cs="宋体"/>
                <w:color w:val="000000"/>
                <w:kern w:val="0"/>
                <w:sz w:val="24"/>
                <w:szCs w:val="24"/>
                <w:lang w:val="en-US" w:eastAsia="zh-CN" w:bidi="ar"/>
              </w:rPr>
              <w:t>的标准指数，量纲为</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 </w:t>
            </w:r>
          </w:p>
          <w:p w14:paraId="46E870D3">
            <w:pPr>
              <w:keepNext w:val="0"/>
              <w:keepLines w:val="0"/>
              <w:widowControl/>
              <w:suppressLineNumbers w:val="0"/>
              <w:ind w:firstLine="1200" w:firstLineChars="500"/>
              <w:jc w:val="left"/>
            </w:pPr>
            <w:r>
              <w:rPr>
                <w:rFonts w:hint="default" w:ascii="Times New Roman" w:hAnsi="Times New Roman" w:eastAsia="宋体" w:cs="Times New Roman"/>
                <w:color w:val="000000"/>
                <w:kern w:val="0"/>
                <w:sz w:val="24"/>
                <w:szCs w:val="24"/>
                <w:lang w:val="en-US" w:eastAsia="zh-CN" w:bidi="ar"/>
              </w:rPr>
              <w:t xml:space="preserve">pH—pH </w:t>
            </w:r>
            <w:r>
              <w:rPr>
                <w:rFonts w:hint="eastAsia" w:ascii="宋体" w:hAnsi="宋体" w:eastAsia="宋体" w:cs="宋体"/>
                <w:color w:val="000000"/>
                <w:kern w:val="0"/>
                <w:sz w:val="24"/>
                <w:szCs w:val="24"/>
                <w:lang w:val="en-US" w:eastAsia="zh-CN" w:bidi="ar"/>
              </w:rPr>
              <w:t xml:space="preserve">监测值； </w:t>
            </w:r>
          </w:p>
          <w:p w14:paraId="21A1BC45">
            <w:pPr>
              <w:keepNext w:val="0"/>
              <w:keepLines w:val="0"/>
              <w:widowControl/>
              <w:suppressLineNumbers w:val="0"/>
              <w:ind w:firstLine="1200" w:firstLineChars="500"/>
              <w:jc w:val="left"/>
            </w:pPr>
            <w:r>
              <w:rPr>
                <w:rFonts w:hint="default" w:ascii="Times New Roman" w:hAnsi="Times New Roman" w:eastAsia="宋体" w:cs="Times New Roman"/>
                <w:color w:val="000000"/>
                <w:kern w:val="0"/>
                <w:sz w:val="24"/>
                <w:szCs w:val="24"/>
                <w:lang w:val="en-US" w:eastAsia="zh-CN" w:bidi="ar"/>
              </w:rPr>
              <w:t>pHsu—</w:t>
            </w:r>
            <w:r>
              <w:rPr>
                <w:rFonts w:hint="eastAsia" w:ascii="宋体" w:hAnsi="宋体" w:eastAsia="宋体" w:cs="宋体"/>
                <w:color w:val="000000"/>
                <w:kern w:val="0"/>
                <w:sz w:val="24"/>
                <w:szCs w:val="24"/>
                <w:lang w:val="en-US" w:eastAsia="zh-CN" w:bidi="ar"/>
              </w:rPr>
              <w:t>标准中</w:t>
            </w:r>
            <w:r>
              <w:rPr>
                <w:rFonts w:hint="default" w:ascii="Times New Roman" w:hAnsi="Times New Roman" w:eastAsia="宋体" w:cs="Times New Roman"/>
                <w:color w:val="000000"/>
                <w:kern w:val="0"/>
                <w:sz w:val="24"/>
                <w:szCs w:val="24"/>
                <w:lang w:val="en-US" w:eastAsia="zh-CN" w:bidi="ar"/>
              </w:rPr>
              <w:t>pH</w:t>
            </w:r>
            <w:r>
              <w:rPr>
                <w:rFonts w:hint="eastAsia" w:ascii="宋体" w:hAnsi="宋体" w:eastAsia="宋体" w:cs="宋体"/>
                <w:color w:val="000000"/>
                <w:kern w:val="0"/>
                <w:sz w:val="24"/>
                <w:szCs w:val="24"/>
                <w:lang w:val="en-US" w:eastAsia="zh-CN" w:bidi="ar"/>
              </w:rPr>
              <w:t xml:space="preserve">的上限值； </w:t>
            </w:r>
          </w:p>
          <w:p w14:paraId="06A76B66">
            <w:pPr>
              <w:keepNext w:val="0"/>
              <w:keepLines w:val="0"/>
              <w:widowControl/>
              <w:suppressLineNumbers w:val="0"/>
              <w:ind w:firstLine="1200" w:firstLineChars="500"/>
              <w:jc w:val="left"/>
            </w:pPr>
            <w:r>
              <w:rPr>
                <w:rFonts w:hint="default" w:ascii="Times New Roman" w:hAnsi="Times New Roman" w:eastAsia="宋体" w:cs="Times New Roman"/>
                <w:color w:val="000000"/>
                <w:kern w:val="0"/>
                <w:sz w:val="24"/>
                <w:szCs w:val="24"/>
                <w:lang w:val="en-US" w:eastAsia="zh-CN" w:bidi="ar"/>
              </w:rPr>
              <w:t>pHsd—</w:t>
            </w:r>
            <w:r>
              <w:rPr>
                <w:rFonts w:hint="eastAsia" w:ascii="宋体" w:hAnsi="宋体" w:eastAsia="宋体" w:cs="宋体"/>
                <w:color w:val="000000"/>
                <w:kern w:val="0"/>
                <w:sz w:val="24"/>
                <w:szCs w:val="24"/>
                <w:lang w:val="en-US" w:eastAsia="zh-CN" w:bidi="ar"/>
              </w:rPr>
              <w:t>标准中</w:t>
            </w:r>
            <w:r>
              <w:rPr>
                <w:rFonts w:hint="default" w:ascii="Times New Roman" w:hAnsi="Times New Roman" w:eastAsia="宋体" w:cs="Times New Roman"/>
                <w:color w:val="000000"/>
                <w:kern w:val="0"/>
                <w:sz w:val="24"/>
                <w:szCs w:val="24"/>
                <w:lang w:val="en-US" w:eastAsia="zh-CN" w:bidi="ar"/>
              </w:rPr>
              <w:t>pH</w:t>
            </w:r>
            <w:r>
              <w:rPr>
                <w:rFonts w:hint="eastAsia" w:ascii="宋体" w:hAnsi="宋体" w:eastAsia="宋体" w:cs="宋体"/>
                <w:color w:val="000000"/>
                <w:kern w:val="0"/>
                <w:sz w:val="24"/>
                <w:szCs w:val="24"/>
                <w:lang w:val="en-US" w:eastAsia="zh-CN" w:bidi="ar"/>
              </w:rPr>
              <w:t>的下限值。</w:t>
            </w:r>
          </w:p>
          <w:p w14:paraId="4706FABA">
            <w:pPr>
              <w:keepNext w:val="0"/>
              <w:keepLines w:val="0"/>
              <w:widowControl/>
              <w:suppressLineNumbers w:val="0"/>
              <w:jc w:val="left"/>
            </w:pPr>
            <w:r>
              <w:rPr>
                <w:rFonts w:hint="eastAsia" w:ascii="Times New Roman" w:hAnsi="Times New Roman" w:eastAsia="宋体"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 xml:space="preserve">.5 </w:t>
            </w:r>
            <w:r>
              <w:rPr>
                <w:rFonts w:hint="eastAsia" w:ascii="宋体" w:hAnsi="宋体" w:eastAsia="宋体" w:cs="宋体"/>
                <w:b/>
                <w:bCs/>
                <w:color w:val="000000"/>
                <w:kern w:val="0"/>
                <w:sz w:val="24"/>
                <w:szCs w:val="24"/>
                <w:lang w:val="en-US" w:eastAsia="zh-CN" w:bidi="ar"/>
              </w:rPr>
              <w:t xml:space="preserve">监测结果及评价 </w:t>
            </w:r>
          </w:p>
          <w:p w14:paraId="25492F0E">
            <w:pPr>
              <w:keepNext w:val="0"/>
              <w:keepLines w:val="0"/>
              <w:widowControl/>
              <w:suppressLineNumbers w:val="0"/>
              <w:jc w:val="left"/>
            </w:pPr>
            <w:r>
              <w:rPr>
                <w:rFonts w:hint="eastAsia" w:ascii="宋体" w:hAnsi="宋体" w:eastAsia="宋体" w:cs="宋体"/>
                <w:color w:val="000000"/>
                <w:kern w:val="0"/>
                <w:sz w:val="24"/>
                <w:szCs w:val="24"/>
                <w:lang w:val="en-US" w:eastAsia="zh-CN" w:bidi="ar"/>
              </w:rPr>
              <w:t>地下水水质监测及评价结果见下表。</w:t>
            </w:r>
          </w:p>
          <w:p w14:paraId="6B36CB11">
            <w:pPr>
              <w:pStyle w:val="5"/>
              <w:ind w:left="0" w:leftChars="0" w:firstLine="0" w:firstLineChars="0"/>
              <w:jc w:val="center"/>
              <w:rPr>
                <w:rFonts w:hint="eastAsia" w:ascii="Times New Roman" w:hAnsi="Times New Roman" w:eastAsia="宋体" w:cs="Times New Roman"/>
                <w:b/>
                <w:bCs/>
                <w:color w:val="0000FF"/>
                <w:kern w:val="2"/>
                <w:sz w:val="24"/>
                <w:szCs w:val="24"/>
                <w:highlight w:val="none"/>
                <w:lang w:val="en-US" w:eastAsia="zh-CN" w:bidi="ar-SA"/>
              </w:rPr>
            </w:pPr>
            <w:r>
              <w:rPr>
                <w:rFonts w:hint="default" w:ascii="Times New Roman" w:hAnsi="Times New Roman" w:eastAsia="宋体" w:cs="Times New Roman"/>
                <w:b/>
                <w:bCs/>
                <w:color w:val="0000FF"/>
                <w:kern w:val="2"/>
                <w:sz w:val="24"/>
                <w:szCs w:val="24"/>
                <w:highlight w:val="none"/>
                <w:lang w:val="en-US" w:eastAsia="zh-CN" w:bidi="ar-SA"/>
              </w:rPr>
              <w:t>表3-</w:t>
            </w:r>
            <w:r>
              <w:rPr>
                <w:rFonts w:hint="eastAsia" w:ascii="Times New Roman" w:hAnsi="Times New Roman" w:eastAsia="宋体" w:cs="Times New Roman"/>
                <w:b/>
                <w:bCs/>
                <w:color w:val="0000FF"/>
                <w:kern w:val="2"/>
                <w:sz w:val="24"/>
                <w:szCs w:val="24"/>
                <w:highlight w:val="none"/>
                <w:lang w:val="en-US" w:eastAsia="zh-CN" w:bidi="ar-SA"/>
              </w:rPr>
              <w:t>2  地下水水质监测及评价结果</w:t>
            </w:r>
          </w:p>
          <w:tbl>
            <w:tblPr>
              <w:tblStyle w:val="23"/>
              <w:tblW w:w="8238" w:type="dxa"/>
              <w:tblInd w:w="-9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860"/>
              <w:gridCol w:w="1125"/>
              <w:gridCol w:w="1080"/>
              <w:gridCol w:w="1110"/>
              <w:gridCol w:w="1125"/>
              <w:gridCol w:w="735"/>
              <w:gridCol w:w="753"/>
            </w:tblGrid>
            <w:tr w14:paraId="763FB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450" w:type="dxa"/>
                  <w:vMerge w:val="restart"/>
                  <w:tcBorders>
                    <w:tl2br w:val="nil"/>
                    <w:tr2bl w:val="nil"/>
                  </w:tcBorders>
                  <w:vAlign w:val="center"/>
                </w:tcPr>
                <w:p w14:paraId="11BF9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FF"/>
                      <w:sz w:val="21"/>
                      <w:szCs w:val="21"/>
                      <w:vertAlign w:val="baseline"/>
                      <w:lang w:val="en-US" w:eastAsia="zh-CN"/>
                    </w:rPr>
                  </w:pPr>
                  <w:r>
                    <w:rPr>
                      <w:rFonts w:hint="eastAsia"/>
                      <w:b/>
                      <w:bCs/>
                      <w:color w:val="0000FF"/>
                      <w:sz w:val="21"/>
                      <w:szCs w:val="21"/>
                      <w:vertAlign w:val="baseline"/>
                      <w:lang w:val="en-US" w:eastAsia="zh-CN"/>
                    </w:rPr>
                    <w:t>序号</w:t>
                  </w:r>
                </w:p>
              </w:tc>
              <w:tc>
                <w:tcPr>
                  <w:tcW w:w="1860" w:type="dxa"/>
                  <w:vMerge w:val="restart"/>
                  <w:tcBorders>
                    <w:tl2br w:val="nil"/>
                    <w:tr2bl w:val="nil"/>
                  </w:tcBorders>
                  <w:vAlign w:val="center"/>
                </w:tcPr>
                <w:p w14:paraId="41DD1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FF"/>
                      <w:sz w:val="21"/>
                      <w:szCs w:val="21"/>
                      <w:vertAlign w:val="baseline"/>
                      <w:lang w:val="en-US" w:eastAsia="zh-CN"/>
                    </w:rPr>
                  </w:pPr>
                  <w:r>
                    <w:rPr>
                      <w:rFonts w:hint="eastAsia"/>
                      <w:b/>
                      <w:bCs/>
                      <w:color w:val="0000FF"/>
                      <w:sz w:val="21"/>
                      <w:szCs w:val="21"/>
                      <w:vertAlign w:val="baseline"/>
                      <w:lang w:val="en-US" w:eastAsia="zh-CN"/>
                    </w:rPr>
                    <w:t>指标</w:t>
                  </w:r>
                </w:p>
              </w:tc>
              <w:tc>
                <w:tcPr>
                  <w:tcW w:w="4440" w:type="dxa"/>
                  <w:gridSpan w:val="4"/>
                  <w:tcBorders>
                    <w:tl2br w:val="nil"/>
                    <w:tr2bl w:val="nil"/>
                  </w:tcBorders>
                  <w:vAlign w:val="center"/>
                </w:tcPr>
                <w:p w14:paraId="72AEB5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FF"/>
                      <w:sz w:val="21"/>
                      <w:szCs w:val="21"/>
                      <w:vertAlign w:val="baseline"/>
                      <w:lang w:val="en-US" w:eastAsia="zh-CN"/>
                    </w:rPr>
                  </w:pPr>
                  <w:r>
                    <w:rPr>
                      <w:rFonts w:hint="eastAsia"/>
                      <w:b/>
                      <w:bCs/>
                      <w:color w:val="0000FF"/>
                      <w:sz w:val="21"/>
                      <w:szCs w:val="21"/>
                      <w:vertAlign w:val="baseline"/>
                      <w:lang w:val="en-US" w:eastAsia="zh-CN"/>
                    </w:rPr>
                    <w:t>采样点位</w:t>
                  </w:r>
                </w:p>
              </w:tc>
              <w:tc>
                <w:tcPr>
                  <w:tcW w:w="735" w:type="dxa"/>
                  <w:vMerge w:val="restart"/>
                  <w:tcBorders>
                    <w:tl2br w:val="nil"/>
                    <w:tr2bl w:val="nil"/>
                  </w:tcBorders>
                  <w:vAlign w:val="center"/>
                </w:tcPr>
                <w:p w14:paraId="15D442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FF"/>
                      <w:sz w:val="21"/>
                      <w:szCs w:val="21"/>
                      <w:vertAlign w:val="baseline"/>
                      <w:lang w:val="en-US" w:eastAsia="zh-CN"/>
                    </w:rPr>
                  </w:pPr>
                  <w:r>
                    <w:rPr>
                      <w:rFonts w:hint="eastAsia"/>
                      <w:b/>
                      <w:bCs/>
                      <w:color w:val="0000FF"/>
                      <w:sz w:val="21"/>
                      <w:szCs w:val="21"/>
                      <w:vertAlign w:val="baseline"/>
                      <w:lang w:val="en-US" w:eastAsia="zh-CN"/>
                    </w:rPr>
                    <w:t>标准限值</w:t>
                  </w:r>
                </w:p>
              </w:tc>
              <w:tc>
                <w:tcPr>
                  <w:tcW w:w="753" w:type="dxa"/>
                  <w:vMerge w:val="restart"/>
                  <w:tcBorders>
                    <w:tl2br w:val="nil"/>
                    <w:tr2bl w:val="nil"/>
                  </w:tcBorders>
                  <w:vAlign w:val="center"/>
                </w:tcPr>
                <w:p w14:paraId="578DC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FF"/>
                      <w:sz w:val="21"/>
                      <w:szCs w:val="21"/>
                      <w:vertAlign w:val="baseline"/>
                      <w:lang w:val="en-US" w:eastAsia="zh-CN"/>
                    </w:rPr>
                  </w:pPr>
                  <w:r>
                    <w:rPr>
                      <w:rFonts w:hint="eastAsia"/>
                      <w:b/>
                      <w:bCs/>
                      <w:color w:val="0000FF"/>
                      <w:sz w:val="21"/>
                      <w:szCs w:val="21"/>
                      <w:vertAlign w:val="baseline"/>
                      <w:lang w:val="en-US" w:eastAsia="zh-CN"/>
                    </w:rPr>
                    <w:t>是否达标</w:t>
                  </w:r>
                </w:p>
              </w:tc>
            </w:tr>
            <w:tr w14:paraId="4558E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0" w:type="dxa"/>
                  <w:vMerge w:val="continue"/>
                  <w:tcBorders>
                    <w:tl2br w:val="nil"/>
                    <w:tr2bl w:val="nil"/>
                  </w:tcBorders>
                  <w:vAlign w:val="center"/>
                </w:tcPr>
                <w:p w14:paraId="17F0AD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rPr>
                  </w:pPr>
                </w:p>
              </w:tc>
              <w:tc>
                <w:tcPr>
                  <w:tcW w:w="1860" w:type="dxa"/>
                  <w:vMerge w:val="continue"/>
                  <w:tcBorders>
                    <w:tl2br w:val="nil"/>
                    <w:tr2bl w:val="nil"/>
                  </w:tcBorders>
                  <w:vAlign w:val="center"/>
                </w:tcPr>
                <w:p w14:paraId="7D1AEA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rPr>
                  </w:pPr>
                </w:p>
              </w:tc>
              <w:tc>
                <w:tcPr>
                  <w:tcW w:w="1125" w:type="dxa"/>
                  <w:tcBorders>
                    <w:tl2br w:val="nil"/>
                    <w:tr2bl w:val="nil"/>
                  </w:tcBorders>
                  <w:vAlign w:val="center"/>
                </w:tcPr>
                <w:p w14:paraId="44C291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甘河镇井水</w:t>
                  </w:r>
                </w:p>
              </w:tc>
              <w:tc>
                <w:tcPr>
                  <w:tcW w:w="1080" w:type="dxa"/>
                  <w:tcBorders>
                    <w:tl2br w:val="nil"/>
                    <w:tr2bl w:val="nil"/>
                  </w:tcBorders>
                  <w:vAlign w:val="center"/>
                </w:tcPr>
                <w:p w14:paraId="270E0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土墩子农场井水</w:t>
                  </w:r>
                </w:p>
              </w:tc>
              <w:tc>
                <w:tcPr>
                  <w:tcW w:w="1110" w:type="dxa"/>
                  <w:tcBorders>
                    <w:tl2br w:val="nil"/>
                    <w:tr2bl w:val="nil"/>
                  </w:tcBorders>
                  <w:vAlign w:val="center"/>
                </w:tcPr>
                <w:p w14:paraId="1519DC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小泉村井水</w:t>
                  </w:r>
                </w:p>
              </w:tc>
              <w:tc>
                <w:tcPr>
                  <w:tcW w:w="1125" w:type="dxa"/>
                  <w:tcBorders>
                    <w:tl2br w:val="nil"/>
                    <w:tr2bl w:val="nil"/>
                  </w:tcBorders>
                  <w:vAlign w:val="center"/>
                </w:tcPr>
                <w:p w14:paraId="58969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厂区井水</w:t>
                  </w:r>
                </w:p>
              </w:tc>
              <w:tc>
                <w:tcPr>
                  <w:tcW w:w="735" w:type="dxa"/>
                  <w:vMerge w:val="continue"/>
                  <w:tcBorders>
                    <w:tl2br w:val="nil"/>
                    <w:tr2bl w:val="nil"/>
                  </w:tcBorders>
                  <w:vAlign w:val="center"/>
                </w:tcPr>
                <w:p w14:paraId="581DF2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p>
              </w:tc>
              <w:tc>
                <w:tcPr>
                  <w:tcW w:w="753" w:type="dxa"/>
                  <w:vMerge w:val="continue"/>
                  <w:tcBorders>
                    <w:tl2br w:val="nil"/>
                    <w:tr2bl w:val="nil"/>
                  </w:tcBorders>
                  <w:vAlign w:val="center"/>
                </w:tcPr>
                <w:p w14:paraId="02709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p>
              </w:tc>
            </w:tr>
            <w:tr w14:paraId="61264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50" w:type="dxa"/>
                  <w:vMerge w:val="continue"/>
                  <w:tcBorders>
                    <w:tl2br w:val="nil"/>
                    <w:tr2bl w:val="nil"/>
                  </w:tcBorders>
                  <w:vAlign w:val="center"/>
                </w:tcPr>
                <w:p w14:paraId="50182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rPr>
                  </w:pPr>
                </w:p>
              </w:tc>
              <w:tc>
                <w:tcPr>
                  <w:tcW w:w="1860" w:type="dxa"/>
                  <w:vMerge w:val="continue"/>
                  <w:tcBorders>
                    <w:tl2br w:val="nil"/>
                    <w:tr2bl w:val="nil"/>
                  </w:tcBorders>
                  <w:vAlign w:val="center"/>
                </w:tcPr>
                <w:p w14:paraId="0CED5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rPr>
                  </w:pPr>
                </w:p>
              </w:tc>
              <w:tc>
                <w:tcPr>
                  <w:tcW w:w="4440" w:type="dxa"/>
                  <w:gridSpan w:val="4"/>
                  <w:tcBorders>
                    <w:tl2br w:val="nil"/>
                    <w:tr2bl w:val="nil"/>
                  </w:tcBorders>
                  <w:vAlign w:val="center"/>
                </w:tcPr>
                <w:p w14:paraId="079D4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color w:val="0000FF"/>
                      <w:sz w:val="21"/>
                      <w:szCs w:val="21"/>
                      <w:vertAlign w:val="baseline"/>
                      <w:lang w:val="en-US" w:eastAsia="zh-CN"/>
                    </w:rPr>
                  </w:pPr>
                  <w:r>
                    <w:rPr>
                      <w:rFonts w:hint="eastAsia"/>
                      <w:b/>
                      <w:bCs/>
                      <w:color w:val="0000FF"/>
                      <w:sz w:val="21"/>
                      <w:szCs w:val="21"/>
                      <w:vertAlign w:val="baseline"/>
                      <w:lang w:val="en-US" w:eastAsia="zh-CN"/>
                    </w:rPr>
                    <w:t>与项目的方位</w:t>
                  </w:r>
                </w:p>
              </w:tc>
              <w:tc>
                <w:tcPr>
                  <w:tcW w:w="735" w:type="dxa"/>
                  <w:vMerge w:val="continue"/>
                  <w:tcBorders>
                    <w:tl2br w:val="nil"/>
                    <w:tr2bl w:val="nil"/>
                  </w:tcBorders>
                  <w:vAlign w:val="center"/>
                </w:tcPr>
                <w:p w14:paraId="750B7E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p>
              </w:tc>
              <w:tc>
                <w:tcPr>
                  <w:tcW w:w="753" w:type="dxa"/>
                  <w:vMerge w:val="continue"/>
                  <w:tcBorders>
                    <w:tl2br w:val="nil"/>
                    <w:tr2bl w:val="nil"/>
                  </w:tcBorders>
                  <w:vAlign w:val="center"/>
                </w:tcPr>
                <w:p w14:paraId="7317C2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p>
              </w:tc>
            </w:tr>
            <w:tr w14:paraId="1C14A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50" w:type="dxa"/>
                  <w:vMerge w:val="continue"/>
                  <w:tcBorders>
                    <w:tl2br w:val="nil"/>
                    <w:tr2bl w:val="nil"/>
                  </w:tcBorders>
                  <w:vAlign w:val="center"/>
                </w:tcPr>
                <w:p w14:paraId="45FE99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rPr>
                  </w:pPr>
                </w:p>
              </w:tc>
              <w:tc>
                <w:tcPr>
                  <w:tcW w:w="1860" w:type="dxa"/>
                  <w:vMerge w:val="continue"/>
                  <w:tcBorders>
                    <w:tl2br w:val="nil"/>
                    <w:tr2bl w:val="nil"/>
                  </w:tcBorders>
                  <w:vAlign w:val="center"/>
                </w:tcPr>
                <w:p w14:paraId="39647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rPr>
                  </w:pPr>
                </w:p>
              </w:tc>
              <w:tc>
                <w:tcPr>
                  <w:tcW w:w="1125" w:type="dxa"/>
                  <w:tcBorders>
                    <w:tl2br w:val="nil"/>
                    <w:tr2bl w:val="nil"/>
                  </w:tcBorders>
                  <w:vAlign w:val="center"/>
                </w:tcPr>
                <w:p w14:paraId="6AA074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FF"/>
                      <w:sz w:val="21"/>
                      <w:szCs w:val="21"/>
                      <w:vertAlign w:val="baseline"/>
                      <w:lang w:val="en-US" w:eastAsia="zh-CN"/>
                    </w:rPr>
                  </w:pPr>
                  <w:r>
                    <w:rPr>
                      <w:rFonts w:hint="eastAsia"/>
                      <w:b w:val="0"/>
                      <w:bCs w:val="0"/>
                      <w:color w:val="0000FF"/>
                      <w:sz w:val="21"/>
                      <w:szCs w:val="21"/>
                      <w:vertAlign w:val="baseline"/>
                      <w:lang w:val="en-US" w:eastAsia="zh-CN"/>
                    </w:rPr>
                    <w:t>东南侧</w:t>
                  </w:r>
                </w:p>
              </w:tc>
              <w:tc>
                <w:tcPr>
                  <w:tcW w:w="1080" w:type="dxa"/>
                  <w:tcBorders>
                    <w:tl2br w:val="nil"/>
                    <w:tr2bl w:val="nil"/>
                  </w:tcBorders>
                  <w:vAlign w:val="center"/>
                </w:tcPr>
                <w:p w14:paraId="1D349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FF"/>
                      <w:sz w:val="21"/>
                      <w:szCs w:val="21"/>
                      <w:vertAlign w:val="baseline"/>
                      <w:lang w:val="en-US" w:eastAsia="zh-CN"/>
                    </w:rPr>
                  </w:pPr>
                  <w:r>
                    <w:rPr>
                      <w:rFonts w:hint="eastAsia"/>
                      <w:b w:val="0"/>
                      <w:bCs w:val="0"/>
                      <w:color w:val="0000FF"/>
                      <w:sz w:val="21"/>
                      <w:szCs w:val="21"/>
                      <w:vertAlign w:val="baseline"/>
                      <w:lang w:val="en-US" w:eastAsia="zh-CN"/>
                    </w:rPr>
                    <w:t>北侧</w:t>
                  </w:r>
                </w:p>
              </w:tc>
              <w:tc>
                <w:tcPr>
                  <w:tcW w:w="1110" w:type="dxa"/>
                  <w:tcBorders>
                    <w:tl2br w:val="nil"/>
                    <w:tr2bl w:val="nil"/>
                  </w:tcBorders>
                  <w:vAlign w:val="center"/>
                </w:tcPr>
                <w:p w14:paraId="41DBC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FF"/>
                      <w:sz w:val="21"/>
                      <w:szCs w:val="21"/>
                      <w:vertAlign w:val="baseline"/>
                      <w:lang w:val="en-US" w:eastAsia="zh-CN"/>
                    </w:rPr>
                  </w:pPr>
                  <w:r>
                    <w:rPr>
                      <w:rFonts w:hint="eastAsia"/>
                      <w:b w:val="0"/>
                      <w:bCs w:val="0"/>
                      <w:color w:val="0000FF"/>
                      <w:sz w:val="21"/>
                      <w:szCs w:val="21"/>
                      <w:vertAlign w:val="baseline"/>
                      <w:lang w:val="en-US" w:eastAsia="zh-CN"/>
                    </w:rPr>
                    <w:t>东北侧</w:t>
                  </w:r>
                </w:p>
              </w:tc>
              <w:tc>
                <w:tcPr>
                  <w:tcW w:w="1125" w:type="dxa"/>
                  <w:tcBorders>
                    <w:tl2br w:val="nil"/>
                    <w:tr2bl w:val="nil"/>
                  </w:tcBorders>
                  <w:vAlign w:val="center"/>
                </w:tcPr>
                <w:p w14:paraId="5E9B2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0000FF"/>
                      <w:sz w:val="21"/>
                      <w:szCs w:val="21"/>
                      <w:vertAlign w:val="baseline"/>
                      <w:lang w:val="en-US" w:eastAsia="zh-CN"/>
                    </w:rPr>
                  </w:pPr>
                  <w:r>
                    <w:rPr>
                      <w:rFonts w:hint="eastAsia"/>
                      <w:b w:val="0"/>
                      <w:bCs w:val="0"/>
                      <w:color w:val="0000FF"/>
                      <w:sz w:val="21"/>
                      <w:szCs w:val="21"/>
                      <w:vertAlign w:val="baseline"/>
                      <w:lang w:val="en-US" w:eastAsia="zh-CN"/>
                    </w:rPr>
                    <w:t>西侧</w:t>
                  </w:r>
                </w:p>
              </w:tc>
              <w:tc>
                <w:tcPr>
                  <w:tcW w:w="735" w:type="dxa"/>
                  <w:vMerge w:val="continue"/>
                  <w:tcBorders>
                    <w:tl2br w:val="nil"/>
                    <w:tr2bl w:val="nil"/>
                  </w:tcBorders>
                  <w:vAlign w:val="center"/>
                </w:tcPr>
                <w:p w14:paraId="07B19F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p>
              </w:tc>
              <w:tc>
                <w:tcPr>
                  <w:tcW w:w="753" w:type="dxa"/>
                  <w:vMerge w:val="continue"/>
                  <w:tcBorders>
                    <w:tl2br w:val="nil"/>
                    <w:tr2bl w:val="nil"/>
                  </w:tcBorders>
                  <w:vAlign w:val="center"/>
                </w:tcPr>
                <w:p w14:paraId="76A57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p>
              </w:tc>
            </w:tr>
            <w:tr w14:paraId="52ECB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50" w:type="dxa"/>
                  <w:vMerge w:val="continue"/>
                  <w:tcBorders>
                    <w:tl2br w:val="nil"/>
                    <w:tr2bl w:val="nil"/>
                  </w:tcBorders>
                  <w:vAlign w:val="center"/>
                </w:tcPr>
                <w:p w14:paraId="7E8658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p>
              </w:tc>
              <w:tc>
                <w:tcPr>
                  <w:tcW w:w="1860" w:type="dxa"/>
                  <w:vMerge w:val="continue"/>
                  <w:tcBorders>
                    <w:tl2br w:val="nil"/>
                    <w:tr2bl w:val="nil"/>
                  </w:tcBorders>
                  <w:vAlign w:val="center"/>
                </w:tcPr>
                <w:p w14:paraId="2441B3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p>
              </w:tc>
              <w:tc>
                <w:tcPr>
                  <w:tcW w:w="4440" w:type="dxa"/>
                  <w:gridSpan w:val="4"/>
                  <w:tcBorders>
                    <w:tl2br w:val="nil"/>
                    <w:tr2bl w:val="nil"/>
                  </w:tcBorders>
                  <w:vAlign w:val="center"/>
                </w:tcPr>
                <w:p w14:paraId="4B1B5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color w:val="0000FF"/>
                      <w:sz w:val="21"/>
                      <w:szCs w:val="21"/>
                      <w:vertAlign w:val="baseline"/>
                      <w:lang w:val="en-US" w:eastAsia="zh-CN"/>
                    </w:rPr>
                  </w:pPr>
                  <w:r>
                    <w:rPr>
                      <w:rFonts w:hint="eastAsia"/>
                      <w:b/>
                      <w:bCs/>
                      <w:color w:val="0000FF"/>
                      <w:sz w:val="21"/>
                      <w:szCs w:val="21"/>
                      <w:vertAlign w:val="baseline"/>
                      <w:lang w:val="en-US" w:eastAsia="zh-CN"/>
                    </w:rPr>
                    <w:t>与项目的直线距离（m）</w:t>
                  </w:r>
                </w:p>
              </w:tc>
              <w:tc>
                <w:tcPr>
                  <w:tcW w:w="735" w:type="dxa"/>
                  <w:vMerge w:val="continue"/>
                  <w:tcBorders>
                    <w:tl2br w:val="nil"/>
                    <w:tr2bl w:val="nil"/>
                  </w:tcBorders>
                  <w:vAlign w:val="center"/>
                </w:tcPr>
                <w:p w14:paraId="364AAE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p>
              </w:tc>
              <w:tc>
                <w:tcPr>
                  <w:tcW w:w="753" w:type="dxa"/>
                  <w:vMerge w:val="continue"/>
                  <w:tcBorders>
                    <w:tl2br w:val="nil"/>
                    <w:tr2bl w:val="nil"/>
                  </w:tcBorders>
                  <w:vAlign w:val="center"/>
                </w:tcPr>
                <w:p w14:paraId="75187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p>
              </w:tc>
            </w:tr>
            <w:tr w14:paraId="12DD0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50" w:type="dxa"/>
                  <w:vMerge w:val="continue"/>
                  <w:tcBorders>
                    <w:tl2br w:val="nil"/>
                    <w:tr2bl w:val="nil"/>
                  </w:tcBorders>
                  <w:vAlign w:val="center"/>
                </w:tcPr>
                <w:p w14:paraId="58423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p>
              </w:tc>
              <w:tc>
                <w:tcPr>
                  <w:tcW w:w="1860" w:type="dxa"/>
                  <w:vMerge w:val="continue"/>
                  <w:tcBorders>
                    <w:tl2br w:val="nil"/>
                    <w:tr2bl w:val="nil"/>
                  </w:tcBorders>
                  <w:vAlign w:val="center"/>
                </w:tcPr>
                <w:p w14:paraId="7E05B2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p>
              </w:tc>
              <w:tc>
                <w:tcPr>
                  <w:tcW w:w="1125" w:type="dxa"/>
                  <w:tcBorders>
                    <w:tl2br w:val="nil"/>
                    <w:tr2bl w:val="nil"/>
                  </w:tcBorders>
                  <w:vAlign w:val="center"/>
                </w:tcPr>
                <w:p w14:paraId="43C5A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6000</w:t>
                  </w:r>
                </w:p>
              </w:tc>
              <w:tc>
                <w:tcPr>
                  <w:tcW w:w="1080" w:type="dxa"/>
                  <w:tcBorders>
                    <w:tl2br w:val="nil"/>
                    <w:tr2bl w:val="nil"/>
                  </w:tcBorders>
                  <w:vAlign w:val="center"/>
                </w:tcPr>
                <w:p w14:paraId="5DB551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1000</w:t>
                  </w:r>
                </w:p>
              </w:tc>
              <w:tc>
                <w:tcPr>
                  <w:tcW w:w="1110" w:type="dxa"/>
                  <w:tcBorders>
                    <w:tl2br w:val="nil"/>
                    <w:tr2bl w:val="nil"/>
                  </w:tcBorders>
                  <w:vAlign w:val="center"/>
                </w:tcPr>
                <w:p w14:paraId="5D1B04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4000</w:t>
                  </w:r>
                </w:p>
              </w:tc>
              <w:tc>
                <w:tcPr>
                  <w:tcW w:w="1125" w:type="dxa"/>
                  <w:tcBorders>
                    <w:tl2br w:val="nil"/>
                    <w:tr2bl w:val="nil"/>
                  </w:tcBorders>
                  <w:vAlign w:val="center"/>
                </w:tcPr>
                <w:p w14:paraId="385214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200</w:t>
                  </w:r>
                </w:p>
              </w:tc>
              <w:tc>
                <w:tcPr>
                  <w:tcW w:w="735" w:type="dxa"/>
                  <w:vMerge w:val="continue"/>
                  <w:tcBorders>
                    <w:tl2br w:val="nil"/>
                    <w:tr2bl w:val="nil"/>
                  </w:tcBorders>
                  <w:vAlign w:val="center"/>
                </w:tcPr>
                <w:p w14:paraId="6D1B54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p>
              </w:tc>
              <w:tc>
                <w:tcPr>
                  <w:tcW w:w="753" w:type="dxa"/>
                  <w:vMerge w:val="continue"/>
                  <w:tcBorders>
                    <w:tl2br w:val="nil"/>
                    <w:tr2bl w:val="nil"/>
                  </w:tcBorders>
                  <w:vAlign w:val="center"/>
                </w:tcPr>
                <w:p w14:paraId="6E38C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p>
              </w:tc>
            </w:tr>
            <w:tr w14:paraId="35D96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46A651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w:t>
                  </w:r>
                </w:p>
              </w:tc>
              <w:tc>
                <w:tcPr>
                  <w:tcW w:w="1860" w:type="dxa"/>
                  <w:tcBorders>
                    <w:tl2br w:val="nil"/>
                    <w:tr2bl w:val="nil"/>
                  </w:tcBorders>
                  <w:vAlign w:val="center"/>
                </w:tcPr>
                <w:p w14:paraId="06940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pH值（无量纲）</w:t>
                  </w:r>
                </w:p>
              </w:tc>
              <w:tc>
                <w:tcPr>
                  <w:tcW w:w="1125" w:type="dxa"/>
                  <w:tcBorders>
                    <w:tl2br w:val="nil"/>
                    <w:tr2bl w:val="nil"/>
                  </w:tcBorders>
                  <w:vAlign w:val="center"/>
                </w:tcPr>
                <w:p w14:paraId="61ABD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8.0</w:t>
                  </w:r>
                </w:p>
              </w:tc>
              <w:tc>
                <w:tcPr>
                  <w:tcW w:w="1080" w:type="dxa"/>
                  <w:tcBorders>
                    <w:tl2br w:val="nil"/>
                    <w:tr2bl w:val="nil"/>
                  </w:tcBorders>
                  <w:vAlign w:val="center"/>
                </w:tcPr>
                <w:p w14:paraId="1A4CDB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8.1</w:t>
                  </w:r>
                </w:p>
              </w:tc>
              <w:tc>
                <w:tcPr>
                  <w:tcW w:w="1110" w:type="dxa"/>
                  <w:tcBorders>
                    <w:tl2br w:val="nil"/>
                    <w:tr2bl w:val="nil"/>
                  </w:tcBorders>
                  <w:vAlign w:val="center"/>
                </w:tcPr>
                <w:p w14:paraId="1C4F41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8.1</w:t>
                  </w:r>
                </w:p>
              </w:tc>
              <w:tc>
                <w:tcPr>
                  <w:tcW w:w="1125" w:type="dxa"/>
                  <w:tcBorders>
                    <w:tl2br w:val="nil"/>
                    <w:tr2bl w:val="nil"/>
                  </w:tcBorders>
                  <w:vAlign w:val="center"/>
                </w:tcPr>
                <w:p w14:paraId="226AE5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8.2</w:t>
                  </w:r>
                </w:p>
              </w:tc>
              <w:tc>
                <w:tcPr>
                  <w:tcW w:w="735" w:type="dxa"/>
                  <w:tcBorders>
                    <w:tl2br w:val="nil"/>
                    <w:tr2bl w:val="nil"/>
                  </w:tcBorders>
                  <w:vAlign w:val="center"/>
                </w:tcPr>
                <w:p w14:paraId="4EEB8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6.5≤pH≤8.5</w:t>
                  </w:r>
                </w:p>
              </w:tc>
              <w:tc>
                <w:tcPr>
                  <w:tcW w:w="753" w:type="dxa"/>
                  <w:tcBorders>
                    <w:tl2br w:val="nil"/>
                    <w:tr2bl w:val="nil"/>
                  </w:tcBorders>
                  <w:vAlign w:val="center"/>
                </w:tcPr>
                <w:p w14:paraId="33595A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03E99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5B5D56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2</w:t>
                  </w:r>
                </w:p>
              </w:tc>
              <w:tc>
                <w:tcPr>
                  <w:tcW w:w="1860" w:type="dxa"/>
                  <w:tcBorders>
                    <w:tl2br w:val="nil"/>
                    <w:tr2bl w:val="nil"/>
                  </w:tcBorders>
                  <w:vAlign w:val="center"/>
                </w:tcPr>
                <w:p w14:paraId="0C92A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总硬度（mg/L）</w:t>
                  </w:r>
                </w:p>
              </w:tc>
              <w:tc>
                <w:tcPr>
                  <w:tcW w:w="1125" w:type="dxa"/>
                  <w:tcBorders>
                    <w:tl2br w:val="nil"/>
                    <w:tr2bl w:val="nil"/>
                  </w:tcBorders>
                  <w:vAlign w:val="center"/>
                </w:tcPr>
                <w:p w14:paraId="2AFE00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178</w:t>
                  </w:r>
                </w:p>
              </w:tc>
              <w:tc>
                <w:tcPr>
                  <w:tcW w:w="1080" w:type="dxa"/>
                  <w:tcBorders>
                    <w:tl2br w:val="nil"/>
                    <w:tr2bl w:val="nil"/>
                  </w:tcBorders>
                  <w:vAlign w:val="center"/>
                </w:tcPr>
                <w:p w14:paraId="2FFAB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243</w:t>
                  </w:r>
                </w:p>
              </w:tc>
              <w:tc>
                <w:tcPr>
                  <w:tcW w:w="1110" w:type="dxa"/>
                  <w:tcBorders>
                    <w:tl2br w:val="nil"/>
                    <w:tr2bl w:val="nil"/>
                  </w:tcBorders>
                  <w:vAlign w:val="center"/>
                </w:tcPr>
                <w:p w14:paraId="404CC6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146</w:t>
                  </w:r>
                </w:p>
              </w:tc>
              <w:tc>
                <w:tcPr>
                  <w:tcW w:w="1125" w:type="dxa"/>
                  <w:tcBorders>
                    <w:tl2br w:val="nil"/>
                    <w:tr2bl w:val="nil"/>
                  </w:tcBorders>
                  <w:vAlign w:val="center"/>
                </w:tcPr>
                <w:p w14:paraId="4E02A8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192</w:t>
                  </w:r>
                </w:p>
              </w:tc>
              <w:tc>
                <w:tcPr>
                  <w:tcW w:w="735" w:type="dxa"/>
                  <w:tcBorders>
                    <w:tl2br w:val="nil"/>
                    <w:tr2bl w:val="nil"/>
                  </w:tcBorders>
                  <w:vAlign w:val="center"/>
                </w:tcPr>
                <w:p w14:paraId="77021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450</w:t>
                  </w:r>
                </w:p>
              </w:tc>
              <w:tc>
                <w:tcPr>
                  <w:tcW w:w="753" w:type="dxa"/>
                  <w:tcBorders>
                    <w:tl2br w:val="nil"/>
                    <w:tr2bl w:val="nil"/>
                  </w:tcBorders>
                  <w:vAlign w:val="center"/>
                </w:tcPr>
                <w:p w14:paraId="097B2D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4E307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5A62CA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3</w:t>
                  </w:r>
                </w:p>
              </w:tc>
              <w:tc>
                <w:tcPr>
                  <w:tcW w:w="1860" w:type="dxa"/>
                  <w:tcBorders>
                    <w:tl2br w:val="nil"/>
                    <w:tr2bl w:val="nil"/>
                  </w:tcBorders>
                  <w:vAlign w:val="center"/>
                </w:tcPr>
                <w:p w14:paraId="02015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溶解性总固体（mg/L）</w:t>
                  </w:r>
                </w:p>
              </w:tc>
              <w:tc>
                <w:tcPr>
                  <w:tcW w:w="1125" w:type="dxa"/>
                  <w:tcBorders>
                    <w:tl2br w:val="nil"/>
                    <w:tr2bl w:val="nil"/>
                  </w:tcBorders>
                  <w:vAlign w:val="center"/>
                </w:tcPr>
                <w:p w14:paraId="29C860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280</w:t>
                  </w:r>
                </w:p>
              </w:tc>
              <w:tc>
                <w:tcPr>
                  <w:tcW w:w="1080" w:type="dxa"/>
                  <w:tcBorders>
                    <w:tl2br w:val="nil"/>
                    <w:tr2bl w:val="nil"/>
                  </w:tcBorders>
                  <w:vAlign w:val="center"/>
                </w:tcPr>
                <w:p w14:paraId="5C1F61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300</w:t>
                  </w:r>
                </w:p>
              </w:tc>
              <w:tc>
                <w:tcPr>
                  <w:tcW w:w="1110" w:type="dxa"/>
                  <w:tcBorders>
                    <w:tl2br w:val="nil"/>
                    <w:tr2bl w:val="nil"/>
                  </w:tcBorders>
                  <w:vAlign w:val="center"/>
                </w:tcPr>
                <w:p w14:paraId="4B657C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214</w:t>
                  </w:r>
                </w:p>
              </w:tc>
              <w:tc>
                <w:tcPr>
                  <w:tcW w:w="1125" w:type="dxa"/>
                  <w:tcBorders>
                    <w:tl2br w:val="nil"/>
                    <w:tr2bl w:val="nil"/>
                  </w:tcBorders>
                  <w:vAlign w:val="center"/>
                </w:tcPr>
                <w:p w14:paraId="08EA02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181</w:t>
                  </w:r>
                </w:p>
              </w:tc>
              <w:tc>
                <w:tcPr>
                  <w:tcW w:w="735" w:type="dxa"/>
                  <w:tcBorders>
                    <w:tl2br w:val="nil"/>
                    <w:tr2bl w:val="nil"/>
                  </w:tcBorders>
                  <w:vAlign w:val="center"/>
                </w:tcPr>
                <w:p w14:paraId="2D27AE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1000</w:t>
                  </w:r>
                </w:p>
              </w:tc>
              <w:tc>
                <w:tcPr>
                  <w:tcW w:w="753" w:type="dxa"/>
                  <w:tcBorders>
                    <w:tl2br w:val="nil"/>
                    <w:tr2bl w:val="nil"/>
                  </w:tcBorders>
                  <w:vAlign w:val="center"/>
                </w:tcPr>
                <w:p w14:paraId="745E38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7C6D2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1D71D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4</w:t>
                  </w:r>
                </w:p>
              </w:tc>
              <w:tc>
                <w:tcPr>
                  <w:tcW w:w="1860" w:type="dxa"/>
                  <w:tcBorders>
                    <w:tl2br w:val="nil"/>
                    <w:tr2bl w:val="nil"/>
                  </w:tcBorders>
                  <w:vAlign w:val="center"/>
                </w:tcPr>
                <w:p w14:paraId="60B396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氟化物（mg/L）</w:t>
                  </w:r>
                </w:p>
              </w:tc>
              <w:tc>
                <w:tcPr>
                  <w:tcW w:w="1125" w:type="dxa"/>
                  <w:tcBorders>
                    <w:tl2br w:val="nil"/>
                    <w:tr2bl w:val="nil"/>
                  </w:tcBorders>
                  <w:vAlign w:val="center"/>
                </w:tcPr>
                <w:p w14:paraId="3BBAF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0.49</w:t>
                  </w:r>
                </w:p>
              </w:tc>
              <w:tc>
                <w:tcPr>
                  <w:tcW w:w="1080" w:type="dxa"/>
                  <w:tcBorders>
                    <w:tl2br w:val="nil"/>
                    <w:tr2bl w:val="nil"/>
                  </w:tcBorders>
                  <w:vAlign w:val="center"/>
                </w:tcPr>
                <w:p w14:paraId="790C38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0.54</w:t>
                  </w:r>
                </w:p>
              </w:tc>
              <w:tc>
                <w:tcPr>
                  <w:tcW w:w="1110" w:type="dxa"/>
                  <w:tcBorders>
                    <w:tl2br w:val="nil"/>
                    <w:tr2bl w:val="nil"/>
                  </w:tcBorders>
                  <w:vAlign w:val="center"/>
                </w:tcPr>
                <w:p w14:paraId="7D6912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0.62</w:t>
                  </w:r>
                </w:p>
              </w:tc>
              <w:tc>
                <w:tcPr>
                  <w:tcW w:w="1125" w:type="dxa"/>
                  <w:tcBorders>
                    <w:tl2br w:val="nil"/>
                    <w:tr2bl w:val="nil"/>
                  </w:tcBorders>
                  <w:vAlign w:val="center"/>
                </w:tcPr>
                <w:p w14:paraId="6E093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0.67</w:t>
                  </w:r>
                </w:p>
              </w:tc>
              <w:tc>
                <w:tcPr>
                  <w:tcW w:w="735" w:type="dxa"/>
                  <w:tcBorders>
                    <w:tl2br w:val="nil"/>
                    <w:tr2bl w:val="nil"/>
                  </w:tcBorders>
                  <w:vAlign w:val="center"/>
                </w:tcPr>
                <w:p w14:paraId="025438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1.0</w:t>
                  </w:r>
                </w:p>
              </w:tc>
              <w:tc>
                <w:tcPr>
                  <w:tcW w:w="753" w:type="dxa"/>
                  <w:tcBorders>
                    <w:tl2br w:val="nil"/>
                    <w:tr2bl w:val="nil"/>
                  </w:tcBorders>
                  <w:vAlign w:val="center"/>
                </w:tcPr>
                <w:p w14:paraId="09E183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4A43B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47758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5</w:t>
                  </w:r>
                </w:p>
              </w:tc>
              <w:tc>
                <w:tcPr>
                  <w:tcW w:w="1860" w:type="dxa"/>
                  <w:tcBorders>
                    <w:tl2br w:val="nil"/>
                    <w:tr2bl w:val="nil"/>
                  </w:tcBorders>
                  <w:vAlign w:val="center"/>
                </w:tcPr>
                <w:p w14:paraId="28544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高锰酸盐指数</w:t>
                  </w:r>
                </w:p>
                <w:p w14:paraId="1A80C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（耗氧量）（mg/L）</w:t>
                  </w:r>
                </w:p>
              </w:tc>
              <w:tc>
                <w:tcPr>
                  <w:tcW w:w="1125" w:type="dxa"/>
                  <w:tcBorders>
                    <w:tl2br w:val="nil"/>
                    <w:tr2bl w:val="nil"/>
                  </w:tcBorders>
                  <w:vAlign w:val="center"/>
                </w:tcPr>
                <w:p w14:paraId="7FC006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0.80</w:t>
                  </w:r>
                </w:p>
              </w:tc>
              <w:tc>
                <w:tcPr>
                  <w:tcW w:w="1080" w:type="dxa"/>
                  <w:tcBorders>
                    <w:tl2br w:val="nil"/>
                    <w:tr2bl w:val="nil"/>
                  </w:tcBorders>
                  <w:vAlign w:val="center"/>
                </w:tcPr>
                <w:p w14:paraId="4F888A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0.71</w:t>
                  </w:r>
                </w:p>
              </w:tc>
              <w:tc>
                <w:tcPr>
                  <w:tcW w:w="1110" w:type="dxa"/>
                  <w:tcBorders>
                    <w:tl2br w:val="nil"/>
                    <w:tr2bl w:val="nil"/>
                  </w:tcBorders>
                  <w:vAlign w:val="center"/>
                </w:tcPr>
                <w:p w14:paraId="4DB2C1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0.75</w:t>
                  </w:r>
                </w:p>
              </w:tc>
              <w:tc>
                <w:tcPr>
                  <w:tcW w:w="1125" w:type="dxa"/>
                  <w:tcBorders>
                    <w:tl2br w:val="nil"/>
                    <w:tr2bl w:val="nil"/>
                  </w:tcBorders>
                  <w:vAlign w:val="center"/>
                </w:tcPr>
                <w:p w14:paraId="792C9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0.47</w:t>
                  </w:r>
                </w:p>
              </w:tc>
              <w:tc>
                <w:tcPr>
                  <w:tcW w:w="735" w:type="dxa"/>
                  <w:tcBorders>
                    <w:tl2br w:val="nil"/>
                    <w:tr2bl w:val="nil"/>
                  </w:tcBorders>
                  <w:vAlign w:val="center"/>
                </w:tcPr>
                <w:p w14:paraId="2918B1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3.0</w:t>
                  </w:r>
                </w:p>
              </w:tc>
              <w:tc>
                <w:tcPr>
                  <w:tcW w:w="753" w:type="dxa"/>
                  <w:tcBorders>
                    <w:tl2br w:val="nil"/>
                    <w:tr2bl w:val="nil"/>
                  </w:tcBorders>
                  <w:vAlign w:val="center"/>
                </w:tcPr>
                <w:p w14:paraId="001DE4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4A568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0CB46B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6</w:t>
                  </w:r>
                </w:p>
              </w:tc>
              <w:tc>
                <w:tcPr>
                  <w:tcW w:w="1860" w:type="dxa"/>
                  <w:tcBorders>
                    <w:tl2br w:val="nil"/>
                    <w:tr2bl w:val="nil"/>
                  </w:tcBorders>
                  <w:vAlign w:val="center"/>
                </w:tcPr>
                <w:p w14:paraId="7C784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氯化物（mg/L）</w:t>
                  </w:r>
                </w:p>
              </w:tc>
              <w:tc>
                <w:tcPr>
                  <w:tcW w:w="1125" w:type="dxa"/>
                  <w:tcBorders>
                    <w:tl2br w:val="nil"/>
                    <w:tr2bl w:val="nil"/>
                  </w:tcBorders>
                  <w:vAlign w:val="center"/>
                </w:tcPr>
                <w:p w14:paraId="655F8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9.20</w:t>
                  </w:r>
                </w:p>
              </w:tc>
              <w:tc>
                <w:tcPr>
                  <w:tcW w:w="1080" w:type="dxa"/>
                  <w:tcBorders>
                    <w:tl2br w:val="nil"/>
                    <w:tr2bl w:val="nil"/>
                  </w:tcBorders>
                  <w:vAlign w:val="center"/>
                </w:tcPr>
                <w:p w14:paraId="6CEBAA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9.04</w:t>
                  </w:r>
                </w:p>
              </w:tc>
              <w:tc>
                <w:tcPr>
                  <w:tcW w:w="1110" w:type="dxa"/>
                  <w:tcBorders>
                    <w:tl2br w:val="nil"/>
                    <w:tr2bl w:val="nil"/>
                  </w:tcBorders>
                  <w:vAlign w:val="center"/>
                </w:tcPr>
                <w:p w14:paraId="79024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9.76</w:t>
                  </w:r>
                </w:p>
              </w:tc>
              <w:tc>
                <w:tcPr>
                  <w:tcW w:w="1125" w:type="dxa"/>
                  <w:tcBorders>
                    <w:tl2br w:val="nil"/>
                    <w:tr2bl w:val="nil"/>
                  </w:tcBorders>
                  <w:vAlign w:val="center"/>
                </w:tcPr>
                <w:p w14:paraId="33672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9.72</w:t>
                  </w:r>
                </w:p>
              </w:tc>
              <w:tc>
                <w:tcPr>
                  <w:tcW w:w="735" w:type="dxa"/>
                  <w:tcBorders>
                    <w:tl2br w:val="nil"/>
                    <w:tr2bl w:val="nil"/>
                  </w:tcBorders>
                  <w:vAlign w:val="center"/>
                </w:tcPr>
                <w:p w14:paraId="0624B9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250</w:t>
                  </w:r>
                </w:p>
              </w:tc>
              <w:tc>
                <w:tcPr>
                  <w:tcW w:w="753" w:type="dxa"/>
                  <w:tcBorders>
                    <w:tl2br w:val="nil"/>
                    <w:tr2bl w:val="nil"/>
                  </w:tcBorders>
                  <w:vAlign w:val="center"/>
                </w:tcPr>
                <w:p w14:paraId="55FD55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268FD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6DF2D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7</w:t>
                  </w:r>
                </w:p>
              </w:tc>
              <w:tc>
                <w:tcPr>
                  <w:tcW w:w="1860" w:type="dxa"/>
                  <w:tcBorders>
                    <w:tl2br w:val="nil"/>
                    <w:tr2bl w:val="nil"/>
                  </w:tcBorders>
                  <w:vAlign w:val="center"/>
                </w:tcPr>
                <w:p w14:paraId="3F3738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硫酸盐（mg/L）</w:t>
                  </w:r>
                </w:p>
              </w:tc>
              <w:tc>
                <w:tcPr>
                  <w:tcW w:w="1125" w:type="dxa"/>
                  <w:tcBorders>
                    <w:tl2br w:val="nil"/>
                    <w:tr2bl w:val="nil"/>
                  </w:tcBorders>
                  <w:vAlign w:val="center"/>
                </w:tcPr>
                <w:p w14:paraId="3AF0B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50.8</w:t>
                  </w:r>
                </w:p>
              </w:tc>
              <w:tc>
                <w:tcPr>
                  <w:tcW w:w="1080" w:type="dxa"/>
                  <w:tcBorders>
                    <w:tl2br w:val="nil"/>
                    <w:tr2bl w:val="nil"/>
                  </w:tcBorders>
                  <w:vAlign w:val="center"/>
                </w:tcPr>
                <w:p w14:paraId="48189B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50.0</w:t>
                  </w:r>
                </w:p>
              </w:tc>
              <w:tc>
                <w:tcPr>
                  <w:tcW w:w="1110" w:type="dxa"/>
                  <w:tcBorders>
                    <w:tl2br w:val="nil"/>
                    <w:tr2bl w:val="nil"/>
                  </w:tcBorders>
                  <w:vAlign w:val="center"/>
                </w:tcPr>
                <w:p w14:paraId="7F091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53.8</w:t>
                  </w:r>
                </w:p>
              </w:tc>
              <w:tc>
                <w:tcPr>
                  <w:tcW w:w="1125" w:type="dxa"/>
                  <w:tcBorders>
                    <w:tl2br w:val="nil"/>
                    <w:tr2bl w:val="nil"/>
                  </w:tcBorders>
                  <w:vAlign w:val="center"/>
                </w:tcPr>
                <w:p w14:paraId="402C1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53.8</w:t>
                  </w:r>
                </w:p>
              </w:tc>
              <w:tc>
                <w:tcPr>
                  <w:tcW w:w="735" w:type="dxa"/>
                  <w:tcBorders>
                    <w:tl2br w:val="nil"/>
                    <w:tr2bl w:val="nil"/>
                  </w:tcBorders>
                  <w:vAlign w:val="center"/>
                </w:tcPr>
                <w:p w14:paraId="0AAF3D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250</w:t>
                  </w:r>
                </w:p>
              </w:tc>
              <w:tc>
                <w:tcPr>
                  <w:tcW w:w="753" w:type="dxa"/>
                  <w:tcBorders>
                    <w:tl2br w:val="nil"/>
                    <w:tr2bl w:val="nil"/>
                  </w:tcBorders>
                  <w:vAlign w:val="center"/>
                </w:tcPr>
                <w:p w14:paraId="27AD8B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3759B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407E2D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8</w:t>
                  </w:r>
                </w:p>
              </w:tc>
              <w:tc>
                <w:tcPr>
                  <w:tcW w:w="1860" w:type="dxa"/>
                  <w:tcBorders>
                    <w:tl2br w:val="nil"/>
                    <w:tr2bl w:val="nil"/>
                  </w:tcBorders>
                  <w:vAlign w:val="center"/>
                </w:tcPr>
                <w:p w14:paraId="360280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硝酸盐氮（mg/L）</w:t>
                  </w:r>
                </w:p>
              </w:tc>
              <w:tc>
                <w:tcPr>
                  <w:tcW w:w="1125" w:type="dxa"/>
                  <w:tcBorders>
                    <w:tl2br w:val="nil"/>
                    <w:tr2bl w:val="nil"/>
                  </w:tcBorders>
                  <w:vAlign w:val="center"/>
                </w:tcPr>
                <w:p w14:paraId="156D42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0.61</w:t>
                  </w:r>
                </w:p>
              </w:tc>
              <w:tc>
                <w:tcPr>
                  <w:tcW w:w="1080" w:type="dxa"/>
                  <w:tcBorders>
                    <w:tl2br w:val="nil"/>
                    <w:tr2bl w:val="nil"/>
                  </w:tcBorders>
                  <w:vAlign w:val="center"/>
                </w:tcPr>
                <w:p w14:paraId="5B8D3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0.72</w:t>
                  </w:r>
                </w:p>
              </w:tc>
              <w:tc>
                <w:tcPr>
                  <w:tcW w:w="1110" w:type="dxa"/>
                  <w:tcBorders>
                    <w:tl2br w:val="nil"/>
                    <w:tr2bl w:val="nil"/>
                  </w:tcBorders>
                  <w:vAlign w:val="center"/>
                </w:tcPr>
                <w:p w14:paraId="6732B4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0.50</w:t>
                  </w:r>
                </w:p>
              </w:tc>
              <w:tc>
                <w:tcPr>
                  <w:tcW w:w="1125" w:type="dxa"/>
                  <w:tcBorders>
                    <w:tl2br w:val="nil"/>
                    <w:tr2bl w:val="nil"/>
                  </w:tcBorders>
                  <w:vAlign w:val="center"/>
                </w:tcPr>
                <w:p w14:paraId="5BED4F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0.66</w:t>
                  </w:r>
                </w:p>
              </w:tc>
              <w:tc>
                <w:tcPr>
                  <w:tcW w:w="735" w:type="dxa"/>
                  <w:tcBorders>
                    <w:tl2br w:val="nil"/>
                    <w:tr2bl w:val="nil"/>
                  </w:tcBorders>
                  <w:vAlign w:val="center"/>
                </w:tcPr>
                <w:p w14:paraId="44AA40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20.0</w:t>
                  </w:r>
                </w:p>
              </w:tc>
              <w:tc>
                <w:tcPr>
                  <w:tcW w:w="753" w:type="dxa"/>
                  <w:tcBorders>
                    <w:tl2br w:val="nil"/>
                    <w:tr2bl w:val="nil"/>
                  </w:tcBorders>
                  <w:vAlign w:val="center"/>
                </w:tcPr>
                <w:p w14:paraId="499F76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1944B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1AA8D6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9</w:t>
                  </w:r>
                </w:p>
              </w:tc>
              <w:tc>
                <w:tcPr>
                  <w:tcW w:w="1860" w:type="dxa"/>
                  <w:tcBorders>
                    <w:tl2br w:val="nil"/>
                    <w:tr2bl w:val="nil"/>
                  </w:tcBorders>
                  <w:vAlign w:val="center"/>
                </w:tcPr>
                <w:p w14:paraId="34518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亚硝酸盐氮（mg/L）</w:t>
                  </w:r>
                </w:p>
              </w:tc>
              <w:tc>
                <w:tcPr>
                  <w:tcW w:w="1125" w:type="dxa"/>
                  <w:tcBorders>
                    <w:tl2br w:val="nil"/>
                    <w:tr2bl w:val="nil"/>
                  </w:tcBorders>
                  <w:vAlign w:val="center"/>
                </w:tcPr>
                <w:p w14:paraId="1AE910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0.003L</w:t>
                  </w:r>
                </w:p>
              </w:tc>
              <w:tc>
                <w:tcPr>
                  <w:tcW w:w="1080" w:type="dxa"/>
                  <w:tcBorders>
                    <w:tl2br w:val="nil"/>
                    <w:tr2bl w:val="nil"/>
                  </w:tcBorders>
                  <w:vAlign w:val="center"/>
                </w:tcPr>
                <w:p w14:paraId="30ED46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0.003L</w:t>
                  </w:r>
                </w:p>
              </w:tc>
              <w:tc>
                <w:tcPr>
                  <w:tcW w:w="1110" w:type="dxa"/>
                  <w:tcBorders>
                    <w:tl2br w:val="nil"/>
                    <w:tr2bl w:val="nil"/>
                  </w:tcBorders>
                  <w:vAlign w:val="center"/>
                </w:tcPr>
                <w:p w14:paraId="593DF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0.003L</w:t>
                  </w:r>
                </w:p>
              </w:tc>
              <w:tc>
                <w:tcPr>
                  <w:tcW w:w="1125" w:type="dxa"/>
                  <w:tcBorders>
                    <w:tl2br w:val="nil"/>
                    <w:tr2bl w:val="nil"/>
                  </w:tcBorders>
                  <w:vAlign w:val="center"/>
                </w:tcPr>
                <w:p w14:paraId="410A6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0.003L</w:t>
                  </w:r>
                </w:p>
              </w:tc>
              <w:tc>
                <w:tcPr>
                  <w:tcW w:w="735" w:type="dxa"/>
                  <w:tcBorders>
                    <w:tl2br w:val="nil"/>
                    <w:tr2bl w:val="nil"/>
                  </w:tcBorders>
                  <w:vAlign w:val="center"/>
                </w:tcPr>
                <w:p w14:paraId="7F3C1A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1.0</w:t>
                  </w:r>
                </w:p>
              </w:tc>
              <w:tc>
                <w:tcPr>
                  <w:tcW w:w="753" w:type="dxa"/>
                  <w:tcBorders>
                    <w:tl2br w:val="nil"/>
                    <w:tr2bl w:val="nil"/>
                  </w:tcBorders>
                  <w:vAlign w:val="center"/>
                </w:tcPr>
                <w:p w14:paraId="65914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4102A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387DB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10</w:t>
                  </w:r>
                </w:p>
              </w:tc>
              <w:tc>
                <w:tcPr>
                  <w:tcW w:w="1860" w:type="dxa"/>
                  <w:tcBorders>
                    <w:tl2br w:val="nil"/>
                    <w:tr2bl w:val="nil"/>
                  </w:tcBorders>
                  <w:vAlign w:val="center"/>
                </w:tcPr>
                <w:p w14:paraId="528F9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氨氮（mg/L）</w:t>
                  </w:r>
                </w:p>
              </w:tc>
              <w:tc>
                <w:tcPr>
                  <w:tcW w:w="1125" w:type="dxa"/>
                  <w:tcBorders>
                    <w:tl2br w:val="nil"/>
                    <w:tr2bl w:val="nil"/>
                  </w:tcBorders>
                  <w:vAlign w:val="center"/>
                </w:tcPr>
                <w:p w14:paraId="634DBC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0.01L</w:t>
                  </w:r>
                </w:p>
              </w:tc>
              <w:tc>
                <w:tcPr>
                  <w:tcW w:w="1080" w:type="dxa"/>
                  <w:tcBorders>
                    <w:tl2br w:val="nil"/>
                    <w:tr2bl w:val="nil"/>
                  </w:tcBorders>
                  <w:vAlign w:val="center"/>
                </w:tcPr>
                <w:p w14:paraId="2B3A3B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0.01L</w:t>
                  </w:r>
                </w:p>
              </w:tc>
              <w:tc>
                <w:tcPr>
                  <w:tcW w:w="1110" w:type="dxa"/>
                  <w:tcBorders>
                    <w:tl2br w:val="nil"/>
                    <w:tr2bl w:val="nil"/>
                  </w:tcBorders>
                  <w:vAlign w:val="center"/>
                </w:tcPr>
                <w:p w14:paraId="36058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0.01L</w:t>
                  </w:r>
                </w:p>
              </w:tc>
              <w:tc>
                <w:tcPr>
                  <w:tcW w:w="1125" w:type="dxa"/>
                  <w:tcBorders>
                    <w:tl2br w:val="nil"/>
                    <w:tr2bl w:val="nil"/>
                  </w:tcBorders>
                  <w:vAlign w:val="center"/>
                </w:tcPr>
                <w:p w14:paraId="14312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0.01L</w:t>
                  </w:r>
                </w:p>
              </w:tc>
              <w:tc>
                <w:tcPr>
                  <w:tcW w:w="735" w:type="dxa"/>
                  <w:tcBorders>
                    <w:tl2br w:val="nil"/>
                    <w:tr2bl w:val="nil"/>
                  </w:tcBorders>
                  <w:vAlign w:val="center"/>
                </w:tcPr>
                <w:p w14:paraId="7A3FE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0.5</w:t>
                  </w:r>
                </w:p>
              </w:tc>
              <w:tc>
                <w:tcPr>
                  <w:tcW w:w="753" w:type="dxa"/>
                  <w:tcBorders>
                    <w:tl2br w:val="nil"/>
                    <w:tr2bl w:val="nil"/>
                  </w:tcBorders>
                  <w:vAlign w:val="center"/>
                </w:tcPr>
                <w:p w14:paraId="60F07C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2FF7A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3708F4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11</w:t>
                  </w:r>
                </w:p>
              </w:tc>
              <w:tc>
                <w:tcPr>
                  <w:tcW w:w="1860" w:type="dxa"/>
                  <w:tcBorders>
                    <w:tl2br w:val="nil"/>
                    <w:tr2bl w:val="nil"/>
                  </w:tcBorders>
                  <w:vAlign w:val="center"/>
                </w:tcPr>
                <w:p w14:paraId="1D80F4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六价铬（mg/L）</w:t>
                  </w:r>
                </w:p>
              </w:tc>
              <w:tc>
                <w:tcPr>
                  <w:tcW w:w="1125" w:type="dxa"/>
                  <w:tcBorders>
                    <w:tl2br w:val="nil"/>
                    <w:tr2bl w:val="nil"/>
                  </w:tcBorders>
                  <w:vAlign w:val="center"/>
                </w:tcPr>
                <w:p w14:paraId="58EF8D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0.004L</w:t>
                  </w:r>
                </w:p>
              </w:tc>
              <w:tc>
                <w:tcPr>
                  <w:tcW w:w="1080" w:type="dxa"/>
                  <w:tcBorders>
                    <w:tl2br w:val="nil"/>
                    <w:tr2bl w:val="nil"/>
                  </w:tcBorders>
                  <w:vAlign w:val="center"/>
                </w:tcPr>
                <w:p w14:paraId="6A4BA0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0.004L</w:t>
                  </w:r>
                </w:p>
              </w:tc>
              <w:tc>
                <w:tcPr>
                  <w:tcW w:w="1110" w:type="dxa"/>
                  <w:tcBorders>
                    <w:tl2br w:val="nil"/>
                    <w:tr2bl w:val="nil"/>
                  </w:tcBorders>
                  <w:vAlign w:val="center"/>
                </w:tcPr>
                <w:p w14:paraId="0FCF9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0.004L</w:t>
                  </w:r>
                </w:p>
              </w:tc>
              <w:tc>
                <w:tcPr>
                  <w:tcW w:w="1125" w:type="dxa"/>
                  <w:tcBorders>
                    <w:tl2br w:val="nil"/>
                    <w:tr2bl w:val="nil"/>
                  </w:tcBorders>
                  <w:vAlign w:val="center"/>
                </w:tcPr>
                <w:p w14:paraId="31F98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0.004L</w:t>
                  </w:r>
                </w:p>
              </w:tc>
              <w:tc>
                <w:tcPr>
                  <w:tcW w:w="735" w:type="dxa"/>
                  <w:tcBorders>
                    <w:tl2br w:val="nil"/>
                    <w:tr2bl w:val="nil"/>
                  </w:tcBorders>
                  <w:vAlign w:val="center"/>
                </w:tcPr>
                <w:p w14:paraId="3D560E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0.05</w:t>
                  </w:r>
                </w:p>
              </w:tc>
              <w:tc>
                <w:tcPr>
                  <w:tcW w:w="753" w:type="dxa"/>
                  <w:tcBorders>
                    <w:tl2br w:val="nil"/>
                    <w:tr2bl w:val="nil"/>
                  </w:tcBorders>
                  <w:vAlign w:val="center"/>
                </w:tcPr>
                <w:p w14:paraId="6620E4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2D5B5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358E9F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12</w:t>
                  </w:r>
                </w:p>
              </w:tc>
              <w:tc>
                <w:tcPr>
                  <w:tcW w:w="1860" w:type="dxa"/>
                  <w:tcBorders>
                    <w:tl2br w:val="nil"/>
                    <w:tr2bl w:val="nil"/>
                  </w:tcBorders>
                  <w:vAlign w:val="center"/>
                </w:tcPr>
                <w:p w14:paraId="62570C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挥发酚（mg/L）</w:t>
                  </w:r>
                </w:p>
              </w:tc>
              <w:tc>
                <w:tcPr>
                  <w:tcW w:w="1125" w:type="dxa"/>
                  <w:tcBorders>
                    <w:tl2br w:val="nil"/>
                    <w:tr2bl w:val="nil"/>
                  </w:tcBorders>
                  <w:vAlign w:val="center"/>
                </w:tcPr>
                <w:p w14:paraId="1B27C5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0.0003L</w:t>
                  </w:r>
                </w:p>
              </w:tc>
              <w:tc>
                <w:tcPr>
                  <w:tcW w:w="1080" w:type="dxa"/>
                  <w:tcBorders>
                    <w:tl2br w:val="nil"/>
                    <w:tr2bl w:val="nil"/>
                  </w:tcBorders>
                  <w:vAlign w:val="center"/>
                </w:tcPr>
                <w:p w14:paraId="1301EC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0.0003L</w:t>
                  </w:r>
                </w:p>
              </w:tc>
              <w:tc>
                <w:tcPr>
                  <w:tcW w:w="1110" w:type="dxa"/>
                  <w:tcBorders>
                    <w:tl2br w:val="nil"/>
                    <w:tr2bl w:val="nil"/>
                  </w:tcBorders>
                  <w:vAlign w:val="center"/>
                </w:tcPr>
                <w:p w14:paraId="2A09C3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0.0003L</w:t>
                  </w:r>
                </w:p>
              </w:tc>
              <w:tc>
                <w:tcPr>
                  <w:tcW w:w="1125" w:type="dxa"/>
                  <w:tcBorders>
                    <w:tl2br w:val="nil"/>
                    <w:tr2bl w:val="nil"/>
                  </w:tcBorders>
                  <w:vAlign w:val="center"/>
                </w:tcPr>
                <w:p w14:paraId="162E3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0.0003L</w:t>
                  </w:r>
                </w:p>
              </w:tc>
              <w:tc>
                <w:tcPr>
                  <w:tcW w:w="735" w:type="dxa"/>
                  <w:tcBorders>
                    <w:tl2br w:val="nil"/>
                    <w:tr2bl w:val="nil"/>
                  </w:tcBorders>
                  <w:vAlign w:val="center"/>
                </w:tcPr>
                <w:p w14:paraId="515324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0.002</w:t>
                  </w:r>
                </w:p>
              </w:tc>
              <w:tc>
                <w:tcPr>
                  <w:tcW w:w="753" w:type="dxa"/>
                  <w:tcBorders>
                    <w:tl2br w:val="nil"/>
                    <w:tr2bl w:val="nil"/>
                  </w:tcBorders>
                  <w:vAlign w:val="center"/>
                </w:tcPr>
                <w:p w14:paraId="03985A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53FB4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4D5B7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13</w:t>
                  </w:r>
                </w:p>
              </w:tc>
              <w:tc>
                <w:tcPr>
                  <w:tcW w:w="1860" w:type="dxa"/>
                  <w:tcBorders>
                    <w:tl2br w:val="nil"/>
                    <w:tr2bl w:val="nil"/>
                  </w:tcBorders>
                  <w:vAlign w:val="center"/>
                </w:tcPr>
                <w:p w14:paraId="1700F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氰化物（mg/L）</w:t>
                  </w:r>
                </w:p>
              </w:tc>
              <w:tc>
                <w:tcPr>
                  <w:tcW w:w="1125" w:type="dxa"/>
                  <w:tcBorders>
                    <w:tl2br w:val="nil"/>
                    <w:tr2bl w:val="nil"/>
                  </w:tcBorders>
                  <w:vAlign w:val="center"/>
                </w:tcPr>
                <w:p w14:paraId="438E33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0.004L</w:t>
                  </w:r>
                </w:p>
              </w:tc>
              <w:tc>
                <w:tcPr>
                  <w:tcW w:w="1080" w:type="dxa"/>
                  <w:tcBorders>
                    <w:tl2br w:val="nil"/>
                    <w:tr2bl w:val="nil"/>
                  </w:tcBorders>
                  <w:vAlign w:val="center"/>
                </w:tcPr>
                <w:p w14:paraId="6EFA2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0.004L</w:t>
                  </w:r>
                </w:p>
              </w:tc>
              <w:tc>
                <w:tcPr>
                  <w:tcW w:w="1110" w:type="dxa"/>
                  <w:tcBorders>
                    <w:tl2br w:val="nil"/>
                    <w:tr2bl w:val="nil"/>
                  </w:tcBorders>
                  <w:vAlign w:val="center"/>
                </w:tcPr>
                <w:p w14:paraId="23C538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0.004L</w:t>
                  </w:r>
                </w:p>
              </w:tc>
              <w:tc>
                <w:tcPr>
                  <w:tcW w:w="1125" w:type="dxa"/>
                  <w:tcBorders>
                    <w:tl2br w:val="nil"/>
                    <w:tr2bl w:val="nil"/>
                  </w:tcBorders>
                  <w:vAlign w:val="center"/>
                </w:tcPr>
                <w:p w14:paraId="18FC8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0.004L</w:t>
                  </w:r>
                </w:p>
              </w:tc>
              <w:tc>
                <w:tcPr>
                  <w:tcW w:w="735" w:type="dxa"/>
                  <w:tcBorders>
                    <w:tl2br w:val="nil"/>
                    <w:tr2bl w:val="nil"/>
                  </w:tcBorders>
                  <w:vAlign w:val="center"/>
                </w:tcPr>
                <w:p w14:paraId="4890D2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0.05</w:t>
                  </w:r>
                </w:p>
              </w:tc>
              <w:tc>
                <w:tcPr>
                  <w:tcW w:w="753" w:type="dxa"/>
                  <w:tcBorders>
                    <w:tl2br w:val="nil"/>
                    <w:tr2bl w:val="nil"/>
                  </w:tcBorders>
                  <w:vAlign w:val="center"/>
                </w:tcPr>
                <w:p w14:paraId="64E4F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6C6CB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1605D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14</w:t>
                  </w:r>
                </w:p>
              </w:tc>
              <w:tc>
                <w:tcPr>
                  <w:tcW w:w="1860" w:type="dxa"/>
                  <w:tcBorders>
                    <w:tl2br w:val="nil"/>
                    <w:tr2bl w:val="nil"/>
                  </w:tcBorders>
                  <w:vAlign w:val="center"/>
                </w:tcPr>
                <w:p w14:paraId="69BFA6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汞（mg/L）</w:t>
                  </w:r>
                </w:p>
              </w:tc>
              <w:tc>
                <w:tcPr>
                  <w:tcW w:w="1125" w:type="dxa"/>
                  <w:tcBorders>
                    <w:tl2br w:val="nil"/>
                    <w:tr2bl w:val="nil"/>
                  </w:tcBorders>
                  <w:vAlign w:val="center"/>
                </w:tcPr>
                <w:p w14:paraId="3B1C9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4.0</w:t>
                  </w:r>
                  <w:r>
                    <w:rPr>
                      <w:rFonts w:hint="default" w:ascii="Arial" w:hAnsi="Arial" w:cs="Arial"/>
                      <w:color w:val="0000FF"/>
                      <w:sz w:val="21"/>
                      <w:szCs w:val="21"/>
                      <w:vertAlign w:val="baseline"/>
                      <w:lang w:val="en-US" w:eastAsia="zh-CN"/>
                    </w:rPr>
                    <w:t>×</w:t>
                  </w:r>
                  <w:r>
                    <w:rPr>
                      <w:rFonts w:hint="eastAsia"/>
                      <w:color w:val="0000FF"/>
                      <w:sz w:val="21"/>
                      <w:szCs w:val="21"/>
                      <w:vertAlign w:val="baseline"/>
                      <w:lang w:val="en-US" w:eastAsia="zh-CN"/>
                    </w:rPr>
                    <w:t>10</w:t>
                  </w:r>
                  <w:r>
                    <w:rPr>
                      <w:rFonts w:hint="eastAsia"/>
                      <w:color w:val="0000FF"/>
                      <w:sz w:val="21"/>
                      <w:szCs w:val="21"/>
                      <w:vertAlign w:val="superscript"/>
                      <w:lang w:val="en-US" w:eastAsia="zh-CN"/>
                    </w:rPr>
                    <w:t>-5</w:t>
                  </w:r>
                  <w:r>
                    <w:rPr>
                      <w:rFonts w:hint="eastAsia"/>
                      <w:color w:val="0000FF"/>
                      <w:sz w:val="21"/>
                      <w:szCs w:val="21"/>
                      <w:vertAlign w:val="baseline"/>
                      <w:lang w:val="en-US" w:eastAsia="zh-CN"/>
                    </w:rPr>
                    <w:t>L</w:t>
                  </w:r>
                </w:p>
              </w:tc>
              <w:tc>
                <w:tcPr>
                  <w:tcW w:w="1080" w:type="dxa"/>
                  <w:tcBorders>
                    <w:tl2br w:val="nil"/>
                    <w:tr2bl w:val="nil"/>
                  </w:tcBorders>
                  <w:vAlign w:val="center"/>
                </w:tcPr>
                <w:p w14:paraId="0B47F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4.0</w:t>
                  </w:r>
                  <w:r>
                    <w:rPr>
                      <w:rFonts w:hint="default" w:ascii="Arial" w:hAnsi="Arial" w:cs="Arial"/>
                      <w:color w:val="0000FF"/>
                      <w:sz w:val="21"/>
                      <w:szCs w:val="21"/>
                      <w:vertAlign w:val="baseline"/>
                      <w:lang w:val="en-US" w:eastAsia="zh-CN"/>
                    </w:rPr>
                    <w:t>×</w:t>
                  </w:r>
                  <w:r>
                    <w:rPr>
                      <w:rFonts w:hint="eastAsia"/>
                      <w:color w:val="0000FF"/>
                      <w:sz w:val="21"/>
                      <w:szCs w:val="21"/>
                      <w:vertAlign w:val="baseline"/>
                      <w:lang w:val="en-US" w:eastAsia="zh-CN"/>
                    </w:rPr>
                    <w:t>10</w:t>
                  </w:r>
                  <w:r>
                    <w:rPr>
                      <w:rFonts w:hint="eastAsia"/>
                      <w:color w:val="0000FF"/>
                      <w:sz w:val="21"/>
                      <w:szCs w:val="21"/>
                      <w:vertAlign w:val="superscript"/>
                      <w:lang w:val="en-US" w:eastAsia="zh-CN"/>
                    </w:rPr>
                    <w:t>-5</w:t>
                  </w:r>
                  <w:r>
                    <w:rPr>
                      <w:rFonts w:hint="eastAsia"/>
                      <w:color w:val="0000FF"/>
                      <w:sz w:val="21"/>
                      <w:szCs w:val="21"/>
                      <w:vertAlign w:val="baseline"/>
                      <w:lang w:val="en-US" w:eastAsia="zh-CN"/>
                    </w:rPr>
                    <w:t>L</w:t>
                  </w:r>
                </w:p>
              </w:tc>
              <w:tc>
                <w:tcPr>
                  <w:tcW w:w="1110" w:type="dxa"/>
                  <w:tcBorders>
                    <w:tl2br w:val="nil"/>
                    <w:tr2bl w:val="nil"/>
                  </w:tcBorders>
                  <w:vAlign w:val="center"/>
                </w:tcPr>
                <w:p w14:paraId="75460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4.0</w:t>
                  </w:r>
                  <w:r>
                    <w:rPr>
                      <w:rFonts w:hint="default" w:ascii="Arial" w:hAnsi="Arial" w:cs="Arial"/>
                      <w:color w:val="0000FF"/>
                      <w:sz w:val="21"/>
                      <w:szCs w:val="21"/>
                      <w:vertAlign w:val="baseline"/>
                      <w:lang w:val="en-US" w:eastAsia="zh-CN"/>
                    </w:rPr>
                    <w:t>×</w:t>
                  </w:r>
                  <w:r>
                    <w:rPr>
                      <w:rFonts w:hint="eastAsia"/>
                      <w:color w:val="0000FF"/>
                      <w:sz w:val="21"/>
                      <w:szCs w:val="21"/>
                      <w:vertAlign w:val="baseline"/>
                      <w:lang w:val="en-US" w:eastAsia="zh-CN"/>
                    </w:rPr>
                    <w:t>10</w:t>
                  </w:r>
                  <w:r>
                    <w:rPr>
                      <w:rFonts w:hint="eastAsia"/>
                      <w:color w:val="0000FF"/>
                      <w:sz w:val="21"/>
                      <w:szCs w:val="21"/>
                      <w:vertAlign w:val="superscript"/>
                      <w:lang w:val="en-US" w:eastAsia="zh-CN"/>
                    </w:rPr>
                    <w:t>-5</w:t>
                  </w:r>
                  <w:r>
                    <w:rPr>
                      <w:rFonts w:hint="eastAsia"/>
                      <w:color w:val="0000FF"/>
                      <w:sz w:val="21"/>
                      <w:szCs w:val="21"/>
                      <w:vertAlign w:val="baseline"/>
                      <w:lang w:val="en-US" w:eastAsia="zh-CN"/>
                    </w:rPr>
                    <w:t>L</w:t>
                  </w:r>
                </w:p>
              </w:tc>
              <w:tc>
                <w:tcPr>
                  <w:tcW w:w="1125" w:type="dxa"/>
                  <w:tcBorders>
                    <w:tl2br w:val="nil"/>
                    <w:tr2bl w:val="nil"/>
                  </w:tcBorders>
                  <w:vAlign w:val="center"/>
                </w:tcPr>
                <w:p w14:paraId="57551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4.0</w:t>
                  </w:r>
                  <w:r>
                    <w:rPr>
                      <w:rFonts w:hint="default" w:ascii="Arial" w:hAnsi="Arial" w:cs="Arial"/>
                      <w:color w:val="0000FF"/>
                      <w:sz w:val="21"/>
                      <w:szCs w:val="21"/>
                      <w:vertAlign w:val="baseline"/>
                      <w:lang w:val="en-US" w:eastAsia="zh-CN"/>
                    </w:rPr>
                    <w:t>×</w:t>
                  </w:r>
                  <w:r>
                    <w:rPr>
                      <w:rFonts w:hint="eastAsia"/>
                      <w:color w:val="0000FF"/>
                      <w:sz w:val="21"/>
                      <w:szCs w:val="21"/>
                      <w:vertAlign w:val="baseline"/>
                      <w:lang w:val="en-US" w:eastAsia="zh-CN"/>
                    </w:rPr>
                    <w:t>10</w:t>
                  </w:r>
                  <w:r>
                    <w:rPr>
                      <w:rFonts w:hint="eastAsia"/>
                      <w:color w:val="0000FF"/>
                      <w:sz w:val="21"/>
                      <w:szCs w:val="21"/>
                      <w:vertAlign w:val="superscript"/>
                      <w:lang w:val="en-US" w:eastAsia="zh-CN"/>
                    </w:rPr>
                    <w:t>-5</w:t>
                  </w:r>
                  <w:r>
                    <w:rPr>
                      <w:rFonts w:hint="eastAsia"/>
                      <w:color w:val="0000FF"/>
                      <w:sz w:val="21"/>
                      <w:szCs w:val="21"/>
                      <w:vertAlign w:val="baseline"/>
                      <w:lang w:val="en-US" w:eastAsia="zh-CN"/>
                    </w:rPr>
                    <w:t>L</w:t>
                  </w:r>
                </w:p>
              </w:tc>
              <w:tc>
                <w:tcPr>
                  <w:tcW w:w="735" w:type="dxa"/>
                  <w:tcBorders>
                    <w:tl2br w:val="nil"/>
                    <w:tr2bl w:val="nil"/>
                  </w:tcBorders>
                  <w:vAlign w:val="center"/>
                </w:tcPr>
                <w:p w14:paraId="4F682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0.001</w:t>
                  </w:r>
                </w:p>
              </w:tc>
              <w:tc>
                <w:tcPr>
                  <w:tcW w:w="753" w:type="dxa"/>
                  <w:tcBorders>
                    <w:tl2br w:val="nil"/>
                    <w:tr2bl w:val="nil"/>
                  </w:tcBorders>
                  <w:vAlign w:val="center"/>
                </w:tcPr>
                <w:p w14:paraId="75FE67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60C01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7CF074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15</w:t>
                  </w:r>
                </w:p>
              </w:tc>
              <w:tc>
                <w:tcPr>
                  <w:tcW w:w="1860" w:type="dxa"/>
                  <w:tcBorders>
                    <w:tl2br w:val="nil"/>
                    <w:tr2bl w:val="nil"/>
                  </w:tcBorders>
                  <w:vAlign w:val="center"/>
                </w:tcPr>
                <w:p w14:paraId="60C6A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砷（mg/L）</w:t>
                  </w:r>
                </w:p>
              </w:tc>
              <w:tc>
                <w:tcPr>
                  <w:tcW w:w="1125" w:type="dxa"/>
                  <w:tcBorders>
                    <w:tl2br w:val="nil"/>
                    <w:tr2bl w:val="nil"/>
                  </w:tcBorders>
                  <w:vAlign w:val="center"/>
                </w:tcPr>
                <w:p w14:paraId="45FDC7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3.0</w:t>
                  </w:r>
                  <w:r>
                    <w:rPr>
                      <w:rFonts w:hint="default" w:ascii="Arial" w:hAnsi="Arial" w:cs="Arial"/>
                      <w:color w:val="0000FF"/>
                      <w:sz w:val="21"/>
                      <w:szCs w:val="21"/>
                      <w:vertAlign w:val="baseline"/>
                      <w:lang w:val="en-US" w:eastAsia="zh-CN"/>
                    </w:rPr>
                    <w:t>×</w:t>
                  </w:r>
                  <w:r>
                    <w:rPr>
                      <w:rFonts w:hint="eastAsia"/>
                      <w:color w:val="0000FF"/>
                      <w:sz w:val="21"/>
                      <w:szCs w:val="21"/>
                      <w:vertAlign w:val="baseline"/>
                      <w:lang w:val="en-US" w:eastAsia="zh-CN"/>
                    </w:rPr>
                    <w:t>10</w:t>
                  </w:r>
                  <w:r>
                    <w:rPr>
                      <w:rFonts w:hint="eastAsia"/>
                      <w:color w:val="0000FF"/>
                      <w:sz w:val="21"/>
                      <w:szCs w:val="21"/>
                      <w:vertAlign w:val="superscript"/>
                      <w:lang w:val="en-US" w:eastAsia="zh-CN"/>
                    </w:rPr>
                    <w:t>-4</w:t>
                  </w:r>
                  <w:r>
                    <w:rPr>
                      <w:rFonts w:hint="eastAsia"/>
                      <w:color w:val="0000FF"/>
                      <w:sz w:val="21"/>
                      <w:szCs w:val="21"/>
                      <w:vertAlign w:val="baseline"/>
                      <w:lang w:val="en-US" w:eastAsia="zh-CN"/>
                    </w:rPr>
                    <w:t>L</w:t>
                  </w:r>
                </w:p>
              </w:tc>
              <w:tc>
                <w:tcPr>
                  <w:tcW w:w="1080" w:type="dxa"/>
                  <w:tcBorders>
                    <w:tl2br w:val="nil"/>
                    <w:tr2bl w:val="nil"/>
                  </w:tcBorders>
                  <w:vAlign w:val="center"/>
                </w:tcPr>
                <w:p w14:paraId="6BDAE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4.0</w:t>
                  </w:r>
                  <w:r>
                    <w:rPr>
                      <w:rFonts w:hint="default" w:ascii="Arial" w:hAnsi="Arial" w:cs="Arial"/>
                      <w:color w:val="0000FF"/>
                      <w:sz w:val="21"/>
                      <w:szCs w:val="21"/>
                      <w:vertAlign w:val="baseline"/>
                      <w:lang w:val="en-US" w:eastAsia="zh-CN"/>
                    </w:rPr>
                    <w:t>×</w:t>
                  </w:r>
                  <w:r>
                    <w:rPr>
                      <w:rFonts w:hint="eastAsia"/>
                      <w:color w:val="0000FF"/>
                      <w:sz w:val="21"/>
                      <w:szCs w:val="21"/>
                      <w:vertAlign w:val="baseline"/>
                      <w:lang w:val="en-US" w:eastAsia="zh-CN"/>
                    </w:rPr>
                    <w:t>10</w:t>
                  </w:r>
                  <w:r>
                    <w:rPr>
                      <w:rFonts w:hint="eastAsia"/>
                      <w:color w:val="0000FF"/>
                      <w:sz w:val="21"/>
                      <w:szCs w:val="21"/>
                      <w:vertAlign w:val="superscript"/>
                      <w:lang w:val="en-US" w:eastAsia="zh-CN"/>
                    </w:rPr>
                    <w:t>-4</w:t>
                  </w:r>
                  <w:r>
                    <w:rPr>
                      <w:rFonts w:hint="eastAsia"/>
                      <w:color w:val="0000FF"/>
                      <w:sz w:val="21"/>
                      <w:szCs w:val="21"/>
                      <w:vertAlign w:val="baseline"/>
                      <w:lang w:val="en-US" w:eastAsia="zh-CN"/>
                    </w:rPr>
                    <w:t>L</w:t>
                  </w:r>
                </w:p>
              </w:tc>
              <w:tc>
                <w:tcPr>
                  <w:tcW w:w="1110" w:type="dxa"/>
                  <w:tcBorders>
                    <w:tl2br w:val="nil"/>
                    <w:tr2bl w:val="nil"/>
                  </w:tcBorders>
                  <w:vAlign w:val="center"/>
                </w:tcPr>
                <w:p w14:paraId="76657A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3.0</w:t>
                  </w:r>
                  <w:r>
                    <w:rPr>
                      <w:rFonts w:hint="default" w:ascii="Arial" w:hAnsi="Arial" w:cs="Arial"/>
                      <w:color w:val="0000FF"/>
                      <w:sz w:val="21"/>
                      <w:szCs w:val="21"/>
                      <w:vertAlign w:val="baseline"/>
                      <w:lang w:val="en-US" w:eastAsia="zh-CN"/>
                    </w:rPr>
                    <w:t>×</w:t>
                  </w:r>
                  <w:r>
                    <w:rPr>
                      <w:rFonts w:hint="eastAsia"/>
                      <w:color w:val="0000FF"/>
                      <w:sz w:val="21"/>
                      <w:szCs w:val="21"/>
                      <w:vertAlign w:val="baseline"/>
                      <w:lang w:val="en-US" w:eastAsia="zh-CN"/>
                    </w:rPr>
                    <w:t>10</w:t>
                  </w:r>
                  <w:r>
                    <w:rPr>
                      <w:rFonts w:hint="eastAsia"/>
                      <w:color w:val="0000FF"/>
                      <w:sz w:val="21"/>
                      <w:szCs w:val="21"/>
                      <w:vertAlign w:val="superscript"/>
                      <w:lang w:val="en-US" w:eastAsia="zh-CN"/>
                    </w:rPr>
                    <w:t>-4</w:t>
                  </w:r>
                  <w:r>
                    <w:rPr>
                      <w:rFonts w:hint="eastAsia"/>
                      <w:color w:val="0000FF"/>
                      <w:sz w:val="21"/>
                      <w:szCs w:val="21"/>
                      <w:vertAlign w:val="baseline"/>
                      <w:lang w:val="en-US" w:eastAsia="zh-CN"/>
                    </w:rPr>
                    <w:t>L</w:t>
                  </w:r>
                </w:p>
              </w:tc>
              <w:tc>
                <w:tcPr>
                  <w:tcW w:w="1125" w:type="dxa"/>
                  <w:tcBorders>
                    <w:tl2br w:val="nil"/>
                    <w:tr2bl w:val="nil"/>
                  </w:tcBorders>
                  <w:vAlign w:val="center"/>
                </w:tcPr>
                <w:p w14:paraId="0E88F0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5.0</w:t>
                  </w:r>
                  <w:r>
                    <w:rPr>
                      <w:rFonts w:hint="default" w:ascii="Arial" w:hAnsi="Arial" w:cs="Arial"/>
                      <w:color w:val="0000FF"/>
                      <w:sz w:val="21"/>
                      <w:szCs w:val="21"/>
                      <w:vertAlign w:val="baseline"/>
                      <w:lang w:val="en-US" w:eastAsia="zh-CN"/>
                    </w:rPr>
                    <w:t>×</w:t>
                  </w:r>
                  <w:r>
                    <w:rPr>
                      <w:rFonts w:hint="eastAsia"/>
                      <w:color w:val="0000FF"/>
                      <w:sz w:val="21"/>
                      <w:szCs w:val="21"/>
                      <w:vertAlign w:val="baseline"/>
                      <w:lang w:val="en-US" w:eastAsia="zh-CN"/>
                    </w:rPr>
                    <w:t>10</w:t>
                  </w:r>
                  <w:r>
                    <w:rPr>
                      <w:rFonts w:hint="eastAsia"/>
                      <w:color w:val="0000FF"/>
                      <w:sz w:val="21"/>
                      <w:szCs w:val="21"/>
                      <w:vertAlign w:val="superscript"/>
                      <w:lang w:val="en-US" w:eastAsia="zh-CN"/>
                    </w:rPr>
                    <w:t>-4</w:t>
                  </w:r>
                  <w:r>
                    <w:rPr>
                      <w:rFonts w:hint="eastAsia"/>
                      <w:color w:val="0000FF"/>
                      <w:sz w:val="21"/>
                      <w:szCs w:val="21"/>
                      <w:vertAlign w:val="baseline"/>
                      <w:lang w:val="en-US" w:eastAsia="zh-CN"/>
                    </w:rPr>
                    <w:t>L</w:t>
                  </w:r>
                </w:p>
              </w:tc>
              <w:tc>
                <w:tcPr>
                  <w:tcW w:w="735" w:type="dxa"/>
                  <w:tcBorders>
                    <w:tl2br w:val="nil"/>
                    <w:tr2bl w:val="nil"/>
                  </w:tcBorders>
                  <w:vAlign w:val="center"/>
                </w:tcPr>
                <w:p w14:paraId="519D6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0.01</w:t>
                  </w:r>
                </w:p>
              </w:tc>
              <w:tc>
                <w:tcPr>
                  <w:tcW w:w="753" w:type="dxa"/>
                  <w:tcBorders>
                    <w:tl2br w:val="nil"/>
                    <w:tr2bl w:val="nil"/>
                  </w:tcBorders>
                  <w:vAlign w:val="center"/>
                </w:tcPr>
                <w:p w14:paraId="3B0A8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7A038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68F5A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16</w:t>
                  </w:r>
                </w:p>
              </w:tc>
              <w:tc>
                <w:tcPr>
                  <w:tcW w:w="1860" w:type="dxa"/>
                  <w:tcBorders>
                    <w:tl2br w:val="nil"/>
                    <w:tr2bl w:val="nil"/>
                  </w:tcBorders>
                  <w:vAlign w:val="center"/>
                </w:tcPr>
                <w:p w14:paraId="418AE6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镉（mg/L）</w:t>
                  </w:r>
                </w:p>
              </w:tc>
              <w:tc>
                <w:tcPr>
                  <w:tcW w:w="1125" w:type="dxa"/>
                  <w:tcBorders>
                    <w:tl2br w:val="nil"/>
                    <w:tr2bl w:val="nil"/>
                  </w:tcBorders>
                  <w:vAlign w:val="center"/>
                </w:tcPr>
                <w:p w14:paraId="02C3C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5.0</w:t>
                  </w:r>
                  <w:r>
                    <w:rPr>
                      <w:rFonts w:hint="default" w:ascii="Arial" w:hAnsi="Arial" w:cs="Arial"/>
                      <w:color w:val="0000FF"/>
                      <w:sz w:val="21"/>
                      <w:szCs w:val="21"/>
                      <w:vertAlign w:val="baseline"/>
                      <w:lang w:val="en-US" w:eastAsia="zh-CN"/>
                    </w:rPr>
                    <w:t>×</w:t>
                  </w:r>
                  <w:r>
                    <w:rPr>
                      <w:rFonts w:hint="eastAsia"/>
                      <w:color w:val="0000FF"/>
                      <w:sz w:val="21"/>
                      <w:szCs w:val="21"/>
                      <w:vertAlign w:val="baseline"/>
                      <w:lang w:val="en-US" w:eastAsia="zh-CN"/>
                    </w:rPr>
                    <w:t>10</w:t>
                  </w:r>
                  <w:r>
                    <w:rPr>
                      <w:rFonts w:hint="eastAsia"/>
                      <w:color w:val="0000FF"/>
                      <w:sz w:val="21"/>
                      <w:szCs w:val="21"/>
                      <w:vertAlign w:val="superscript"/>
                      <w:lang w:val="en-US" w:eastAsia="zh-CN"/>
                    </w:rPr>
                    <w:t>-4</w:t>
                  </w:r>
                  <w:r>
                    <w:rPr>
                      <w:rFonts w:hint="eastAsia"/>
                      <w:color w:val="0000FF"/>
                      <w:sz w:val="21"/>
                      <w:szCs w:val="21"/>
                      <w:vertAlign w:val="baseline"/>
                      <w:lang w:val="en-US" w:eastAsia="zh-CN"/>
                    </w:rPr>
                    <w:t>L</w:t>
                  </w:r>
                </w:p>
              </w:tc>
              <w:tc>
                <w:tcPr>
                  <w:tcW w:w="1080" w:type="dxa"/>
                  <w:tcBorders>
                    <w:tl2br w:val="nil"/>
                    <w:tr2bl w:val="nil"/>
                  </w:tcBorders>
                  <w:vAlign w:val="center"/>
                </w:tcPr>
                <w:p w14:paraId="33FF9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5.0</w:t>
                  </w:r>
                  <w:r>
                    <w:rPr>
                      <w:rFonts w:hint="default" w:ascii="Arial" w:hAnsi="Arial" w:cs="Arial"/>
                      <w:color w:val="0000FF"/>
                      <w:sz w:val="21"/>
                      <w:szCs w:val="21"/>
                      <w:vertAlign w:val="baseline"/>
                      <w:lang w:val="en-US" w:eastAsia="zh-CN"/>
                    </w:rPr>
                    <w:t>×</w:t>
                  </w:r>
                  <w:r>
                    <w:rPr>
                      <w:rFonts w:hint="eastAsia"/>
                      <w:color w:val="0000FF"/>
                      <w:sz w:val="21"/>
                      <w:szCs w:val="21"/>
                      <w:vertAlign w:val="baseline"/>
                      <w:lang w:val="en-US" w:eastAsia="zh-CN"/>
                    </w:rPr>
                    <w:t>10</w:t>
                  </w:r>
                  <w:r>
                    <w:rPr>
                      <w:rFonts w:hint="eastAsia"/>
                      <w:color w:val="0000FF"/>
                      <w:sz w:val="21"/>
                      <w:szCs w:val="21"/>
                      <w:vertAlign w:val="superscript"/>
                      <w:lang w:val="en-US" w:eastAsia="zh-CN"/>
                    </w:rPr>
                    <w:t>-4</w:t>
                  </w:r>
                  <w:r>
                    <w:rPr>
                      <w:rFonts w:hint="eastAsia"/>
                      <w:color w:val="0000FF"/>
                      <w:sz w:val="21"/>
                      <w:szCs w:val="21"/>
                      <w:vertAlign w:val="baseline"/>
                      <w:lang w:val="en-US" w:eastAsia="zh-CN"/>
                    </w:rPr>
                    <w:t>L</w:t>
                  </w:r>
                </w:p>
              </w:tc>
              <w:tc>
                <w:tcPr>
                  <w:tcW w:w="1110" w:type="dxa"/>
                  <w:tcBorders>
                    <w:tl2br w:val="nil"/>
                    <w:tr2bl w:val="nil"/>
                  </w:tcBorders>
                  <w:vAlign w:val="center"/>
                </w:tcPr>
                <w:p w14:paraId="03A83D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5.0</w:t>
                  </w:r>
                  <w:r>
                    <w:rPr>
                      <w:rFonts w:hint="default" w:ascii="Arial" w:hAnsi="Arial" w:cs="Arial"/>
                      <w:color w:val="0000FF"/>
                      <w:sz w:val="21"/>
                      <w:szCs w:val="21"/>
                      <w:vertAlign w:val="baseline"/>
                      <w:lang w:val="en-US" w:eastAsia="zh-CN"/>
                    </w:rPr>
                    <w:t>×</w:t>
                  </w:r>
                  <w:r>
                    <w:rPr>
                      <w:rFonts w:hint="eastAsia"/>
                      <w:color w:val="0000FF"/>
                      <w:sz w:val="21"/>
                      <w:szCs w:val="21"/>
                      <w:vertAlign w:val="baseline"/>
                      <w:lang w:val="en-US" w:eastAsia="zh-CN"/>
                    </w:rPr>
                    <w:t>10</w:t>
                  </w:r>
                  <w:r>
                    <w:rPr>
                      <w:rFonts w:hint="eastAsia"/>
                      <w:color w:val="0000FF"/>
                      <w:sz w:val="21"/>
                      <w:szCs w:val="21"/>
                      <w:vertAlign w:val="superscript"/>
                      <w:lang w:val="en-US" w:eastAsia="zh-CN"/>
                    </w:rPr>
                    <w:t>-4</w:t>
                  </w:r>
                  <w:r>
                    <w:rPr>
                      <w:rFonts w:hint="eastAsia"/>
                      <w:color w:val="0000FF"/>
                      <w:sz w:val="21"/>
                      <w:szCs w:val="21"/>
                      <w:vertAlign w:val="baseline"/>
                      <w:lang w:val="en-US" w:eastAsia="zh-CN"/>
                    </w:rPr>
                    <w:t>L</w:t>
                  </w:r>
                </w:p>
              </w:tc>
              <w:tc>
                <w:tcPr>
                  <w:tcW w:w="1125" w:type="dxa"/>
                  <w:tcBorders>
                    <w:tl2br w:val="nil"/>
                    <w:tr2bl w:val="nil"/>
                  </w:tcBorders>
                  <w:vAlign w:val="center"/>
                </w:tcPr>
                <w:p w14:paraId="0A6894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5.0</w:t>
                  </w:r>
                  <w:r>
                    <w:rPr>
                      <w:rFonts w:hint="default" w:ascii="Arial" w:hAnsi="Arial" w:cs="Arial"/>
                      <w:color w:val="0000FF"/>
                      <w:sz w:val="21"/>
                      <w:szCs w:val="21"/>
                      <w:vertAlign w:val="baseline"/>
                      <w:lang w:val="en-US" w:eastAsia="zh-CN"/>
                    </w:rPr>
                    <w:t>×</w:t>
                  </w:r>
                  <w:r>
                    <w:rPr>
                      <w:rFonts w:hint="eastAsia"/>
                      <w:color w:val="0000FF"/>
                      <w:sz w:val="21"/>
                      <w:szCs w:val="21"/>
                      <w:vertAlign w:val="baseline"/>
                      <w:lang w:val="en-US" w:eastAsia="zh-CN"/>
                    </w:rPr>
                    <w:t>10</w:t>
                  </w:r>
                  <w:r>
                    <w:rPr>
                      <w:rFonts w:hint="eastAsia"/>
                      <w:color w:val="0000FF"/>
                      <w:sz w:val="21"/>
                      <w:szCs w:val="21"/>
                      <w:vertAlign w:val="superscript"/>
                      <w:lang w:val="en-US" w:eastAsia="zh-CN"/>
                    </w:rPr>
                    <w:t>-4</w:t>
                  </w:r>
                  <w:r>
                    <w:rPr>
                      <w:rFonts w:hint="eastAsia"/>
                      <w:color w:val="0000FF"/>
                      <w:sz w:val="21"/>
                      <w:szCs w:val="21"/>
                      <w:vertAlign w:val="baseline"/>
                      <w:lang w:val="en-US" w:eastAsia="zh-CN"/>
                    </w:rPr>
                    <w:t>L</w:t>
                  </w:r>
                </w:p>
              </w:tc>
              <w:tc>
                <w:tcPr>
                  <w:tcW w:w="735" w:type="dxa"/>
                  <w:tcBorders>
                    <w:tl2br w:val="nil"/>
                    <w:tr2bl w:val="nil"/>
                  </w:tcBorders>
                  <w:vAlign w:val="center"/>
                </w:tcPr>
                <w:p w14:paraId="493113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0.005</w:t>
                  </w:r>
                </w:p>
              </w:tc>
              <w:tc>
                <w:tcPr>
                  <w:tcW w:w="753" w:type="dxa"/>
                  <w:tcBorders>
                    <w:tl2br w:val="nil"/>
                    <w:tr2bl w:val="nil"/>
                  </w:tcBorders>
                  <w:vAlign w:val="center"/>
                </w:tcPr>
                <w:p w14:paraId="4E0685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786F6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0345B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17</w:t>
                  </w:r>
                </w:p>
              </w:tc>
              <w:tc>
                <w:tcPr>
                  <w:tcW w:w="1860" w:type="dxa"/>
                  <w:tcBorders>
                    <w:tl2br w:val="nil"/>
                    <w:tr2bl w:val="nil"/>
                  </w:tcBorders>
                  <w:vAlign w:val="center"/>
                </w:tcPr>
                <w:p w14:paraId="62ABC1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铁（mg/L）</w:t>
                  </w:r>
                </w:p>
              </w:tc>
              <w:tc>
                <w:tcPr>
                  <w:tcW w:w="1125" w:type="dxa"/>
                  <w:tcBorders>
                    <w:tl2br w:val="nil"/>
                    <w:tr2bl w:val="nil"/>
                  </w:tcBorders>
                  <w:vAlign w:val="center"/>
                </w:tcPr>
                <w:p w14:paraId="03B85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0.19</w:t>
                  </w:r>
                </w:p>
              </w:tc>
              <w:tc>
                <w:tcPr>
                  <w:tcW w:w="1080" w:type="dxa"/>
                  <w:tcBorders>
                    <w:tl2br w:val="nil"/>
                    <w:tr2bl w:val="nil"/>
                  </w:tcBorders>
                  <w:vAlign w:val="center"/>
                </w:tcPr>
                <w:p w14:paraId="37912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lang w:val="en-US" w:eastAsia="zh-CN"/>
                    </w:rPr>
                  </w:pPr>
                  <w:r>
                    <w:rPr>
                      <w:rFonts w:hint="eastAsia"/>
                      <w:color w:val="0000FF"/>
                      <w:sz w:val="21"/>
                      <w:szCs w:val="21"/>
                      <w:vertAlign w:val="baseline"/>
                      <w:lang w:val="en-US" w:eastAsia="zh-CN"/>
                    </w:rPr>
                    <w:t>0.16</w:t>
                  </w:r>
                </w:p>
              </w:tc>
              <w:tc>
                <w:tcPr>
                  <w:tcW w:w="1110" w:type="dxa"/>
                  <w:tcBorders>
                    <w:tl2br w:val="nil"/>
                    <w:tr2bl w:val="nil"/>
                  </w:tcBorders>
                  <w:vAlign w:val="center"/>
                </w:tcPr>
                <w:p w14:paraId="263F4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0.21</w:t>
                  </w:r>
                </w:p>
              </w:tc>
              <w:tc>
                <w:tcPr>
                  <w:tcW w:w="1125" w:type="dxa"/>
                  <w:tcBorders>
                    <w:tl2br w:val="nil"/>
                    <w:tr2bl w:val="nil"/>
                  </w:tcBorders>
                  <w:vAlign w:val="center"/>
                </w:tcPr>
                <w:p w14:paraId="4F6FFE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0.18</w:t>
                  </w:r>
                </w:p>
              </w:tc>
              <w:tc>
                <w:tcPr>
                  <w:tcW w:w="735" w:type="dxa"/>
                  <w:tcBorders>
                    <w:tl2br w:val="nil"/>
                    <w:tr2bl w:val="nil"/>
                  </w:tcBorders>
                  <w:vAlign w:val="center"/>
                </w:tcPr>
                <w:p w14:paraId="073275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0.3</w:t>
                  </w:r>
                </w:p>
              </w:tc>
              <w:tc>
                <w:tcPr>
                  <w:tcW w:w="753" w:type="dxa"/>
                  <w:tcBorders>
                    <w:tl2br w:val="nil"/>
                    <w:tr2bl w:val="nil"/>
                  </w:tcBorders>
                  <w:vAlign w:val="center"/>
                </w:tcPr>
                <w:p w14:paraId="07794D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r w14:paraId="6EFD1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dxa"/>
                  <w:tcBorders>
                    <w:tl2br w:val="nil"/>
                    <w:tr2bl w:val="nil"/>
                  </w:tcBorders>
                  <w:vAlign w:val="center"/>
                </w:tcPr>
                <w:p w14:paraId="32C19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18</w:t>
                  </w:r>
                </w:p>
              </w:tc>
              <w:tc>
                <w:tcPr>
                  <w:tcW w:w="1860" w:type="dxa"/>
                  <w:tcBorders>
                    <w:tl2br w:val="nil"/>
                    <w:tr2bl w:val="nil"/>
                  </w:tcBorders>
                  <w:vAlign w:val="center"/>
                </w:tcPr>
                <w:p w14:paraId="3DA7D8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锰（mg/L）</w:t>
                  </w:r>
                </w:p>
              </w:tc>
              <w:tc>
                <w:tcPr>
                  <w:tcW w:w="1125" w:type="dxa"/>
                  <w:tcBorders>
                    <w:tl2br w:val="nil"/>
                    <w:tr2bl w:val="nil"/>
                  </w:tcBorders>
                  <w:vAlign w:val="center"/>
                </w:tcPr>
                <w:p w14:paraId="65F052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0.05</w:t>
                  </w:r>
                </w:p>
              </w:tc>
              <w:tc>
                <w:tcPr>
                  <w:tcW w:w="1080" w:type="dxa"/>
                  <w:tcBorders>
                    <w:tl2br w:val="nil"/>
                    <w:tr2bl w:val="nil"/>
                  </w:tcBorders>
                  <w:vAlign w:val="center"/>
                </w:tcPr>
                <w:p w14:paraId="7850E9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0.08</w:t>
                  </w:r>
                </w:p>
              </w:tc>
              <w:tc>
                <w:tcPr>
                  <w:tcW w:w="1110" w:type="dxa"/>
                  <w:tcBorders>
                    <w:tl2br w:val="nil"/>
                    <w:tr2bl w:val="nil"/>
                  </w:tcBorders>
                  <w:vAlign w:val="center"/>
                </w:tcPr>
                <w:p w14:paraId="351B19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0.08</w:t>
                  </w:r>
                </w:p>
              </w:tc>
              <w:tc>
                <w:tcPr>
                  <w:tcW w:w="1125" w:type="dxa"/>
                  <w:tcBorders>
                    <w:tl2br w:val="nil"/>
                    <w:tr2bl w:val="nil"/>
                  </w:tcBorders>
                  <w:vAlign w:val="center"/>
                </w:tcPr>
                <w:p w14:paraId="05470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0.09</w:t>
                  </w:r>
                </w:p>
              </w:tc>
              <w:tc>
                <w:tcPr>
                  <w:tcW w:w="735" w:type="dxa"/>
                  <w:tcBorders>
                    <w:tl2br w:val="nil"/>
                    <w:tr2bl w:val="nil"/>
                  </w:tcBorders>
                  <w:vAlign w:val="center"/>
                </w:tcPr>
                <w:p w14:paraId="107BFE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0.10</w:t>
                  </w:r>
                </w:p>
              </w:tc>
              <w:tc>
                <w:tcPr>
                  <w:tcW w:w="753" w:type="dxa"/>
                  <w:tcBorders>
                    <w:tl2br w:val="nil"/>
                    <w:tr2bl w:val="nil"/>
                  </w:tcBorders>
                  <w:vAlign w:val="center"/>
                </w:tcPr>
                <w:p w14:paraId="5C849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达标</w:t>
                  </w:r>
                </w:p>
              </w:tc>
            </w:tr>
          </w:tbl>
          <w:p w14:paraId="61C05DAC">
            <w:pPr>
              <w:keepNext w:val="0"/>
              <w:keepLines w:val="0"/>
              <w:widowControl/>
              <w:suppressLineNumbers w:val="0"/>
              <w:ind w:left="0" w:leftChars="0" w:firstLine="480" w:firstLineChars="200"/>
              <w:jc w:val="left"/>
            </w:pPr>
            <w:r>
              <w:rPr>
                <w:rFonts w:hint="default" w:ascii="Times New Roman" w:hAnsi="Times New Roman" w:eastAsia="宋体" w:cs="Times New Roman"/>
                <w:color w:val="000000"/>
                <w:kern w:val="0"/>
                <w:sz w:val="24"/>
                <w:szCs w:val="24"/>
                <w:lang w:val="en-US" w:eastAsia="zh-CN" w:bidi="ar"/>
              </w:rPr>
              <w:t>由监测结果可以看出，评价区域地下水18项水</w:t>
            </w:r>
            <w:r>
              <w:rPr>
                <w:rFonts w:hint="eastAsia" w:ascii="宋体" w:hAnsi="宋体" w:eastAsia="宋体" w:cs="宋体"/>
                <w:color w:val="000000"/>
                <w:kern w:val="0"/>
                <w:sz w:val="24"/>
                <w:szCs w:val="24"/>
                <w:lang w:val="en-US" w:eastAsia="zh-CN" w:bidi="ar"/>
              </w:rPr>
              <w:t>质因子监测指标均满足《地下水质量标准》（</w:t>
            </w:r>
            <w:r>
              <w:rPr>
                <w:rFonts w:hint="default" w:ascii="Times New Roman" w:hAnsi="Times New Roman" w:eastAsia="宋体" w:cs="Times New Roman"/>
                <w:color w:val="000000"/>
                <w:kern w:val="0"/>
                <w:sz w:val="24"/>
                <w:szCs w:val="24"/>
                <w:lang w:val="en-US" w:eastAsia="zh-CN" w:bidi="ar"/>
              </w:rPr>
              <w:t>GB/T14848-2017</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III </w:t>
            </w:r>
            <w:r>
              <w:rPr>
                <w:rFonts w:hint="eastAsia" w:ascii="宋体" w:hAnsi="宋体" w:eastAsia="宋体" w:cs="宋体"/>
                <w:color w:val="000000"/>
                <w:kern w:val="0"/>
                <w:sz w:val="24"/>
                <w:szCs w:val="24"/>
                <w:lang w:val="en-US" w:eastAsia="zh-CN" w:bidi="ar"/>
              </w:rPr>
              <w:t>类标准。</w:t>
            </w:r>
          </w:p>
          <w:p w14:paraId="75F7729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480" w:lineRule="exact"/>
              <w:ind w:left="0" w:leftChars="0" w:right="0" w:rightChars="0" w:firstLine="0" w:firstLineChars="0"/>
              <w:jc w:val="both"/>
              <w:textAlignment w:val="auto"/>
              <w:outlineLvl w:val="9"/>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土壤环境现状调查及评价</w:t>
            </w:r>
          </w:p>
          <w:p w14:paraId="3F468F39">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根据《建设项目环境影响报告表编制技术指南（污染影响类）（试行）》， 本次扩建项目，无新增用地，不存在土壤环境污染途径，原则上不开展环境 质量现状调查，故不进行土壤现状调查。</w:t>
            </w:r>
          </w:p>
          <w:p w14:paraId="1AD658C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firstLine="0" w:firstLineChars="0"/>
              <w:jc w:val="both"/>
              <w:textAlignment w:val="auto"/>
              <w:outlineLvl w:val="9"/>
              <w:rPr>
                <w:rFonts w:hint="default" w:ascii="Times New Roman" w:hAnsi="Times New Roman" w:cs="Times New Roman"/>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rPr>
              <w:t>声环境质量现状</w:t>
            </w:r>
            <w:r>
              <w:rPr>
                <w:rFonts w:hint="default" w:ascii="Times New Roman" w:hAnsi="Times New Roman" w:cs="Times New Roman"/>
                <w:color w:val="auto"/>
                <w:sz w:val="24"/>
                <w:szCs w:val="24"/>
                <w:highlight w:val="none"/>
                <w:lang w:val="en-US" w:eastAsia="zh-CN"/>
              </w:rPr>
              <w:t>调查</w:t>
            </w:r>
          </w:p>
          <w:p w14:paraId="3E2DB2A1">
            <w:pPr>
              <w:keepNext/>
              <w:keepLines/>
              <w:pageBreakBefore w:val="0"/>
              <w:widowControl w:val="0"/>
              <w:suppressLineNumbers w:val="0"/>
              <w:kinsoku/>
              <w:wordWrap/>
              <w:overflowPunct/>
              <w:topLinePunct w:val="0"/>
              <w:autoSpaceDN/>
              <w:bidi w:val="0"/>
              <w:adjustRightInd w:val="0"/>
              <w:snapToGrid w:val="0"/>
              <w:spacing w:before="0" w:beforeAutospacing="0" w:after="0" w:afterAutospacing="0" w:line="480" w:lineRule="exact"/>
              <w:ind w:left="0" w:right="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项目区周边50</w:t>
            </w:r>
            <w:r>
              <w:rPr>
                <w:rFonts w:hint="default" w:ascii="Times New Roman" w:hAnsi="Times New Roman"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lang w:val="en-US" w:eastAsia="zh-CN" w:bidi="ar-SA"/>
              </w:rPr>
              <w:t>范围内不存在声环境保护目标，无需开展声环境质量现状评价</w:t>
            </w:r>
            <w:r>
              <w:rPr>
                <w:rFonts w:hint="default" w:ascii="Times New Roman" w:hAnsi="Times New Roman" w:cs="Times New Roman"/>
                <w:color w:val="auto"/>
                <w:sz w:val="24"/>
                <w:szCs w:val="24"/>
                <w:highlight w:val="none"/>
              </w:rPr>
              <w:t>。</w:t>
            </w:r>
          </w:p>
          <w:p w14:paraId="0211E107">
            <w:pPr>
              <w:keepNext/>
              <w:keepLines/>
              <w:pageBreakBefore w:val="0"/>
              <w:widowControl w:val="0"/>
              <w:suppressLineNumbers w:val="0"/>
              <w:kinsoku/>
              <w:wordWrap/>
              <w:overflowPunct/>
              <w:topLinePunct w:val="0"/>
              <w:autoSpaceDN/>
              <w:bidi w:val="0"/>
              <w:adjustRightInd w:val="0"/>
              <w:snapToGrid w:val="0"/>
              <w:spacing w:before="0" w:beforeAutospacing="0" w:after="0" w:afterAutospacing="0" w:line="480" w:lineRule="exact"/>
              <w:ind w:left="0" w:leftChars="0" w:right="0" w:firstLine="0" w:firstLineChars="0"/>
              <w:jc w:val="both"/>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6.生态</w:t>
            </w:r>
            <w:r>
              <w:rPr>
                <w:rFonts w:hint="default" w:ascii="Times New Roman" w:hAnsi="Times New Roman" w:cs="Times New Roman"/>
                <w:b/>
                <w:bCs/>
                <w:color w:val="auto"/>
                <w:sz w:val="24"/>
                <w:szCs w:val="24"/>
                <w:highlight w:val="none"/>
              </w:rPr>
              <w:t>环境质量现状</w:t>
            </w:r>
            <w:r>
              <w:rPr>
                <w:rFonts w:hint="eastAsia" w:cs="Times New Roman"/>
                <w:b/>
                <w:bCs/>
                <w:color w:val="auto"/>
                <w:sz w:val="24"/>
                <w:szCs w:val="24"/>
                <w:highlight w:val="none"/>
                <w:lang w:val="en-US" w:eastAsia="zh-CN"/>
              </w:rPr>
              <w:t>调查</w:t>
            </w:r>
          </w:p>
          <w:p w14:paraId="11A124D4">
            <w:pPr>
              <w:keepNext w:val="0"/>
              <w:keepLines w:val="0"/>
              <w:pageBreakBefore w:val="0"/>
              <w:widowControl w:val="0"/>
              <w:suppressLineNumbers w:val="0"/>
              <w:tabs>
                <w:tab w:val="left" w:pos="5252"/>
              </w:tabs>
              <w:kinsoku/>
              <w:wordWrap/>
              <w:overflowPunct/>
              <w:topLinePunct w:val="0"/>
              <w:autoSpaceDE/>
              <w:autoSpaceDN/>
              <w:bidi w:val="0"/>
              <w:adjustRightInd w:val="0"/>
              <w:snapToGrid w:val="0"/>
              <w:spacing w:before="0" w:beforeAutospacing="0" w:after="0" w:afterAutospacing="0" w:line="480" w:lineRule="exact"/>
              <w:ind w:left="0" w:leftChars="0" w:right="0" w:rightChars="0" w:firstLine="480" w:firstLineChars="200"/>
              <w:jc w:val="both"/>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位于新疆维吾尔自治区昌吉回族自治州阜康产业园</w:t>
            </w:r>
            <w:r>
              <w:rPr>
                <w:rFonts w:hint="eastAsia" w:ascii="Times New Roman" w:hAnsi="Times New Roman" w:cs="Times New Roman"/>
                <w:color w:val="auto"/>
                <w:highlight w:val="none"/>
                <w:lang w:val="en-US" w:eastAsia="zh-CN"/>
              </w:rPr>
              <w:t>西区</w:t>
            </w:r>
            <w:r>
              <w:rPr>
                <w:rFonts w:hint="eastAsia" w:cs="Times New Roman"/>
                <w:color w:val="auto"/>
                <w:sz w:val="24"/>
                <w:szCs w:val="24"/>
                <w:highlight w:val="none"/>
                <w:lang w:val="en-US" w:eastAsia="zh-CN"/>
              </w:rPr>
              <w:t>（新疆金象赛瑞化工科技有限公司</w:t>
            </w:r>
            <w:r>
              <w:rPr>
                <w:rFonts w:hint="eastAsia" w:ascii="Times New Roman" w:hAnsi="Times New Roman" w:eastAsia="宋体" w:cs="Times New Roman"/>
                <w:bCs/>
                <w:color w:val="auto"/>
                <w:kern w:val="0"/>
                <w:sz w:val="24"/>
                <w:szCs w:val="24"/>
                <w:highlight w:val="none"/>
                <w:lang w:eastAsia="zh-CN"/>
              </w:rPr>
              <w:t>厂区内</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shd w:val="clear" w:color="auto" w:fill="auto"/>
                <w:lang w:val="en-US" w:eastAsia="zh-CN"/>
              </w:rPr>
              <w:t>，</w:t>
            </w:r>
            <w:r>
              <w:rPr>
                <w:rFonts w:hint="default" w:ascii="Times New Roman" w:hAnsi="Times New Roman" w:cs="Times New Roman"/>
                <w:color w:val="auto"/>
                <w:sz w:val="24"/>
                <w:szCs w:val="22"/>
                <w:highlight w:val="none"/>
                <w:lang w:val="en-US" w:eastAsia="zh-CN"/>
              </w:rPr>
              <w:t>用地性质为工业用地，</w:t>
            </w:r>
            <w:r>
              <w:rPr>
                <w:rFonts w:hint="default" w:ascii="Times New Roman" w:hAnsi="Times New Roman" w:eastAsia="宋体" w:cs="Times New Roman"/>
                <w:color w:val="auto"/>
                <w:sz w:val="24"/>
                <w:szCs w:val="24"/>
                <w:highlight w:val="none"/>
                <w:lang w:val="en-US" w:eastAsia="zh-CN"/>
              </w:rPr>
              <w:t>项目区及周边无生态环境保护目标。</w:t>
            </w:r>
          </w:p>
        </w:tc>
      </w:tr>
      <w:tr w14:paraId="106C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0" w:type="dxa"/>
            <w:tcBorders>
              <w:tl2br w:val="nil"/>
              <w:tr2bl w:val="nil"/>
            </w:tcBorders>
            <w:noWrap w:val="0"/>
            <w:vAlign w:val="center"/>
          </w:tcPr>
          <w:p w14:paraId="174972BC">
            <w:pPr>
              <w:pStyle w:val="33"/>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环境</w:t>
            </w:r>
          </w:p>
          <w:p w14:paraId="45193F18">
            <w:pPr>
              <w:pStyle w:val="33"/>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保护</w:t>
            </w:r>
          </w:p>
          <w:p w14:paraId="7B649235">
            <w:pPr>
              <w:pStyle w:val="33"/>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目标</w:t>
            </w:r>
          </w:p>
        </w:tc>
        <w:tc>
          <w:tcPr>
            <w:tcW w:w="8202" w:type="dxa"/>
            <w:tcBorders>
              <w:tl2br w:val="nil"/>
              <w:tr2bl w:val="nil"/>
            </w:tcBorders>
            <w:noWrap w:val="0"/>
            <w:vAlign w:val="top"/>
          </w:tcPr>
          <w:p w14:paraId="5514C1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大气环境</w:t>
            </w:r>
          </w:p>
          <w:p w14:paraId="4F79775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8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厂界外500</w:t>
            </w:r>
            <w:r>
              <w:rPr>
                <w:rFonts w:hint="eastAsia" w:cs="Times New Roman"/>
                <w:color w:val="auto"/>
                <w:sz w:val="24"/>
                <w:szCs w:val="24"/>
                <w:highlight w:val="none"/>
                <w:lang w:val="en-US" w:eastAsia="zh-CN"/>
              </w:rPr>
              <w:t>m</w:t>
            </w:r>
            <w:r>
              <w:rPr>
                <w:rFonts w:hint="default" w:ascii="Times New Roman" w:hAnsi="Times New Roman" w:cs="Times New Roman"/>
                <w:color w:val="auto"/>
                <w:sz w:val="24"/>
                <w:szCs w:val="24"/>
                <w:highlight w:val="none"/>
                <w:lang w:val="en-US" w:eastAsia="zh-CN"/>
              </w:rPr>
              <w:t>范围内无自然保护区、风景名胜区、居住区、文化区和农村地区中人群较集中的区域等保护目标。</w:t>
            </w:r>
          </w:p>
          <w:p w14:paraId="5DC6216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声环境</w:t>
            </w:r>
          </w:p>
          <w:p w14:paraId="00CA9A35">
            <w:pPr>
              <w:keepNext w:val="0"/>
              <w:keepLines w:val="0"/>
              <w:pageBreakBefore w:val="0"/>
              <w:widowControl w:val="0"/>
              <w:suppressLineNumbers w:val="0"/>
              <w:tabs>
                <w:tab w:val="left" w:pos="5252"/>
              </w:tabs>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项目区厂界外50</w:t>
            </w:r>
            <w:r>
              <w:rPr>
                <w:rFonts w:hint="eastAsia"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lang w:val="en-US" w:eastAsia="zh-CN"/>
              </w:rPr>
              <w:t>范围内无声环境保护目标。</w:t>
            </w:r>
          </w:p>
          <w:p w14:paraId="6865AC1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.地表水环境</w:t>
            </w:r>
          </w:p>
          <w:p w14:paraId="6B2B71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项目区</w:t>
            </w:r>
            <w:r>
              <w:rPr>
                <w:rFonts w:hint="eastAsia" w:cs="Times New Roman"/>
                <w:b w:val="0"/>
                <w:color w:val="auto"/>
                <w:kern w:val="2"/>
                <w:sz w:val="24"/>
                <w:szCs w:val="24"/>
                <w:highlight w:val="none"/>
                <w:lang w:val="en-US" w:eastAsia="zh-CN" w:bidi="ar-SA"/>
              </w:rPr>
              <w:t>厂界外1km范围内无地表水环境保护目标。</w:t>
            </w:r>
          </w:p>
          <w:p w14:paraId="5C14E84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地下水环境</w:t>
            </w:r>
          </w:p>
          <w:p w14:paraId="01681ACB">
            <w:pPr>
              <w:keepNext w:val="0"/>
              <w:keepLines w:val="0"/>
              <w:pageBreakBefore w:val="0"/>
              <w:widowControl w:val="0"/>
              <w:suppressLineNumbers w:val="0"/>
              <w:tabs>
                <w:tab w:val="left" w:pos="5252"/>
              </w:tabs>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项目区厂界外500</w:t>
            </w:r>
            <w:r>
              <w:rPr>
                <w:rFonts w:hint="eastAsia"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lang w:val="en-US" w:eastAsia="zh-CN"/>
              </w:rPr>
              <w:t>范围内无地下水集中式饮用水水源和热水、矿泉水、温泉等特殊地下水资源。</w:t>
            </w:r>
          </w:p>
          <w:p w14:paraId="730378E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生态环境</w:t>
            </w:r>
          </w:p>
          <w:p w14:paraId="48C385CE">
            <w:pPr>
              <w:keepNext w:val="0"/>
              <w:keepLines w:val="0"/>
              <w:pageBreakBefore w:val="0"/>
              <w:widowControl w:val="0"/>
              <w:suppressLineNumbers w:val="0"/>
              <w:tabs>
                <w:tab w:val="left" w:pos="5252"/>
              </w:tabs>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位于新疆维吾尔自治区昌吉回族自治州阜康产业园</w:t>
            </w:r>
            <w:r>
              <w:rPr>
                <w:rFonts w:hint="eastAsia" w:ascii="Times New Roman" w:hAnsi="Times New Roman" w:cs="Times New Roman"/>
                <w:color w:val="auto"/>
                <w:highlight w:val="none"/>
                <w:lang w:val="en-US" w:eastAsia="zh-CN"/>
              </w:rPr>
              <w:t>西区</w:t>
            </w:r>
            <w:r>
              <w:rPr>
                <w:rFonts w:hint="eastAsia" w:cs="Times New Roman"/>
                <w:color w:val="auto"/>
                <w:sz w:val="24"/>
                <w:szCs w:val="24"/>
                <w:highlight w:val="none"/>
                <w:lang w:val="en-US" w:eastAsia="zh-CN"/>
              </w:rPr>
              <w:t>（新疆金象赛瑞化工科技有限公司</w:t>
            </w:r>
            <w:r>
              <w:rPr>
                <w:rFonts w:hint="eastAsia" w:ascii="Times New Roman" w:hAnsi="Times New Roman" w:eastAsia="宋体" w:cs="Times New Roman"/>
                <w:bCs/>
                <w:color w:val="auto"/>
                <w:kern w:val="0"/>
                <w:sz w:val="24"/>
                <w:szCs w:val="24"/>
                <w:highlight w:val="none"/>
                <w:lang w:eastAsia="zh-CN"/>
              </w:rPr>
              <w:t>厂区内</w:t>
            </w:r>
            <w:r>
              <w:rPr>
                <w:rFonts w:hint="default" w:ascii="Times New Roman" w:hAnsi="Times New Roman" w:cs="Times New Roman"/>
                <w:color w:val="auto"/>
                <w:sz w:val="24"/>
                <w:szCs w:val="24"/>
                <w:highlight w:val="none"/>
                <w:shd w:val="clear" w:color="auto" w:fill="auto"/>
                <w:lang w:val="en-US" w:eastAsia="zh-CN"/>
              </w:rPr>
              <w:t>，</w:t>
            </w:r>
            <w:r>
              <w:rPr>
                <w:rFonts w:hint="default" w:ascii="Times New Roman" w:hAnsi="Times New Roman" w:cs="Times New Roman"/>
                <w:color w:val="auto"/>
                <w:sz w:val="24"/>
                <w:szCs w:val="22"/>
                <w:highlight w:val="none"/>
                <w:lang w:val="en-US" w:eastAsia="zh-CN"/>
              </w:rPr>
              <w:t>用地性质为工业用地，</w:t>
            </w:r>
            <w:r>
              <w:rPr>
                <w:rFonts w:hint="default" w:ascii="Times New Roman" w:hAnsi="Times New Roman" w:eastAsia="宋体" w:cs="Times New Roman"/>
                <w:color w:val="auto"/>
                <w:sz w:val="24"/>
                <w:szCs w:val="24"/>
                <w:highlight w:val="none"/>
                <w:lang w:val="en-US" w:eastAsia="zh-CN"/>
              </w:rPr>
              <w:t>项目区及周边无生态环境保护目标。</w:t>
            </w:r>
          </w:p>
        </w:tc>
      </w:tr>
      <w:tr w14:paraId="1C9E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0" w:type="dxa"/>
            <w:tcBorders>
              <w:tl2br w:val="nil"/>
              <w:tr2bl w:val="nil"/>
            </w:tcBorders>
            <w:noWrap w:val="0"/>
            <w:tcMar>
              <w:left w:w="28" w:type="dxa"/>
              <w:right w:w="28" w:type="dxa"/>
            </w:tcMar>
            <w:vAlign w:val="center"/>
          </w:tcPr>
          <w:p w14:paraId="25655045">
            <w:pPr>
              <w:pStyle w:val="33"/>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污染</w:t>
            </w:r>
          </w:p>
          <w:p w14:paraId="44AFB221">
            <w:pPr>
              <w:pStyle w:val="33"/>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物排</w:t>
            </w:r>
          </w:p>
          <w:p w14:paraId="4EE3FF71">
            <w:pPr>
              <w:pStyle w:val="33"/>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放控</w:t>
            </w:r>
          </w:p>
          <w:p w14:paraId="7018C617">
            <w:pPr>
              <w:pStyle w:val="33"/>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制标</w:t>
            </w:r>
          </w:p>
          <w:p w14:paraId="797402EC">
            <w:pPr>
              <w:pStyle w:val="33"/>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准</w:t>
            </w:r>
          </w:p>
        </w:tc>
        <w:tc>
          <w:tcPr>
            <w:tcW w:w="8202" w:type="dxa"/>
            <w:tcBorders>
              <w:tl2br w:val="nil"/>
              <w:tr2bl w:val="nil"/>
            </w:tcBorders>
            <w:noWrap w:val="0"/>
            <w:vAlign w:val="center"/>
          </w:tcPr>
          <w:p w14:paraId="16969E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33"/>
              <w:textAlignment w:val="auto"/>
              <w:rPr>
                <w:rFonts w:hint="eastAsia"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w:t>
            </w:r>
            <w:r>
              <w:rPr>
                <w:rFonts w:hint="eastAsia" w:cs="Times New Roman"/>
                <w:b/>
                <w:bCs/>
                <w:color w:val="000000" w:themeColor="text1"/>
                <w:highlight w:val="none"/>
                <w:lang w:eastAsia="zh-CN"/>
                <w14:textFill>
                  <w14:solidFill>
                    <w14:schemeClr w14:val="tx1"/>
                  </w14:solidFill>
                </w14:textFill>
              </w:rPr>
              <w:t>大气污染物排放标准</w:t>
            </w:r>
          </w:p>
          <w:p w14:paraId="5319EF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33"/>
              <w:textAlignment w:val="auto"/>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本项目无组织排放的氮氧化物执行《硝酸工业污染物排放标准》（GB26131-2010）中企业边界大气污染物浓度限值标准。</w:t>
            </w:r>
          </w:p>
          <w:p w14:paraId="69B7B71F">
            <w:pPr>
              <w:pStyle w:val="5"/>
              <w:ind w:left="0" w:leftChars="0" w:firstLine="0" w:firstLineChars="0"/>
              <w:jc w:val="center"/>
              <w:rPr>
                <w:rFonts w:hint="eastAsia"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表3-</w:t>
            </w:r>
            <w:r>
              <w:rPr>
                <w:rFonts w:hint="eastAsia" w:ascii="Times New Roman" w:hAnsi="Times New Roman" w:eastAsia="宋体" w:cs="Times New Roman"/>
                <w:b/>
                <w:bCs/>
                <w:color w:val="auto"/>
                <w:kern w:val="2"/>
                <w:sz w:val="24"/>
                <w:szCs w:val="24"/>
                <w:highlight w:val="none"/>
                <w:lang w:val="en-US" w:eastAsia="zh-CN" w:bidi="ar-SA"/>
              </w:rPr>
              <w:t>2  无组织废气排放标准</w:t>
            </w:r>
          </w:p>
          <w:tbl>
            <w:tblPr>
              <w:tblStyle w:val="22"/>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62"/>
              <w:gridCol w:w="1564"/>
              <w:gridCol w:w="2065"/>
              <w:gridCol w:w="3395"/>
            </w:tblGrid>
            <w:tr w14:paraId="4F1DF88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26" w:hRule="atLeast"/>
              </w:trPr>
              <w:tc>
                <w:tcPr>
                  <w:tcW w:w="602" w:type="pct"/>
                  <w:vAlign w:val="center"/>
                </w:tcPr>
                <w:p w14:paraId="3F55578B">
                  <w:pPr>
                    <w:pStyle w:val="32"/>
                    <w:keepNext w:val="0"/>
                    <w:keepLines w:val="0"/>
                    <w:suppressLineNumbers w:val="0"/>
                    <w:spacing w:before="0" w:beforeAutospacing="0" w:after="0" w:afterAutospacing="0"/>
                    <w:ind w:right="0"/>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序号</w:t>
                  </w:r>
                </w:p>
              </w:tc>
              <w:tc>
                <w:tcPr>
                  <w:tcW w:w="979" w:type="pct"/>
                  <w:tcBorders>
                    <w:bottom w:val="single" w:color="000000" w:sz="12" w:space="0"/>
                  </w:tcBorders>
                  <w:vAlign w:val="center"/>
                </w:tcPr>
                <w:p w14:paraId="4FE92481">
                  <w:pPr>
                    <w:pStyle w:val="32"/>
                    <w:keepNext w:val="0"/>
                    <w:keepLines w:val="0"/>
                    <w:suppressLineNumbers w:val="0"/>
                    <w:spacing w:before="0" w:beforeAutospacing="0" w:after="0" w:afterAutospacing="0"/>
                    <w:ind w:right="0"/>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污染物项目</w:t>
                  </w:r>
                </w:p>
              </w:tc>
              <w:tc>
                <w:tcPr>
                  <w:tcW w:w="1292" w:type="pct"/>
                  <w:tcBorders>
                    <w:bottom w:val="single" w:color="000000" w:sz="12" w:space="0"/>
                  </w:tcBorders>
                  <w:vAlign w:val="center"/>
                </w:tcPr>
                <w:p w14:paraId="4194126C">
                  <w:pPr>
                    <w:pStyle w:val="32"/>
                    <w:keepNext w:val="0"/>
                    <w:keepLines w:val="0"/>
                    <w:suppressLineNumbers w:val="0"/>
                    <w:spacing w:before="0" w:beforeAutospacing="0" w:after="0" w:afterAutospacing="0"/>
                    <w:ind w:right="0"/>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排放标准（mg/m</w:t>
                  </w:r>
                  <w:r>
                    <w:rPr>
                      <w:rFonts w:hint="eastAsia" w:ascii="Times New Roman" w:hAnsi="Times New Roman" w:eastAsia="宋体" w:cs="Times New Roman"/>
                      <w:b/>
                      <w:bCs/>
                      <w:color w:val="auto"/>
                      <w:sz w:val="21"/>
                      <w:szCs w:val="21"/>
                      <w:highlight w:val="none"/>
                      <w:vertAlign w:val="superscript"/>
                      <w:lang w:val="en-US" w:eastAsia="zh-CN"/>
                    </w:rPr>
                    <w:t>3</w:t>
                  </w:r>
                  <w:r>
                    <w:rPr>
                      <w:rFonts w:hint="eastAsia" w:ascii="Times New Roman" w:hAnsi="Times New Roman" w:eastAsia="宋体" w:cs="Times New Roman"/>
                      <w:b/>
                      <w:bCs/>
                      <w:color w:val="auto"/>
                      <w:sz w:val="21"/>
                      <w:szCs w:val="21"/>
                      <w:highlight w:val="none"/>
                      <w:lang w:val="en-US" w:eastAsia="zh-CN"/>
                    </w:rPr>
                    <w:t>）</w:t>
                  </w:r>
                </w:p>
              </w:tc>
              <w:tc>
                <w:tcPr>
                  <w:tcW w:w="2125" w:type="pct"/>
                  <w:vAlign w:val="center"/>
                </w:tcPr>
                <w:p w14:paraId="5F68DD77">
                  <w:pPr>
                    <w:widowControl/>
                    <w:adjustRightInd w:val="0"/>
                    <w:snapToGrid w:val="0"/>
                    <w:ind w:left="0" w:leftChars="0" w:firstLine="0" w:firstLineChars="0"/>
                    <w:jc w:val="center"/>
                    <w:rPr>
                      <w:b/>
                      <w:bCs/>
                      <w:color w:val="auto"/>
                      <w:szCs w:val="21"/>
                    </w:rPr>
                  </w:pPr>
                  <w:r>
                    <w:rPr>
                      <w:rFonts w:hint="eastAsia" w:ascii="Times New Roman" w:hAnsi="Times New Roman" w:eastAsia="宋体" w:cs="Times New Roman"/>
                      <w:b/>
                      <w:bCs/>
                      <w:color w:val="auto"/>
                      <w:kern w:val="2"/>
                      <w:sz w:val="21"/>
                      <w:szCs w:val="21"/>
                      <w:highlight w:val="none"/>
                      <w:lang w:val="en-US" w:eastAsia="zh-CN" w:bidi="ar"/>
                    </w:rPr>
                    <w:t>标准来源</w:t>
                  </w:r>
                </w:p>
              </w:tc>
            </w:tr>
            <w:tr w14:paraId="57CAE84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02" w:type="pct"/>
                  <w:tcBorders>
                    <w:top w:val="single" w:color="000000" w:sz="12" w:space="0"/>
                    <w:tl2br w:val="nil"/>
                    <w:tr2bl w:val="nil"/>
                  </w:tcBorders>
                  <w:vAlign w:val="center"/>
                </w:tcPr>
                <w:p w14:paraId="5AB5BE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1</w:t>
                  </w:r>
                </w:p>
              </w:tc>
              <w:tc>
                <w:tcPr>
                  <w:tcW w:w="979" w:type="pct"/>
                  <w:tcBorders>
                    <w:top w:val="single" w:color="000000" w:sz="12" w:space="0"/>
                    <w:tl2br w:val="nil"/>
                    <w:tr2bl w:val="nil"/>
                  </w:tcBorders>
                  <w:vAlign w:val="center"/>
                </w:tcPr>
                <w:p w14:paraId="76D9DC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氮氧化物</w:t>
                  </w:r>
                </w:p>
              </w:tc>
              <w:tc>
                <w:tcPr>
                  <w:tcW w:w="1292" w:type="pct"/>
                  <w:tcBorders>
                    <w:top w:val="single" w:color="000000" w:sz="12" w:space="0"/>
                    <w:tl2br w:val="nil"/>
                    <w:tr2bl w:val="nil"/>
                  </w:tcBorders>
                  <w:vAlign w:val="center"/>
                </w:tcPr>
                <w:p w14:paraId="566E2B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0.24</w:t>
                  </w:r>
                </w:p>
              </w:tc>
              <w:tc>
                <w:tcPr>
                  <w:tcW w:w="2125" w:type="pct"/>
                  <w:tcBorders>
                    <w:top w:val="single" w:color="000000" w:sz="12" w:space="0"/>
                    <w:tl2br w:val="nil"/>
                    <w:tr2bl w:val="nil"/>
                  </w:tcBorders>
                  <w:vAlign w:val="center"/>
                </w:tcPr>
                <w:p w14:paraId="4B1244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《硝酸工业污染物排放标准》（GB26131-2010）表7</w:t>
                  </w:r>
                </w:p>
              </w:tc>
            </w:tr>
          </w:tbl>
          <w:p w14:paraId="19EC74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33"/>
              <w:jc w:val="both"/>
              <w:textAlignment w:val="auto"/>
              <w:rPr>
                <w:rFonts w:hint="eastAsia" w:cs="Times New Roman"/>
                <w:b/>
                <w:bCs/>
                <w:color w:val="auto"/>
                <w:highlight w:val="none"/>
                <w:lang w:eastAsia="zh-CN"/>
              </w:rPr>
            </w:pP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w:t>
            </w:r>
            <w:r>
              <w:rPr>
                <w:rFonts w:hint="eastAsia" w:cs="Times New Roman"/>
                <w:b/>
                <w:bCs/>
                <w:color w:val="auto"/>
                <w:highlight w:val="none"/>
                <w:lang w:eastAsia="zh-CN"/>
              </w:rPr>
              <w:t>噪声排放标准</w:t>
            </w:r>
          </w:p>
          <w:p w14:paraId="685B9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33"/>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本项目施工期执行《建筑施工场界环境噪声排放标准》（GB12523-2011）标准，详见表3-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；运营期厂界噪声执行《工业企业厂界环境噪声排放标准》（GB12348-2008）中3类标准，详见表3-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3CD89DEE">
            <w:pPr>
              <w:pStyle w:val="40"/>
              <w:keepNext w:val="0"/>
              <w:keepLines w:val="0"/>
              <w:pageBreakBefore w:val="0"/>
              <w:widowControl w:val="0"/>
              <w:kinsoku/>
              <w:wordWrap/>
              <w:overflowPunct w:val="0"/>
              <w:topLinePunct w:val="0"/>
              <w:autoSpaceDE/>
              <w:autoSpaceDN/>
              <w:bidi w:val="0"/>
              <w:adjustRightInd/>
              <w:snapToGrid w:val="0"/>
              <w:spacing w:line="480" w:lineRule="exact"/>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表3-</w:t>
            </w:r>
            <w:r>
              <w:rPr>
                <w:rFonts w:hint="eastAsia" w:ascii="Times New Roman" w:hAnsi="Times New Roman" w:eastAsia="宋体" w:cs="Times New Roman"/>
                <w:b/>
                <w:bCs/>
                <w:color w:val="auto"/>
                <w:kern w:val="2"/>
                <w:sz w:val="24"/>
                <w:szCs w:val="24"/>
                <w:highlight w:val="none"/>
                <w:lang w:val="en-US" w:eastAsia="zh-CN" w:bidi="ar-SA"/>
              </w:rPr>
              <w:t xml:space="preserve">3   </w:t>
            </w:r>
            <w:r>
              <w:rPr>
                <w:rFonts w:hint="default" w:ascii="Times New Roman" w:hAnsi="Times New Roman" w:eastAsia="宋体" w:cs="Times New Roman"/>
                <w:b/>
                <w:bCs/>
                <w:color w:val="auto"/>
                <w:kern w:val="2"/>
                <w:sz w:val="24"/>
                <w:szCs w:val="24"/>
                <w:highlight w:val="none"/>
                <w:lang w:val="en-US" w:eastAsia="zh-CN" w:bidi="ar-SA"/>
              </w:rPr>
              <w:t>建筑施工场界环境噪声排放限值</w:t>
            </w:r>
          </w:p>
          <w:tbl>
            <w:tblPr>
              <w:tblStyle w:val="22"/>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192"/>
              <w:gridCol w:w="1877"/>
              <w:gridCol w:w="3918"/>
            </w:tblGrid>
            <w:tr w14:paraId="366247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2547" w:type="pct"/>
                  <w:gridSpan w:val="2"/>
                  <w:vAlign w:val="center"/>
                </w:tcPr>
                <w:p w14:paraId="4C2A79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rFonts w:hint="eastAsia" w:hAnsi="宋体"/>
                      <w:b/>
                      <w:bCs/>
                      <w:color w:val="auto"/>
                      <w:sz w:val="21"/>
                      <w:szCs w:val="21"/>
                    </w:rPr>
                    <w:t>噪声排放限值</w:t>
                  </w:r>
                  <w:r>
                    <w:rPr>
                      <w:b/>
                      <w:bCs/>
                      <w:color w:val="auto"/>
                      <w:sz w:val="21"/>
                      <w:szCs w:val="21"/>
                    </w:rPr>
                    <w:t>dB</w:t>
                  </w:r>
                  <w:r>
                    <w:rPr>
                      <w:rFonts w:hint="eastAsia" w:hAnsi="宋体"/>
                      <w:b/>
                      <w:bCs/>
                      <w:color w:val="auto"/>
                      <w:sz w:val="21"/>
                      <w:szCs w:val="21"/>
                    </w:rPr>
                    <w:t>（</w:t>
                  </w:r>
                  <w:r>
                    <w:rPr>
                      <w:b/>
                      <w:bCs/>
                      <w:color w:val="auto"/>
                      <w:sz w:val="21"/>
                      <w:szCs w:val="21"/>
                    </w:rPr>
                    <w:t>A</w:t>
                  </w:r>
                  <w:r>
                    <w:rPr>
                      <w:rFonts w:hint="eastAsia" w:hAnsi="宋体"/>
                      <w:b/>
                      <w:bCs/>
                      <w:color w:val="auto"/>
                      <w:sz w:val="21"/>
                      <w:szCs w:val="21"/>
                    </w:rPr>
                    <w:t>）</w:t>
                  </w:r>
                </w:p>
              </w:tc>
              <w:tc>
                <w:tcPr>
                  <w:tcW w:w="2452" w:type="pct"/>
                  <w:vMerge w:val="restart"/>
                  <w:vAlign w:val="center"/>
                </w:tcPr>
                <w:p w14:paraId="3A09FD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rFonts w:hint="eastAsia" w:hAnsi="宋体"/>
                      <w:b/>
                      <w:bCs/>
                      <w:color w:val="auto"/>
                      <w:sz w:val="21"/>
                      <w:szCs w:val="21"/>
                    </w:rPr>
                    <w:t>标准来源</w:t>
                  </w:r>
                </w:p>
              </w:tc>
            </w:tr>
            <w:tr w14:paraId="4BCC29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372" w:type="pct"/>
                  <w:tcBorders>
                    <w:bottom w:val="single" w:color="000000" w:sz="12" w:space="0"/>
                  </w:tcBorders>
                  <w:vAlign w:val="center"/>
                </w:tcPr>
                <w:p w14:paraId="3396D3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rFonts w:hint="eastAsia" w:hAnsi="宋体"/>
                      <w:b/>
                      <w:bCs/>
                      <w:color w:val="auto"/>
                      <w:sz w:val="21"/>
                      <w:szCs w:val="21"/>
                    </w:rPr>
                    <w:t>昼间</w:t>
                  </w:r>
                </w:p>
              </w:tc>
              <w:tc>
                <w:tcPr>
                  <w:tcW w:w="1175" w:type="pct"/>
                  <w:tcBorders>
                    <w:bottom w:val="single" w:color="000000" w:sz="12" w:space="0"/>
                  </w:tcBorders>
                  <w:vAlign w:val="center"/>
                </w:tcPr>
                <w:p w14:paraId="0070EA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rFonts w:hint="eastAsia" w:hAnsi="宋体"/>
                      <w:b/>
                      <w:bCs/>
                      <w:color w:val="auto"/>
                      <w:sz w:val="21"/>
                      <w:szCs w:val="21"/>
                    </w:rPr>
                    <w:t>夜间</w:t>
                  </w:r>
                </w:p>
              </w:tc>
              <w:tc>
                <w:tcPr>
                  <w:tcW w:w="2452" w:type="pct"/>
                  <w:vMerge w:val="continue"/>
                  <w:tcBorders>
                    <w:bottom w:val="single" w:color="000000" w:sz="12" w:space="0"/>
                  </w:tcBorders>
                  <w:vAlign w:val="center"/>
                </w:tcPr>
                <w:p w14:paraId="0E639A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p>
              </w:tc>
            </w:tr>
            <w:tr w14:paraId="76D7FEA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372" w:type="pct"/>
                  <w:tcBorders>
                    <w:top w:val="single" w:color="000000" w:sz="12" w:space="0"/>
                    <w:tl2br w:val="nil"/>
                    <w:tr2bl w:val="nil"/>
                  </w:tcBorders>
                  <w:vAlign w:val="center"/>
                </w:tcPr>
                <w:p w14:paraId="2754FA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70</w:t>
                  </w:r>
                </w:p>
              </w:tc>
              <w:tc>
                <w:tcPr>
                  <w:tcW w:w="1175" w:type="pct"/>
                  <w:tcBorders>
                    <w:top w:val="single" w:color="000000" w:sz="12" w:space="0"/>
                    <w:tl2br w:val="nil"/>
                    <w:tr2bl w:val="nil"/>
                  </w:tcBorders>
                  <w:vAlign w:val="center"/>
                </w:tcPr>
                <w:p w14:paraId="19BC48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55</w:t>
                  </w:r>
                </w:p>
              </w:tc>
              <w:tc>
                <w:tcPr>
                  <w:tcW w:w="2452" w:type="pct"/>
                  <w:tcBorders>
                    <w:top w:val="single" w:color="000000" w:sz="12" w:space="0"/>
                    <w:tl2br w:val="nil"/>
                    <w:tr2bl w:val="nil"/>
                  </w:tcBorders>
                  <w:vAlign w:val="center"/>
                </w:tcPr>
                <w:p w14:paraId="0311FB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hAnsi="宋体"/>
                      <w:color w:val="auto"/>
                      <w:sz w:val="21"/>
                      <w:szCs w:val="21"/>
                    </w:rPr>
                    <w:t>《建筑施工场界环境噪声排放标准》（</w:t>
                  </w:r>
                  <w:r>
                    <w:rPr>
                      <w:color w:val="auto"/>
                      <w:sz w:val="21"/>
                      <w:szCs w:val="21"/>
                    </w:rPr>
                    <w:t>GB12523-2011</w:t>
                  </w:r>
                  <w:r>
                    <w:rPr>
                      <w:rFonts w:hint="eastAsia" w:hAnsi="宋体"/>
                      <w:color w:val="auto"/>
                      <w:sz w:val="21"/>
                      <w:szCs w:val="21"/>
                    </w:rPr>
                    <w:t>）</w:t>
                  </w:r>
                </w:p>
              </w:tc>
            </w:tr>
          </w:tbl>
          <w:p w14:paraId="1B7C6471">
            <w:pPr>
              <w:pStyle w:val="40"/>
              <w:keepNext w:val="0"/>
              <w:keepLines w:val="0"/>
              <w:pageBreakBefore w:val="0"/>
              <w:widowControl w:val="0"/>
              <w:kinsoku/>
              <w:wordWrap/>
              <w:overflowPunct w:val="0"/>
              <w:topLinePunct w:val="0"/>
              <w:autoSpaceDE/>
              <w:autoSpaceDN/>
              <w:bidi w:val="0"/>
              <w:adjustRightInd/>
              <w:snapToGrid w:val="0"/>
              <w:spacing w:line="480" w:lineRule="exact"/>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表3-</w:t>
            </w:r>
            <w:r>
              <w:rPr>
                <w:rFonts w:hint="eastAsia" w:ascii="Times New Roman" w:hAnsi="Times New Roman" w:cs="Times New Roman"/>
                <w:b/>
                <w:bCs/>
                <w:color w:val="auto"/>
                <w:kern w:val="2"/>
                <w:sz w:val="24"/>
                <w:szCs w:val="24"/>
                <w:highlight w:val="none"/>
                <w:lang w:val="en-US" w:eastAsia="zh-CN" w:bidi="ar-SA"/>
              </w:rPr>
              <w:t xml:space="preserve">4   </w:t>
            </w:r>
            <w:r>
              <w:rPr>
                <w:rFonts w:hint="default" w:ascii="Times New Roman" w:hAnsi="Times New Roman" w:eastAsia="宋体" w:cs="Times New Roman"/>
                <w:b/>
                <w:bCs/>
                <w:color w:val="auto"/>
                <w:kern w:val="2"/>
                <w:sz w:val="24"/>
                <w:szCs w:val="24"/>
                <w:highlight w:val="none"/>
                <w:lang w:val="en-US" w:eastAsia="zh-CN" w:bidi="ar-SA"/>
              </w:rPr>
              <w:t>工业企业厂界环境噪声排放标准</w:t>
            </w:r>
          </w:p>
          <w:tbl>
            <w:tblPr>
              <w:tblStyle w:val="22"/>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256"/>
              <w:gridCol w:w="1406"/>
              <w:gridCol w:w="1403"/>
              <w:gridCol w:w="3921"/>
            </w:tblGrid>
            <w:tr w14:paraId="605E0D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786" w:type="pct"/>
                  <w:vMerge w:val="restart"/>
                  <w:vAlign w:val="center"/>
                </w:tcPr>
                <w:p w14:paraId="4248A7C1">
                  <w:pPr>
                    <w:pStyle w:val="32"/>
                    <w:keepNext w:val="0"/>
                    <w:keepLines w:val="0"/>
                    <w:suppressLineNumbers w:val="0"/>
                    <w:spacing w:before="0" w:beforeAutospacing="0" w:after="0" w:afterAutospacing="0"/>
                    <w:ind w:right="0"/>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功能区类别</w:t>
                  </w:r>
                </w:p>
              </w:tc>
              <w:tc>
                <w:tcPr>
                  <w:tcW w:w="1758" w:type="pct"/>
                  <w:gridSpan w:val="2"/>
                  <w:vAlign w:val="center"/>
                </w:tcPr>
                <w:p w14:paraId="4820F4B6">
                  <w:pPr>
                    <w:pStyle w:val="32"/>
                    <w:keepNext w:val="0"/>
                    <w:keepLines w:val="0"/>
                    <w:suppressLineNumbers w:val="0"/>
                    <w:spacing w:before="0" w:beforeAutospacing="0" w:after="0" w:afterAutospacing="0"/>
                    <w:ind w:right="0"/>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标准值dB（A）</w:t>
                  </w:r>
                </w:p>
              </w:tc>
              <w:tc>
                <w:tcPr>
                  <w:tcW w:w="2454" w:type="pct"/>
                  <w:vMerge w:val="restart"/>
                  <w:vAlign w:val="center"/>
                </w:tcPr>
                <w:p w14:paraId="6771F02D">
                  <w:pPr>
                    <w:widowControl/>
                    <w:adjustRightInd w:val="0"/>
                    <w:snapToGrid w:val="0"/>
                    <w:ind w:left="0" w:leftChars="0" w:firstLine="0" w:firstLineChars="0"/>
                    <w:jc w:val="center"/>
                    <w:rPr>
                      <w:b/>
                      <w:bCs/>
                      <w:color w:val="auto"/>
                      <w:szCs w:val="21"/>
                    </w:rPr>
                  </w:pPr>
                  <w:r>
                    <w:rPr>
                      <w:rFonts w:hint="eastAsia" w:ascii="Times New Roman" w:hAnsi="Times New Roman" w:eastAsia="宋体" w:cs="Times New Roman"/>
                      <w:b/>
                      <w:bCs/>
                      <w:color w:val="auto"/>
                      <w:kern w:val="2"/>
                      <w:sz w:val="21"/>
                      <w:szCs w:val="21"/>
                      <w:highlight w:val="none"/>
                      <w:lang w:val="en-US" w:eastAsia="zh-CN" w:bidi="ar"/>
                    </w:rPr>
                    <w:t>标准来源</w:t>
                  </w:r>
                </w:p>
              </w:tc>
            </w:tr>
            <w:tr w14:paraId="6E18D6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33" w:hRule="atLeast"/>
              </w:trPr>
              <w:tc>
                <w:tcPr>
                  <w:tcW w:w="786" w:type="pct"/>
                  <w:vMerge w:val="continue"/>
                  <w:tcBorders>
                    <w:bottom w:val="single" w:color="000000" w:sz="12" w:space="0"/>
                  </w:tcBorders>
                  <w:vAlign w:val="center"/>
                </w:tcPr>
                <w:p w14:paraId="263513E3">
                  <w:pPr>
                    <w:pStyle w:val="32"/>
                    <w:keepNext w:val="0"/>
                    <w:keepLines w:val="0"/>
                    <w:suppressLineNumbers w:val="0"/>
                    <w:spacing w:before="0" w:beforeAutospacing="0" w:after="0" w:afterAutospacing="0"/>
                    <w:ind w:right="0"/>
                    <w:rPr>
                      <w:rFonts w:hint="eastAsia" w:ascii="Times New Roman" w:hAnsi="Times New Roman" w:eastAsia="宋体" w:cs="Times New Roman"/>
                      <w:b/>
                      <w:bCs/>
                      <w:color w:val="auto"/>
                      <w:sz w:val="21"/>
                      <w:szCs w:val="21"/>
                      <w:highlight w:val="none"/>
                      <w:lang w:val="en-US" w:eastAsia="zh-CN"/>
                    </w:rPr>
                  </w:pPr>
                </w:p>
              </w:tc>
              <w:tc>
                <w:tcPr>
                  <w:tcW w:w="880" w:type="pct"/>
                  <w:tcBorders>
                    <w:bottom w:val="single" w:color="000000" w:sz="12" w:space="0"/>
                  </w:tcBorders>
                  <w:vAlign w:val="center"/>
                </w:tcPr>
                <w:p w14:paraId="53D49190">
                  <w:pPr>
                    <w:pStyle w:val="32"/>
                    <w:keepNext w:val="0"/>
                    <w:keepLines w:val="0"/>
                    <w:suppressLineNumbers w:val="0"/>
                    <w:spacing w:before="0" w:beforeAutospacing="0" w:after="0" w:afterAutospacing="0"/>
                    <w:ind w:right="0"/>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昼间</w:t>
                  </w:r>
                </w:p>
              </w:tc>
              <w:tc>
                <w:tcPr>
                  <w:tcW w:w="877" w:type="pct"/>
                  <w:tcBorders>
                    <w:bottom w:val="single" w:color="000000" w:sz="12" w:space="0"/>
                  </w:tcBorders>
                  <w:vAlign w:val="center"/>
                </w:tcPr>
                <w:p w14:paraId="776C09F3">
                  <w:pPr>
                    <w:pStyle w:val="32"/>
                    <w:keepNext w:val="0"/>
                    <w:keepLines w:val="0"/>
                    <w:suppressLineNumbers w:val="0"/>
                    <w:spacing w:before="0" w:beforeAutospacing="0" w:after="0" w:afterAutospacing="0"/>
                    <w:ind w:right="0"/>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夜间</w:t>
                  </w:r>
                </w:p>
              </w:tc>
              <w:tc>
                <w:tcPr>
                  <w:tcW w:w="2454" w:type="pct"/>
                  <w:vMerge w:val="continue"/>
                  <w:tcBorders>
                    <w:bottom w:val="single" w:color="000000" w:sz="12" w:space="0"/>
                  </w:tcBorders>
                  <w:vAlign w:val="center"/>
                </w:tcPr>
                <w:p w14:paraId="7CBD8958">
                  <w:pPr>
                    <w:widowControl/>
                    <w:adjustRightInd w:val="0"/>
                    <w:snapToGrid w:val="0"/>
                    <w:jc w:val="center"/>
                    <w:rPr>
                      <w:color w:val="auto"/>
                      <w:szCs w:val="21"/>
                    </w:rPr>
                  </w:pPr>
                </w:p>
              </w:tc>
            </w:tr>
            <w:tr w14:paraId="3FCBF5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786" w:type="pct"/>
                  <w:tcBorders>
                    <w:top w:val="single" w:color="000000" w:sz="12" w:space="0"/>
                    <w:tl2br w:val="nil"/>
                    <w:tr2bl w:val="nil"/>
                  </w:tcBorders>
                  <w:vAlign w:val="center"/>
                </w:tcPr>
                <w:p w14:paraId="06EBC7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3类</w:t>
                  </w:r>
                </w:p>
              </w:tc>
              <w:tc>
                <w:tcPr>
                  <w:tcW w:w="880" w:type="pct"/>
                  <w:tcBorders>
                    <w:top w:val="single" w:color="000000" w:sz="12" w:space="0"/>
                    <w:tl2br w:val="nil"/>
                    <w:tr2bl w:val="nil"/>
                  </w:tcBorders>
                  <w:vAlign w:val="center"/>
                </w:tcPr>
                <w:p w14:paraId="7D63DD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65</w:t>
                  </w:r>
                </w:p>
              </w:tc>
              <w:tc>
                <w:tcPr>
                  <w:tcW w:w="877" w:type="pct"/>
                  <w:tcBorders>
                    <w:top w:val="single" w:color="000000" w:sz="12" w:space="0"/>
                    <w:tl2br w:val="nil"/>
                    <w:tr2bl w:val="nil"/>
                  </w:tcBorders>
                  <w:vAlign w:val="center"/>
                </w:tcPr>
                <w:p w14:paraId="216746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55</w:t>
                  </w:r>
                </w:p>
              </w:tc>
              <w:tc>
                <w:tcPr>
                  <w:tcW w:w="2454" w:type="pct"/>
                  <w:tcBorders>
                    <w:top w:val="single" w:color="000000" w:sz="12" w:space="0"/>
                    <w:tl2br w:val="nil"/>
                    <w:tr2bl w:val="nil"/>
                  </w:tcBorders>
                  <w:vAlign w:val="center"/>
                </w:tcPr>
                <w:p w14:paraId="071D80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《工业企业厂界环境噪声排放标准》（GB12348-2008）中3类标准</w:t>
                  </w:r>
                </w:p>
              </w:tc>
            </w:tr>
          </w:tbl>
          <w:p w14:paraId="66672C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jc w:val="both"/>
              <w:textAlignment w:val="auto"/>
              <w:rPr>
                <w:rFonts w:hint="eastAsia" w:cs="Times New Roman"/>
                <w:b/>
                <w:bCs/>
                <w:color w:val="auto"/>
                <w:highlight w:val="none"/>
                <w:lang w:eastAsia="zh-CN"/>
              </w:rPr>
            </w:pP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w:t>
            </w:r>
            <w:r>
              <w:rPr>
                <w:rFonts w:hint="eastAsia" w:cs="Times New Roman"/>
                <w:b/>
                <w:bCs/>
                <w:color w:val="auto"/>
                <w:highlight w:val="none"/>
                <w:lang w:eastAsia="zh-CN"/>
              </w:rPr>
              <w:t>水污染排放标准</w:t>
            </w:r>
          </w:p>
          <w:p w14:paraId="6006C7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本项目无生产废水产生，无新增劳动定员，无新增生活排放。</w:t>
            </w:r>
          </w:p>
          <w:p w14:paraId="4DE50BC3">
            <w:pPr>
              <w:keepNext w:val="0"/>
              <w:keepLines w:val="0"/>
              <w:widowControl/>
              <w:suppressLineNumbers w:val="0"/>
              <w:jc w:val="left"/>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（4）固体废物控制标准</w:t>
            </w:r>
          </w:p>
          <w:p w14:paraId="499E99BE">
            <w:pPr>
              <w:keepNext w:val="0"/>
              <w:keepLines w:val="0"/>
              <w:widowControl/>
              <w:suppressLineNumbers w:val="0"/>
              <w:jc w:val="left"/>
              <w:rPr>
                <w:rFonts w:hint="eastAsia" w:ascii="Times New Roman" w:hAnsi="Times New Roman" w:eastAsia="宋体" w:cs="Times New Roman"/>
                <w:b/>
                <w:bCs/>
                <w:color w:val="auto"/>
                <w:highlight w:val="none"/>
                <w:lang w:val="en-US" w:eastAsia="zh-CN"/>
              </w:rPr>
            </w:pPr>
            <w:r>
              <w:rPr>
                <w:rFonts w:hint="eastAsia" w:ascii="宋体" w:hAnsi="宋体" w:cs="宋体"/>
                <w:color w:val="000000"/>
                <w:kern w:val="0"/>
                <w:sz w:val="24"/>
                <w:szCs w:val="24"/>
                <w:lang w:val="en-US" w:eastAsia="zh-CN" w:bidi="ar"/>
              </w:rPr>
              <w:t>本项目运营过程中不产生固废</w:t>
            </w:r>
            <w:r>
              <w:rPr>
                <w:rFonts w:hint="eastAsia" w:ascii="宋体" w:hAnsi="宋体" w:eastAsia="宋体" w:cs="宋体"/>
                <w:color w:val="000000"/>
                <w:kern w:val="0"/>
                <w:sz w:val="24"/>
                <w:szCs w:val="24"/>
                <w:lang w:val="en-US" w:eastAsia="zh-CN" w:bidi="ar"/>
              </w:rPr>
              <w:t>。</w:t>
            </w:r>
          </w:p>
        </w:tc>
      </w:tr>
      <w:tr w14:paraId="22ED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0" w:type="dxa"/>
            <w:tcBorders>
              <w:tl2br w:val="nil"/>
              <w:tr2bl w:val="nil"/>
            </w:tcBorders>
            <w:noWrap w:val="0"/>
            <w:vAlign w:val="center"/>
          </w:tcPr>
          <w:p w14:paraId="5243213E">
            <w:pPr>
              <w:pStyle w:val="33"/>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总量控制指标</w:t>
            </w:r>
          </w:p>
        </w:tc>
        <w:tc>
          <w:tcPr>
            <w:tcW w:w="8202" w:type="dxa"/>
            <w:tcBorders>
              <w:tl2br w:val="nil"/>
              <w:tr2bl w:val="nil"/>
            </w:tcBorders>
            <w:noWrap w:val="0"/>
            <w:vAlign w:val="center"/>
          </w:tcPr>
          <w:p w14:paraId="1485588C">
            <w:pPr>
              <w:keepNext w:val="0"/>
              <w:keepLines w:val="0"/>
              <w:widowControl/>
              <w:suppressLineNumbers w:val="0"/>
              <w:jc w:val="left"/>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根据生态环境部办公厅《关于做好</w:t>
            </w:r>
            <w:r>
              <w:rPr>
                <w:rFonts w:hint="eastAsia" w:cs="Times New Roman"/>
                <w:color w:val="auto"/>
                <w:spacing w:val="0"/>
                <w:sz w:val="24"/>
                <w:highlight w:val="none"/>
                <w:lang w:eastAsia="zh-CN"/>
              </w:rPr>
              <w:t>“</w:t>
            </w:r>
            <w:r>
              <w:rPr>
                <w:rFonts w:hint="default" w:ascii="Times New Roman" w:hAnsi="Times New Roman" w:cs="Times New Roman"/>
                <w:color w:val="auto"/>
                <w:spacing w:val="0"/>
                <w:sz w:val="24"/>
                <w:highlight w:val="none"/>
              </w:rPr>
              <w:t>十四五</w:t>
            </w:r>
            <w:r>
              <w:rPr>
                <w:rFonts w:hint="eastAsia" w:cs="Times New Roman"/>
                <w:color w:val="auto"/>
                <w:spacing w:val="0"/>
                <w:sz w:val="24"/>
                <w:highlight w:val="none"/>
                <w:lang w:eastAsia="zh-CN"/>
              </w:rPr>
              <w:t>”</w:t>
            </w:r>
            <w:r>
              <w:rPr>
                <w:rFonts w:hint="default" w:ascii="Times New Roman" w:hAnsi="Times New Roman" w:cs="Times New Roman"/>
                <w:color w:val="auto"/>
                <w:spacing w:val="0"/>
                <w:sz w:val="24"/>
                <w:highlight w:val="none"/>
              </w:rPr>
              <w:t>主要污染物总量减排工作的通知》（环办综合函〔2021〕323 号），</w:t>
            </w:r>
            <w:r>
              <w:rPr>
                <w:rFonts w:hint="eastAsia" w:cs="Times New Roman"/>
                <w:color w:val="auto"/>
                <w:spacing w:val="0"/>
                <w:sz w:val="24"/>
                <w:highlight w:val="none"/>
                <w:lang w:eastAsia="zh-CN"/>
              </w:rPr>
              <w:t>“</w:t>
            </w:r>
            <w:r>
              <w:rPr>
                <w:rFonts w:hint="default" w:ascii="Times New Roman" w:hAnsi="Times New Roman" w:cs="Times New Roman"/>
                <w:color w:val="auto"/>
                <w:spacing w:val="0"/>
                <w:sz w:val="24"/>
                <w:highlight w:val="none"/>
              </w:rPr>
              <w:t>十四五</w:t>
            </w:r>
            <w:r>
              <w:rPr>
                <w:rFonts w:hint="eastAsia" w:cs="Times New Roman"/>
                <w:color w:val="auto"/>
                <w:spacing w:val="0"/>
                <w:sz w:val="24"/>
                <w:highlight w:val="none"/>
                <w:lang w:eastAsia="zh-CN"/>
              </w:rPr>
              <w:t>”</w:t>
            </w:r>
            <w:r>
              <w:rPr>
                <w:rFonts w:hint="default" w:ascii="Times New Roman" w:hAnsi="Times New Roman" w:cs="Times New Roman"/>
                <w:color w:val="auto"/>
                <w:spacing w:val="0"/>
                <w:sz w:val="24"/>
                <w:highlight w:val="none"/>
              </w:rPr>
              <w:t>时期，国家明确列入总量减排的主要污染物为COD、氨氮、NOx、VOCs 四项。</w:t>
            </w:r>
          </w:p>
          <w:p w14:paraId="71B927FF">
            <w:pPr>
              <w:keepNext w:val="0"/>
              <w:keepLines w:val="0"/>
              <w:widowControl/>
              <w:suppressLineNumbers w:val="0"/>
              <w:jc w:val="left"/>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（1）废气污染物排放情况</w:t>
            </w:r>
          </w:p>
          <w:p w14:paraId="6E63F882">
            <w:pPr>
              <w:keepNext w:val="0"/>
              <w:keepLines w:val="0"/>
              <w:widowControl/>
              <w:suppressLineNumbers w:val="0"/>
              <w:jc w:val="left"/>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本项目生产涉及</w:t>
            </w:r>
            <w:r>
              <w:rPr>
                <w:rFonts w:hint="eastAsia" w:cs="Times New Roman"/>
                <w:color w:val="auto"/>
                <w:spacing w:val="0"/>
                <w:sz w:val="24"/>
                <w:highlight w:val="none"/>
                <w:lang w:eastAsia="zh-CN"/>
              </w:rPr>
              <w:t>硝酸</w:t>
            </w:r>
            <w:r>
              <w:rPr>
                <w:rFonts w:hint="default" w:ascii="Times New Roman" w:hAnsi="Times New Roman" w:cs="Times New Roman"/>
                <w:color w:val="auto"/>
                <w:spacing w:val="0"/>
                <w:sz w:val="24"/>
                <w:highlight w:val="none"/>
              </w:rPr>
              <w:t>储罐大小呼吸产生的</w:t>
            </w:r>
            <w:r>
              <w:rPr>
                <w:rFonts w:hint="eastAsia" w:cs="Times New Roman"/>
                <w:color w:val="auto"/>
                <w:spacing w:val="0"/>
                <w:sz w:val="24"/>
                <w:highlight w:val="none"/>
                <w:lang w:eastAsia="zh-CN"/>
              </w:rPr>
              <w:t>无组织废气</w:t>
            </w:r>
            <w:r>
              <w:rPr>
                <w:rFonts w:hint="default" w:ascii="Times New Roman" w:hAnsi="Times New Roman" w:cs="Times New Roman"/>
                <w:color w:val="auto"/>
                <w:spacing w:val="0"/>
                <w:sz w:val="24"/>
                <w:highlight w:val="none"/>
              </w:rPr>
              <w:t>，因此本项目不涉及废气总量控制因子。</w:t>
            </w:r>
          </w:p>
          <w:p w14:paraId="50E7EB9E">
            <w:pPr>
              <w:keepNext w:val="0"/>
              <w:keepLines w:val="0"/>
              <w:widowControl/>
              <w:suppressLineNumbers w:val="0"/>
              <w:jc w:val="left"/>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（2）废水污染物排放情况</w:t>
            </w:r>
          </w:p>
          <w:p w14:paraId="43B84A5F">
            <w:pPr>
              <w:keepNext w:val="0"/>
              <w:keepLines w:val="0"/>
              <w:widowControl/>
              <w:suppressLineNumbers w:val="0"/>
              <w:jc w:val="left"/>
              <w:rPr>
                <w:rFonts w:hint="eastAsia" w:ascii="Times New Roman" w:hAnsi="Times New Roman" w:eastAsia="宋体" w:cs="Times New Roman"/>
                <w:color w:val="auto"/>
                <w:spacing w:val="0"/>
                <w:sz w:val="24"/>
                <w:highlight w:val="none"/>
                <w:lang w:eastAsia="zh-CN"/>
              </w:rPr>
            </w:pPr>
            <w:r>
              <w:rPr>
                <w:rFonts w:hint="default" w:ascii="Times New Roman" w:hAnsi="Times New Roman" w:cs="Times New Roman"/>
                <w:color w:val="auto"/>
                <w:spacing w:val="0"/>
                <w:sz w:val="24"/>
                <w:highlight w:val="none"/>
              </w:rPr>
              <w:t>本次扩建不新增职工，不增加生活</w:t>
            </w:r>
            <w:r>
              <w:rPr>
                <w:rFonts w:hint="eastAsia" w:cs="Times New Roman"/>
                <w:color w:val="auto"/>
                <w:spacing w:val="0"/>
                <w:sz w:val="24"/>
                <w:highlight w:val="none"/>
                <w:lang w:eastAsia="zh-CN"/>
              </w:rPr>
              <w:t>污水</w:t>
            </w:r>
            <w:r>
              <w:rPr>
                <w:rFonts w:hint="default" w:ascii="Times New Roman" w:hAnsi="Times New Roman" w:cs="Times New Roman"/>
                <w:color w:val="auto"/>
                <w:spacing w:val="0"/>
                <w:sz w:val="24"/>
                <w:highlight w:val="none"/>
              </w:rPr>
              <w:t>，</w:t>
            </w:r>
            <w:r>
              <w:rPr>
                <w:rFonts w:hint="eastAsia" w:cs="Times New Roman"/>
                <w:color w:val="auto"/>
                <w:spacing w:val="0"/>
                <w:sz w:val="24"/>
                <w:highlight w:val="none"/>
                <w:lang w:eastAsia="zh-CN"/>
              </w:rPr>
              <w:t>也无生产废水产生，因此本项目不涉及废水总量控制因子。</w:t>
            </w:r>
          </w:p>
        </w:tc>
      </w:tr>
    </w:tbl>
    <w:p w14:paraId="40590BF5">
      <w:pPr>
        <w:numPr>
          <w:ilvl w:val="0"/>
          <w:numId w:val="0"/>
        </w:numPr>
        <w:ind w:left="0" w:leftChars="0" w:firstLine="0" w:firstLineChars="0"/>
        <w:jc w:val="center"/>
        <w:outlineLvl w:val="9"/>
        <w:rPr>
          <w:rFonts w:hint="eastAsia" w:ascii="Times New Roman" w:hAnsi="Times New Roman" w:eastAsia="黑体" w:cs="Times New Roman"/>
          <w:snapToGrid w:val="0"/>
          <w:color w:val="auto"/>
          <w:kern w:val="2"/>
          <w:sz w:val="30"/>
          <w:szCs w:val="30"/>
          <w:lang w:val="en-US" w:eastAsia="zh-CN" w:bidi="ar-SA"/>
        </w:rPr>
      </w:pPr>
    </w:p>
    <w:p w14:paraId="271C0BCE">
      <w:pPr>
        <w:numPr>
          <w:ilvl w:val="0"/>
          <w:numId w:val="0"/>
        </w:numPr>
        <w:ind w:left="0" w:leftChars="0" w:firstLine="0" w:firstLineChars="0"/>
        <w:jc w:val="center"/>
        <w:outlineLvl w:val="9"/>
        <w:rPr>
          <w:rFonts w:hint="eastAsia" w:ascii="Times New Roman" w:hAnsi="Times New Roman" w:eastAsia="黑体" w:cs="Times New Roman"/>
          <w:snapToGrid w:val="0"/>
          <w:color w:val="auto"/>
          <w:kern w:val="2"/>
          <w:sz w:val="30"/>
          <w:szCs w:val="30"/>
          <w:lang w:val="en-US" w:eastAsia="zh-CN" w:bidi="ar-SA"/>
        </w:rPr>
      </w:pPr>
    </w:p>
    <w:p w14:paraId="3011EB91">
      <w:pPr>
        <w:numPr>
          <w:ilvl w:val="0"/>
          <w:numId w:val="0"/>
        </w:numPr>
        <w:ind w:left="0" w:leftChars="0" w:firstLine="0" w:firstLineChars="0"/>
        <w:jc w:val="center"/>
        <w:outlineLvl w:val="9"/>
        <w:rPr>
          <w:rFonts w:hint="eastAsia" w:ascii="Times New Roman" w:hAnsi="Times New Roman" w:eastAsia="黑体" w:cs="Times New Roman"/>
          <w:snapToGrid w:val="0"/>
          <w:color w:val="auto"/>
          <w:kern w:val="2"/>
          <w:sz w:val="30"/>
          <w:szCs w:val="30"/>
          <w:lang w:val="en-US" w:eastAsia="zh-CN" w:bidi="ar-SA"/>
        </w:rPr>
      </w:pPr>
    </w:p>
    <w:p w14:paraId="0F7D8B3F">
      <w:pPr>
        <w:rPr>
          <w:rFonts w:hint="eastAsia" w:ascii="Times New Roman" w:hAnsi="Times New Roman" w:eastAsia="黑体" w:cs="Times New Roman"/>
          <w:snapToGrid w:val="0"/>
          <w:color w:val="auto"/>
          <w:kern w:val="2"/>
          <w:sz w:val="30"/>
          <w:szCs w:val="30"/>
          <w:lang w:val="en-US" w:eastAsia="zh-CN" w:bidi="ar-SA"/>
        </w:rPr>
      </w:pPr>
      <w:r>
        <w:rPr>
          <w:rFonts w:hint="eastAsia" w:ascii="Times New Roman" w:hAnsi="Times New Roman" w:eastAsia="黑体" w:cs="Times New Roman"/>
          <w:snapToGrid w:val="0"/>
          <w:color w:val="auto"/>
          <w:kern w:val="2"/>
          <w:sz w:val="30"/>
          <w:szCs w:val="30"/>
          <w:lang w:val="en-US" w:eastAsia="zh-CN" w:bidi="ar-SA"/>
        </w:rPr>
        <w:br w:type="page"/>
      </w:r>
    </w:p>
    <w:p w14:paraId="7EED7327">
      <w:pPr>
        <w:numPr>
          <w:ilvl w:val="0"/>
          <w:numId w:val="0"/>
        </w:numPr>
        <w:ind w:left="0" w:leftChars="0" w:firstLine="0" w:firstLineChars="0"/>
        <w:jc w:val="center"/>
        <w:outlineLvl w:val="0"/>
        <w:rPr>
          <w:rFonts w:ascii="Times New Roman" w:hAnsi="Times New Roman" w:eastAsia="黑体"/>
          <w:snapToGrid w:val="0"/>
          <w:color w:val="auto"/>
          <w:sz w:val="30"/>
          <w:szCs w:val="30"/>
        </w:rPr>
      </w:pPr>
      <w:bookmarkStart w:id="8" w:name="_Toc29565"/>
      <w:r>
        <w:rPr>
          <w:rFonts w:hint="eastAsia" w:ascii="Times New Roman" w:hAnsi="Times New Roman" w:eastAsia="黑体" w:cs="Times New Roman"/>
          <w:snapToGrid w:val="0"/>
          <w:color w:val="auto"/>
          <w:kern w:val="2"/>
          <w:sz w:val="30"/>
          <w:szCs w:val="30"/>
          <w:lang w:val="en-US" w:eastAsia="zh-CN" w:bidi="ar-SA"/>
        </w:rPr>
        <w:t>四、</w:t>
      </w:r>
      <w:r>
        <w:rPr>
          <w:rFonts w:ascii="Times New Roman" w:hAnsi="Times New Roman" w:eastAsia="黑体"/>
          <w:snapToGrid w:val="0"/>
          <w:color w:val="auto"/>
          <w:sz w:val="30"/>
          <w:szCs w:val="30"/>
        </w:rPr>
        <w:t>主要环境影响和保护措施</w:t>
      </w:r>
      <w:bookmarkEnd w:id="8"/>
    </w:p>
    <w:tbl>
      <w:tblPr>
        <w:tblStyle w:val="22"/>
        <w:tblW w:w="9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8565"/>
      </w:tblGrid>
      <w:tr w14:paraId="5ACD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9" w:type="dxa"/>
            <w:tcBorders>
              <w:tl2br w:val="nil"/>
              <w:tr2bl w:val="nil"/>
            </w:tcBorders>
            <w:noWrap w:val="0"/>
            <w:tcMar>
              <w:left w:w="28" w:type="dxa"/>
              <w:right w:w="28" w:type="dxa"/>
            </w:tcMar>
            <w:vAlign w:val="center"/>
          </w:tcPr>
          <w:p w14:paraId="4921F3ED">
            <w:pPr>
              <w:pStyle w:val="20"/>
              <w:adjustRightInd w:val="0"/>
              <w:snapToGrid w:val="0"/>
              <w:spacing w:before="0" w:beforeAutospacing="0" w:after="0" w:afterAutospacing="0" w:line="360" w:lineRule="auto"/>
              <w:ind w:left="0" w:leftChars="0" w:firstLine="0" w:firstLineChars="0"/>
              <w:jc w:val="center"/>
              <w:rPr>
                <w:rFonts w:hint="default" w:ascii="Times New Roman" w:hAnsi="Times New Roman" w:cs="Times New Roman"/>
                <w:color w:val="auto"/>
                <w:highlight w:val="none"/>
              </w:rPr>
            </w:pPr>
            <w:r>
              <w:rPr>
                <w:rFonts w:ascii="Times New Roman" w:hAnsi="Times New Roman"/>
                <w:color w:val="auto"/>
                <w:kern w:val="2"/>
                <w:szCs w:val="24"/>
              </w:rPr>
              <w:t>施工期环境</w:t>
            </w:r>
            <w:r>
              <w:rPr>
                <w:rFonts w:hint="eastAsia" w:ascii="Times New Roman" w:hAnsi="Times New Roman"/>
                <w:color w:val="auto"/>
                <w:kern w:val="2"/>
                <w:szCs w:val="24"/>
                <w:lang w:eastAsia="zh-CN"/>
              </w:rPr>
              <w:t>影响和</w:t>
            </w:r>
            <w:r>
              <w:rPr>
                <w:rFonts w:ascii="Times New Roman" w:hAnsi="Times New Roman"/>
                <w:color w:val="auto"/>
                <w:kern w:val="2"/>
                <w:szCs w:val="24"/>
              </w:rPr>
              <w:t>保护措施</w:t>
            </w:r>
          </w:p>
        </w:tc>
        <w:tc>
          <w:tcPr>
            <w:tcW w:w="8565" w:type="dxa"/>
            <w:tcBorders>
              <w:tl2br w:val="nil"/>
              <w:tr2bl w:val="nil"/>
            </w:tcBorders>
            <w:noWrap w:val="0"/>
            <w:vAlign w:val="center"/>
          </w:tcPr>
          <w:p w14:paraId="283C560C">
            <w:pPr>
              <w:widowControl/>
              <w:spacing w:line="360" w:lineRule="auto"/>
              <w:ind w:left="0" w:leftChars="0" w:firstLine="0" w:firstLineChars="0"/>
              <w:jc w:val="left"/>
              <w:rPr>
                <w:rFonts w:hint="eastAsia"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1.</w:t>
            </w:r>
            <w:r>
              <w:rPr>
                <w:rFonts w:hint="eastAsia" w:ascii="Times New Roman" w:hAnsi="Times New Roman" w:cs="Times New Roman"/>
                <w:b/>
                <w:bCs/>
                <w:color w:val="auto"/>
                <w:sz w:val="24"/>
                <w:lang w:val="en-US" w:eastAsia="zh-CN"/>
              </w:rPr>
              <w:t xml:space="preserve">大气污染防治措施 </w:t>
            </w:r>
          </w:p>
          <w:p w14:paraId="7BF0ED3D">
            <w:pPr>
              <w:widowControl/>
              <w:spacing w:line="360" w:lineRule="auto"/>
              <w:ind w:left="0" w:leftChars="0"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本环评要求施工时应遵照建设部的有关施工规范，按照阜康市关于建筑施工场地控制扬尘污染的要求等明确规定严格控制建筑施工场地的扬尘污染，并应采取相应措施，措施内容具体如下： </w:t>
            </w:r>
          </w:p>
          <w:p w14:paraId="14A587FB">
            <w:pPr>
              <w:widowControl/>
              <w:spacing w:line="360" w:lineRule="auto"/>
              <w:ind w:left="0" w:leftChars="0"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①实行封闭施工。建筑工地必须实行围挡封闭施工，围挡高度不低于</w:t>
            </w:r>
            <w:r>
              <w:rPr>
                <w:rFonts w:hint="default" w:ascii="Times New Roman" w:hAnsi="Times New Roman" w:eastAsia="宋体" w:cs="Times New Roman"/>
                <w:color w:val="000000"/>
                <w:kern w:val="0"/>
                <w:sz w:val="24"/>
                <w:szCs w:val="24"/>
                <w:lang w:val="en-US" w:eastAsia="zh-CN" w:bidi="ar"/>
              </w:rPr>
              <w:t>1.8m</w:t>
            </w:r>
            <w:r>
              <w:rPr>
                <w:rFonts w:hint="eastAsia" w:ascii="宋体" w:hAnsi="宋体" w:eastAsia="宋体" w:cs="宋体"/>
                <w:color w:val="000000"/>
                <w:kern w:val="0"/>
                <w:sz w:val="24"/>
                <w:szCs w:val="24"/>
                <w:lang w:val="en-US" w:eastAsia="zh-CN" w:bidi="ar"/>
              </w:rPr>
              <w:t>。建筑工地脚手架外侧必须用密目式安全网全封闭，封闭高度要高出作业面</w:t>
            </w:r>
            <w:r>
              <w:rPr>
                <w:rFonts w:hint="default" w:ascii="Times New Roman" w:hAnsi="Times New Roman" w:eastAsia="宋体" w:cs="Times New Roman"/>
                <w:color w:val="000000"/>
                <w:kern w:val="0"/>
                <w:sz w:val="24"/>
                <w:szCs w:val="24"/>
                <w:lang w:val="en-US" w:eastAsia="zh-CN" w:bidi="ar"/>
              </w:rPr>
              <w:t xml:space="preserve">1.5m </w:t>
            </w:r>
            <w:r>
              <w:rPr>
                <w:rFonts w:hint="eastAsia" w:ascii="宋体" w:hAnsi="宋体" w:eastAsia="宋体" w:cs="宋体"/>
                <w:color w:val="000000"/>
                <w:kern w:val="0"/>
                <w:sz w:val="24"/>
                <w:szCs w:val="24"/>
                <w:lang w:val="en-US" w:eastAsia="zh-CN" w:bidi="ar"/>
              </w:rPr>
              <w:t xml:space="preserve">以上并定期清洗保洁。 </w:t>
            </w:r>
          </w:p>
          <w:p w14:paraId="774EEC27">
            <w:pPr>
              <w:widowControl/>
              <w:spacing w:line="360" w:lineRule="auto"/>
              <w:ind w:left="0" w:leftChars="0"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②实行硬地坪施工。所有建筑工地的场内道路和建筑材料堆放地必须硬化，并加强场地地面、施工道路的保湿、保洁工作，减轻二次扬尘污染。 </w:t>
            </w:r>
          </w:p>
          <w:p w14:paraId="1C5195D1">
            <w:pPr>
              <w:widowControl/>
              <w:spacing w:line="360" w:lineRule="auto"/>
              <w:ind w:left="0" w:leftChars="0"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③露天堆放水泥、灰浆、灰膏等易扬撒的物料或</w:t>
            </w:r>
            <w:r>
              <w:rPr>
                <w:rFonts w:hint="default" w:ascii="Times New Roman" w:hAnsi="Times New Roman" w:eastAsia="宋体" w:cs="Times New Roman"/>
                <w:color w:val="000000"/>
                <w:kern w:val="0"/>
                <w:sz w:val="24"/>
                <w:szCs w:val="24"/>
                <w:lang w:val="en-US" w:eastAsia="zh-CN" w:bidi="ar"/>
              </w:rPr>
              <w:t>48</w:t>
            </w:r>
            <w:r>
              <w:rPr>
                <w:rFonts w:hint="eastAsia" w:ascii="宋体" w:hAnsi="宋体" w:eastAsia="宋体" w:cs="宋体"/>
                <w:color w:val="000000"/>
                <w:kern w:val="0"/>
                <w:sz w:val="24"/>
                <w:szCs w:val="24"/>
                <w:lang w:val="en-US" w:eastAsia="zh-CN" w:bidi="ar"/>
              </w:rPr>
              <w:t xml:space="preserve">小时内不能清运的建筑垃圾，应当设置不低于堆放物高度的密闭围栏并予以覆盖。 </w:t>
            </w:r>
          </w:p>
          <w:p w14:paraId="68DABCB4">
            <w:pPr>
              <w:widowControl/>
              <w:spacing w:line="360" w:lineRule="auto"/>
              <w:ind w:left="0" w:leftChars="0"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④产生泥浆的施工，应当配备相应的泥浆池、泥浆沟，做到泥浆不外流，废浆应用密闭罐车外运。 </w:t>
            </w:r>
          </w:p>
          <w:p w14:paraId="7C4EC8C2">
            <w:pPr>
              <w:widowControl/>
              <w:spacing w:line="360" w:lineRule="auto"/>
              <w:ind w:left="0" w:leftChars="0"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⑤采用商品混凝土，现场不设混凝土搅拌站，可减轻粉尘、噪声污染。 </w:t>
            </w:r>
          </w:p>
          <w:p w14:paraId="7BD76AF7">
            <w:pPr>
              <w:widowControl/>
              <w:spacing w:line="360" w:lineRule="auto"/>
              <w:ind w:left="0" w:leftChars="0"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⑥加强施工现场烟尘控制，严禁在施工现场排放有毒烟尘和气体，不得在施工现场洗石灰，采用清洁能源，可有效控制大气污染，禁止从</w:t>
            </w:r>
            <w:r>
              <w:rPr>
                <w:rFonts w:hint="default" w:ascii="Times New Roman" w:hAnsi="Times New Roman" w:eastAsia="宋体" w:cs="Times New Roman"/>
                <w:color w:val="000000"/>
                <w:kern w:val="0"/>
                <w:sz w:val="24"/>
                <w:szCs w:val="24"/>
                <w:lang w:val="en-US" w:eastAsia="zh-CN" w:bidi="ar"/>
              </w:rPr>
              <w:t>3m</w:t>
            </w:r>
            <w:r>
              <w:rPr>
                <w:rFonts w:hint="eastAsia" w:ascii="宋体" w:hAnsi="宋体" w:eastAsia="宋体" w:cs="宋体"/>
                <w:color w:val="000000"/>
                <w:kern w:val="0"/>
                <w:sz w:val="24"/>
                <w:szCs w:val="24"/>
                <w:lang w:val="en-US" w:eastAsia="zh-CN" w:bidi="ar"/>
              </w:rPr>
              <w:t xml:space="preserve">以上高处抛撒建筑垃圾或易扬撒的物料。 </w:t>
            </w:r>
          </w:p>
          <w:p w14:paraId="62AB04D9">
            <w:pPr>
              <w:widowControl/>
              <w:spacing w:line="360" w:lineRule="auto"/>
              <w:ind w:left="0" w:leftChars="0"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⑦加强施工现场运输车辆管理。驶入建筑工地的运输车辆必须车身整洁，装载车厢完好，装载货物堆码整齐，不得污染道路；驶出建筑工地的运输车辆必须冲洗干净，严禁带泥上路，严禁超载，渣土及易抛撒材料实行封闭车辆运输，并应持证。防止建筑材料、垃圾和尘土飞扬、洒落和流溢。另外，汽车尾气可以通过减少怠速时间、合理的交通控制和良好的车况来减少汽车尾气的排放，与主干道的车辆相比，运输机械产生的尾气影响很小。</w:t>
            </w:r>
          </w:p>
          <w:p w14:paraId="5ED0F16E">
            <w:pPr>
              <w:widowControl/>
              <w:spacing w:line="360" w:lineRule="auto"/>
              <w:ind w:left="0" w:leftChars="0" w:firstLine="480" w:firstLineChars="200"/>
              <w:jc w:val="left"/>
            </w:pPr>
            <w:r>
              <w:rPr>
                <w:rFonts w:hint="eastAsia" w:ascii="宋体" w:hAnsi="宋体" w:eastAsia="宋体" w:cs="宋体"/>
                <w:color w:val="000000"/>
                <w:kern w:val="0"/>
                <w:sz w:val="24"/>
                <w:szCs w:val="24"/>
                <w:lang w:val="en-US" w:eastAsia="zh-CN" w:bidi="ar"/>
              </w:rPr>
              <w:t>只要合理规划、科学管理，施工活动不会明显影响场地周围的环境空气质量，而且随着施工活动的结束，这些污染也将消失。</w:t>
            </w:r>
          </w:p>
          <w:p w14:paraId="60B8C19D">
            <w:pPr>
              <w:keepNext w:val="0"/>
              <w:keepLines w:val="0"/>
              <w:widowControl/>
              <w:suppressLineNumbers w:val="0"/>
              <w:ind w:left="0" w:leftChars="0" w:firstLine="0" w:firstLineChars="0"/>
              <w:jc w:val="left"/>
              <w:rPr>
                <w:rFonts w:hint="eastAsia" w:ascii="宋体" w:hAnsi="宋体" w:eastAsia="宋体" w:cs="宋体"/>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eastAsia="宋体" w:cs="Times New Roman"/>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 xml:space="preserve">水污染防治措施 </w:t>
            </w:r>
          </w:p>
          <w:p w14:paraId="2A46061F">
            <w:pPr>
              <w:keepNext w:val="0"/>
              <w:keepLines w:val="0"/>
              <w:widowControl/>
              <w:suppressLineNumbers w:val="0"/>
              <w:ind w:left="0" w:leftChars="0"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施工期废水主要有施工工人产生的生活</w:t>
            </w:r>
            <w:r>
              <w:rPr>
                <w:rFonts w:hint="eastAsia" w:ascii="宋体" w:hAnsi="宋体" w:cs="宋体"/>
                <w:color w:val="000000"/>
                <w:kern w:val="0"/>
                <w:sz w:val="24"/>
                <w:szCs w:val="24"/>
                <w:lang w:val="en-US" w:eastAsia="zh-CN" w:bidi="ar"/>
              </w:rPr>
              <w:t>污水</w:t>
            </w:r>
            <w:r>
              <w:rPr>
                <w:rFonts w:hint="eastAsia" w:ascii="宋体" w:hAnsi="宋体" w:eastAsia="宋体" w:cs="宋体"/>
                <w:color w:val="000000"/>
                <w:kern w:val="0"/>
                <w:sz w:val="24"/>
                <w:szCs w:val="24"/>
                <w:lang w:val="en-US" w:eastAsia="zh-CN" w:bidi="ar"/>
              </w:rPr>
              <w:t>和工程施工产生的建筑废水。针对这两种废水采取相应的环保处理措施后，生活</w:t>
            </w:r>
            <w:r>
              <w:rPr>
                <w:rFonts w:hint="eastAsia" w:ascii="宋体" w:hAnsi="宋体" w:cs="宋体"/>
                <w:color w:val="000000"/>
                <w:kern w:val="0"/>
                <w:sz w:val="24"/>
                <w:szCs w:val="24"/>
                <w:lang w:val="en-US" w:eastAsia="zh-CN" w:bidi="ar"/>
              </w:rPr>
              <w:t>污水</w:t>
            </w:r>
            <w:r>
              <w:rPr>
                <w:rFonts w:hint="eastAsia" w:ascii="宋体" w:hAnsi="宋体" w:eastAsia="宋体" w:cs="宋体"/>
                <w:color w:val="000000"/>
                <w:kern w:val="0"/>
                <w:sz w:val="24"/>
                <w:szCs w:val="24"/>
                <w:lang w:val="en-US" w:eastAsia="zh-CN" w:bidi="ar"/>
              </w:rPr>
              <w:t xml:space="preserve">依托项目区内公共卫生间解决。建筑废水在临时沉淀池进行沉淀处理后可以对其循环利用，不外排。因此施工期产生的废水对周围环境的负面影响较小。 </w:t>
            </w:r>
          </w:p>
          <w:p w14:paraId="0BF9CC91">
            <w:pPr>
              <w:keepNext w:val="0"/>
              <w:keepLines w:val="0"/>
              <w:widowControl/>
              <w:suppressLineNumbers w:val="0"/>
              <w:ind w:left="0" w:leftChars="0" w:firstLine="480" w:firstLineChars="200"/>
              <w:jc w:val="left"/>
            </w:pPr>
            <w:r>
              <w:rPr>
                <w:rFonts w:hint="eastAsia" w:ascii="宋体" w:hAnsi="宋体" w:eastAsia="宋体" w:cs="宋体"/>
                <w:color w:val="000000"/>
                <w:kern w:val="0"/>
                <w:sz w:val="24"/>
                <w:szCs w:val="24"/>
                <w:lang w:val="en-US" w:eastAsia="zh-CN" w:bidi="ar"/>
              </w:rPr>
              <w:t>本环评认为，对施工废水的治理措施切实可行，对项目所在地水环境影响较小。</w:t>
            </w:r>
          </w:p>
          <w:p w14:paraId="6D9A0F9E">
            <w:pPr>
              <w:widowControl/>
              <w:spacing w:line="360" w:lineRule="auto"/>
              <w:ind w:left="0" w:leftChars="0" w:firstLine="0" w:firstLineChars="0"/>
              <w:jc w:val="left"/>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3.噪声防治措施</w:t>
            </w:r>
          </w:p>
          <w:p w14:paraId="06A9B423">
            <w:pPr>
              <w:widowControl/>
              <w:spacing w:line="360" w:lineRule="auto"/>
              <w:ind w:left="0" w:leftChars="0" w:firstLine="480" w:firstLineChars="200"/>
              <w:jc w:val="left"/>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①合理安排工期。严格做到白天施工，噪声主要在昼间 8:00～12:00 和15:00～18:00 时；对噪声源强较大的设备，应严格限制施工时间，在12:00~14:00、22:00~06：00 不得施工；</w:t>
            </w:r>
          </w:p>
          <w:p w14:paraId="210C89B3">
            <w:pPr>
              <w:widowControl/>
              <w:spacing w:line="360" w:lineRule="auto"/>
              <w:ind w:left="0" w:leftChars="0" w:firstLine="480" w:firstLineChars="200"/>
              <w:jc w:val="left"/>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②进、离场运输车辆限速，禁止鸣笛；</w:t>
            </w:r>
          </w:p>
          <w:p w14:paraId="7CDFF1B5">
            <w:pPr>
              <w:widowControl/>
              <w:spacing w:line="360" w:lineRule="auto"/>
              <w:ind w:left="0" w:leftChars="0" w:firstLine="480" w:firstLineChars="200"/>
              <w:jc w:val="left"/>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③合理安排各类机械设备的使用时间，尽量不要同时操作，避免噪声叠加；对噪声较大的机械进行隔声及减振处理，对较小的产噪设备使用移动式隔声屏等措施；</w:t>
            </w:r>
          </w:p>
          <w:p w14:paraId="74969E24">
            <w:pPr>
              <w:widowControl/>
              <w:spacing w:line="360" w:lineRule="auto"/>
              <w:ind w:left="0" w:leftChars="0" w:firstLine="480" w:firstLineChars="200"/>
              <w:jc w:val="left"/>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④施工过程中装修器械、材料等的使用做到轻拿轻放，减少因强烈碰撞产生的噪声；</w:t>
            </w:r>
          </w:p>
          <w:p w14:paraId="54141DD5">
            <w:pPr>
              <w:widowControl/>
              <w:spacing w:line="360" w:lineRule="auto"/>
              <w:ind w:left="0" w:leftChars="0" w:firstLine="480" w:firstLineChars="200"/>
              <w:jc w:val="left"/>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⑤严格执行《建筑工程施工现场管理规定》，文明施工，建立健全现场噪声管理责任制，加强对施工人员的素质培养，禁止大声喧哗；使用低噪声施工机械和其它辅助施工设备，采用</w:t>
            </w:r>
            <w:r>
              <w:rPr>
                <w:rFonts w:hint="eastAsia" w:cs="Times New Roman"/>
                <w:b w:val="0"/>
                <w:bCs w:val="0"/>
                <w:color w:val="auto"/>
                <w:sz w:val="24"/>
                <w:lang w:val="en-US" w:eastAsia="zh-CN"/>
              </w:rPr>
              <w:t>先进</w:t>
            </w:r>
            <w:r>
              <w:rPr>
                <w:rFonts w:hint="eastAsia" w:ascii="Times New Roman" w:hAnsi="Times New Roman" w:cs="Times New Roman"/>
                <w:b w:val="0"/>
                <w:bCs w:val="0"/>
                <w:color w:val="auto"/>
                <w:sz w:val="24"/>
                <w:lang w:val="en-US" w:eastAsia="zh-CN"/>
              </w:rPr>
              <w:t>的施工工艺和先进施工设备，禁止使用国家明令淘汰的产生噪声污染的落后施工工艺和施工机械；</w:t>
            </w:r>
          </w:p>
          <w:p w14:paraId="5714DEA0">
            <w:pPr>
              <w:widowControl/>
              <w:spacing w:line="360" w:lineRule="auto"/>
              <w:ind w:left="0" w:leftChars="0" w:firstLine="480" w:firstLineChars="200"/>
              <w:jc w:val="left"/>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综上，采用以上措施后，可有效减少噪声对环境的影响，但噪声不可消除，一定要做好管理和沟通，严格控制施工时间。噪声影响会随着施工期的结束而结束，对环境的影响是短暂的。</w:t>
            </w:r>
          </w:p>
          <w:p w14:paraId="4973061D">
            <w:pPr>
              <w:widowControl/>
              <w:spacing w:line="360" w:lineRule="auto"/>
              <w:ind w:left="0" w:leftChars="0" w:firstLine="0" w:firstLineChars="0"/>
              <w:jc w:val="left"/>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4.固体废物防治措施</w:t>
            </w:r>
          </w:p>
          <w:p w14:paraId="3A510311">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施工期产生的固体废弃物主要是土石方工程及混凝土浇筑，基础、墙体的砌筑废料和弃土等。松散的弃土在降水或地表径流的冲刷下，易产生水土流失、堵塞排水系统。建筑垃圾运至建筑垃圾填埋场处置；建设单位应严格要求施工单位按规范运输，防止随地散落、随意倾倒建筑垃圾的现象发生。</w:t>
            </w:r>
          </w:p>
          <w:p w14:paraId="4BCAD026">
            <w:pPr>
              <w:keepNext w:val="0"/>
              <w:keepLines w:val="0"/>
              <w:widowControl/>
              <w:suppressLineNumbers w:val="0"/>
              <w:jc w:val="left"/>
              <w:rPr>
                <w:rFonts w:hint="default" w:ascii="Times New Roman" w:hAnsi="Times New Roman" w:cs="Times New Roman"/>
                <w:color w:val="auto"/>
                <w:highlight w:val="none"/>
                <w:lang w:val="en-US" w:eastAsia="zh-CN"/>
              </w:rPr>
            </w:pPr>
            <w:r>
              <w:rPr>
                <w:rFonts w:hint="eastAsia" w:ascii="宋体" w:hAnsi="宋体" w:eastAsia="宋体" w:cs="宋体"/>
                <w:color w:val="000000"/>
                <w:kern w:val="0"/>
                <w:sz w:val="24"/>
                <w:szCs w:val="24"/>
                <w:lang w:val="en-US" w:eastAsia="zh-CN" w:bidi="ar"/>
              </w:rPr>
              <w:t>此外，还有施工人员产生的生活垃圾。生活垃圾若随意堆置，将对施工人员的生活、工作环境产生不利影响，在一定条件下还可诱发各种疾病，造成施工人员的健康水平下降，工作效率降低。施工人员生活垃圾必须经统一收集后，依托公司现有生活垃圾处理资质的单位一并处理</w:t>
            </w:r>
            <w:r>
              <w:rPr>
                <w:rFonts w:hint="eastAsia" w:ascii="宋体" w:hAnsi="宋体" w:cs="宋体"/>
                <w:color w:val="000000"/>
                <w:kern w:val="0"/>
                <w:sz w:val="24"/>
                <w:szCs w:val="24"/>
                <w:lang w:val="en-US" w:eastAsia="zh-CN" w:bidi="ar"/>
              </w:rPr>
              <w:t>。</w:t>
            </w:r>
          </w:p>
        </w:tc>
      </w:tr>
      <w:tr w14:paraId="7D5F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9" w:type="dxa"/>
            <w:tcBorders>
              <w:tl2br w:val="nil"/>
              <w:tr2bl w:val="nil"/>
            </w:tcBorders>
            <w:noWrap w:val="0"/>
            <w:tcMar>
              <w:left w:w="28" w:type="dxa"/>
              <w:right w:w="28" w:type="dxa"/>
            </w:tcMar>
            <w:vAlign w:val="center"/>
          </w:tcPr>
          <w:p w14:paraId="28C3E9C3">
            <w:pPr>
              <w:pStyle w:val="33"/>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运营</w:t>
            </w:r>
          </w:p>
          <w:p w14:paraId="57589E58">
            <w:pPr>
              <w:pStyle w:val="33"/>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期环</w:t>
            </w:r>
          </w:p>
          <w:p w14:paraId="170BF0F7">
            <w:pPr>
              <w:pStyle w:val="33"/>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境影</w:t>
            </w:r>
          </w:p>
          <w:p w14:paraId="13EF0245">
            <w:pPr>
              <w:pStyle w:val="33"/>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响和</w:t>
            </w:r>
          </w:p>
          <w:p w14:paraId="46C06E4C">
            <w:pPr>
              <w:pStyle w:val="33"/>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保护</w:t>
            </w:r>
          </w:p>
          <w:p w14:paraId="6BEF947F">
            <w:pPr>
              <w:pStyle w:val="33"/>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措施</w:t>
            </w:r>
          </w:p>
        </w:tc>
        <w:tc>
          <w:tcPr>
            <w:tcW w:w="8565" w:type="dxa"/>
            <w:tcBorders>
              <w:tl2br w:val="nil"/>
              <w:tr2bl w:val="nil"/>
            </w:tcBorders>
            <w:noWrap w:val="0"/>
            <w:vAlign w:val="top"/>
          </w:tcPr>
          <w:p w14:paraId="7E7C67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0" w:firstLineChars="0"/>
              <w:jc w:val="both"/>
              <w:textAlignment w:val="auto"/>
              <w:outlineLvl w:val="9"/>
              <w:rPr>
                <w:rFonts w:hint="eastAsia" w:cs="Times New Roman"/>
                <w:b/>
                <w:color w:val="auto"/>
                <w:kern w:val="2"/>
                <w:sz w:val="24"/>
                <w:szCs w:val="24"/>
                <w:highlight w:val="none"/>
                <w:lang w:val="en-US" w:eastAsia="zh-CN" w:bidi="ar-SA"/>
              </w:rPr>
            </w:pPr>
            <w:r>
              <w:rPr>
                <w:rFonts w:hint="eastAsia" w:cs="Times New Roman"/>
                <w:b/>
                <w:color w:val="auto"/>
                <w:kern w:val="2"/>
                <w:sz w:val="24"/>
                <w:szCs w:val="24"/>
                <w:highlight w:val="none"/>
                <w:lang w:val="en-US" w:eastAsia="zh-CN" w:bidi="ar-SA"/>
              </w:rPr>
              <w:t>1.废气环境影响和保护措施</w:t>
            </w:r>
          </w:p>
          <w:p w14:paraId="51618F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2" w:firstLineChars="200"/>
              <w:jc w:val="both"/>
              <w:textAlignment w:val="auto"/>
              <w:outlineLvl w:val="9"/>
              <w:rPr>
                <w:rFonts w:hint="eastAsia" w:cs="Times New Roman"/>
                <w:b/>
                <w:color w:val="0000FF"/>
                <w:kern w:val="2"/>
                <w:sz w:val="24"/>
                <w:szCs w:val="24"/>
                <w:highlight w:val="none"/>
                <w:lang w:val="en-US" w:eastAsia="zh-CN" w:bidi="ar-SA"/>
              </w:rPr>
            </w:pPr>
            <w:r>
              <w:rPr>
                <w:rFonts w:hint="eastAsia" w:cs="Times New Roman"/>
                <w:b/>
                <w:color w:val="0000FF"/>
                <w:kern w:val="2"/>
                <w:sz w:val="24"/>
                <w:szCs w:val="24"/>
                <w:highlight w:val="none"/>
                <w:lang w:val="en-US" w:eastAsia="zh-CN" w:bidi="ar-SA"/>
              </w:rPr>
              <w:t>1</w:t>
            </w:r>
            <w:r>
              <w:rPr>
                <w:rFonts w:hint="eastAsia" w:ascii="Times New Roman" w:hAnsi="Times New Roman" w:eastAsia="宋体" w:cs="Times New Roman"/>
                <w:b/>
                <w:color w:val="0000FF"/>
                <w:kern w:val="2"/>
                <w:sz w:val="24"/>
                <w:szCs w:val="24"/>
                <w:highlight w:val="none"/>
                <w:lang w:val="en-US" w:eastAsia="zh-CN" w:bidi="ar-SA"/>
              </w:rPr>
              <w:t>.1</w:t>
            </w:r>
            <w:r>
              <w:rPr>
                <w:rFonts w:hint="eastAsia" w:cs="Times New Roman"/>
                <w:b/>
                <w:color w:val="0000FF"/>
                <w:kern w:val="2"/>
                <w:sz w:val="24"/>
                <w:szCs w:val="24"/>
                <w:highlight w:val="none"/>
                <w:lang w:val="en-US" w:eastAsia="zh-CN" w:bidi="ar-SA"/>
              </w:rPr>
              <w:t>废气产排情况</w:t>
            </w:r>
          </w:p>
          <w:p w14:paraId="01C3B0E3">
            <w:pPr>
              <w:pStyle w:val="53"/>
              <w:spacing w:line="480" w:lineRule="exact"/>
              <w:ind w:firstLine="480"/>
              <w:rPr>
                <w:rFonts w:hint="eastAsia" w:ascii="Times New Roman" w:hAnsi="Times New Roman" w:eastAsia="宋体" w:cs="Times New Roman"/>
                <w:color w:val="0000FF"/>
                <w:highlight w:val="none"/>
                <w:lang w:val="en-US" w:eastAsia="zh-CN"/>
              </w:rPr>
            </w:pPr>
            <w:r>
              <w:rPr>
                <w:rFonts w:hint="eastAsia" w:ascii="Times New Roman" w:hAnsi="Times New Roman" w:eastAsia="宋体" w:cs="Times New Roman"/>
                <w:color w:val="0000FF"/>
                <w:highlight w:val="none"/>
                <w:lang w:val="en-US" w:eastAsia="zh-CN"/>
              </w:rPr>
              <w:t>本项目产生的废气主要为硝酸储罐小呼吸产生的无组织废气及硝酸装卸过程大呼吸产生的无组织废气。</w:t>
            </w:r>
          </w:p>
          <w:p w14:paraId="314E9923">
            <w:pPr>
              <w:pStyle w:val="53"/>
              <w:spacing w:line="480" w:lineRule="exact"/>
              <w:ind w:firstLine="480"/>
              <w:rPr>
                <w:rFonts w:ascii="Times New Roman" w:hAnsi="Times New Roman" w:eastAsia="宋体" w:cs="Times New Roman"/>
                <w:color w:val="0000FF"/>
                <w:highlight w:val="none"/>
                <w:lang w:val="en-US" w:eastAsia="zh-CN"/>
              </w:rPr>
            </w:pPr>
            <w:r>
              <w:rPr>
                <w:rFonts w:hint="eastAsia" w:ascii="Times New Roman" w:hAnsi="Times New Roman" w:eastAsia="宋体" w:cs="Times New Roman"/>
                <w:color w:val="0000FF"/>
                <w:highlight w:val="none"/>
                <w:lang w:val="en-US" w:eastAsia="zh-CN"/>
              </w:rPr>
              <w:t>储罐的工作损失（大呼吸）和呼吸废气（小呼吸）会造成废气的无组织排放。</w:t>
            </w:r>
            <w:r>
              <w:rPr>
                <w:rFonts w:ascii="Times New Roman" w:hAnsi="Times New Roman" w:eastAsia="宋体" w:cs="Times New Roman"/>
                <w:color w:val="0000FF"/>
                <w:highlight w:val="none"/>
                <w:lang w:val="en-US" w:eastAsia="zh-CN"/>
              </w:rPr>
              <w:t>大呼吸的原理在于</w:t>
            </w:r>
            <w:r>
              <w:rPr>
                <w:rFonts w:hint="eastAsia" w:ascii="Times New Roman" w:hAnsi="Times New Roman" w:eastAsia="宋体" w:cs="Times New Roman"/>
                <w:color w:val="0000FF"/>
                <w:highlight w:val="none"/>
                <w:lang w:val="en-US" w:eastAsia="zh-CN"/>
              </w:rPr>
              <w:t>装卸过程中，</w:t>
            </w:r>
            <w:r>
              <w:rPr>
                <w:rFonts w:ascii="Times New Roman" w:hAnsi="Times New Roman" w:eastAsia="宋体" w:cs="Times New Roman"/>
                <w:color w:val="0000FF"/>
                <w:highlight w:val="none"/>
                <w:lang w:val="en-US" w:eastAsia="zh-CN"/>
              </w:rPr>
              <w:t>槽车向储罐输入</w:t>
            </w:r>
            <w:r>
              <w:rPr>
                <w:rFonts w:hint="eastAsia" w:ascii="Times New Roman" w:hAnsi="Times New Roman" w:eastAsia="宋体" w:cs="Times New Roman"/>
                <w:color w:val="0000FF"/>
                <w:highlight w:val="none"/>
                <w:lang w:val="en-US" w:eastAsia="zh-CN"/>
              </w:rPr>
              <w:t>硝酸</w:t>
            </w:r>
            <w:r>
              <w:rPr>
                <w:rFonts w:ascii="Times New Roman" w:hAnsi="Times New Roman" w:eastAsia="宋体" w:cs="Times New Roman"/>
                <w:color w:val="0000FF"/>
                <w:highlight w:val="none"/>
                <w:lang w:val="en-US" w:eastAsia="zh-CN"/>
              </w:rPr>
              <w:t>时，储罐内的</w:t>
            </w:r>
            <w:r>
              <w:rPr>
                <w:rFonts w:hint="eastAsia" w:ascii="Times New Roman" w:hAnsi="Times New Roman" w:eastAsia="宋体" w:cs="Times New Roman"/>
                <w:color w:val="0000FF"/>
                <w:highlight w:val="none"/>
                <w:lang w:val="en-US" w:eastAsia="zh-CN"/>
              </w:rPr>
              <w:t>硝酸</w:t>
            </w:r>
            <w:r>
              <w:rPr>
                <w:rFonts w:ascii="Times New Roman" w:hAnsi="Times New Roman" w:eastAsia="宋体" w:cs="Times New Roman"/>
                <w:color w:val="0000FF"/>
                <w:highlight w:val="none"/>
                <w:lang w:val="en-US" w:eastAsia="zh-CN"/>
              </w:rPr>
              <w:t>蒸汽因原料的输入而向储罐顶部压迫。一般储罐为了维持储罐内的气压平衡，在液态原料输入时，储罐顶部排气管会打开，储罐内的溶剂蒸汽就会排到大气中，此为大呼吸。小呼吸的原理在于环境温度的变化使得储罐内部液态原料向气态的转化，这部分原料蒸汽通过储罐顶部的排气管排入大气，此为小呼吸废气</w:t>
            </w:r>
            <w:r>
              <w:rPr>
                <w:rFonts w:hint="eastAsia" w:ascii="Times New Roman" w:hAnsi="Times New Roman" w:eastAsia="宋体" w:cs="Times New Roman"/>
                <w:color w:val="0000FF"/>
                <w:highlight w:val="none"/>
                <w:lang w:val="en-US" w:eastAsia="zh-CN"/>
              </w:rPr>
              <w:t>。</w:t>
            </w:r>
          </w:p>
          <w:p w14:paraId="7D67A0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en-US" w:eastAsia="zh-CN" w:bidi="ar-SA"/>
              </w:rPr>
              <w:t>（1）硝酸储罐小呼吸损失</w:t>
            </w:r>
          </w:p>
          <w:p w14:paraId="4D65A9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default"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en-US" w:eastAsia="zh-CN" w:bidi="ar-SA"/>
              </w:rPr>
              <w:t>硝酸储罐的“</w:t>
            </w:r>
            <w:r>
              <w:rPr>
                <w:rFonts w:hint="default" w:ascii="Times New Roman" w:hAnsi="Times New Roman" w:eastAsia="宋体" w:cs="Times New Roman"/>
                <w:color w:val="0000FF"/>
                <w:kern w:val="2"/>
                <w:sz w:val="24"/>
                <w:szCs w:val="24"/>
                <w:highlight w:val="none"/>
                <w:lang w:val="en-US" w:eastAsia="zh-CN" w:bidi="ar-SA"/>
              </w:rPr>
              <w:t>小呼吸</w:t>
            </w:r>
            <w:r>
              <w:rPr>
                <w:rFonts w:hint="eastAsia" w:ascii="Times New Roman" w:hAnsi="Times New Roman" w:eastAsia="宋体" w:cs="Times New Roman"/>
                <w:color w:val="0000FF"/>
                <w:kern w:val="2"/>
                <w:sz w:val="24"/>
                <w:szCs w:val="24"/>
                <w:highlight w:val="none"/>
                <w:lang w:val="en-US" w:eastAsia="zh-CN" w:bidi="ar-SA"/>
              </w:rPr>
              <w:t>”</w:t>
            </w:r>
            <w:r>
              <w:rPr>
                <w:rFonts w:hint="default" w:ascii="Times New Roman" w:hAnsi="Times New Roman" w:eastAsia="宋体" w:cs="Times New Roman"/>
                <w:color w:val="0000FF"/>
                <w:kern w:val="2"/>
                <w:sz w:val="24"/>
                <w:szCs w:val="24"/>
                <w:highlight w:val="none"/>
                <w:lang w:val="en-US" w:eastAsia="zh-CN" w:bidi="ar-SA"/>
              </w:rPr>
              <w:t>过程由于温度和大气压力的变化引起蒸气的膨胀和收缩而产生的蒸气排出，它出现在罐内液面无任何变化的情况，是非人为干扰的自然排放方式。</w:t>
            </w:r>
          </w:p>
          <w:p w14:paraId="23030D68">
            <w:pPr>
              <w:pStyle w:val="53"/>
              <w:spacing w:line="480" w:lineRule="exact"/>
              <w:ind w:firstLine="0" w:firstLineChars="0"/>
              <w:jc w:val="center"/>
              <w:rPr>
                <w:rFonts w:ascii="Times New Roman" w:hAnsi="Times New Roman" w:eastAsia="宋体" w:cs="Times New Roman"/>
                <w:color w:val="0000FF"/>
                <w:highlight w:val="none"/>
                <w:lang w:val="en-US" w:eastAsia="zh-CN"/>
              </w:rPr>
            </w:pPr>
            <w:r>
              <w:rPr>
                <w:rFonts w:hint="eastAsia" w:ascii="Times New Roman" w:hAnsi="Times New Roman" w:eastAsia="宋体" w:cs="Times New Roman"/>
                <w:color w:val="0000FF"/>
                <w:highlight w:val="none"/>
                <w:lang w:val="en-US" w:eastAsia="zh-CN"/>
              </w:rPr>
              <w:t>L</w:t>
            </w:r>
            <w:r>
              <w:rPr>
                <w:rFonts w:hint="eastAsia" w:ascii="Times New Roman" w:hAnsi="Times New Roman" w:eastAsia="宋体" w:cs="Times New Roman"/>
                <w:color w:val="0000FF"/>
                <w:highlight w:val="none"/>
                <w:vertAlign w:val="subscript"/>
                <w:lang w:val="en-US" w:eastAsia="zh-CN"/>
              </w:rPr>
              <w:t>B</w:t>
            </w:r>
            <w:r>
              <w:rPr>
                <w:rFonts w:hint="eastAsia" w:ascii="Times New Roman" w:hAnsi="Times New Roman" w:eastAsia="宋体" w:cs="Times New Roman"/>
                <w:color w:val="0000FF"/>
                <w:highlight w:val="none"/>
                <w:lang w:val="en-US" w:eastAsia="zh-CN"/>
              </w:rPr>
              <w:t>=0.191</w:t>
            </w:r>
            <w:r>
              <w:rPr>
                <w:rFonts w:ascii="Arial" w:hAnsi="Arial" w:eastAsia="宋体" w:cs="Arial"/>
                <w:color w:val="0000FF"/>
                <w:highlight w:val="none"/>
                <w:lang w:val="en-US" w:eastAsia="zh-CN"/>
              </w:rPr>
              <w:t>×</w:t>
            </w:r>
            <w:r>
              <w:rPr>
                <w:rFonts w:hint="eastAsia" w:ascii="Times New Roman" w:hAnsi="Times New Roman" w:eastAsia="宋体" w:cs="Times New Roman"/>
                <w:color w:val="0000FF"/>
                <w:highlight w:val="none"/>
                <w:lang w:val="en-US" w:eastAsia="zh-CN"/>
              </w:rPr>
              <w:t>M(P/(100910-P))</w:t>
            </w:r>
            <w:r>
              <w:rPr>
                <w:rFonts w:hint="eastAsia" w:ascii="Times New Roman" w:hAnsi="Times New Roman" w:eastAsia="宋体" w:cs="Times New Roman"/>
                <w:color w:val="0000FF"/>
                <w:highlight w:val="none"/>
                <w:vertAlign w:val="superscript"/>
                <w:lang w:val="en-US" w:eastAsia="zh-CN"/>
              </w:rPr>
              <w:t>0.68</w:t>
            </w:r>
            <w:r>
              <w:rPr>
                <w:rFonts w:ascii="Arial" w:hAnsi="Arial" w:eastAsia="宋体" w:cs="Arial"/>
                <w:color w:val="0000FF"/>
                <w:highlight w:val="none"/>
                <w:lang w:val="en-US" w:eastAsia="zh-CN"/>
              </w:rPr>
              <w:t>×</w:t>
            </w:r>
            <w:r>
              <w:rPr>
                <w:rFonts w:hint="eastAsia" w:ascii="Times New Roman" w:hAnsi="Times New Roman" w:eastAsia="宋体" w:cs="Times New Roman"/>
                <w:color w:val="0000FF"/>
                <w:highlight w:val="none"/>
                <w:lang w:val="en-US" w:eastAsia="zh-CN"/>
              </w:rPr>
              <w:t>D</w:t>
            </w:r>
            <w:r>
              <w:rPr>
                <w:rFonts w:hint="eastAsia" w:ascii="Times New Roman" w:hAnsi="Times New Roman" w:eastAsia="宋体" w:cs="Times New Roman"/>
                <w:color w:val="0000FF"/>
                <w:highlight w:val="none"/>
                <w:vertAlign w:val="superscript"/>
                <w:lang w:val="en-US" w:eastAsia="zh-CN"/>
              </w:rPr>
              <w:t>1.73</w:t>
            </w:r>
            <w:r>
              <w:rPr>
                <w:rFonts w:ascii="Arial" w:hAnsi="Arial" w:eastAsia="宋体" w:cs="Arial"/>
                <w:color w:val="0000FF"/>
                <w:highlight w:val="none"/>
                <w:lang w:val="en-US" w:eastAsia="zh-CN"/>
              </w:rPr>
              <w:t>×</w:t>
            </w:r>
            <w:r>
              <w:rPr>
                <w:rFonts w:hint="eastAsia" w:ascii="Times New Roman" w:hAnsi="Times New Roman" w:eastAsia="宋体" w:cs="Times New Roman"/>
                <w:color w:val="0000FF"/>
                <w:highlight w:val="none"/>
                <w:lang w:val="en-US" w:eastAsia="zh-CN"/>
              </w:rPr>
              <w:t>H</w:t>
            </w:r>
            <w:r>
              <w:rPr>
                <w:rFonts w:hint="eastAsia" w:ascii="Times New Roman" w:hAnsi="Times New Roman" w:eastAsia="宋体" w:cs="Times New Roman"/>
                <w:color w:val="0000FF"/>
                <w:highlight w:val="none"/>
                <w:vertAlign w:val="superscript"/>
                <w:lang w:val="en-US" w:eastAsia="zh-CN"/>
              </w:rPr>
              <w:t>0.51</w:t>
            </w:r>
            <w:r>
              <w:rPr>
                <w:rFonts w:ascii="Arial" w:hAnsi="Arial" w:eastAsia="宋体" w:cs="Arial"/>
                <w:color w:val="0000FF"/>
                <w:highlight w:val="none"/>
                <w:lang w:val="en-US" w:eastAsia="zh-CN"/>
              </w:rPr>
              <w:t>×</w:t>
            </w:r>
            <w:r>
              <w:rPr>
                <w:rFonts w:hint="eastAsia" w:ascii="Arial" w:hAnsi="Arial" w:eastAsia="宋体" w:cs="Arial"/>
                <w:color w:val="0000FF"/>
                <w:highlight w:val="none"/>
                <w:lang w:val="en-US" w:eastAsia="zh-CN"/>
              </w:rPr>
              <w:t>△T</w:t>
            </w:r>
            <w:r>
              <w:rPr>
                <w:rFonts w:hint="eastAsia" w:ascii="Arial" w:hAnsi="Arial" w:eastAsia="宋体" w:cs="Arial"/>
                <w:color w:val="0000FF"/>
                <w:highlight w:val="none"/>
                <w:vertAlign w:val="superscript"/>
                <w:lang w:val="en-US" w:eastAsia="zh-CN"/>
              </w:rPr>
              <w:t>0.45</w:t>
            </w:r>
            <w:r>
              <w:rPr>
                <w:rFonts w:ascii="Arial" w:hAnsi="Arial" w:eastAsia="宋体" w:cs="Arial"/>
                <w:color w:val="0000FF"/>
                <w:highlight w:val="none"/>
                <w:lang w:val="en-US" w:eastAsia="zh-CN"/>
              </w:rPr>
              <w:t>×</w:t>
            </w:r>
            <w:r>
              <w:rPr>
                <w:rFonts w:hint="eastAsia" w:ascii="Arial" w:hAnsi="Arial" w:eastAsia="宋体" w:cs="Arial"/>
                <w:color w:val="0000FF"/>
                <w:highlight w:val="none"/>
                <w:lang w:val="en-US" w:eastAsia="zh-CN"/>
              </w:rPr>
              <w:t>F</w:t>
            </w:r>
            <w:r>
              <w:rPr>
                <w:rFonts w:hint="eastAsia" w:ascii="Arial" w:hAnsi="Arial" w:eastAsia="宋体" w:cs="Arial"/>
                <w:color w:val="0000FF"/>
                <w:highlight w:val="none"/>
                <w:vertAlign w:val="subscript"/>
                <w:lang w:val="en-US" w:eastAsia="zh-CN"/>
              </w:rPr>
              <w:t>P</w:t>
            </w:r>
            <w:r>
              <w:rPr>
                <w:rFonts w:ascii="Arial" w:hAnsi="Arial" w:eastAsia="宋体" w:cs="Arial"/>
                <w:color w:val="0000FF"/>
                <w:highlight w:val="none"/>
                <w:lang w:val="en-US" w:eastAsia="zh-CN"/>
              </w:rPr>
              <w:t>×</w:t>
            </w:r>
            <w:r>
              <w:rPr>
                <w:rFonts w:hint="eastAsia" w:ascii="Arial" w:hAnsi="Arial" w:eastAsia="宋体" w:cs="Arial"/>
                <w:color w:val="0000FF"/>
                <w:highlight w:val="none"/>
                <w:lang w:val="en-US" w:eastAsia="zh-CN"/>
              </w:rPr>
              <w:t>C</w:t>
            </w:r>
            <w:r>
              <w:rPr>
                <w:rFonts w:ascii="Arial" w:hAnsi="Arial" w:eastAsia="宋体" w:cs="Arial"/>
                <w:color w:val="0000FF"/>
                <w:highlight w:val="none"/>
                <w:lang w:val="en-US" w:eastAsia="zh-CN"/>
              </w:rPr>
              <w:t>×</w:t>
            </w:r>
            <w:r>
              <w:rPr>
                <w:rFonts w:hint="eastAsia" w:ascii="Arial" w:hAnsi="Arial" w:eastAsia="宋体" w:cs="Arial"/>
                <w:color w:val="0000FF"/>
                <w:highlight w:val="none"/>
                <w:lang w:val="en-US" w:eastAsia="zh-CN"/>
              </w:rPr>
              <w:t>K</w:t>
            </w:r>
            <w:r>
              <w:rPr>
                <w:rFonts w:hint="eastAsia" w:ascii="Arial" w:hAnsi="Arial" w:eastAsia="宋体" w:cs="Arial"/>
                <w:color w:val="0000FF"/>
                <w:highlight w:val="none"/>
                <w:vertAlign w:val="subscript"/>
                <w:lang w:val="en-US" w:eastAsia="zh-CN"/>
              </w:rPr>
              <w:t>C</w:t>
            </w:r>
          </w:p>
          <w:p w14:paraId="6ABE04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en-US" w:eastAsia="zh-CN" w:bidi="ar-SA"/>
              </w:rPr>
              <w:t>式中：L</w:t>
            </w:r>
            <w:r>
              <w:rPr>
                <w:rFonts w:hint="eastAsia" w:ascii="Times New Roman" w:hAnsi="Times New Roman" w:eastAsia="宋体" w:cs="Times New Roman"/>
                <w:color w:val="0000FF"/>
                <w:kern w:val="2"/>
                <w:sz w:val="24"/>
                <w:szCs w:val="24"/>
                <w:highlight w:val="none"/>
                <w:vertAlign w:val="subscript"/>
                <w:lang w:val="en-US" w:eastAsia="zh-CN" w:bidi="ar-SA"/>
              </w:rPr>
              <w:t>B</w:t>
            </w:r>
            <w:r>
              <w:rPr>
                <w:rFonts w:hint="eastAsia" w:ascii="Times New Roman" w:hAnsi="Times New Roman" w:eastAsia="宋体" w:cs="Times New Roman"/>
                <w:color w:val="0000FF"/>
                <w:kern w:val="2"/>
                <w:sz w:val="24"/>
                <w:szCs w:val="24"/>
                <w:highlight w:val="none"/>
                <w:lang w:val="en-US" w:eastAsia="zh-CN" w:bidi="ar-SA"/>
              </w:rPr>
              <w:t>—固定顶罐的呼吸排放量（kg/a）</w:t>
            </w:r>
          </w:p>
          <w:p w14:paraId="5D1960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en-US" w:eastAsia="zh-CN" w:bidi="ar-SA"/>
              </w:rPr>
              <w:t xml:space="preserve">      M—储罐内蒸汽的分子量；</w:t>
            </w:r>
          </w:p>
          <w:p w14:paraId="539D60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en-US" w:eastAsia="zh-CN" w:bidi="ar-SA"/>
              </w:rPr>
              <w:t xml:space="preserve">      P—在大量液体状态下，真实的蒸汽压力（Pa）；</w:t>
            </w:r>
          </w:p>
          <w:p w14:paraId="58A06E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1200" w:firstLineChars="500"/>
              <w:jc w:val="both"/>
              <w:textAlignment w:val="auto"/>
              <w:outlineLvl w:val="9"/>
              <w:rPr>
                <w:rFonts w:hint="eastAsia"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zh-CN" w:eastAsia="zh-CN" w:bidi="ar-SA"/>
              </w:rPr>
              <w:t>D</w:t>
            </w:r>
            <w:r>
              <w:rPr>
                <w:rFonts w:hint="eastAsia" w:ascii="Times New Roman" w:hAnsi="Times New Roman" w:eastAsia="宋体" w:cs="Times New Roman"/>
                <w:color w:val="0000FF"/>
                <w:kern w:val="2"/>
                <w:sz w:val="24"/>
                <w:szCs w:val="24"/>
                <w:highlight w:val="none"/>
                <w:lang w:val="en-US" w:eastAsia="zh-CN" w:bidi="ar-SA"/>
              </w:rPr>
              <w:t>—</w:t>
            </w:r>
            <w:r>
              <w:rPr>
                <w:rFonts w:hint="eastAsia" w:ascii="Times New Roman" w:hAnsi="Times New Roman" w:eastAsia="宋体" w:cs="Times New Roman"/>
                <w:color w:val="0000FF"/>
                <w:kern w:val="2"/>
                <w:sz w:val="24"/>
                <w:szCs w:val="24"/>
                <w:highlight w:val="none"/>
                <w:lang w:val="zh-CN" w:eastAsia="zh-CN" w:bidi="ar-SA"/>
              </w:rPr>
              <w:t>罐的直径（m）</w:t>
            </w:r>
            <w:r>
              <w:rPr>
                <w:rFonts w:hint="eastAsia" w:ascii="Times New Roman" w:hAnsi="Times New Roman" w:eastAsia="宋体" w:cs="Times New Roman"/>
                <w:color w:val="0000FF"/>
                <w:kern w:val="2"/>
                <w:sz w:val="24"/>
                <w:szCs w:val="24"/>
                <w:highlight w:val="none"/>
                <w:lang w:val="en-US" w:eastAsia="zh-CN" w:bidi="ar-SA"/>
              </w:rPr>
              <w:t>；</w:t>
            </w:r>
          </w:p>
          <w:p w14:paraId="35D3AB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1200" w:firstLineChars="500"/>
              <w:jc w:val="both"/>
              <w:textAlignment w:val="auto"/>
              <w:outlineLvl w:val="9"/>
              <w:rPr>
                <w:rFonts w:hint="eastAsia" w:ascii="Times New Roman" w:hAnsi="Times New Roman" w:eastAsia="宋体" w:cs="Times New Roman"/>
                <w:color w:val="0000FF"/>
                <w:kern w:val="2"/>
                <w:sz w:val="24"/>
                <w:szCs w:val="24"/>
                <w:highlight w:val="none"/>
                <w:lang w:val="zh-CN" w:eastAsia="zh-CN" w:bidi="ar-SA"/>
              </w:rPr>
            </w:pPr>
            <w:r>
              <w:rPr>
                <w:rFonts w:hint="eastAsia" w:ascii="Times New Roman" w:hAnsi="Times New Roman" w:eastAsia="宋体" w:cs="Times New Roman"/>
                <w:color w:val="0000FF"/>
                <w:kern w:val="2"/>
                <w:sz w:val="24"/>
                <w:szCs w:val="24"/>
                <w:highlight w:val="none"/>
                <w:lang w:val="zh-CN" w:eastAsia="zh-CN" w:bidi="ar-SA"/>
              </w:rPr>
              <w:t>H-</w:t>
            </w:r>
            <w:r>
              <w:rPr>
                <w:rFonts w:hint="eastAsia" w:ascii="Times New Roman" w:hAnsi="Times New Roman" w:eastAsia="宋体" w:cs="Times New Roman"/>
                <w:color w:val="0000FF"/>
                <w:kern w:val="2"/>
                <w:sz w:val="24"/>
                <w:szCs w:val="24"/>
                <w:highlight w:val="none"/>
                <w:lang w:val="en-US" w:eastAsia="zh-CN" w:bidi="ar-SA"/>
              </w:rPr>
              <w:t>—</w:t>
            </w:r>
            <w:r>
              <w:rPr>
                <w:rFonts w:hint="eastAsia" w:ascii="Times New Roman" w:hAnsi="Times New Roman" w:eastAsia="宋体" w:cs="Times New Roman"/>
                <w:color w:val="0000FF"/>
                <w:kern w:val="2"/>
                <w:sz w:val="24"/>
                <w:szCs w:val="24"/>
                <w:highlight w:val="none"/>
                <w:lang w:val="zh-CN" w:eastAsia="zh-CN" w:bidi="ar-SA"/>
              </w:rPr>
              <w:t>平均蒸气空间高度（m）；</w:t>
            </w:r>
          </w:p>
          <w:p w14:paraId="485123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1200" w:firstLineChars="500"/>
              <w:jc w:val="both"/>
              <w:textAlignment w:val="auto"/>
              <w:outlineLvl w:val="9"/>
              <w:rPr>
                <w:rFonts w:hint="eastAsia" w:ascii="Times New Roman" w:hAnsi="Times New Roman" w:eastAsia="宋体" w:cs="Times New Roman"/>
                <w:color w:val="0000FF"/>
                <w:kern w:val="2"/>
                <w:sz w:val="24"/>
                <w:szCs w:val="24"/>
                <w:highlight w:val="none"/>
                <w:lang w:val="zh-CN" w:eastAsia="zh-CN" w:bidi="ar-SA"/>
              </w:rPr>
            </w:pPr>
            <w:r>
              <w:rPr>
                <w:rFonts w:hint="eastAsia" w:ascii="Times New Roman" w:hAnsi="Times New Roman" w:eastAsia="宋体" w:cs="Times New Roman"/>
                <w:color w:val="0000FF"/>
                <w:kern w:val="2"/>
                <w:sz w:val="24"/>
                <w:szCs w:val="24"/>
                <w:highlight w:val="none"/>
                <w:lang w:val="zh-CN" w:eastAsia="zh-CN" w:bidi="ar-SA"/>
              </w:rPr>
              <w:t>△T</w:t>
            </w:r>
            <w:r>
              <w:rPr>
                <w:rFonts w:hint="eastAsia" w:ascii="Times New Roman" w:hAnsi="Times New Roman" w:eastAsia="宋体" w:cs="Times New Roman"/>
                <w:color w:val="0000FF"/>
                <w:kern w:val="2"/>
                <w:sz w:val="24"/>
                <w:szCs w:val="24"/>
                <w:highlight w:val="none"/>
                <w:lang w:val="en-US" w:eastAsia="zh-CN" w:bidi="ar-SA"/>
              </w:rPr>
              <w:t>—</w:t>
            </w:r>
            <w:r>
              <w:rPr>
                <w:rFonts w:hint="eastAsia" w:ascii="Times New Roman" w:hAnsi="Times New Roman" w:eastAsia="宋体" w:cs="Times New Roman"/>
                <w:color w:val="0000FF"/>
                <w:kern w:val="2"/>
                <w:sz w:val="24"/>
                <w:szCs w:val="24"/>
                <w:highlight w:val="none"/>
                <w:lang w:val="zh-CN" w:eastAsia="zh-CN" w:bidi="ar-SA"/>
              </w:rPr>
              <w:t>一天之内的平均温度差（℃）；</w:t>
            </w:r>
          </w:p>
          <w:p w14:paraId="0690BD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1200" w:firstLineChars="500"/>
              <w:jc w:val="both"/>
              <w:textAlignment w:val="auto"/>
              <w:outlineLvl w:val="9"/>
              <w:rPr>
                <w:rFonts w:hint="eastAsia" w:ascii="Times New Roman" w:hAnsi="Times New Roman" w:eastAsia="宋体" w:cs="Times New Roman"/>
                <w:color w:val="0000FF"/>
                <w:kern w:val="2"/>
                <w:sz w:val="24"/>
                <w:szCs w:val="24"/>
                <w:highlight w:val="none"/>
                <w:lang w:val="zh-CN" w:eastAsia="zh-CN" w:bidi="ar-SA"/>
              </w:rPr>
            </w:pPr>
            <w:r>
              <w:rPr>
                <w:rFonts w:hint="eastAsia" w:ascii="Times New Roman" w:hAnsi="Times New Roman" w:eastAsia="宋体" w:cs="Times New Roman"/>
                <w:color w:val="0000FF"/>
                <w:kern w:val="2"/>
                <w:sz w:val="24"/>
                <w:szCs w:val="24"/>
                <w:highlight w:val="none"/>
                <w:lang w:val="zh-CN" w:eastAsia="zh-CN" w:bidi="ar-SA"/>
              </w:rPr>
              <w:t>F</w:t>
            </w:r>
            <w:r>
              <w:rPr>
                <w:rFonts w:hint="eastAsia" w:ascii="Times New Roman" w:hAnsi="Times New Roman" w:eastAsia="宋体" w:cs="Times New Roman"/>
                <w:color w:val="0000FF"/>
                <w:kern w:val="2"/>
                <w:sz w:val="24"/>
                <w:szCs w:val="24"/>
                <w:highlight w:val="none"/>
                <w:vertAlign w:val="subscript"/>
                <w:lang w:val="zh-CN" w:eastAsia="zh-CN" w:bidi="ar-SA"/>
              </w:rPr>
              <w:t>P</w:t>
            </w:r>
            <w:r>
              <w:rPr>
                <w:rFonts w:hint="eastAsia" w:ascii="Times New Roman" w:hAnsi="Times New Roman" w:eastAsia="宋体" w:cs="Times New Roman"/>
                <w:color w:val="0000FF"/>
                <w:kern w:val="2"/>
                <w:sz w:val="24"/>
                <w:szCs w:val="24"/>
                <w:highlight w:val="none"/>
                <w:lang w:val="en-US" w:eastAsia="zh-CN" w:bidi="ar-SA"/>
              </w:rPr>
              <w:t>—</w:t>
            </w:r>
            <w:r>
              <w:rPr>
                <w:rFonts w:hint="eastAsia" w:ascii="Times New Roman" w:hAnsi="Times New Roman" w:eastAsia="宋体" w:cs="Times New Roman"/>
                <w:color w:val="0000FF"/>
                <w:kern w:val="2"/>
                <w:sz w:val="24"/>
                <w:szCs w:val="24"/>
                <w:highlight w:val="none"/>
                <w:lang w:val="zh-CN" w:eastAsia="zh-CN" w:bidi="ar-SA"/>
              </w:rPr>
              <w:t>涂层因子（无量纲）；</w:t>
            </w:r>
          </w:p>
          <w:p w14:paraId="0E1F40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1200" w:firstLineChars="500"/>
              <w:jc w:val="both"/>
              <w:textAlignment w:val="auto"/>
              <w:outlineLvl w:val="9"/>
              <w:rPr>
                <w:rFonts w:hint="eastAsia"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zh-CN" w:eastAsia="zh-CN" w:bidi="ar-SA"/>
              </w:rPr>
              <w:t>C</w:t>
            </w:r>
            <w:r>
              <w:rPr>
                <w:rFonts w:hint="eastAsia" w:ascii="Times New Roman" w:hAnsi="Times New Roman" w:eastAsia="宋体" w:cs="Times New Roman"/>
                <w:color w:val="0000FF"/>
                <w:kern w:val="2"/>
                <w:sz w:val="24"/>
                <w:szCs w:val="24"/>
                <w:highlight w:val="none"/>
                <w:lang w:val="en-US" w:eastAsia="zh-CN" w:bidi="ar-SA"/>
              </w:rPr>
              <w:t>—</w:t>
            </w:r>
            <w:r>
              <w:rPr>
                <w:rFonts w:hint="eastAsia" w:ascii="Times New Roman" w:hAnsi="Times New Roman" w:eastAsia="宋体" w:cs="Times New Roman"/>
                <w:color w:val="0000FF"/>
                <w:kern w:val="2"/>
                <w:sz w:val="24"/>
                <w:szCs w:val="24"/>
                <w:highlight w:val="none"/>
                <w:lang w:val="zh-CN" w:eastAsia="zh-CN" w:bidi="ar-SA"/>
              </w:rPr>
              <w:t>用于小直径罐的调节因子（无量纲）；直径在0~9m之间的罐体，C=1-0.0123（D-9）</w:t>
            </w:r>
            <w:r>
              <w:rPr>
                <w:rFonts w:hint="eastAsia" w:ascii="Times New Roman" w:hAnsi="Times New Roman" w:eastAsia="宋体" w:cs="Times New Roman"/>
                <w:color w:val="0000FF"/>
                <w:kern w:val="2"/>
                <w:sz w:val="24"/>
                <w:szCs w:val="24"/>
                <w:highlight w:val="none"/>
                <w:vertAlign w:val="superscript"/>
                <w:lang w:val="zh-CN" w:eastAsia="zh-CN" w:bidi="ar-SA"/>
              </w:rPr>
              <w:t>2</w:t>
            </w:r>
            <w:r>
              <w:rPr>
                <w:rFonts w:hint="eastAsia" w:ascii="Times New Roman" w:hAnsi="Times New Roman" w:eastAsia="宋体" w:cs="Times New Roman"/>
                <w:color w:val="0000FF"/>
                <w:kern w:val="2"/>
                <w:sz w:val="24"/>
                <w:szCs w:val="24"/>
                <w:highlight w:val="none"/>
                <w:lang w:val="zh-CN" w:eastAsia="zh-CN" w:bidi="ar-SA"/>
              </w:rPr>
              <w:t>；罐径大于9m的C=1；</w:t>
            </w:r>
          </w:p>
          <w:p w14:paraId="074617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1200" w:firstLineChars="500"/>
              <w:jc w:val="both"/>
              <w:textAlignment w:val="auto"/>
              <w:outlineLvl w:val="9"/>
              <w:rPr>
                <w:rFonts w:hint="eastAsia" w:ascii="Times New Roman" w:hAnsi="Times New Roman" w:eastAsia="宋体" w:cs="Times New Roman"/>
                <w:color w:val="0000FF"/>
                <w:kern w:val="2"/>
                <w:sz w:val="24"/>
                <w:szCs w:val="24"/>
                <w:highlight w:val="none"/>
                <w:lang w:val="zh-CN" w:eastAsia="zh-CN" w:bidi="ar-SA"/>
              </w:rPr>
            </w:pPr>
            <w:r>
              <w:rPr>
                <w:rFonts w:hint="eastAsia" w:ascii="Times New Roman" w:hAnsi="Times New Roman" w:eastAsia="宋体" w:cs="Times New Roman"/>
                <w:color w:val="0000FF"/>
                <w:kern w:val="2"/>
                <w:sz w:val="24"/>
                <w:szCs w:val="24"/>
                <w:highlight w:val="none"/>
                <w:lang w:val="zh-CN" w:eastAsia="zh-CN" w:bidi="ar-SA"/>
              </w:rPr>
              <w:t>K</w:t>
            </w:r>
            <w:r>
              <w:rPr>
                <w:rFonts w:hint="eastAsia" w:ascii="Times New Roman" w:hAnsi="Times New Roman" w:eastAsia="宋体" w:cs="Times New Roman"/>
                <w:color w:val="0000FF"/>
                <w:kern w:val="2"/>
                <w:sz w:val="24"/>
                <w:szCs w:val="24"/>
                <w:highlight w:val="none"/>
                <w:vertAlign w:val="subscript"/>
                <w:lang w:val="zh-CN" w:eastAsia="zh-CN" w:bidi="ar-SA"/>
              </w:rPr>
              <w:t>C</w:t>
            </w:r>
            <w:r>
              <w:rPr>
                <w:rFonts w:hint="eastAsia" w:ascii="Times New Roman" w:hAnsi="Times New Roman" w:eastAsia="宋体" w:cs="Times New Roman"/>
                <w:color w:val="0000FF"/>
                <w:kern w:val="2"/>
                <w:sz w:val="24"/>
                <w:szCs w:val="24"/>
                <w:highlight w:val="none"/>
                <w:lang w:val="en-US" w:eastAsia="zh-CN" w:bidi="ar-SA"/>
              </w:rPr>
              <w:t>—</w:t>
            </w:r>
            <w:r>
              <w:rPr>
                <w:rFonts w:hint="eastAsia" w:ascii="Times New Roman" w:hAnsi="Times New Roman" w:eastAsia="宋体" w:cs="Times New Roman"/>
                <w:color w:val="0000FF"/>
                <w:kern w:val="2"/>
                <w:sz w:val="24"/>
                <w:szCs w:val="24"/>
                <w:highlight w:val="none"/>
                <w:lang w:val="zh-CN" w:eastAsia="zh-CN" w:bidi="ar-SA"/>
              </w:rPr>
              <w:t>产品因子。</w:t>
            </w:r>
          </w:p>
          <w:p w14:paraId="66CFEC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right="0"/>
              <w:jc w:val="both"/>
              <w:textAlignment w:val="auto"/>
              <w:outlineLvl w:val="9"/>
              <w:rPr>
                <w:rFonts w:hint="default"/>
                <w:color w:val="0000FF"/>
                <w:lang w:val="en-US" w:eastAsia="zh-CN"/>
              </w:rPr>
            </w:pPr>
            <w:r>
              <w:rPr>
                <w:rFonts w:hint="default"/>
                <w:color w:val="0000FF"/>
                <w:lang w:val="en-US" w:eastAsia="zh-CN"/>
              </w:rPr>
              <w:t>具体计算参数如下表。</w:t>
            </w:r>
          </w:p>
          <w:p w14:paraId="733200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0" w:firstLineChars="0"/>
              <w:jc w:val="center"/>
              <w:textAlignment w:val="auto"/>
              <w:outlineLvl w:val="9"/>
              <w:rPr>
                <w:rFonts w:hint="eastAsia" w:ascii="宋体" w:hAnsi="宋体" w:eastAsia="宋体" w:cs="宋体"/>
                <w:b/>
                <w:bCs/>
                <w:color w:val="0000FF"/>
                <w:kern w:val="0"/>
                <w:sz w:val="21"/>
                <w:szCs w:val="21"/>
                <w:lang w:val="en-US" w:eastAsia="zh-CN" w:bidi="ar"/>
              </w:rPr>
            </w:pPr>
            <w:r>
              <w:rPr>
                <w:rFonts w:hint="eastAsia" w:ascii="宋体" w:hAnsi="宋体" w:eastAsia="宋体" w:cs="宋体"/>
                <w:b/>
                <w:bCs/>
                <w:color w:val="0000FF"/>
                <w:kern w:val="0"/>
                <w:sz w:val="21"/>
                <w:szCs w:val="21"/>
                <w:lang w:val="en-US" w:eastAsia="zh-CN" w:bidi="ar"/>
              </w:rPr>
              <w:t>表</w:t>
            </w:r>
            <w:r>
              <w:rPr>
                <w:rFonts w:hint="default" w:ascii="宋体" w:hAnsi="宋体" w:eastAsia="宋体" w:cs="宋体"/>
                <w:b/>
                <w:bCs/>
                <w:color w:val="0000FF"/>
                <w:kern w:val="0"/>
                <w:sz w:val="21"/>
                <w:szCs w:val="21"/>
                <w:lang w:val="en-US" w:eastAsia="zh-CN" w:bidi="ar"/>
              </w:rPr>
              <w:t>4-</w:t>
            </w:r>
            <w:r>
              <w:rPr>
                <w:rFonts w:hint="eastAsia" w:ascii="宋体" w:hAnsi="宋体" w:cs="宋体"/>
                <w:b/>
                <w:bCs/>
                <w:color w:val="0000FF"/>
                <w:kern w:val="0"/>
                <w:sz w:val="21"/>
                <w:szCs w:val="21"/>
                <w:lang w:val="en-US" w:eastAsia="zh-CN" w:bidi="ar"/>
              </w:rPr>
              <w:t xml:space="preserve">1 </w:t>
            </w:r>
            <w:r>
              <w:rPr>
                <w:rFonts w:hint="default" w:ascii="宋体" w:hAnsi="宋体" w:eastAsia="宋体" w:cs="宋体"/>
                <w:b/>
                <w:bCs/>
                <w:color w:val="0000FF"/>
                <w:kern w:val="0"/>
                <w:sz w:val="21"/>
                <w:szCs w:val="21"/>
                <w:lang w:val="en-US" w:eastAsia="zh-CN" w:bidi="ar"/>
              </w:rPr>
              <w:t xml:space="preserve"> </w:t>
            </w:r>
            <w:r>
              <w:rPr>
                <w:rFonts w:hint="eastAsia" w:ascii="宋体" w:hAnsi="宋体" w:eastAsia="宋体" w:cs="宋体"/>
                <w:b/>
                <w:bCs/>
                <w:color w:val="0000FF"/>
                <w:kern w:val="0"/>
                <w:sz w:val="21"/>
                <w:szCs w:val="21"/>
                <w:lang w:val="en-US" w:eastAsia="zh-CN" w:bidi="ar"/>
              </w:rPr>
              <w:t>本项目涉及储罐废气计算参数一览表</w:t>
            </w:r>
          </w:p>
          <w:tbl>
            <w:tblPr>
              <w:tblStyle w:val="23"/>
              <w:tblW w:w="8450"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25"/>
              <w:gridCol w:w="1185"/>
              <w:gridCol w:w="825"/>
              <w:gridCol w:w="720"/>
              <w:gridCol w:w="780"/>
              <w:gridCol w:w="960"/>
              <w:gridCol w:w="690"/>
              <w:gridCol w:w="705"/>
              <w:gridCol w:w="675"/>
              <w:gridCol w:w="675"/>
            </w:tblGrid>
            <w:tr w14:paraId="35FE8C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tcBorders>
                    <w:tl2br w:val="nil"/>
                    <w:tr2bl w:val="nil"/>
                  </w:tcBorders>
                  <w:vAlign w:val="center"/>
                </w:tcPr>
                <w:p w14:paraId="397792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FF"/>
                      <w:kern w:val="0"/>
                      <w:sz w:val="21"/>
                      <w:szCs w:val="21"/>
                      <w:vertAlign w:val="baseline"/>
                      <w:lang w:val="en-US" w:eastAsia="zh-CN" w:bidi="ar"/>
                    </w:rPr>
                  </w:pPr>
                  <w:r>
                    <w:rPr>
                      <w:rFonts w:hint="default" w:ascii="Times New Roman" w:hAnsi="Times New Roman" w:eastAsia="宋体" w:cs="Times New Roman"/>
                      <w:b/>
                      <w:bCs/>
                      <w:color w:val="0000FF"/>
                      <w:kern w:val="0"/>
                      <w:sz w:val="21"/>
                      <w:szCs w:val="21"/>
                      <w:vertAlign w:val="baseline"/>
                      <w:lang w:val="en-US" w:eastAsia="zh-CN" w:bidi="ar"/>
                    </w:rPr>
                    <w:t>区域</w:t>
                  </w:r>
                </w:p>
              </w:tc>
              <w:tc>
                <w:tcPr>
                  <w:tcW w:w="525" w:type="dxa"/>
                  <w:tcBorders>
                    <w:tl2br w:val="nil"/>
                    <w:tr2bl w:val="nil"/>
                  </w:tcBorders>
                  <w:vAlign w:val="center"/>
                </w:tcPr>
                <w:p w14:paraId="11239E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FF"/>
                      <w:kern w:val="0"/>
                      <w:sz w:val="21"/>
                      <w:szCs w:val="21"/>
                      <w:vertAlign w:val="baseline"/>
                      <w:lang w:val="en-US" w:eastAsia="zh-CN" w:bidi="ar"/>
                    </w:rPr>
                  </w:pPr>
                  <w:r>
                    <w:rPr>
                      <w:rFonts w:hint="default" w:ascii="Times New Roman" w:hAnsi="Times New Roman" w:eastAsia="宋体" w:cs="Times New Roman"/>
                      <w:b/>
                      <w:bCs/>
                      <w:color w:val="0000FF"/>
                      <w:kern w:val="0"/>
                      <w:sz w:val="21"/>
                      <w:szCs w:val="21"/>
                      <w:vertAlign w:val="baseline"/>
                      <w:lang w:val="en-US" w:eastAsia="zh-CN" w:bidi="ar"/>
                    </w:rPr>
                    <w:t>项目</w:t>
                  </w:r>
                </w:p>
              </w:tc>
              <w:tc>
                <w:tcPr>
                  <w:tcW w:w="1185" w:type="dxa"/>
                  <w:tcBorders>
                    <w:tl2br w:val="nil"/>
                    <w:tr2bl w:val="nil"/>
                  </w:tcBorders>
                  <w:vAlign w:val="center"/>
                </w:tcPr>
                <w:p w14:paraId="528684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FF"/>
                      <w:kern w:val="0"/>
                      <w:sz w:val="21"/>
                      <w:szCs w:val="21"/>
                      <w:vertAlign w:val="baseline"/>
                      <w:lang w:val="en-US" w:eastAsia="zh-CN" w:bidi="ar"/>
                    </w:rPr>
                  </w:pPr>
                  <w:r>
                    <w:rPr>
                      <w:rFonts w:hint="default" w:ascii="Times New Roman" w:hAnsi="Times New Roman" w:eastAsia="宋体" w:cs="Times New Roman"/>
                      <w:b/>
                      <w:bCs/>
                      <w:color w:val="0000FF"/>
                      <w:kern w:val="0"/>
                      <w:sz w:val="21"/>
                      <w:szCs w:val="21"/>
                      <w:vertAlign w:val="baseline"/>
                      <w:lang w:val="en-US" w:eastAsia="zh-CN" w:bidi="ar"/>
                    </w:rPr>
                    <w:t>储罐内蒸气分子量M（g/mol）</w:t>
                  </w:r>
                </w:p>
              </w:tc>
              <w:tc>
                <w:tcPr>
                  <w:tcW w:w="825" w:type="dxa"/>
                  <w:tcBorders>
                    <w:tl2br w:val="nil"/>
                    <w:tr2bl w:val="nil"/>
                  </w:tcBorders>
                  <w:vAlign w:val="center"/>
                </w:tcPr>
                <w:p w14:paraId="5F539C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FF"/>
                      <w:kern w:val="0"/>
                      <w:sz w:val="21"/>
                      <w:szCs w:val="21"/>
                      <w:vertAlign w:val="baseline"/>
                      <w:lang w:val="en-US" w:eastAsia="zh-CN" w:bidi="ar"/>
                    </w:rPr>
                  </w:pPr>
                  <w:r>
                    <w:rPr>
                      <w:rFonts w:hint="eastAsia" w:ascii="Times New Roman" w:hAnsi="Times New Roman" w:eastAsia="宋体" w:cs="Times New Roman"/>
                      <w:b/>
                      <w:bCs/>
                      <w:color w:val="0000FF"/>
                      <w:kern w:val="0"/>
                      <w:sz w:val="21"/>
                      <w:szCs w:val="21"/>
                      <w:vertAlign w:val="baseline"/>
                      <w:lang w:val="en-US" w:eastAsia="zh-CN" w:bidi="ar"/>
                    </w:rPr>
                    <w:t>真实蒸气压力P（Pa）</w:t>
                  </w:r>
                </w:p>
              </w:tc>
              <w:tc>
                <w:tcPr>
                  <w:tcW w:w="720" w:type="dxa"/>
                  <w:tcBorders>
                    <w:tl2br w:val="nil"/>
                    <w:tr2bl w:val="nil"/>
                  </w:tcBorders>
                  <w:vAlign w:val="center"/>
                </w:tcPr>
                <w:p w14:paraId="7A3FBB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FF"/>
                      <w:kern w:val="0"/>
                      <w:sz w:val="21"/>
                      <w:szCs w:val="21"/>
                      <w:vertAlign w:val="baseline"/>
                      <w:lang w:val="en-US" w:eastAsia="zh-CN" w:bidi="ar"/>
                    </w:rPr>
                  </w:pPr>
                  <w:r>
                    <w:rPr>
                      <w:rFonts w:hint="eastAsia" w:ascii="Times New Roman" w:hAnsi="Times New Roman" w:eastAsia="宋体" w:cs="Times New Roman"/>
                      <w:b/>
                      <w:bCs/>
                      <w:color w:val="0000FF"/>
                      <w:kern w:val="0"/>
                      <w:sz w:val="21"/>
                      <w:szCs w:val="21"/>
                      <w:vertAlign w:val="baseline"/>
                      <w:lang w:val="en-US" w:eastAsia="zh-CN" w:bidi="ar"/>
                    </w:rPr>
                    <w:t>罐的直径D（m）</w:t>
                  </w:r>
                </w:p>
              </w:tc>
              <w:tc>
                <w:tcPr>
                  <w:tcW w:w="780" w:type="dxa"/>
                  <w:tcBorders>
                    <w:tl2br w:val="nil"/>
                    <w:tr2bl w:val="nil"/>
                  </w:tcBorders>
                  <w:vAlign w:val="center"/>
                </w:tcPr>
                <w:p w14:paraId="11A0F4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FF"/>
                      <w:kern w:val="0"/>
                      <w:sz w:val="21"/>
                      <w:szCs w:val="21"/>
                      <w:vertAlign w:val="baseline"/>
                      <w:lang w:val="en-US" w:eastAsia="zh-CN" w:bidi="ar"/>
                    </w:rPr>
                  </w:pPr>
                  <w:r>
                    <w:rPr>
                      <w:rFonts w:hint="eastAsia" w:ascii="Times New Roman" w:hAnsi="Times New Roman" w:eastAsia="宋体" w:cs="Times New Roman"/>
                      <w:b/>
                      <w:bCs/>
                      <w:color w:val="0000FF"/>
                      <w:kern w:val="0"/>
                      <w:sz w:val="21"/>
                      <w:szCs w:val="21"/>
                      <w:vertAlign w:val="baseline"/>
                      <w:lang w:val="en-US" w:eastAsia="zh-CN" w:bidi="ar"/>
                    </w:rPr>
                    <w:t>平均蒸气空间高度H（m）</w:t>
                  </w:r>
                </w:p>
              </w:tc>
              <w:tc>
                <w:tcPr>
                  <w:tcW w:w="960" w:type="dxa"/>
                  <w:tcBorders>
                    <w:tl2br w:val="nil"/>
                    <w:tr2bl w:val="nil"/>
                  </w:tcBorders>
                  <w:vAlign w:val="center"/>
                </w:tcPr>
                <w:p w14:paraId="4DC715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FF"/>
                      <w:kern w:val="0"/>
                      <w:sz w:val="21"/>
                      <w:szCs w:val="21"/>
                      <w:vertAlign w:val="baseline"/>
                      <w:lang w:val="en-US" w:eastAsia="zh-CN" w:bidi="ar"/>
                    </w:rPr>
                  </w:pPr>
                  <w:r>
                    <w:rPr>
                      <w:rFonts w:hint="eastAsia" w:ascii="Times New Roman" w:hAnsi="Times New Roman" w:eastAsia="宋体" w:cs="Times New Roman"/>
                      <w:b/>
                      <w:bCs/>
                      <w:color w:val="0000FF"/>
                      <w:kern w:val="0"/>
                      <w:sz w:val="21"/>
                      <w:szCs w:val="21"/>
                      <w:vertAlign w:val="baseline"/>
                      <w:lang w:val="en-US" w:eastAsia="zh-CN" w:bidi="ar"/>
                    </w:rPr>
                    <w:t>日均温度差△T（℃）</w:t>
                  </w:r>
                </w:p>
              </w:tc>
              <w:tc>
                <w:tcPr>
                  <w:tcW w:w="690" w:type="dxa"/>
                  <w:tcBorders>
                    <w:tl2br w:val="nil"/>
                    <w:tr2bl w:val="nil"/>
                  </w:tcBorders>
                  <w:vAlign w:val="center"/>
                </w:tcPr>
                <w:p w14:paraId="7E737E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FF"/>
                      <w:kern w:val="0"/>
                      <w:sz w:val="21"/>
                      <w:szCs w:val="21"/>
                      <w:vertAlign w:val="baseline"/>
                      <w:lang w:val="en-US" w:eastAsia="zh-CN" w:bidi="ar"/>
                    </w:rPr>
                  </w:pPr>
                  <w:r>
                    <w:rPr>
                      <w:rFonts w:hint="default" w:ascii="Times New Roman" w:hAnsi="Times New Roman" w:eastAsia="宋体" w:cs="Times New Roman"/>
                      <w:b/>
                      <w:bCs/>
                      <w:color w:val="0000FF"/>
                      <w:kern w:val="0"/>
                      <w:sz w:val="21"/>
                      <w:szCs w:val="21"/>
                      <w:vertAlign w:val="baseline"/>
                      <w:lang w:val="en-US" w:eastAsia="zh-CN" w:bidi="ar"/>
                    </w:rPr>
                    <w:t>涂层因子F</w:t>
                  </w:r>
                  <w:r>
                    <w:rPr>
                      <w:rFonts w:hint="default" w:ascii="Times New Roman" w:hAnsi="Times New Roman" w:eastAsia="宋体" w:cs="Times New Roman"/>
                      <w:b/>
                      <w:bCs/>
                      <w:color w:val="0000FF"/>
                      <w:kern w:val="0"/>
                      <w:sz w:val="21"/>
                      <w:szCs w:val="21"/>
                      <w:vertAlign w:val="subscript"/>
                      <w:lang w:val="en-US" w:eastAsia="zh-CN" w:bidi="ar"/>
                    </w:rPr>
                    <w:t>P</w:t>
                  </w:r>
                </w:p>
              </w:tc>
              <w:tc>
                <w:tcPr>
                  <w:tcW w:w="705" w:type="dxa"/>
                  <w:tcBorders>
                    <w:tl2br w:val="nil"/>
                    <w:tr2bl w:val="nil"/>
                  </w:tcBorders>
                  <w:vAlign w:val="center"/>
                </w:tcPr>
                <w:p w14:paraId="7C894F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FF"/>
                      <w:kern w:val="0"/>
                      <w:sz w:val="21"/>
                      <w:szCs w:val="21"/>
                      <w:vertAlign w:val="baseline"/>
                      <w:lang w:val="en-US" w:eastAsia="zh-CN" w:bidi="ar"/>
                    </w:rPr>
                  </w:pPr>
                  <w:r>
                    <w:rPr>
                      <w:rFonts w:hint="default" w:ascii="Times New Roman" w:hAnsi="Times New Roman" w:eastAsia="宋体" w:cs="Times New Roman"/>
                      <w:b/>
                      <w:bCs/>
                      <w:color w:val="0000FF"/>
                      <w:kern w:val="0"/>
                      <w:sz w:val="21"/>
                      <w:szCs w:val="21"/>
                      <w:vertAlign w:val="baseline"/>
                      <w:lang w:val="en-US" w:eastAsia="zh-CN" w:bidi="ar"/>
                    </w:rPr>
                    <w:t>调节因子C</w:t>
                  </w:r>
                </w:p>
              </w:tc>
              <w:tc>
                <w:tcPr>
                  <w:tcW w:w="675" w:type="dxa"/>
                  <w:tcBorders>
                    <w:tl2br w:val="nil"/>
                    <w:tr2bl w:val="nil"/>
                  </w:tcBorders>
                  <w:vAlign w:val="center"/>
                </w:tcPr>
                <w:p w14:paraId="435928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FF"/>
                      <w:kern w:val="0"/>
                      <w:sz w:val="21"/>
                      <w:szCs w:val="21"/>
                      <w:vertAlign w:val="baseline"/>
                      <w:lang w:val="en-US" w:eastAsia="zh-CN" w:bidi="ar"/>
                    </w:rPr>
                  </w:pPr>
                  <w:r>
                    <w:rPr>
                      <w:rFonts w:hint="default" w:ascii="Times New Roman" w:hAnsi="Times New Roman" w:eastAsia="宋体" w:cs="Times New Roman"/>
                      <w:b/>
                      <w:bCs/>
                      <w:color w:val="0000FF"/>
                      <w:kern w:val="0"/>
                      <w:sz w:val="21"/>
                      <w:szCs w:val="21"/>
                      <w:vertAlign w:val="baseline"/>
                      <w:lang w:val="en-US" w:eastAsia="zh-CN" w:bidi="ar"/>
                    </w:rPr>
                    <w:t>产品因子K</w:t>
                  </w:r>
                  <w:r>
                    <w:rPr>
                      <w:rFonts w:hint="default" w:ascii="Times New Roman" w:hAnsi="Times New Roman" w:eastAsia="宋体" w:cs="Times New Roman"/>
                      <w:b/>
                      <w:bCs/>
                      <w:color w:val="0000FF"/>
                      <w:kern w:val="0"/>
                      <w:sz w:val="21"/>
                      <w:szCs w:val="21"/>
                      <w:vertAlign w:val="subscript"/>
                      <w:lang w:val="en-US" w:eastAsia="zh-CN" w:bidi="ar"/>
                    </w:rPr>
                    <w:t>C</w:t>
                  </w:r>
                </w:p>
              </w:tc>
              <w:tc>
                <w:tcPr>
                  <w:tcW w:w="675" w:type="dxa"/>
                  <w:tcBorders>
                    <w:tl2br w:val="nil"/>
                    <w:tr2bl w:val="nil"/>
                  </w:tcBorders>
                  <w:vAlign w:val="center"/>
                </w:tcPr>
                <w:p w14:paraId="3C375C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FF"/>
                      <w:kern w:val="0"/>
                      <w:sz w:val="21"/>
                      <w:szCs w:val="21"/>
                      <w:vertAlign w:val="baseline"/>
                      <w:lang w:val="en-US" w:eastAsia="zh-CN" w:bidi="ar"/>
                    </w:rPr>
                  </w:pPr>
                  <w:r>
                    <w:rPr>
                      <w:rFonts w:hint="default" w:ascii="Times New Roman" w:hAnsi="Times New Roman" w:eastAsia="宋体" w:cs="Times New Roman"/>
                      <w:b/>
                      <w:bCs/>
                      <w:color w:val="0000FF"/>
                      <w:kern w:val="0"/>
                      <w:sz w:val="21"/>
                      <w:szCs w:val="21"/>
                      <w:vertAlign w:val="baseline"/>
                      <w:lang w:val="en-US" w:eastAsia="zh-CN" w:bidi="ar"/>
                    </w:rPr>
                    <w:t>周转因子K</w:t>
                  </w:r>
                  <w:r>
                    <w:rPr>
                      <w:rFonts w:hint="default" w:ascii="Times New Roman" w:hAnsi="Times New Roman" w:eastAsia="宋体" w:cs="Times New Roman"/>
                      <w:b/>
                      <w:bCs/>
                      <w:color w:val="0000FF"/>
                      <w:kern w:val="0"/>
                      <w:sz w:val="21"/>
                      <w:szCs w:val="21"/>
                      <w:vertAlign w:val="subscript"/>
                      <w:lang w:val="en-US" w:eastAsia="zh-CN" w:bidi="ar"/>
                    </w:rPr>
                    <w:t>N</w:t>
                  </w:r>
                </w:p>
              </w:tc>
            </w:tr>
            <w:tr w14:paraId="797516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tcBorders>
                    <w:tl2br w:val="nil"/>
                    <w:tr2bl w:val="nil"/>
                  </w:tcBorders>
                  <w:vAlign w:val="center"/>
                </w:tcPr>
                <w:p w14:paraId="291836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outlineLvl w:val="9"/>
                    <w:rPr>
                      <w:rFonts w:hint="default" w:ascii="Times New Roman" w:hAnsi="Times New Roman" w:eastAsia="宋体" w:cs="Times New Roman"/>
                      <w:b w:val="0"/>
                      <w:bCs w:val="0"/>
                      <w:color w:val="0000FF"/>
                      <w:kern w:val="0"/>
                      <w:sz w:val="21"/>
                      <w:szCs w:val="21"/>
                      <w:vertAlign w:val="baseline"/>
                      <w:lang w:val="en-US" w:eastAsia="zh-CN" w:bidi="ar"/>
                    </w:rPr>
                  </w:pPr>
                  <w:r>
                    <w:rPr>
                      <w:rFonts w:hint="default" w:ascii="Times New Roman" w:hAnsi="Times New Roman" w:eastAsia="宋体" w:cs="Times New Roman"/>
                      <w:b w:val="0"/>
                      <w:bCs w:val="0"/>
                      <w:color w:val="0000FF"/>
                      <w:kern w:val="0"/>
                      <w:sz w:val="21"/>
                      <w:szCs w:val="21"/>
                      <w:vertAlign w:val="baseline"/>
                      <w:lang w:val="en-US" w:eastAsia="zh-CN" w:bidi="ar"/>
                    </w:rPr>
                    <w:t>硝酸储罐</w:t>
                  </w:r>
                </w:p>
              </w:tc>
              <w:tc>
                <w:tcPr>
                  <w:tcW w:w="525" w:type="dxa"/>
                  <w:tcBorders>
                    <w:tl2br w:val="nil"/>
                    <w:tr2bl w:val="nil"/>
                  </w:tcBorders>
                  <w:vAlign w:val="center"/>
                </w:tcPr>
                <w:p w14:paraId="3582CB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outlineLvl w:val="9"/>
                    <w:rPr>
                      <w:rFonts w:hint="default" w:ascii="Times New Roman" w:hAnsi="Times New Roman" w:eastAsia="宋体" w:cs="Times New Roman"/>
                      <w:b w:val="0"/>
                      <w:bCs w:val="0"/>
                      <w:color w:val="0000FF"/>
                      <w:kern w:val="0"/>
                      <w:sz w:val="21"/>
                      <w:szCs w:val="21"/>
                      <w:vertAlign w:val="baseline"/>
                      <w:lang w:val="en-US" w:eastAsia="zh-CN" w:bidi="ar"/>
                    </w:rPr>
                  </w:pPr>
                  <w:r>
                    <w:rPr>
                      <w:rFonts w:hint="default" w:ascii="Times New Roman" w:hAnsi="Times New Roman" w:eastAsia="宋体" w:cs="Times New Roman"/>
                      <w:b w:val="0"/>
                      <w:bCs w:val="0"/>
                      <w:color w:val="0000FF"/>
                      <w:kern w:val="0"/>
                      <w:sz w:val="21"/>
                      <w:szCs w:val="21"/>
                      <w:vertAlign w:val="baseline"/>
                      <w:lang w:val="en-US" w:eastAsia="zh-CN" w:bidi="ar"/>
                    </w:rPr>
                    <w:t>硝酸</w:t>
                  </w:r>
                </w:p>
              </w:tc>
              <w:tc>
                <w:tcPr>
                  <w:tcW w:w="1185" w:type="dxa"/>
                  <w:tcBorders>
                    <w:tl2br w:val="nil"/>
                    <w:tr2bl w:val="nil"/>
                  </w:tcBorders>
                  <w:vAlign w:val="center"/>
                </w:tcPr>
                <w:p w14:paraId="24DFBD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outlineLvl w:val="9"/>
                    <w:rPr>
                      <w:rFonts w:hint="default" w:ascii="Times New Roman" w:hAnsi="Times New Roman" w:eastAsia="宋体" w:cs="Times New Roman"/>
                      <w:b w:val="0"/>
                      <w:bCs w:val="0"/>
                      <w:color w:val="0000FF"/>
                      <w:kern w:val="0"/>
                      <w:sz w:val="21"/>
                      <w:szCs w:val="21"/>
                      <w:vertAlign w:val="baseline"/>
                      <w:lang w:val="en-US" w:eastAsia="zh-CN" w:bidi="ar"/>
                    </w:rPr>
                  </w:pPr>
                  <w:r>
                    <w:rPr>
                      <w:rFonts w:hint="default" w:ascii="Times New Roman" w:hAnsi="Times New Roman" w:eastAsia="宋体" w:cs="Times New Roman"/>
                      <w:b w:val="0"/>
                      <w:bCs w:val="0"/>
                      <w:color w:val="0000FF"/>
                      <w:kern w:val="0"/>
                      <w:sz w:val="21"/>
                      <w:szCs w:val="21"/>
                      <w:vertAlign w:val="baseline"/>
                      <w:lang w:val="en-US" w:eastAsia="zh-CN" w:bidi="ar"/>
                    </w:rPr>
                    <w:t>63</w:t>
                  </w:r>
                </w:p>
              </w:tc>
              <w:tc>
                <w:tcPr>
                  <w:tcW w:w="825" w:type="dxa"/>
                  <w:tcBorders>
                    <w:tl2br w:val="nil"/>
                    <w:tr2bl w:val="nil"/>
                  </w:tcBorders>
                  <w:vAlign w:val="center"/>
                </w:tcPr>
                <w:p w14:paraId="412336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outlineLvl w:val="9"/>
                    <w:rPr>
                      <w:rFonts w:hint="default" w:ascii="Times New Roman" w:hAnsi="Times New Roman" w:eastAsia="宋体" w:cs="Times New Roman"/>
                      <w:b w:val="0"/>
                      <w:bCs w:val="0"/>
                      <w:color w:val="0000FF"/>
                      <w:kern w:val="0"/>
                      <w:sz w:val="21"/>
                      <w:szCs w:val="21"/>
                      <w:vertAlign w:val="baseline"/>
                      <w:lang w:val="en-US" w:eastAsia="zh-CN" w:bidi="ar"/>
                    </w:rPr>
                  </w:pPr>
                  <w:r>
                    <w:rPr>
                      <w:rFonts w:hint="eastAsia" w:ascii="Times New Roman" w:hAnsi="Times New Roman" w:eastAsia="宋体" w:cs="Times New Roman"/>
                      <w:b w:val="0"/>
                      <w:bCs w:val="0"/>
                      <w:color w:val="0000FF"/>
                      <w:kern w:val="0"/>
                      <w:sz w:val="21"/>
                      <w:szCs w:val="21"/>
                      <w:vertAlign w:val="baseline"/>
                      <w:lang w:val="en-US" w:eastAsia="zh-CN" w:bidi="ar"/>
                    </w:rPr>
                    <w:t>4400</w:t>
                  </w:r>
                </w:p>
              </w:tc>
              <w:tc>
                <w:tcPr>
                  <w:tcW w:w="720" w:type="dxa"/>
                  <w:tcBorders>
                    <w:tl2br w:val="nil"/>
                    <w:tr2bl w:val="nil"/>
                  </w:tcBorders>
                  <w:vAlign w:val="center"/>
                </w:tcPr>
                <w:p w14:paraId="206BF4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outlineLvl w:val="9"/>
                    <w:rPr>
                      <w:rFonts w:hint="default" w:ascii="Times New Roman" w:hAnsi="Times New Roman" w:eastAsia="宋体" w:cs="Times New Roman"/>
                      <w:b w:val="0"/>
                      <w:bCs w:val="0"/>
                      <w:color w:val="0000FF"/>
                      <w:kern w:val="0"/>
                      <w:sz w:val="21"/>
                      <w:szCs w:val="21"/>
                      <w:vertAlign w:val="baseline"/>
                      <w:lang w:val="en-US" w:eastAsia="zh-CN" w:bidi="ar"/>
                    </w:rPr>
                  </w:pPr>
                  <w:r>
                    <w:rPr>
                      <w:rFonts w:hint="eastAsia" w:ascii="Times New Roman" w:hAnsi="Times New Roman" w:eastAsia="宋体" w:cs="Times New Roman"/>
                      <w:b w:val="0"/>
                      <w:bCs w:val="0"/>
                      <w:color w:val="0000FF"/>
                      <w:kern w:val="0"/>
                      <w:sz w:val="21"/>
                      <w:szCs w:val="21"/>
                      <w:vertAlign w:val="baseline"/>
                      <w:lang w:val="en-US" w:eastAsia="zh-CN" w:bidi="ar"/>
                    </w:rPr>
                    <w:t>14.6</w:t>
                  </w:r>
                </w:p>
              </w:tc>
              <w:tc>
                <w:tcPr>
                  <w:tcW w:w="780" w:type="dxa"/>
                  <w:tcBorders>
                    <w:tl2br w:val="nil"/>
                    <w:tr2bl w:val="nil"/>
                  </w:tcBorders>
                  <w:vAlign w:val="center"/>
                </w:tcPr>
                <w:p w14:paraId="4700F6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outlineLvl w:val="9"/>
                    <w:rPr>
                      <w:rFonts w:hint="default" w:ascii="Times New Roman" w:hAnsi="Times New Roman" w:eastAsia="宋体" w:cs="Times New Roman"/>
                      <w:b w:val="0"/>
                      <w:bCs w:val="0"/>
                      <w:color w:val="0000FF"/>
                      <w:kern w:val="0"/>
                      <w:sz w:val="21"/>
                      <w:szCs w:val="21"/>
                      <w:vertAlign w:val="baseline"/>
                      <w:lang w:val="en-US" w:eastAsia="zh-CN" w:bidi="ar"/>
                    </w:rPr>
                  </w:pPr>
                  <w:r>
                    <w:rPr>
                      <w:rFonts w:hint="eastAsia" w:cs="Times New Roman"/>
                      <w:b w:val="0"/>
                      <w:bCs w:val="0"/>
                      <w:color w:val="0000FF"/>
                      <w:kern w:val="0"/>
                      <w:sz w:val="21"/>
                      <w:szCs w:val="21"/>
                      <w:vertAlign w:val="baseline"/>
                      <w:lang w:val="en-US" w:eastAsia="zh-CN" w:bidi="ar"/>
                    </w:rPr>
                    <w:t>0.3</w:t>
                  </w:r>
                </w:p>
              </w:tc>
              <w:tc>
                <w:tcPr>
                  <w:tcW w:w="960" w:type="dxa"/>
                  <w:tcBorders>
                    <w:tl2br w:val="nil"/>
                    <w:tr2bl w:val="nil"/>
                  </w:tcBorders>
                  <w:vAlign w:val="center"/>
                </w:tcPr>
                <w:p w14:paraId="70F274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outlineLvl w:val="9"/>
                    <w:rPr>
                      <w:rFonts w:hint="default" w:ascii="Times New Roman" w:hAnsi="Times New Roman" w:eastAsia="宋体" w:cs="Times New Roman"/>
                      <w:b w:val="0"/>
                      <w:bCs w:val="0"/>
                      <w:color w:val="0000FF"/>
                      <w:kern w:val="0"/>
                      <w:sz w:val="21"/>
                      <w:szCs w:val="21"/>
                      <w:vertAlign w:val="baseline"/>
                      <w:lang w:val="en-US" w:eastAsia="zh-CN" w:bidi="ar"/>
                    </w:rPr>
                  </w:pPr>
                  <w:r>
                    <w:rPr>
                      <w:rFonts w:hint="eastAsia" w:ascii="Times New Roman" w:hAnsi="Times New Roman" w:eastAsia="宋体" w:cs="Times New Roman"/>
                      <w:b w:val="0"/>
                      <w:bCs w:val="0"/>
                      <w:color w:val="0000FF"/>
                      <w:kern w:val="0"/>
                      <w:sz w:val="21"/>
                      <w:szCs w:val="21"/>
                      <w:vertAlign w:val="baseline"/>
                      <w:lang w:val="en-US" w:eastAsia="zh-CN" w:bidi="ar"/>
                    </w:rPr>
                    <w:t>12</w:t>
                  </w:r>
                </w:p>
              </w:tc>
              <w:tc>
                <w:tcPr>
                  <w:tcW w:w="690" w:type="dxa"/>
                  <w:tcBorders>
                    <w:tl2br w:val="nil"/>
                    <w:tr2bl w:val="nil"/>
                  </w:tcBorders>
                  <w:vAlign w:val="center"/>
                </w:tcPr>
                <w:p w14:paraId="7B8386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outlineLvl w:val="9"/>
                    <w:rPr>
                      <w:rFonts w:hint="default" w:ascii="Times New Roman" w:hAnsi="Times New Roman" w:eastAsia="宋体" w:cs="Times New Roman"/>
                      <w:b w:val="0"/>
                      <w:bCs w:val="0"/>
                      <w:color w:val="0000FF"/>
                      <w:kern w:val="0"/>
                      <w:sz w:val="21"/>
                      <w:szCs w:val="21"/>
                      <w:vertAlign w:val="baseline"/>
                      <w:lang w:val="en-US" w:eastAsia="zh-CN" w:bidi="ar"/>
                    </w:rPr>
                  </w:pPr>
                  <w:r>
                    <w:rPr>
                      <w:rFonts w:hint="default" w:ascii="Times New Roman" w:hAnsi="Times New Roman" w:eastAsia="宋体" w:cs="Times New Roman"/>
                      <w:b w:val="0"/>
                      <w:bCs w:val="0"/>
                      <w:color w:val="0000FF"/>
                      <w:kern w:val="0"/>
                      <w:sz w:val="21"/>
                      <w:szCs w:val="21"/>
                      <w:vertAlign w:val="baseline"/>
                      <w:lang w:val="en-US" w:eastAsia="zh-CN" w:bidi="ar"/>
                    </w:rPr>
                    <w:t>1.25</w:t>
                  </w:r>
                </w:p>
              </w:tc>
              <w:tc>
                <w:tcPr>
                  <w:tcW w:w="705" w:type="dxa"/>
                  <w:tcBorders>
                    <w:tl2br w:val="nil"/>
                    <w:tr2bl w:val="nil"/>
                  </w:tcBorders>
                  <w:vAlign w:val="center"/>
                </w:tcPr>
                <w:p w14:paraId="13939A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outlineLvl w:val="9"/>
                    <w:rPr>
                      <w:rFonts w:hint="default" w:ascii="Times New Roman" w:hAnsi="Times New Roman" w:eastAsia="宋体" w:cs="Times New Roman"/>
                      <w:b w:val="0"/>
                      <w:bCs w:val="0"/>
                      <w:color w:val="0000FF"/>
                      <w:kern w:val="0"/>
                      <w:sz w:val="21"/>
                      <w:szCs w:val="21"/>
                      <w:vertAlign w:val="baseline"/>
                      <w:lang w:val="en-US" w:eastAsia="zh-CN" w:bidi="ar"/>
                    </w:rPr>
                  </w:pPr>
                  <w:r>
                    <w:rPr>
                      <w:rFonts w:hint="default" w:ascii="Times New Roman" w:hAnsi="Times New Roman" w:eastAsia="宋体" w:cs="Times New Roman"/>
                      <w:b w:val="0"/>
                      <w:bCs w:val="0"/>
                      <w:color w:val="0000FF"/>
                      <w:kern w:val="0"/>
                      <w:sz w:val="21"/>
                      <w:szCs w:val="21"/>
                      <w:vertAlign w:val="baseline"/>
                      <w:lang w:val="en-US" w:eastAsia="zh-CN" w:bidi="ar"/>
                    </w:rPr>
                    <w:t>1</w:t>
                  </w:r>
                </w:p>
              </w:tc>
              <w:tc>
                <w:tcPr>
                  <w:tcW w:w="675" w:type="dxa"/>
                  <w:tcBorders>
                    <w:tl2br w:val="nil"/>
                    <w:tr2bl w:val="nil"/>
                  </w:tcBorders>
                  <w:vAlign w:val="center"/>
                </w:tcPr>
                <w:p w14:paraId="2179F8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outlineLvl w:val="9"/>
                    <w:rPr>
                      <w:rFonts w:hint="default" w:ascii="Times New Roman" w:hAnsi="Times New Roman" w:eastAsia="宋体" w:cs="Times New Roman"/>
                      <w:b w:val="0"/>
                      <w:bCs w:val="0"/>
                      <w:color w:val="0000FF"/>
                      <w:kern w:val="0"/>
                      <w:sz w:val="21"/>
                      <w:szCs w:val="21"/>
                      <w:vertAlign w:val="baseline"/>
                      <w:lang w:val="en-US" w:eastAsia="zh-CN" w:bidi="ar"/>
                    </w:rPr>
                  </w:pPr>
                  <w:r>
                    <w:rPr>
                      <w:rFonts w:hint="default" w:ascii="Times New Roman" w:hAnsi="Times New Roman" w:eastAsia="宋体" w:cs="Times New Roman"/>
                      <w:b w:val="0"/>
                      <w:bCs w:val="0"/>
                      <w:color w:val="0000FF"/>
                      <w:kern w:val="0"/>
                      <w:sz w:val="21"/>
                      <w:szCs w:val="21"/>
                      <w:vertAlign w:val="baseline"/>
                      <w:lang w:val="en-US" w:eastAsia="zh-CN" w:bidi="ar"/>
                    </w:rPr>
                    <w:t>1</w:t>
                  </w:r>
                </w:p>
              </w:tc>
              <w:tc>
                <w:tcPr>
                  <w:tcW w:w="675" w:type="dxa"/>
                  <w:tcBorders>
                    <w:tl2br w:val="nil"/>
                    <w:tr2bl w:val="nil"/>
                  </w:tcBorders>
                  <w:vAlign w:val="center"/>
                </w:tcPr>
                <w:p w14:paraId="649E32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outlineLvl w:val="9"/>
                    <w:rPr>
                      <w:rFonts w:hint="default" w:ascii="Times New Roman" w:hAnsi="Times New Roman" w:eastAsia="宋体" w:cs="Times New Roman"/>
                      <w:b w:val="0"/>
                      <w:bCs w:val="0"/>
                      <w:color w:val="0000FF"/>
                      <w:kern w:val="0"/>
                      <w:sz w:val="21"/>
                      <w:szCs w:val="21"/>
                      <w:vertAlign w:val="baseline"/>
                      <w:lang w:val="en-US" w:eastAsia="zh-CN" w:bidi="ar"/>
                    </w:rPr>
                  </w:pPr>
                  <w:r>
                    <w:rPr>
                      <w:rFonts w:hint="default" w:ascii="Times New Roman" w:hAnsi="Times New Roman" w:eastAsia="宋体" w:cs="Times New Roman"/>
                      <w:b w:val="0"/>
                      <w:bCs w:val="0"/>
                      <w:color w:val="0000FF"/>
                      <w:kern w:val="0"/>
                      <w:sz w:val="21"/>
                      <w:szCs w:val="21"/>
                      <w:vertAlign w:val="baseline"/>
                      <w:lang w:val="en-US" w:eastAsia="zh-CN" w:bidi="ar"/>
                    </w:rPr>
                    <w:t>0.51</w:t>
                  </w:r>
                </w:p>
              </w:tc>
            </w:tr>
          </w:tbl>
          <w:p w14:paraId="5E883D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right="0"/>
              <w:jc w:val="both"/>
              <w:textAlignment w:val="auto"/>
              <w:outlineLvl w:val="9"/>
              <w:rPr>
                <w:rFonts w:hint="default"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en-US" w:eastAsia="zh-CN" w:bidi="ar-SA"/>
              </w:rPr>
              <w:t>由上表可得本项目罐区废气排放情况，无组织排放量为0.3t/a，排放速率为0.0375kg/h。</w:t>
            </w:r>
          </w:p>
          <w:p w14:paraId="71F5E4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right="0"/>
              <w:jc w:val="both"/>
              <w:textAlignment w:val="auto"/>
              <w:outlineLvl w:val="9"/>
              <w:rPr>
                <w:rFonts w:hint="eastAsia"/>
                <w:color w:val="0000FF"/>
                <w:lang w:val="en-US" w:eastAsia="zh-CN"/>
              </w:rPr>
            </w:pPr>
            <w:r>
              <w:rPr>
                <w:rFonts w:hint="eastAsia"/>
                <w:color w:val="0000FF"/>
                <w:lang w:val="en-US" w:eastAsia="zh-CN"/>
              </w:rPr>
              <w:t>（2）</w:t>
            </w:r>
            <w:r>
              <w:rPr>
                <w:rFonts w:hint="eastAsia" w:ascii="Times New Roman" w:hAnsi="Times New Roman" w:eastAsia="宋体" w:cs="Times New Roman"/>
                <w:color w:val="0000FF"/>
                <w:kern w:val="2"/>
                <w:sz w:val="24"/>
                <w:szCs w:val="24"/>
                <w:highlight w:val="none"/>
                <w:lang w:val="en-US" w:eastAsia="zh-CN" w:bidi="ar-SA"/>
              </w:rPr>
              <w:t>硝酸储罐大呼吸损失</w:t>
            </w:r>
          </w:p>
          <w:p w14:paraId="40C7B4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right="0"/>
              <w:jc w:val="both"/>
              <w:textAlignment w:val="auto"/>
              <w:outlineLvl w:val="9"/>
              <w:rPr>
                <w:rFonts w:hint="default"/>
                <w:color w:val="0000FF"/>
                <w:lang w:val="en-US" w:eastAsia="zh-CN"/>
              </w:rPr>
            </w:pPr>
            <w:r>
              <w:rPr>
                <w:rFonts w:hint="eastAsia"/>
                <w:color w:val="0000FF"/>
                <w:lang w:val="en-US" w:eastAsia="zh-CN"/>
              </w:rPr>
              <w:t>硝酸</w:t>
            </w:r>
            <w:r>
              <w:rPr>
                <w:rFonts w:hint="default"/>
                <w:color w:val="0000FF"/>
                <w:lang w:val="en-US" w:eastAsia="zh-CN"/>
              </w:rPr>
              <w:t>装卸过程</w:t>
            </w:r>
            <w:r>
              <w:rPr>
                <w:rFonts w:hint="eastAsia"/>
                <w:color w:val="0000FF"/>
                <w:lang w:val="en-US" w:eastAsia="zh-CN"/>
              </w:rPr>
              <w:t>“</w:t>
            </w:r>
            <w:r>
              <w:rPr>
                <w:rFonts w:hint="default"/>
                <w:color w:val="0000FF"/>
                <w:lang w:val="en-US" w:eastAsia="zh-CN"/>
              </w:rPr>
              <w:t>大呼吸</w:t>
            </w:r>
            <w:r>
              <w:rPr>
                <w:rFonts w:hint="eastAsia"/>
                <w:color w:val="0000FF"/>
                <w:lang w:val="en-US" w:eastAsia="zh-CN"/>
              </w:rPr>
              <w:t>”</w:t>
            </w:r>
            <w:r>
              <w:rPr>
                <w:rFonts w:hint="default"/>
                <w:color w:val="0000FF"/>
                <w:lang w:val="en-US" w:eastAsia="zh-CN"/>
              </w:rPr>
              <w:t>损失是工作排放，由于人为的装料与卸料而产生的损失。</w:t>
            </w:r>
            <w:r>
              <w:rPr>
                <w:rFonts w:hint="eastAsia"/>
                <w:color w:val="0000FF"/>
                <w:lang w:val="en-US" w:eastAsia="zh-CN"/>
              </w:rPr>
              <w:t>装</w:t>
            </w:r>
            <w:r>
              <w:rPr>
                <w:rFonts w:hint="default"/>
                <w:color w:val="0000FF"/>
                <w:lang w:val="en-US" w:eastAsia="zh-CN"/>
              </w:rPr>
              <w:t>卸料损失是发生于液体排出，空气被吸入罐体内，因空气进入而膨胀，导致罐内气体排出。主要包括</w:t>
            </w:r>
            <w:r>
              <w:rPr>
                <w:rFonts w:hint="eastAsia"/>
                <w:color w:val="0000FF"/>
                <w:lang w:val="en-US" w:eastAsia="zh-CN"/>
              </w:rPr>
              <w:t>硝酸</w:t>
            </w:r>
            <w:r>
              <w:rPr>
                <w:rFonts w:hint="default"/>
                <w:color w:val="0000FF"/>
                <w:lang w:val="en-US" w:eastAsia="zh-CN"/>
              </w:rPr>
              <w:t>储罐、</w:t>
            </w:r>
            <w:r>
              <w:rPr>
                <w:rFonts w:hint="eastAsia"/>
                <w:color w:val="0000FF"/>
                <w:lang w:val="en-US" w:eastAsia="zh-CN"/>
              </w:rPr>
              <w:t>硝酸</w:t>
            </w:r>
            <w:r>
              <w:rPr>
                <w:rFonts w:hint="default"/>
                <w:color w:val="0000FF"/>
                <w:lang w:val="en-US" w:eastAsia="zh-CN"/>
              </w:rPr>
              <w:t>罐车等位置。</w:t>
            </w:r>
          </w:p>
          <w:p w14:paraId="03FBD6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0" w:firstLineChars="0"/>
              <w:jc w:val="center"/>
              <w:textAlignment w:val="auto"/>
              <w:outlineLvl w:val="9"/>
              <w:rPr>
                <w:rFonts w:hint="eastAsia"/>
                <w:color w:val="0000FF"/>
                <w:vertAlign w:val="subscript"/>
                <w:lang w:val="en-US" w:eastAsia="zh-CN"/>
              </w:rPr>
            </w:pPr>
            <w:r>
              <w:rPr>
                <w:rFonts w:hint="eastAsia"/>
                <w:color w:val="0000FF"/>
                <w:lang w:val="en-US" w:eastAsia="zh-CN"/>
              </w:rPr>
              <w:t>L</w:t>
            </w:r>
            <w:r>
              <w:rPr>
                <w:rFonts w:hint="eastAsia"/>
                <w:color w:val="0000FF"/>
                <w:vertAlign w:val="subscript"/>
                <w:lang w:val="en-US" w:eastAsia="zh-CN"/>
              </w:rPr>
              <w:t>w</w:t>
            </w:r>
            <w:r>
              <w:rPr>
                <w:rFonts w:hint="eastAsia"/>
                <w:color w:val="0000FF"/>
                <w:vertAlign w:val="baseline"/>
                <w:lang w:val="en-US" w:eastAsia="zh-CN"/>
              </w:rPr>
              <w:t>=4.188×10</w:t>
            </w:r>
            <w:r>
              <w:rPr>
                <w:rFonts w:hint="eastAsia"/>
                <w:color w:val="0000FF"/>
                <w:vertAlign w:val="superscript"/>
                <w:lang w:val="en-US" w:eastAsia="zh-CN"/>
              </w:rPr>
              <w:t>-7</w:t>
            </w:r>
            <w:r>
              <w:rPr>
                <w:rFonts w:hint="eastAsia"/>
                <w:color w:val="0000FF"/>
                <w:vertAlign w:val="baseline"/>
                <w:lang w:val="en-US" w:eastAsia="zh-CN"/>
              </w:rPr>
              <w:t>×M×P×K</w:t>
            </w:r>
            <w:r>
              <w:rPr>
                <w:rFonts w:hint="eastAsia"/>
                <w:color w:val="0000FF"/>
                <w:vertAlign w:val="subscript"/>
                <w:lang w:val="en-US" w:eastAsia="zh-CN"/>
              </w:rPr>
              <w:t>N</w:t>
            </w:r>
            <w:r>
              <w:rPr>
                <w:rFonts w:hint="eastAsia"/>
                <w:color w:val="0000FF"/>
                <w:vertAlign w:val="baseline"/>
                <w:lang w:val="en-US" w:eastAsia="zh-CN"/>
              </w:rPr>
              <w:t>×K</w:t>
            </w:r>
            <w:r>
              <w:rPr>
                <w:rFonts w:hint="eastAsia"/>
                <w:color w:val="0000FF"/>
                <w:vertAlign w:val="subscript"/>
                <w:lang w:val="en-US" w:eastAsia="zh-CN"/>
              </w:rPr>
              <w:t>C</w:t>
            </w:r>
          </w:p>
          <w:p w14:paraId="73A567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en-US" w:eastAsia="zh-CN" w:bidi="ar-SA"/>
              </w:rPr>
              <w:t>式中：L</w:t>
            </w:r>
            <w:r>
              <w:rPr>
                <w:rFonts w:hint="eastAsia" w:ascii="Times New Roman" w:hAnsi="Times New Roman" w:eastAsia="宋体" w:cs="Times New Roman"/>
                <w:color w:val="0000FF"/>
                <w:kern w:val="2"/>
                <w:sz w:val="24"/>
                <w:szCs w:val="24"/>
                <w:highlight w:val="none"/>
                <w:vertAlign w:val="subscript"/>
                <w:lang w:val="en-US" w:eastAsia="zh-CN" w:bidi="ar-SA"/>
              </w:rPr>
              <w:t>W</w:t>
            </w:r>
            <w:r>
              <w:rPr>
                <w:rFonts w:hint="eastAsia" w:ascii="Times New Roman" w:hAnsi="Times New Roman" w:eastAsia="宋体" w:cs="Times New Roman"/>
                <w:color w:val="0000FF"/>
                <w:kern w:val="2"/>
                <w:sz w:val="24"/>
                <w:szCs w:val="24"/>
                <w:highlight w:val="none"/>
                <w:lang w:val="en-US" w:eastAsia="zh-CN" w:bidi="ar-SA"/>
              </w:rPr>
              <w:t>-工作损失（kg/m</w:t>
            </w:r>
            <w:r>
              <w:rPr>
                <w:rFonts w:hint="eastAsia" w:ascii="Times New Roman" w:hAnsi="Times New Roman" w:eastAsia="宋体" w:cs="Times New Roman"/>
                <w:color w:val="0000FF"/>
                <w:kern w:val="2"/>
                <w:sz w:val="24"/>
                <w:szCs w:val="24"/>
                <w:highlight w:val="none"/>
                <w:vertAlign w:val="superscript"/>
                <w:lang w:val="en-US" w:eastAsia="zh-CN" w:bidi="ar-SA"/>
              </w:rPr>
              <w:t>3</w:t>
            </w:r>
            <w:r>
              <w:rPr>
                <w:rFonts w:hint="eastAsia" w:ascii="Times New Roman" w:hAnsi="Times New Roman" w:eastAsia="宋体" w:cs="Times New Roman"/>
                <w:color w:val="0000FF"/>
                <w:kern w:val="2"/>
                <w:sz w:val="24"/>
                <w:szCs w:val="24"/>
                <w:highlight w:val="none"/>
                <w:lang w:val="en-US" w:eastAsia="zh-CN" w:bidi="ar-SA"/>
              </w:rPr>
              <w:t xml:space="preserve"> 投入量）；</w:t>
            </w:r>
          </w:p>
          <w:p w14:paraId="6D13F5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en-US" w:eastAsia="zh-CN" w:bidi="ar-SA"/>
              </w:rPr>
              <w:t xml:space="preserve">      M-储罐内蒸汽的分子量；</w:t>
            </w:r>
          </w:p>
          <w:p w14:paraId="605503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1200" w:firstLineChars="500"/>
              <w:jc w:val="both"/>
              <w:textAlignment w:val="auto"/>
              <w:outlineLvl w:val="9"/>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color w:val="0000FF"/>
                <w:kern w:val="2"/>
                <w:sz w:val="24"/>
                <w:szCs w:val="24"/>
                <w:highlight w:val="none"/>
                <w:lang w:val="en-US" w:eastAsia="zh-CN" w:bidi="ar-SA"/>
              </w:rPr>
              <w:t>P-在大量液体状态下，真实的蒸汽压力（Pa）；</w:t>
            </w:r>
          </w:p>
          <w:p w14:paraId="4C76D3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1200" w:firstLineChars="500"/>
              <w:jc w:val="both"/>
              <w:textAlignment w:val="auto"/>
              <w:outlineLvl w:val="9"/>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color w:val="0000FF"/>
                <w:kern w:val="2"/>
                <w:sz w:val="24"/>
                <w:szCs w:val="24"/>
                <w:highlight w:val="none"/>
                <w:lang w:val="en-US" w:eastAsia="zh-CN" w:bidi="ar-SA"/>
              </w:rPr>
              <w:t>KN-周转因子（无量纲），取值按年周转次数（K）确定；</w:t>
            </w:r>
          </w:p>
          <w:p w14:paraId="4B6F08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right="0"/>
              <w:jc w:val="both"/>
              <w:textAlignment w:val="auto"/>
              <w:outlineLvl w:val="9"/>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color w:val="0000FF"/>
                <w:kern w:val="2"/>
                <w:sz w:val="24"/>
                <w:szCs w:val="24"/>
                <w:highlight w:val="none"/>
                <w:lang w:val="en-US" w:eastAsia="zh-CN" w:bidi="ar-SA"/>
              </w:rPr>
              <w:t>K≤36，K</w:t>
            </w:r>
            <w:r>
              <w:rPr>
                <w:rFonts w:hint="default" w:ascii="Times New Roman" w:hAnsi="Times New Roman" w:eastAsia="宋体" w:cs="Times New Roman"/>
                <w:color w:val="0000FF"/>
                <w:kern w:val="2"/>
                <w:sz w:val="24"/>
                <w:szCs w:val="24"/>
                <w:highlight w:val="none"/>
                <w:vertAlign w:val="subscript"/>
                <w:lang w:val="en-US" w:eastAsia="zh-CN" w:bidi="ar-SA"/>
              </w:rPr>
              <w:t>N</w:t>
            </w:r>
            <w:r>
              <w:rPr>
                <w:rFonts w:hint="default" w:ascii="Times New Roman" w:hAnsi="Times New Roman" w:eastAsia="宋体" w:cs="Times New Roman"/>
                <w:color w:val="0000FF"/>
                <w:kern w:val="2"/>
                <w:sz w:val="24"/>
                <w:szCs w:val="24"/>
                <w:highlight w:val="none"/>
                <w:lang w:val="en-US" w:eastAsia="zh-CN" w:bidi="ar-SA"/>
              </w:rPr>
              <w:t>=1；36＜K≤220，K</w:t>
            </w:r>
            <w:r>
              <w:rPr>
                <w:rFonts w:hint="default" w:ascii="Times New Roman" w:hAnsi="Times New Roman" w:eastAsia="宋体" w:cs="Times New Roman"/>
                <w:color w:val="0000FF"/>
                <w:kern w:val="2"/>
                <w:sz w:val="24"/>
                <w:szCs w:val="24"/>
                <w:highlight w:val="none"/>
                <w:vertAlign w:val="subscript"/>
                <w:lang w:val="en-US" w:eastAsia="zh-CN" w:bidi="ar-SA"/>
              </w:rPr>
              <w:t>N</w:t>
            </w:r>
            <w:r>
              <w:rPr>
                <w:rFonts w:hint="default" w:ascii="Times New Roman" w:hAnsi="Times New Roman" w:eastAsia="宋体" w:cs="Times New Roman"/>
                <w:color w:val="0000FF"/>
                <w:kern w:val="2"/>
                <w:sz w:val="24"/>
                <w:szCs w:val="24"/>
                <w:highlight w:val="none"/>
                <w:lang w:val="en-US" w:eastAsia="zh-CN" w:bidi="ar-SA"/>
              </w:rPr>
              <w:t>=11.467×K</w:t>
            </w:r>
            <w:r>
              <w:rPr>
                <w:rFonts w:hint="default" w:ascii="Times New Roman" w:hAnsi="Times New Roman" w:eastAsia="宋体" w:cs="Times New Roman"/>
                <w:color w:val="0000FF"/>
                <w:kern w:val="2"/>
                <w:sz w:val="24"/>
                <w:szCs w:val="24"/>
                <w:highlight w:val="none"/>
                <w:vertAlign w:val="superscript"/>
                <w:lang w:val="en-US" w:eastAsia="zh-CN" w:bidi="ar-SA"/>
              </w:rPr>
              <w:t>-0.0726</w:t>
            </w:r>
            <w:r>
              <w:rPr>
                <w:rFonts w:hint="default" w:ascii="Times New Roman" w:hAnsi="Times New Roman" w:eastAsia="宋体" w:cs="Times New Roman"/>
                <w:color w:val="0000FF"/>
                <w:kern w:val="2"/>
                <w:sz w:val="24"/>
                <w:szCs w:val="24"/>
                <w:highlight w:val="none"/>
                <w:lang w:val="en-US" w:eastAsia="zh-CN" w:bidi="ar-SA"/>
              </w:rPr>
              <w:t>；K＞220，K</w:t>
            </w:r>
            <w:r>
              <w:rPr>
                <w:rFonts w:hint="default" w:ascii="Times New Roman" w:hAnsi="Times New Roman" w:eastAsia="宋体" w:cs="Times New Roman"/>
                <w:color w:val="0000FF"/>
                <w:kern w:val="2"/>
                <w:sz w:val="24"/>
                <w:szCs w:val="24"/>
                <w:highlight w:val="none"/>
                <w:vertAlign w:val="subscript"/>
                <w:lang w:val="en-US" w:eastAsia="zh-CN" w:bidi="ar-SA"/>
              </w:rPr>
              <w:t>N</w:t>
            </w:r>
            <w:r>
              <w:rPr>
                <w:rFonts w:hint="default" w:ascii="Times New Roman" w:hAnsi="Times New Roman" w:eastAsia="宋体" w:cs="Times New Roman"/>
                <w:color w:val="0000FF"/>
                <w:kern w:val="2"/>
                <w:sz w:val="24"/>
                <w:szCs w:val="24"/>
                <w:highlight w:val="none"/>
                <w:lang w:val="en-US" w:eastAsia="zh-CN" w:bidi="ar-SA"/>
              </w:rPr>
              <w:t>=0.26；</w:t>
            </w:r>
          </w:p>
          <w:p w14:paraId="4F69D0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right="0" w:firstLine="1200" w:firstLineChars="500"/>
              <w:jc w:val="both"/>
              <w:textAlignment w:val="auto"/>
              <w:outlineLvl w:val="9"/>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color w:val="0000FF"/>
                <w:kern w:val="2"/>
                <w:sz w:val="24"/>
                <w:szCs w:val="24"/>
                <w:highlight w:val="none"/>
                <w:lang w:val="en-US" w:eastAsia="zh-CN" w:bidi="ar-SA"/>
              </w:rPr>
              <w:t>K</w:t>
            </w:r>
            <w:r>
              <w:rPr>
                <w:rFonts w:hint="default" w:ascii="Times New Roman" w:hAnsi="Times New Roman" w:eastAsia="宋体" w:cs="Times New Roman"/>
                <w:color w:val="0000FF"/>
                <w:kern w:val="2"/>
                <w:sz w:val="24"/>
                <w:szCs w:val="24"/>
                <w:highlight w:val="none"/>
                <w:vertAlign w:val="subscript"/>
                <w:lang w:val="en-US" w:eastAsia="zh-CN" w:bidi="ar-SA"/>
              </w:rPr>
              <w:t>C</w:t>
            </w:r>
            <w:r>
              <w:rPr>
                <w:rFonts w:hint="default" w:ascii="Times New Roman" w:hAnsi="Times New Roman" w:eastAsia="宋体" w:cs="Times New Roman"/>
                <w:color w:val="0000FF"/>
                <w:kern w:val="2"/>
                <w:sz w:val="24"/>
                <w:szCs w:val="24"/>
                <w:highlight w:val="none"/>
                <w:lang w:val="en-US" w:eastAsia="zh-CN" w:bidi="ar-SA"/>
              </w:rPr>
              <w:t>-产品因子（石油原油K</w:t>
            </w:r>
            <w:r>
              <w:rPr>
                <w:rFonts w:hint="default" w:ascii="Times New Roman" w:hAnsi="Times New Roman" w:eastAsia="宋体" w:cs="Times New Roman"/>
                <w:color w:val="0000FF"/>
                <w:kern w:val="2"/>
                <w:sz w:val="24"/>
                <w:szCs w:val="24"/>
                <w:highlight w:val="none"/>
                <w:vertAlign w:val="subscript"/>
                <w:lang w:val="en-US" w:eastAsia="zh-CN" w:bidi="ar-SA"/>
              </w:rPr>
              <w:t>C</w:t>
            </w:r>
            <w:r>
              <w:rPr>
                <w:rFonts w:hint="default" w:ascii="Times New Roman" w:hAnsi="Times New Roman" w:eastAsia="宋体" w:cs="Times New Roman"/>
                <w:color w:val="0000FF"/>
                <w:kern w:val="2"/>
                <w:sz w:val="24"/>
                <w:szCs w:val="24"/>
                <w:highlight w:val="none"/>
                <w:lang w:val="en-US" w:eastAsia="zh-CN" w:bidi="ar-SA"/>
              </w:rPr>
              <w:t>取0.65，其他的有机液体取1.0）。</w:t>
            </w:r>
          </w:p>
          <w:p w14:paraId="42D087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right="0"/>
              <w:jc w:val="both"/>
              <w:textAlignment w:val="auto"/>
              <w:outlineLvl w:val="9"/>
              <w:rPr>
                <w:rFonts w:hint="default"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en-US" w:eastAsia="zh-CN" w:bidi="ar-SA"/>
              </w:rPr>
              <w:t>经计算，硝酸储罐大呼吸产生的无组织排放量为6.6×10</w:t>
            </w:r>
            <w:r>
              <w:rPr>
                <w:rFonts w:hint="eastAsia" w:ascii="Times New Roman" w:hAnsi="Times New Roman" w:eastAsia="宋体" w:cs="Times New Roman"/>
                <w:color w:val="0000FF"/>
                <w:kern w:val="2"/>
                <w:sz w:val="24"/>
                <w:szCs w:val="24"/>
                <w:highlight w:val="none"/>
                <w:vertAlign w:val="superscript"/>
                <w:lang w:val="en-US" w:eastAsia="zh-CN" w:bidi="ar-SA"/>
              </w:rPr>
              <w:t>-5</w:t>
            </w:r>
            <w:r>
              <w:rPr>
                <w:rFonts w:hint="eastAsia" w:ascii="Times New Roman" w:hAnsi="Times New Roman" w:eastAsia="宋体" w:cs="Times New Roman"/>
                <w:color w:val="0000FF"/>
                <w:kern w:val="2"/>
                <w:sz w:val="24"/>
                <w:szCs w:val="24"/>
                <w:highlight w:val="none"/>
                <w:lang w:val="en-US" w:eastAsia="zh-CN" w:bidi="ar-SA"/>
              </w:rPr>
              <w:t>t/a，年产生小时数以600h计，则产生速率为0.00011kg/h。</w:t>
            </w:r>
          </w:p>
          <w:p w14:paraId="0987CBEB">
            <w:pPr>
              <w:widowControl/>
              <w:spacing w:line="360" w:lineRule="auto"/>
              <w:jc w:val="left"/>
              <w:rPr>
                <w:b/>
                <w:bCs/>
                <w:color w:val="0000F7"/>
                <w:sz w:val="24"/>
              </w:rPr>
            </w:pPr>
            <w:r>
              <w:rPr>
                <w:rFonts w:hint="eastAsia" w:cs="Times New Roman"/>
                <w:b/>
                <w:bCs/>
                <w:color w:val="0000F7"/>
                <w:kern w:val="0"/>
                <w:sz w:val="24"/>
                <w:szCs w:val="24"/>
                <w:lang w:val="en-US" w:eastAsia="zh-CN" w:bidi="ar"/>
              </w:rPr>
              <w:t>1</w:t>
            </w:r>
            <w:r>
              <w:rPr>
                <w:rFonts w:hint="default" w:ascii="Times New Roman" w:hAnsi="Times New Roman" w:eastAsia="宋体" w:cs="Times New Roman"/>
                <w:b/>
                <w:bCs/>
                <w:color w:val="0000F7"/>
                <w:kern w:val="0"/>
                <w:sz w:val="24"/>
                <w:szCs w:val="24"/>
                <w:lang w:val="en-US" w:eastAsia="zh-CN" w:bidi="ar"/>
              </w:rPr>
              <w:t>.</w:t>
            </w:r>
            <w:r>
              <w:rPr>
                <w:rFonts w:hint="eastAsia" w:cs="Times New Roman"/>
                <w:b/>
                <w:bCs/>
                <w:color w:val="0000F7"/>
                <w:kern w:val="0"/>
                <w:sz w:val="24"/>
                <w:szCs w:val="24"/>
                <w:lang w:val="en-US" w:eastAsia="zh-CN" w:bidi="ar"/>
              </w:rPr>
              <w:t>2</w:t>
            </w:r>
            <w:r>
              <w:rPr>
                <w:b/>
                <w:bCs/>
                <w:color w:val="0000F7"/>
                <w:sz w:val="24"/>
              </w:rPr>
              <w:t>非正常工况</w:t>
            </w:r>
          </w:p>
          <w:p w14:paraId="0D7037EE">
            <w:pPr>
              <w:widowControl/>
              <w:spacing w:line="360" w:lineRule="auto"/>
              <w:ind w:firstLine="480" w:firstLineChars="200"/>
              <w:jc w:val="left"/>
              <w:rPr>
                <w:rFonts w:hint="eastAsia"/>
                <w:color w:val="0000F7"/>
                <w:sz w:val="24"/>
                <w:lang w:eastAsia="zh-CN"/>
              </w:rPr>
            </w:pPr>
            <w:r>
              <w:rPr>
                <w:color w:val="0000F7"/>
                <w:sz w:val="24"/>
              </w:rPr>
              <w:t>根据《环境影响评价技术导则</w:t>
            </w:r>
            <w:r>
              <w:rPr>
                <w:rFonts w:hint="eastAsia"/>
                <w:color w:val="0000F7"/>
                <w:sz w:val="24"/>
                <w:lang w:val="en-US" w:eastAsia="zh-CN"/>
              </w:rPr>
              <w:t xml:space="preserve"> </w:t>
            </w:r>
            <w:r>
              <w:rPr>
                <w:color w:val="0000F7"/>
                <w:sz w:val="24"/>
              </w:rPr>
              <w:t>大气环境》（HJ2.2-2018），非正常排放</w:t>
            </w:r>
            <w:r>
              <w:rPr>
                <w:rFonts w:hint="eastAsia"/>
                <w:color w:val="0000F7"/>
                <w:sz w:val="24"/>
                <w:lang w:eastAsia="zh-CN"/>
              </w:rPr>
              <w:t>指生产过程中开停车（工、炉）、设备检修、工艺设备运转异常等非正常工况下的污染物排放，以及污染物排放控制措施达不到应有效率等情况下的排放</w:t>
            </w:r>
            <w:r>
              <w:rPr>
                <w:color w:val="0000F7"/>
                <w:sz w:val="24"/>
              </w:rPr>
              <w:t>，本项目废气污染物产生情况及排放情况</w:t>
            </w:r>
            <w:r>
              <w:rPr>
                <w:rFonts w:hint="eastAsia"/>
                <w:color w:val="0000F7"/>
                <w:sz w:val="24"/>
                <w:lang w:eastAsia="zh-CN"/>
              </w:rPr>
              <w:t>。</w:t>
            </w:r>
          </w:p>
          <w:p w14:paraId="40EBF8B7">
            <w:pPr>
              <w:widowControl/>
              <w:spacing w:line="360" w:lineRule="auto"/>
              <w:ind w:firstLine="480" w:firstLineChars="200"/>
              <w:jc w:val="left"/>
              <w:rPr>
                <w:color w:val="0000F7"/>
                <w:sz w:val="24"/>
              </w:rPr>
            </w:pPr>
            <w:r>
              <w:rPr>
                <w:rFonts w:hint="eastAsia"/>
                <w:color w:val="0000F7"/>
                <w:sz w:val="24"/>
                <w:lang w:eastAsia="zh-CN"/>
              </w:rPr>
              <w:t>因本项目为硝酸储罐扩建项目，</w:t>
            </w:r>
            <w:r>
              <w:rPr>
                <w:rFonts w:hint="eastAsia" w:cs="Times New Roman"/>
                <w:b w:val="0"/>
                <w:bCs w:val="0"/>
                <w:color w:val="0000F7"/>
                <w:spacing w:val="0"/>
                <w:kern w:val="2"/>
                <w:sz w:val="24"/>
                <w:szCs w:val="24"/>
                <w:highlight w:val="none"/>
                <w:lang w:val="en-US" w:eastAsia="zh-CN" w:bidi="ar-SA"/>
              </w:rPr>
              <w:t>在已建的2座硝酸储罐（硝酸储罐B、C）的基础上，再新建设2座硝酸储罐（硝酸储罐A、D），根据新疆金象赛瑞化工科技有限公司自行监测报告，厂界氮氧化物最大浓度为0.022</w:t>
            </w:r>
            <w:r>
              <w:rPr>
                <w:rFonts w:hint="eastAsia" w:ascii="Times New Roman" w:hAnsi="Times New Roman" w:eastAsia="宋体" w:cs="Times New Roman"/>
                <w:color w:val="0000F7"/>
                <w:highlight w:val="none"/>
                <w:lang w:val="en-US" w:eastAsia="zh-CN"/>
              </w:rPr>
              <w:t>mg/m</w:t>
            </w:r>
            <w:r>
              <w:rPr>
                <w:rFonts w:hint="eastAsia" w:ascii="Times New Roman" w:hAnsi="Times New Roman" w:eastAsia="宋体" w:cs="Times New Roman"/>
                <w:color w:val="0000F7"/>
                <w:highlight w:val="none"/>
                <w:vertAlign w:val="superscript"/>
                <w:lang w:val="en-US" w:eastAsia="zh-CN"/>
              </w:rPr>
              <w:t>3</w:t>
            </w:r>
            <w:r>
              <w:rPr>
                <w:rFonts w:hint="eastAsia" w:cs="Times New Roman"/>
                <w:b w:val="0"/>
                <w:bCs w:val="0"/>
                <w:color w:val="0000F7"/>
                <w:spacing w:val="0"/>
                <w:kern w:val="2"/>
                <w:sz w:val="24"/>
                <w:szCs w:val="24"/>
                <w:highlight w:val="none"/>
                <w:lang w:val="en-US" w:eastAsia="zh-CN" w:bidi="ar-SA"/>
              </w:rPr>
              <w:t>，</w:t>
            </w:r>
            <w:r>
              <w:rPr>
                <w:rFonts w:hint="eastAsia" w:ascii="Times New Roman" w:hAnsi="Times New Roman" w:eastAsia="宋体" w:cs="Times New Roman"/>
                <w:color w:val="0000F7"/>
                <w:kern w:val="2"/>
                <w:sz w:val="24"/>
                <w:szCs w:val="24"/>
                <w:highlight w:val="none"/>
                <w:lang w:val="en-US" w:eastAsia="zh-CN" w:bidi="ar-SA"/>
              </w:rPr>
              <w:t>满足《硝酸工业污染物排放标准》（GB26131-2010）表7</w:t>
            </w:r>
            <w:r>
              <w:rPr>
                <w:rFonts w:hint="eastAsia" w:cs="Times New Roman"/>
                <w:color w:val="0000F7"/>
                <w:highlight w:val="none"/>
                <w:lang w:eastAsia="zh-CN"/>
              </w:rPr>
              <w:t>中企业边界大气污染物浓度限值标准（</w:t>
            </w:r>
            <w:r>
              <w:rPr>
                <w:rFonts w:hint="eastAsia" w:cs="Times New Roman"/>
                <w:color w:val="0000F7"/>
                <w:highlight w:val="none"/>
                <w:lang w:val="en-US" w:eastAsia="zh-CN"/>
              </w:rPr>
              <w:t>0.24</w:t>
            </w:r>
            <w:r>
              <w:rPr>
                <w:rFonts w:hint="eastAsia" w:ascii="Times New Roman" w:hAnsi="Times New Roman" w:eastAsia="宋体" w:cs="Times New Roman"/>
                <w:color w:val="0000F7"/>
                <w:kern w:val="2"/>
                <w:sz w:val="24"/>
                <w:szCs w:val="24"/>
                <w:highlight w:val="none"/>
                <w:lang w:val="en-US" w:eastAsia="zh-CN" w:bidi="ar-SA"/>
              </w:rPr>
              <w:t>mg/m</w:t>
            </w:r>
            <w:r>
              <w:rPr>
                <w:rFonts w:hint="eastAsia" w:ascii="Times New Roman" w:hAnsi="Times New Roman" w:eastAsia="宋体" w:cs="Times New Roman"/>
                <w:color w:val="0000F7"/>
                <w:kern w:val="2"/>
                <w:sz w:val="24"/>
                <w:szCs w:val="24"/>
                <w:highlight w:val="none"/>
                <w:vertAlign w:val="superscript"/>
                <w:lang w:val="en-US" w:eastAsia="zh-CN" w:bidi="ar-SA"/>
              </w:rPr>
              <w:t>3</w:t>
            </w:r>
            <w:r>
              <w:rPr>
                <w:rFonts w:hint="eastAsia" w:cs="Times New Roman"/>
                <w:color w:val="0000F7"/>
                <w:highlight w:val="none"/>
                <w:lang w:eastAsia="zh-CN"/>
              </w:rPr>
              <w:t>）。非正常工况</w:t>
            </w:r>
            <w:r>
              <w:rPr>
                <w:color w:val="0000F7"/>
                <w:sz w:val="24"/>
              </w:rPr>
              <w:t>具体见表4-</w:t>
            </w:r>
            <w:r>
              <w:rPr>
                <w:rFonts w:hint="eastAsia"/>
                <w:color w:val="0000F7"/>
                <w:sz w:val="24"/>
                <w:lang w:val="en-US" w:eastAsia="zh-CN"/>
              </w:rPr>
              <w:t>2</w:t>
            </w:r>
            <w:r>
              <w:rPr>
                <w:color w:val="0000F7"/>
                <w:sz w:val="24"/>
              </w:rPr>
              <w:t>。</w:t>
            </w:r>
          </w:p>
          <w:p w14:paraId="69B2BA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0" w:firstLineChars="0"/>
              <w:jc w:val="center"/>
              <w:textAlignment w:val="auto"/>
              <w:outlineLvl w:val="9"/>
              <w:rPr>
                <w:rFonts w:hint="eastAsia" w:ascii="宋体" w:hAnsi="宋体" w:eastAsia="宋体" w:cs="宋体"/>
                <w:b/>
                <w:bCs/>
                <w:color w:val="0000F7"/>
                <w:kern w:val="0"/>
                <w:sz w:val="21"/>
                <w:szCs w:val="21"/>
                <w:lang w:val="en-US" w:eastAsia="zh-CN" w:bidi="ar"/>
              </w:rPr>
            </w:pPr>
            <w:r>
              <w:rPr>
                <w:rFonts w:hint="eastAsia" w:ascii="宋体" w:hAnsi="宋体" w:eastAsia="宋体" w:cs="宋体"/>
                <w:b/>
                <w:bCs/>
                <w:color w:val="0000F7"/>
                <w:kern w:val="0"/>
                <w:sz w:val="21"/>
                <w:szCs w:val="21"/>
                <w:lang w:val="en-US" w:eastAsia="zh-CN" w:bidi="ar"/>
              </w:rPr>
              <w:t>表4-2  本项目无组织废气排放情况表</w:t>
            </w:r>
          </w:p>
          <w:tbl>
            <w:tblPr>
              <w:tblStyle w:val="22"/>
              <w:tblW w:w="480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42"/>
              <w:gridCol w:w="1146"/>
              <w:gridCol w:w="1026"/>
              <w:gridCol w:w="1106"/>
              <w:gridCol w:w="1453"/>
              <w:gridCol w:w="705"/>
              <w:gridCol w:w="678"/>
              <w:gridCol w:w="675"/>
            </w:tblGrid>
            <w:tr w14:paraId="46FA10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73" w:type="pct"/>
                  <w:vMerge w:val="restart"/>
                  <w:tcBorders>
                    <w:tl2br w:val="nil"/>
                    <w:tr2bl w:val="nil"/>
                  </w:tcBorders>
                  <w:vAlign w:val="center"/>
                </w:tcPr>
                <w:p w14:paraId="704E05FD">
                  <w:pPr>
                    <w:pStyle w:val="34"/>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rFonts w:ascii="Times New Roman" w:hAnsi="Times New Roman" w:cs="Times New Roman"/>
                      <w:b/>
                      <w:bCs/>
                      <w:color w:val="0000F7"/>
                      <w:szCs w:val="21"/>
                    </w:rPr>
                  </w:pPr>
                  <w:r>
                    <w:rPr>
                      <w:rFonts w:ascii="Times New Roman" w:hAnsi="Times New Roman" w:cs="Times New Roman"/>
                      <w:b/>
                      <w:bCs/>
                      <w:color w:val="0000F7"/>
                      <w:szCs w:val="21"/>
                    </w:rPr>
                    <w:t>污染源</w:t>
                  </w:r>
                </w:p>
              </w:tc>
              <w:tc>
                <w:tcPr>
                  <w:tcW w:w="713" w:type="pct"/>
                  <w:vMerge w:val="restart"/>
                  <w:tcBorders>
                    <w:tl2br w:val="nil"/>
                    <w:tr2bl w:val="nil"/>
                  </w:tcBorders>
                  <w:vAlign w:val="center"/>
                </w:tcPr>
                <w:p w14:paraId="2CF2F701">
                  <w:pPr>
                    <w:pStyle w:val="34"/>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rFonts w:hint="eastAsia" w:ascii="Times New Roman" w:hAnsi="Times New Roman" w:eastAsia="宋体" w:cs="Times New Roman"/>
                      <w:b/>
                      <w:bCs/>
                      <w:color w:val="0000F7"/>
                      <w:szCs w:val="21"/>
                      <w:lang w:eastAsia="zh-CN"/>
                    </w:rPr>
                  </w:pPr>
                  <w:r>
                    <w:rPr>
                      <w:rFonts w:hint="eastAsia" w:ascii="Times New Roman" w:hAnsi="Times New Roman" w:cs="Times New Roman"/>
                      <w:b/>
                      <w:bCs/>
                      <w:color w:val="0000F7"/>
                      <w:szCs w:val="21"/>
                      <w:lang w:eastAsia="zh-CN"/>
                    </w:rPr>
                    <w:t>污染物</w:t>
                  </w:r>
                </w:p>
              </w:tc>
              <w:tc>
                <w:tcPr>
                  <w:tcW w:w="638" w:type="pct"/>
                  <w:vMerge w:val="restart"/>
                  <w:tcBorders>
                    <w:tl2br w:val="nil"/>
                    <w:tr2bl w:val="nil"/>
                  </w:tcBorders>
                  <w:vAlign w:val="center"/>
                </w:tcPr>
                <w:p w14:paraId="2D915790">
                  <w:pPr>
                    <w:pStyle w:val="34"/>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rFonts w:ascii="Times New Roman" w:hAnsi="Times New Roman" w:cs="Times New Roman"/>
                      <w:b/>
                      <w:bCs/>
                      <w:color w:val="0000F7"/>
                      <w:szCs w:val="21"/>
                    </w:rPr>
                  </w:pPr>
                  <w:r>
                    <w:rPr>
                      <w:rFonts w:ascii="Times New Roman" w:hAnsi="Times New Roman" w:cs="Times New Roman"/>
                      <w:b/>
                      <w:bCs/>
                      <w:color w:val="0000F7"/>
                      <w:szCs w:val="21"/>
                    </w:rPr>
                    <w:t>排放方式</w:t>
                  </w:r>
                </w:p>
              </w:tc>
              <w:tc>
                <w:tcPr>
                  <w:tcW w:w="688" w:type="pct"/>
                  <w:vMerge w:val="restart"/>
                  <w:tcBorders>
                    <w:tl2br w:val="nil"/>
                    <w:tr2bl w:val="nil"/>
                  </w:tcBorders>
                  <w:vAlign w:val="center"/>
                </w:tcPr>
                <w:p w14:paraId="4260E438">
                  <w:pPr>
                    <w:pStyle w:val="34"/>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rFonts w:ascii="Times New Roman" w:hAnsi="Times New Roman" w:cs="Times New Roman"/>
                      <w:b/>
                      <w:bCs/>
                      <w:color w:val="0000F7"/>
                      <w:szCs w:val="21"/>
                    </w:rPr>
                  </w:pPr>
                  <w:r>
                    <w:rPr>
                      <w:rFonts w:hint="eastAsia" w:ascii="Times New Roman" w:hAnsi="Times New Roman" w:cs="Times New Roman"/>
                      <w:b/>
                      <w:bCs/>
                      <w:color w:val="0000F7"/>
                      <w:szCs w:val="21"/>
                      <w:lang w:eastAsia="zh-CN"/>
                    </w:rPr>
                    <w:t>排放浓度</w:t>
                  </w:r>
                </w:p>
                <w:p w14:paraId="6F86F52B">
                  <w:pPr>
                    <w:pStyle w:val="34"/>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rFonts w:ascii="Times New Roman" w:hAnsi="Times New Roman" w:cs="Times New Roman"/>
                      <w:b/>
                      <w:bCs/>
                      <w:color w:val="0000F7"/>
                      <w:szCs w:val="21"/>
                    </w:rPr>
                  </w:pPr>
                  <w:r>
                    <w:rPr>
                      <w:rFonts w:hint="eastAsia" w:ascii="Times New Roman" w:hAnsi="Times New Roman" w:cs="Times New Roman"/>
                      <w:b/>
                      <w:bCs/>
                      <w:color w:val="0000F7"/>
                      <w:sz w:val="24"/>
                      <w:szCs w:val="24"/>
                      <w:lang w:val="en-US" w:eastAsia="zh-CN"/>
                    </w:rPr>
                    <w:t>（</w:t>
                  </w:r>
                  <w:r>
                    <w:rPr>
                      <w:rFonts w:hint="eastAsia" w:ascii="Times New Roman" w:hAnsi="Times New Roman" w:eastAsia="宋体" w:cs="Times New Roman"/>
                      <w:b/>
                      <w:bCs/>
                      <w:color w:val="0000F7"/>
                      <w:sz w:val="24"/>
                      <w:szCs w:val="24"/>
                      <w:lang w:val="en-US" w:eastAsia="zh-CN"/>
                    </w:rPr>
                    <w:t>mg/m</w:t>
                  </w:r>
                  <w:r>
                    <w:rPr>
                      <w:rFonts w:hint="eastAsia" w:ascii="Times New Roman" w:hAnsi="Times New Roman" w:eastAsia="宋体" w:cs="Times New Roman"/>
                      <w:b/>
                      <w:bCs/>
                      <w:color w:val="0000F7"/>
                      <w:sz w:val="24"/>
                      <w:szCs w:val="24"/>
                      <w:vertAlign w:val="superscript"/>
                      <w:lang w:val="en-US" w:eastAsia="zh-CN"/>
                    </w:rPr>
                    <w:t>3</w:t>
                  </w:r>
                  <w:r>
                    <w:rPr>
                      <w:rFonts w:hint="eastAsia" w:ascii="Times New Roman" w:hAnsi="Times New Roman" w:cs="Times New Roman"/>
                      <w:b/>
                      <w:bCs/>
                      <w:color w:val="0000F7"/>
                      <w:sz w:val="24"/>
                      <w:szCs w:val="24"/>
                      <w:lang w:val="en-US" w:eastAsia="zh-CN"/>
                    </w:rPr>
                    <w:t>）</w:t>
                  </w:r>
                </w:p>
              </w:tc>
              <w:tc>
                <w:tcPr>
                  <w:tcW w:w="904" w:type="pct"/>
                  <w:vMerge w:val="restart"/>
                  <w:tcBorders>
                    <w:tl2br w:val="nil"/>
                    <w:tr2bl w:val="nil"/>
                  </w:tcBorders>
                  <w:vAlign w:val="center"/>
                </w:tcPr>
                <w:p w14:paraId="749C8102">
                  <w:pPr>
                    <w:pStyle w:val="34"/>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rFonts w:ascii="Times New Roman" w:hAnsi="Times New Roman" w:cs="Times New Roman"/>
                      <w:b/>
                      <w:bCs/>
                      <w:color w:val="0000F7"/>
                      <w:szCs w:val="21"/>
                    </w:rPr>
                  </w:pPr>
                  <w:r>
                    <w:rPr>
                      <w:rFonts w:ascii="Times New Roman" w:hAnsi="Times New Roman" w:cs="Times New Roman"/>
                      <w:b/>
                      <w:bCs/>
                      <w:color w:val="0000F7"/>
                      <w:szCs w:val="21"/>
                    </w:rPr>
                    <w:t>排放标准</w:t>
                  </w:r>
                </w:p>
                <w:p w14:paraId="17E93A85">
                  <w:pPr>
                    <w:pStyle w:val="34"/>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rFonts w:ascii="Times New Roman" w:hAnsi="Times New Roman" w:cs="Times New Roman"/>
                      <w:b/>
                      <w:bCs/>
                      <w:color w:val="0000F7"/>
                      <w:szCs w:val="21"/>
                    </w:rPr>
                  </w:pPr>
                  <w:r>
                    <w:rPr>
                      <w:rFonts w:hint="eastAsia" w:ascii="Times New Roman" w:hAnsi="Times New Roman" w:cs="Times New Roman"/>
                      <w:b/>
                      <w:bCs/>
                      <w:color w:val="0000F7"/>
                      <w:sz w:val="24"/>
                      <w:szCs w:val="24"/>
                      <w:lang w:val="en-US" w:eastAsia="zh-CN"/>
                    </w:rPr>
                    <w:t>（</w:t>
                  </w:r>
                  <w:r>
                    <w:rPr>
                      <w:rFonts w:hint="eastAsia" w:ascii="Times New Roman" w:hAnsi="Times New Roman" w:eastAsia="宋体" w:cs="Times New Roman"/>
                      <w:b/>
                      <w:bCs/>
                      <w:color w:val="0000F7"/>
                      <w:sz w:val="24"/>
                      <w:szCs w:val="24"/>
                      <w:lang w:val="en-US" w:eastAsia="zh-CN"/>
                    </w:rPr>
                    <w:t>mg/m</w:t>
                  </w:r>
                  <w:r>
                    <w:rPr>
                      <w:rFonts w:hint="eastAsia" w:ascii="Times New Roman" w:hAnsi="Times New Roman" w:eastAsia="宋体" w:cs="Times New Roman"/>
                      <w:b/>
                      <w:bCs/>
                      <w:color w:val="0000F7"/>
                      <w:sz w:val="24"/>
                      <w:szCs w:val="24"/>
                      <w:vertAlign w:val="superscript"/>
                      <w:lang w:val="en-US" w:eastAsia="zh-CN"/>
                    </w:rPr>
                    <w:t>3</w:t>
                  </w:r>
                  <w:r>
                    <w:rPr>
                      <w:rFonts w:hint="eastAsia" w:ascii="Times New Roman" w:hAnsi="Times New Roman" w:cs="Times New Roman"/>
                      <w:b/>
                      <w:bCs/>
                      <w:color w:val="0000F7"/>
                      <w:sz w:val="24"/>
                      <w:szCs w:val="24"/>
                      <w:lang w:val="en-US" w:eastAsia="zh-CN"/>
                    </w:rPr>
                    <w:t>）</w:t>
                  </w:r>
                </w:p>
              </w:tc>
              <w:tc>
                <w:tcPr>
                  <w:tcW w:w="438" w:type="pct"/>
                  <w:vMerge w:val="restart"/>
                  <w:tcBorders>
                    <w:tl2br w:val="nil"/>
                    <w:tr2bl w:val="nil"/>
                  </w:tcBorders>
                  <w:vAlign w:val="center"/>
                </w:tcPr>
                <w:p w14:paraId="58576998">
                  <w:pPr>
                    <w:pStyle w:val="34"/>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rFonts w:ascii="Times New Roman" w:hAnsi="Times New Roman" w:cs="Times New Roman"/>
                      <w:b/>
                      <w:bCs/>
                      <w:color w:val="0000F7"/>
                      <w:szCs w:val="21"/>
                    </w:rPr>
                  </w:pPr>
                  <w:r>
                    <w:rPr>
                      <w:rFonts w:ascii="Times New Roman" w:hAnsi="Times New Roman" w:cs="Times New Roman"/>
                      <w:b/>
                      <w:bCs/>
                      <w:color w:val="0000F7"/>
                      <w:szCs w:val="21"/>
                    </w:rPr>
                    <w:t>达标情况</w:t>
                  </w:r>
                </w:p>
              </w:tc>
              <w:tc>
                <w:tcPr>
                  <w:tcW w:w="422" w:type="pct"/>
                  <w:vMerge w:val="restart"/>
                  <w:tcBorders>
                    <w:tl2br w:val="nil"/>
                    <w:tr2bl w:val="nil"/>
                  </w:tcBorders>
                  <w:vAlign w:val="center"/>
                </w:tcPr>
                <w:p w14:paraId="5DEF25A2">
                  <w:pPr>
                    <w:pStyle w:val="34"/>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rFonts w:ascii="Times New Roman" w:hAnsi="Times New Roman" w:cs="Times New Roman"/>
                      <w:b/>
                      <w:bCs/>
                      <w:color w:val="0000F7"/>
                      <w:szCs w:val="21"/>
                    </w:rPr>
                  </w:pPr>
                  <w:r>
                    <w:rPr>
                      <w:rFonts w:ascii="Times New Roman" w:hAnsi="Times New Roman" w:cs="Times New Roman"/>
                      <w:b/>
                      <w:bCs/>
                      <w:color w:val="0000F7"/>
                      <w:szCs w:val="21"/>
                    </w:rPr>
                    <w:t>持续时间</w:t>
                  </w:r>
                </w:p>
              </w:tc>
              <w:tc>
                <w:tcPr>
                  <w:tcW w:w="420" w:type="pct"/>
                  <w:vMerge w:val="restart"/>
                  <w:tcBorders>
                    <w:tl2br w:val="nil"/>
                    <w:tr2bl w:val="nil"/>
                  </w:tcBorders>
                  <w:vAlign w:val="center"/>
                </w:tcPr>
                <w:p w14:paraId="45E60427">
                  <w:pPr>
                    <w:pStyle w:val="34"/>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rFonts w:ascii="Times New Roman" w:hAnsi="Times New Roman" w:cs="Times New Roman"/>
                      <w:b/>
                      <w:bCs/>
                      <w:color w:val="0000F7"/>
                      <w:szCs w:val="21"/>
                    </w:rPr>
                  </w:pPr>
                  <w:r>
                    <w:rPr>
                      <w:rFonts w:ascii="Times New Roman" w:hAnsi="Times New Roman" w:cs="Times New Roman"/>
                      <w:b/>
                      <w:bCs/>
                      <w:color w:val="0000F7"/>
                      <w:szCs w:val="21"/>
                    </w:rPr>
                    <w:t>发生频次</w:t>
                  </w:r>
                </w:p>
              </w:tc>
            </w:tr>
            <w:tr w14:paraId="60AF6D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73" w:type="pct"/>
                  <w:vMerge w:val="continue"/>
                  <w:tcBorders>
                    <w:bottom w:val="single" w:color="000000" w:sz="12" w:space="0"/>
                    <w:tl2br w:val="nil"/>
                    <w:tr2bl w:val="nil"/>
                  </w:tcBorders>
                  <w:vAlign w:val="center"/>
                </w:tcPr>
                <w:p w14:paraId="54DF062C">
                  <w:pPr>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color w:val="0000F7"/>
                      <w:szCs w:val="21"/>
                    </w:rPr>
                  </w:pPr>
                </w:p>
              </w:tc>
              <w:tc>
                <w:tcPr>
                  <w:tcW w:w="713" w:type="pct"/>
                  <w:vMerge w:val="continue"/>
                  <w:tcBorders>
                    <w:bottom w:val="single" w:color="000000" w:sz="12" w:space="0"/>
                    <w:tl2br w:val="nil"/>
                    <w:tr2bl w:val="nil"/>
                  </w:tcBorders>
                  <w:vAlign w:val="center"/>
                </w:tcPr>
                <w:p w14:paraId="201AE2B3">
                  <w:pPr>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color w:val="0000F7"/>
                      <w:szCs w:val="21"/>
                    </w:rPr>
                  </w:pPr>
                </w:p>
              </w:tc>
              <w:tc>
                <w:tcPr>
                  <w:tcW w:w="638" w:type="pct"/>
                  <w:vMerge w:val="continue"/>
                  <w:tcBorders>
                    <w:bottom w:val="single" w:color="000000" w:sz="12" w:space="0"/>
                    <w:tl2br w:val="nil"/>
                    <w:tr2bl w:val="nil"/>
                  </w:tcBorders>
                  <w:vAlign w:val="center"/>
                </w:tcPr>
                <w:p w14:paraId="3E0A3A33">
                  <w:pPr>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color w:val="0000F7"/>
                      <w:szCs w:val="21"/>
                    </w:rPr>
                  </w:pPr>
                </w:p>
              </w:tc>
              <w:tc>
                <w:tcPr>
                  <w:tcW w:w="688" w:type="pct"/>
                  <w:vMerge w:val="continue"/>
                  <w:tcBorders>
                    <w:bottom w:val="single" w:color="000000" w:sz="12" w:space="0"/>
                    <w:tl2br w:val="nil"/>
                    <w:tr2bl w:val="nil"/>
                  </w:tcBorders>
                  <w:vAlign w:val="center"/>
                </w:tcPr>
                <w:p w14:paraId="15BF2C22">
                  <w:pPr>
                    <w:pStyle w:val="34"/>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rFonts w:ascii="Times New Roman" w:hAnsi="Times New Roman" w:cs="Times New Roman"/>
                      <w:b/>
                      <w:bCs/>
                      <w:color w:val="0000F7"/>
                      <w:szCs w:val="21"/>
                    </w:rPr>
                  </w:pPr>
                </w:p>
              </w:tc>
              <w:tc>
                <w:tcPr>
                  <w:tcW w:w="904" w:type="pct"/>
                  <w:vMerge w:val="continue"/>
                  <w:tcBorders>
                    <w:bottom w:val="single" w:color="000000" w:sz="12" w:space="0"/>
                    <w:tl2br w:val="nil"/>
                    <w:tr2bl w:val="nil"/>
                  </w:tcBorders>
                  <w:vAlign w:val="center"/>
                </w:tcPr>
                <w:p w14:paraId="74BA29FC">
                  <w:pPr>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color w:val="0000F7"/>
                      <w:szCs w:val="21"/>
                    </w:rPr>
                  </w:pPr>
                </w:p>
              </w:tc>
              <w:tc>
                <w:tcPr>
                  <w:tcW w:w="438" w:type="pct"/>
                  <w:vMerge w:val="continue"/>
                  <w:tcBorders>
                    <w:bottom w:val="single" w:color="000000" w:sz="12" w:space="0"/>
                    <w:tl2br w:val="nil"/>
                    <w:tr2bl w:val="nil"/>
                  </w:tcBorders>
                  <w:vAlign w:val="center"/>
                </w:tcPr>
                <w:p w14:paraId="2F4D3A87">
                  <w:pPr>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color w:val="0000F7"/>
                      <w:szCs w:val="21"/>
                    </w:rPr>
                  </w:pPr>
                </w:p>
              </w:tc>
              <w:tc>
                <w:tcPr>
                  <w:tcW w:w="422" w:type="pct"/>
                  <w:vMerge w:val="continue"/>
                  <w:tcBorders>
                    <w:bottom w:val="single" w:color="000000" w:sz="12" w:space="0"/>
                    <w:tl2br w:val="nil"/>
                    <w:tr2bl w:val="nil"/>
                  </w:tcBorders>
                  <w:vAlign w:val="center"/>
                </w:tcPr>
                <w:p w14:paraId="5D18C6A4">
                  <w:pPr>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color w:val="0000F7"/>
                      <w:szCs w:val="21"/>
                    </w:rPr>
                  </w:pPr>
                </w:p>
              </w:tc>
              <w:tc>
                <w:tcPr>
                  <w:tcW w:w="420" w:type="pct"/>
                  <w:vMerge w:val="continue"/>
                  <w:tcBorders>
                    <w:bottom w:val="single" w:color="000000" w:sz="12" w:space="0"/>
                    <w:tl2br w:val="nil"/>
                    <w:tr2bl w:val="nil"/>
                  </w:tcBorders>
                  <w:vAlign w:val="center"/>
                </w:tcPr>
                <w:p w14:paraId="00B8B552">
                  <w:pPr>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color w:val="0000F7"/>
                      <w:szCs w:val="21"/>
                    </w:rPr>
                  </w:pPr>
                </w:p>
              </w:tc>
            </w:tr>
            <w:tr w14:paraId="5BAD73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80" w:hRule="atLeast"/>
                <w:jc w:val="center"/>
              </w:trPr>
              <w:tc>
                <w:tcPr>
                  <w:tcW w:w="773" w:type="pct"/>
                  <w:vAlign w:val="center"/>
                </w:tcPr>
                <w:p w14:paraId="61FD26B9">
                  <w:pPr>
                    <w:pStyle w:val="6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F7"/>
                      <w:sz w:val="21"/>
                      <w:szCs w:val="21"/>
                      <w:highlight w:val="none"/>
                      <w:lang w:eastAsia="zh-CN"/>
                    </w:rPr>
                  </w:pPr>
                  <w:r>
                    <w:rPr>
                      <w:rFonts w:hint="eastAsia" w:ascii="Times New Roman" w:hAnsi="Times New Roman" w:eastAsia="宋体" w:cs="Times New Roman"/>
                      <w:color w:val="0000F7"/>
                      <w:sz w:val="21"/>
                      <w:szCs w:val="21"/>
                      <w:highlight w:val="none"/>
                      <w:lang w:eastAsia="zh-CN"/>
                    </w:rPr>
                    <w:t>硝酸储罐</w:t>
                  </w:r>
                </w:p>
              </w:tc>
              <w:tc>
                <w:tcPr>
                  <w:tcW w:w="713" w:type="pct"/>
                  <w:vAlign w:val="center"/>
                </w:tcPr>
                <w:p w14:paraId="2B2AD440">
                  <w:pPr>
                    <w:pStyle w:val="6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F7"/>
                      <w:sz w:val="21"/>
                      <w:szCs w:val="21"/>
                      <w:highlight w:val="none"/>
                      <w:lang w:eastAsia="zh-CN"/>
                    </w:rPr>
                  </w:pPr>
                  <w:r>
                    <w:rPr>
                      <w:rFonts w:hint="eastAsia" w:ascii="Times New Roman" w:hAnsi="Times New Roman" w:eastAsia="宋体" w:cs="Times New Roman"/>
                      <w:color w:val="0000F7"/>
                      <w:sz w:val="21"/>
                      <w:szCs w:val="21"/>
                      <w:highlight w:val="none"/>
                      <w:lang w:eastAsia="zh-CN"/>
                    </w:rPr>
                    <w:t>氮氧化物</w:t>
                  </w:r>
                </w:p>
              </w:tc>
              <w:tc>
                <w:tcPr>
                  <w:tcW w:w="638" w:type="pct"/>
                  <w:vAlign w:val="center"/>
                </w:tcPr>
                <w:p w14:paraId="16CF7F71">
                  <w:pPr>
                    <w:pStyle w:val="6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F7"/>
                      <w:sz w:val="21"/>
                      <w:szCs w:val="21"/>
                      <w:highlight w:val="none"/>
                      <w:lang w:eastAsia="zh-CN"/>
                    </w:rPr>
                  </w:pPr>
                  <w:r>
                    <w:rPr>
                      <w:rFonts w:hint="eastAsia" w:ascii="Times New Roman" w:hAnsi="Times New Roman" w:eastAsia="宋体" w:cs="Times New Roman"/>
                      <w:color w:val="0000F7"/>
                      <w:sz w:val="21"/>
                      <w:szCs w:val="21"/>
                      <w:highlight w:val="none"/>
                      <w:lang w:eastAsia="zh-CN"/>
                    </w:rPr>
                    <w:t>无</w:t>
                  </w:r>
                  <w:r>
                    <w:rPr>
                      <w:rFonts w:hint="default" w:ascii="Times New Roman" w:hAnsi="Times New Roman" w:eastAsia="宋体" w:cs="Times New Roman"/>
                      <w:color w:val="0000F7"/>
                      <w:sz w:val="21"/>
                      <w:szCs w:val="21"/>
                      <w:highlight w:val="none"/>
                      <w:lang w:eastAsia="zh-CN"/>
                    </w:rPr>
                    <w:t>组织</w:t>
                  </w:r>
                </w:p>
              </w:tc>
              <w:tc>
                <w:tcPr>
                  <w:tcW w:w="688" w:type="pct"/>
                  <w:vAlign w:val="center"/>
                </w:tcPr>
                <w:p w14:paraId="3AEF89DA">
                  <w:pPr>
                    <w:pStyle w:val="6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F7"/>
                      <w:sz w:val="21"/>
                      <w:szCs w:val="21"/>
                      <w:highlight w:val="none"/>
                      <w:lang w:val="en-US" w:eastAsia="zh-CN"/>
                    </w:rPr>
                  </w:pPr>
                  <w:r>
                    <w:rPr>
                      <w:rFonts w:hint="default" w:ascii="Times New Roman" w:hAnsi="Times New Roman" w:cs="Times New Roman"/>
                      <w:color w:val="0000F7"/>
                      <w:sz w:val="21"/>
                      <w:szCs w:val="21"/>
                      <w:highlight w:val="none"/>
                      <w:lang w:val="en-US" w:eastAsia="zh-CN"/>
                    </w:rPr>
                    <w:t>0.</w:t>
                  </w:r>
                  <w:r>
                    <w:rPr>
                      <w:rFonts w:hint="eastAsia" w:ascii="Times New Roman" w:hAnsi="Times New Roman" w:cs="Times New Roman"/>
                      <w:color w:val="0000F7"/>
                      <w:sz w:val="21"/>
                      <w:szCs w:val="21"/>
                      <w:highlight w:val="none"/>
                      <w:lang w:val="en-US" w:eastAsia="zh-CN"/>
                    </w:rPr>
                    <w:t>022</w:t>
                  </w:r>
                </w:p>
              </w:tc>
              <w:tc>
                <w:tcPr>
                  <w:tcW w:w="904" w:type="pct"/>
                  <w:vAlign w:val="center"/>
                </w:tcPr>
                <w:p w14:paraId="6990B9AD">
                  <w:pPr>
                    <w:pStyle w:val="6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F7"/>
                      <w:sz w:val="21"/>
                      <w:szCs w:val="21"/>
                      <w:highlight w:val="none"/>
                      <w:lang w:val="en-US" w:eastAsia="zh-CN"/>
                    </w:rPr>
                  </w:pPr>
                  <w:r>
                    <w:rPr>
                      <w:rFonts w:hint="eastAsia" w:ascii="Times New Roman" w:hAnsi="Times New Roman" w:eastAsia="宋体" w:cs="Times New Roman"/>
                      <w:color w:val="0000F7"/>
                      <w:kern w:val="2"/>
                      <w:sz w:val="21"/>
                      <w:szCs w:val="21"/>
                      <w:highlight w:val="none"/>
                      <w:lang w:val="en-US" w:eastAsia="zh-CN" w:bidi="ar"/>
                    </w:rPr>
                    <w:t>0.24</w:t>
                  </w:r>
                </w:p>
              </w:tc>
              <w:tc>
                <w:tcPr>
                  <w:tcW w:w="438" w:type="pct"/>
                  <w:vAlign w:val="center"/>
                </w:tcPr>
                <w:p w14:paraId="08F978FF">
                  <w:pPr>
                    <w:pStyle w:val="6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F7"/>
                      <w:kern w:val="2"/>
                      <w:sz w:val="21"/>
                      <w:szCs w:val="21"/>
                      <w:highlight w:val="none"/>
                      <w:lang w:val="en-US" w:eastAsia="zh-CN" w:bidi="ar-SA"/>
                    </w:rPr>
                  </w:pPr>
                  <w:r>
                    <w:rPr>
                      <w:rFonts w:hint="eastAsia" w:ascii="Times New Roman" w:hAnsi="Times New Roman" w:eastAsia="宋体" w:cs="Times New Roman"/>
                      <w:color w:val="0000F7"/>
                      <w:sz w:val="21"/>
                      <w:szCs w:val="21"/>
                      <w:highlight w:val="none"/>
                      <w:lang w:eastAsia="zh-CN"/>
                    </w:rPr>
                    <w:t>达标</w:t>
                  </w:r>
                </w:p>
              </w:tc>
              <w:tc>
                <w:tcPr>
                  <w:tcW w:w="422" w:type="pct"/>
                  <w:vAlign w:val="center"/>
                </w:tcPr>
                <w:p w14:paraId="33A2F8F0">
                  <w:pPr>
                    <w:pStyle w:val="6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F7"/>
                      <w:kern w:val="2"/>
                      <w:sz w:val="21"/>
                      <w:szCs w:val="21"/>
                      <w:highlight w:val="none"/>
                      <w:lang w:val="en-US" w:eastAsia="zh-CN" w:bidi="ar-SA"/>
                    </w:rPr>
                  </w:pPr>
                  <w:r>
                    <w:rPr>
                      <w:rFonts w:hint="default" w:ascii="Times New Roman" w:hAnsi="Times New Roman" w:eastAsia="宋体" w:cs="Times New Roman"/>
                      <w:color w:val="0000F7"/>
                      <w:sz w:val="21"/>
                      <w:szCs w:val="21"/>
                      <w:highlight w:val="none"/>
                      <w:lang w:eastAsia="zh-CN"/>
                    </w:rPr>
                    <w:t>&lt;1h</w:t>
                  </w:r>
                </w:p>
              </w:tc>
              <w:tc>
                <w:tcPr>
                  <w:tcW w:w="420" w:type="pct"/>
                  <w:vAlign w:val="center"/>
                </w:tcPr>
                <w:p w14:paraId="015079CD">
                  <w:pPr>
                    <w:pStyle w:val="6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F7"/>
                      <w:kern w:val="2"/>
                      <w:sz w:val="21"/>
                      <w:szCs w:val="21"/>
                      <w:highlight w:val="none"/>
                      <w:lang w:val="en-US" w:eastAsia="zh-CN" w:bidi="ar-SA"/>
                    </w:rPr>
                  </w:pPr>
                  <w:r>
                    <w:rPr>
                      <w:rFonts w:hint="default" w:ascii="Times New Roman" w:hAnsi="Times New Roman" w:eastAsia="宋体" w:cs="Times New Roman"/>
                      <w:color w:val="0000F7"/>
                      <w:sz w:val="21"/>
                      <w:szCs w:val="21"/>
                      <w:highlight w:val="none"/>
                      <w:lang w:eastAsia="zh-CN"/>
                    </w:rPr>
                    <w:t>1次/a</w:t>
                  </w:r>
                </w:p>
              </w:tc>
            </w:tr>
          </w:tbl>
          <w:p w14:paraId="6780CAA8">
            <w:pPr>
              <w:keepNext w:val="0"/>
              <w:keepLines w:val="0"/>
              <w:widowControl/>
              <w:suppressLineNumbers w:val="0"/>
              <w:jc w:val="left"/>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1.3</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监测计划</w:t>
            </w:r>
          </w:p>
          <w:p w14:paraId="5F5A5678">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根据《排污单位自行监测技术指南 总则》（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 819-2017</w:t>
            </w:r>
            <w:r>
              <w:rPr>
                <w:rFonts w:hint="eastAsia" w:ascii="宋体" w:hAnsi="宋体" w:eastAsia="宋体" w:cs="宋体"/>
                <w:color w:val="000000" w:themeColor="text1"/>
                <w:kern w:val="0"/>
                <w:sz w:val="24"/>
                <w:szCs w:val="24"/>
                <w:lang w:val="en-US" w:eastAsia="zh-CN" w:bidi="ar"/>
                <w14:textFill>
                  <w14:solidFill>
                    <w14:schemeClr w14:val="tx1"/>
                  </w14:solidFill>
                </w14:textFill>
              </w:rPr>
              <w:t>）相关规定，排污单位应按照最新的监测方案开展监测活动，建设单位可委托有资质的环境监测机构进行监测。同时，企业应建立健全污染源监控和环境监测技术档案，并接受当地环境保护主管部门的业务指导、监督和检查。具体监测项目及内容如下：</w:t>
            </w:r>
          </w:p>
          <w:p w14:paraId="1E8F8B49">
            <w:pPr>
              <w:keepNext w:val="0"/>
              <w:keepLines w:val="0"/>
              <w:widowControl/>
              <w:suppressLineNumbers w:val="0"/>
              <w:ind w:left="0" w:leftChars="0" w:firstLine="0" w:firstLineChars="0"/>
              <w:jc w:val="center"/>
              <w:rPr>
                <w:rFonts w:hint="eastAsia" w:ascii="宋体" w:hAnsi="宋体" w:eastAsia="宋体" w:cs="宋体"/>
                <w:b/>
                <w:bCs/>
                <w:color w:val="000000" w:themeColor="text1"/>
                <w:kern w:val="0"/>
                <w:sz w:val="21"/>
                <w:szCs w:val="21"/>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表</w:t>
            </w:r>
            <w:r>
              <w:rPr>
                <w:rFonts w:hint="default" w:ascii="宋体" w:hAnsi="宋体" w:eastAsia="宋体" w:cs="宋体"/>
                <w:b/>
                <w:bCs/>
                <w:color w:val="000000" w:themeColor="text1"/>
                <w:kern w:val="0"/>
                <w:sz w:val="21"/>
                <w:szCs w:val="21"/>
                <w:lang w:val="en-US" w:eastAsia="zh-CN" w:bidi="ar"/>
                <w14:textFill>
                  <w14:solidFill>
                    <w14:schemeClr w14:val="tx1"/>
                  </w14:solidFill>
                </w14:textFill>
              </w:rPr>
              <w:t>4-</w:t>
            </w:r>
            <w:r>
              <w:rPr>
                <w:rFonts w:hint="eastAsia" w:ascii="宋体" w:hAnsi="宋体" w:cs="宋体"/>
                <w:b/>
                <w:bCs/>
                <w:color w:val="000000" w:themeColor="text1"/>
                <w:kern w:val="0"/>
                <w:sz w:val="21"/>
                <w:szCs w:val="21"/>
                <w:lang w:val="en-US" w:eastAsia="zh-CN" w:bidi="ar"/>
                <w14:textFill>
                  <w14:solidFill>
                    <w14:schemeClr w14:val="tx1"/>
                  </w14:solidFill>
                </w14:textFill>
              </w:rPr>
              <w:t xml:space="preserve">3 </w:t>
            </w:r>
            <w:r>
              <w:rPr>
                <w:rFonts w:hint="default" w:ascii="宋体" w:hAnsi="宋体" w:eastAsia="宋体" w:cs="宋体"/>
                <w:b/>
                <w:bCs/>
                <w:color w:val="000000" w:themeColor="text1"/>
                <w:kern w:val="0"/>
                <w:sz w:val="21"/>
                <w:szCs w:val="21"/>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废气监测内容及计划</w:t>
            </w:r>
          </w:p>
          <w:tbl>
            <w:tblPr>
              <w:tblStyle w:val="23"/>
              <w:tblW w:w="8434" w:type="dxa"/>
              <w:tblInd w:w="-8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2715"/>
              <w:gridCol w:w="1260"/>
              <w:gridCol w:w="1185"/>
              <w:gridCol w:w="1924"/>
            </w:tblGrid>
            <w:tr w14:paraId="1CFB66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350" w:type="dxa"/>
                </w:tcPr>
                <w:p w14:paraId="705B1A6F">
                  <w:pPr>
                    <w:keepNext w:val="0"/>
                    <w:keepLines w:val="0"/>
                    <w:pageBreakBefore w:val="0"/>
                    <w:widowControl w:val="0"/>
                    <w:suppressLineNumbers w:val="0"/>
                    <w:kinsoku/>
                    <w:overflowPunct/>
                    <w:topLinePunct w:val="0"/>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因素</w:t>
                  </w:r>
                </w:p>
              </w:tc>
              <w:tc>
                <w:tcPr>
                  <w:tcW w:w="2715" w:type="dxa"/>
                </w:tcPr>
                <w:p w14:paraId="33E794B2">
                  <w:pPr>
                    <w:keepNext w:val="0"/>
                    <w:keepLines w:val="0"/>
                    <w:pageBreakBefore w:val="0"/>
                    <w:widowControl w:val="0"/>
                    <w:suppressLineNumbers w:val="0"/>
                    <w:kinsoku/>
                    <w:overflowPunct/>
                    <w:topLinePunct w:val="0"/>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监测位置</w:t>
                  </w:r>
                </w:p>
              </w:tc>
              <w:tc>
                <w:tcPr>
                  <w:tcW w:w="1260" w:type="dxa"/>
                </w:tcPr>
                <w:p w14:paraId="2207F928">
                  <w:pPr>
                    <w:keepNext w:val="0"/>
                    <w:keepLines w:val="0"/>
                    <w:pageBreakBefore w:val="0"/>
                    <w:widowControl w:val="0"/>
                    <w:suppressLineNumbers w:val="0"/>
                    <w:kinsoku/>
                    <w:overflowPunct/>
                    <w:topLinePunct w:val="0"/>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监测指标</w:t>
                  </w:r>
                </w:p>
              </w:tc>
              <w:tc>
                <w:tcPr>
                  <w:tcW w:w="1185" w:type="dxa"/>
                </w:tcPr>
                <w:p w14:paraId="07A35A4B">
                  <w:pPr>
                    <w:keepNext w:val="0"/>
                    <w:keepLines w:val="0"/>
                    <w:pageBreakBefore w:val="0"/>
                    <w:widowControl w:val="0"/>
                    <w:suppressLineNumbers w:val="0"/>
                    <w:kinsoku/>
                    <w:overflowPunct/>
                    <w:topLinePunct w:val="0"/>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监测频次</w:t>
                  </w:r>
                </w:p>
              </w:tc>
              <w:tc>
                <w:tcPr>
                  <w:tcW w:w="1924" w:type="dxa"/>
                </w:tcPr>
                <w:p w14:paraId="54E5D226">
                  <w:pPr>
                    <w:keepNext w:val="0"/>
                    <w:keepLines w:val="0"/>
                    <w:pageBreakBefore w:val="0"/>
                    <w:widowControl w:val="0"/>
                    <w:suppressLineNumbers w:val="0"/>
                    <w:kinsoku/>
                    <w:overflowPunct/>
                    <w:topLinePunct w:val="0"/>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执行标准</w:t>
                  </w:r>
                </w:p>
              </w:tc>
            </w:tr>
            <w:tr w14:paraId="05A767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350" w:type="dxa"/>
                  <w:vAlign w:val="center"/>
                </w:tcPr>
                <w:p w14:paraId="5C1EB1CF">
                  <w:pPr>
                    <w:pStyle w:val="34"/>
                    <w:keepNext w:val="0"/>
                    <w:keepLines w:val="0"/>
                    <w:pageBreakBefore w:val="0"/>
                    <w:widowControl w:val="0"/>
                    <w:suppressLineNumbers w:val="0"/>
                    <w:kinsoku/>
                    <w:overflowPunct/>
                    <w:topLinePunct w:val="0"/>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无组织废气</w:t>
                  </w:r>
                </w:p>
              </w:tc>
              <w:tc>
                <w:tcPr>
                  <w:tcW w:w="2715" w:type="dxa"/>
                  <w:vAlign w:val="center"/>
                </w:tcPr>
                <w:p w14:paraId="44C7755A">
                  <w:pPr>
                    <w:pStyle w:val="34"/>
                    <w:keepNext w:val="0"/>
                    <w:keepLines w:val="0"/>
                    <w:pageBreakBefore w:val="0"/>
                    <w:widowControl w:val="0"/>
                    <w:suppressLineNumbers w:val="0"/>
                    <w:kinsoku/>
                    <w:overflowPunct/>
                    <w:topLinePunct w:val="0"/>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厂界上风向布设1个参照点</w:t>
                  </w:r>
                </w:p>
                <w:p w14:paraId="21B621F5">
                  <w:pPr>
                    <w:pStyle w:val="34"/>
                    <w:keepNext w:val="0"/>
                    <w:keepLines w:val="0"/>
                    <w:pageBreakBefore w:val="0"/>
                    <w:widowControl w:val="0"/>
                    <w:suppressLineNumbers w:val="0"/>
                    <w:kinsoku/>
                    <w:overflowPunct/>
                    <w:topLinePunct w:val="0"/>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厂界下风向布设3个监控点</w:t>
                  </w:r>
                </w:p>
              </w:tc>
              <w:tc>
                <w:tcPr>
                  <w:tcW w:w="1260" w:type="dxa"/>
                  <w:vAlign w:val="center"/>
                </w:tcPr>
                <w:p w14:paraId="4D5BD2DE">
                  <w:pPr>
                    <w:pStyle w:val="34"/>
                    <w:keepNext w:val="0"/>
                    <w:keepLines w:val="0"/>
                    <w:pageBreakBefore w:val="0"/>
                    <w:widowControl w:val="0"/>
                    <w:suppressLineNumbers w:val="0"/>
                    <w:kinsoku/>
                    <w:overflowPunct/>
                    <w:topLinePunct w:val="0"/>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氮氧化物</w:t>
                  </w:r>
                </w:p>
              </w:tc>
              <w:tc>
                <w:tcPr>
                  <w:tcW w:w="1185" w:type="dxa"/>
                  <w:vAlign w:val="center"/>
                </w:tcPr>
                <w:p w14:paraId="66FCC78F">
                  <w:pPr>
                    <w:pStyle w:val="34"/>
                    <w:keepNext w:val="0"/>
                    <w:keepLines w:val="0"/>
                    <w:pageBreakBefore w:val="0"/>
                    <w:widowControl w:val="0"/>
                    <w:suppressLineNumbers w:val="0"/>
                    <w:kinsoku/>
                    <w:overflowPunct/>
                    <w:topLinePunct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1次/年</w:t>
                  </w:r>
                </w:p>
              </w:tc>
              <w:tc>
                <w:tcPr>
                  <w:tcW w:w="1924" w:type="dxa"/>
                  <w:vAlign w:val="center"/>
                </w:tcPr>
                <w:p w14:paraId="6C6E48F8">
                  <w:pPr>
                    <w:pStyle w:val="34"/>
                    <w:keepNext w:val="0"/>
                    <w:keepLines w:val="0"/>
                    <w:pageBreakBefore w:val="0"/>
                    <w:widowControl w:val="0"/>
                    <w:suppressLineNumbers w:val="0"/>
                    <w:kinsoku/>
                    <w:overflowPunct/>
                    <w:topLinePunct w:val="0"/>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kern w:val="2"/>
                      <w:sz w:val="21"/>
                      <w:szCs w:val="21"/>
                      <w:highlight w:val="none"/>
                      <w:lang w:val="en-US" w:eastAsia="zh-CN" w:bidi="ar"/>
                    </w:rPr>
                    <w:t>《硝酸工业污染物排放标准》（GB26131-2010）</w:t>
                  </w:r>
                </w:p>
              </w:tc>
            </w:tr>
          </w:tbl>
          <w:p w14:paraId="6792FB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0"/>
              <w:jc w:val="both"/>
              <w:textAlignment w:val="auto"/>
              <w:outlineLvl w:val="9"/>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1.4环境影响分析</w:t>
            </w:r>
          </w:p>
          <w:p w14:paraId="73BD8658">
            <w:pPr>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本项目厂界外500米范围内无自然保护区、风景名胜区、文化区，不存在环境空气保护目标。</w:t>
            </w:r>
            <w:r>
              <w:rPr>
                <w:rFonts w:hint="eastAsia" w:cs="Times New Roman"/>
                <w:color w:val="auto"/>
                <w:kern w:val="2"/>
                <w:sz w:val="24"/>
                <w:szCs w:val="24"/>
                <w:lang w:val="en-US" w:eastAsia="zh-CN" w:bidi="ar-SA"/>
              </w:rPr>
              <w:t>本项目硝酸储罐的无组织氮氧化物排放</w:t>
            </w:r>
            <w:r>
              <w:rPr>
                <w:rFonts w:hint="eastAsia" w:ascii="Times New Roman" w:hAnsi="Times New Roman" w:eastAsia="宋体" w:cs="Times New Roman"/>
                <w:color w:val="auto"/>
                <w:kern w:val="2"/>
                <w:sz w:val="24"/>
                <w:szCs w:val="24"/>
                <w:highlight w:val="none"/>
                <w:lang w:val="en-US" w:eastAsia="zh-CN" w:bidi="ar-SA"/>
              </w:rPr>
              <w:t>满足《硝酸工业污染物排放标准》（GB26131-2010）表7</w:t>
            </w:r>
            <w:r>
              <w:rPr>
                <w:rFonts w:hint="eastAsia" w:cs="Times New Roman"/>
                <w:color w:val="000000" w:themeColor="text1"/>
                <w:highlight w:val="none"/>
                <w:lang w:eastAsia="zh-CN"/>
                <w14:textFill>
                  <w14:solidFill>
                    <w14:schemeClr w14:val="tx1"/>
                  </w14:solidFill>
                </w14:textFill>
              </w:rPr>
              <w:t>中企业边界大气污染物浓度限值标准（</w:t>
            </w:r>
            <w:r>
              <w:rPr>
                <w:rFonts w:hint="eastAsia" w:cs="Times New Roman"/>
                <w:color w:val="000000" w:themeColor="text1"/>
                <w:highlight w:val="none"/>
                <w:lang w:val="en-US" w:eastAsia="zh-CN"/>
                <w14:textFill>
                  <w14:solidFill>
                    <w14:schemeClr w14:val="tx1"/>
                  </w14:solidFill>
                </w14:textFill>
              </w:rPr>
              <w:t>0.24</w:t>
            </w:r>
            <w:r>
              <w:rPr>
                <w:rFonts w:hint="eastAsia" w:ascii="Times New Roman" w:hAnsi="Times New Roman" w:eastAsia="宋体" w:cs="Times New Roman"/>
                <w:color w:val="auto"/>
                <w:kern w:val="2"/>
                <w:sz w:val="24"/>
                <w:szCs w:val="24"/>
                <w:highlight w:val="none"/>
                <w:lang w:val="en-US" w:eastAsia="zh-CN" w:bidi="ar-SA"/>
              </w:rPr>
              <w:t>mg/m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cs="Times New Roman"/>
                <w:color w:val="000000" w:themeColor="text1"/>
                <w:highlight w:val="none"/>
                <w:lang w:eastAsia="zh-CN"/>
                <w14:textFill>
                  <w14:solidFill>
                    <w14:schemeClr w14:val="tx1"/>
                  </w14:solidFill>
                </w14:textFill>
              </w:rPr>
              <w:t>），因此，</w:t>
            </w:r>
            <w:r>
              <w:rPr>
                <w:rFonts w:hint="eastAsia" w:ascii="Times New Roman" w:hAnsi="Times New Roman" w:eastAsia="宋体" w:cs="Times New Roman"/>
                <w:color w:val="auto"/>
                <w:kern w:val="2"/>
                <w:sz w:val="24"/>
                <w:szCs w:val="24"/>
                <w:lang w:val="en-US" w:eastAsia="zh-CN" w:bidi="ar-SA"/>
              </w:rPr>
              <w:t>本项目运营期对周围大气环境影响不大。</w:t>
            </w:r>
          </w:p>
          <w:p w14:paraId="74815E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0" w:firstLineChars="0"/>
              <w:jc w:val="both"/>
              <w:textAlignment w:val="auto"/>
              <w:outlineLvl w:val="9"/>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废水环境影响和保护措施</w:t>
            </w:r>
          </w:p>
          <w:p w14:paraId="00676EFB">
            <w:pPr>
              <w:pStyle w:val="36"/>
              <w:spacing w:line="360" w:lineRule="auto"/>
              <w:ind w:firstLine="480" w:firstLineChars="200"/>
              <w:rPr>
                <w:rFonts w:ascii="宋体" w:hAnsi="宋体" w:eastAsia="宋体" w:cs="宋体"/>
                <w:sz w:val="24"/>
                <w:szCs w:val="24"/>
              </w:rPr>
            </w:pPr>
            <w:r>
              <w:rPr>
                <w:rFonts w:ascii="宋体" w:hAnsi="宋体" w:eastAsia="宋体" w:cs="宋体"/>
                <w:sz w:val="24"/>
                <w:szCs w:val="24"/>
              </w:rPr>
              <w:t>本项目运营期间</w:t>
            </w:r>
            <w:r>
              <w:rPr>
                <w:rFonts w:hint="eastAsia" w:ascii="宋体" w:hAnsi="宋体" w:eastAsia="宋体" w:cs="宋体"/>
                <w:sz w:val="24"/>
                <w:szCs w:val="24"/>
                <w:lang w:eastAsia="zh-CN"/>
              </w:rPr>
              <w:t>生产不用水，无生产废水产生</w:t>
            </w:r>
            <w:r>
              <w:rPr>
                <w:rFonts w:ascii="宋体" w:hAnsi="宋体" w:eastAsia="宋体" w:cs="宋体"/>
                <w:sz w:val="24"/>
                <w:szCs w:val="24"/>
              </w:rPr>
              <w:t>，项目不新增劳动定员，无新增生活污水产生。</w:t>
            </w:r>
          </w:p>
          <w:p w14:paraId="5C2141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0" w:firstLineChars="0"/>
              <w:jc w:val="both"/>
              <w:textAlignment w:val="auto"/>
              <w:outlineLvl w:val="9"/>
              <w:rPr>
                <w:rFonts w:hint="eastAsia" w:cs="Times New Roman"/>
                <w:b/>
                <w:color w:val="0000FF"/>
                <w:kern w:val="2"/>
                <w:sz w:val="24"/>
                <w:szCs w:val="24"/>
                <w:highlight w:val="none"/>
                <w:lang w:val="en-US" w:eastAsia="zh-CN" w:bidi="ar-SA"/>
              </w:rPr>
            </w:pPr>
            <w:r>
              <w:rPr>
                <w:rFonts w:hint="eastAsia" w:cs="Times New Roman"/>
                <w:b/>
                <w:color w:val="0000FF"/>
                <w:kern w:val="2"/>
                <w:sz w:val="24"/>
                <w:szCs w:val="24"/>
                <w:highlight w:val="none"/>
                <w:lang w:val="en-US" w:eastAsia="zh-CN" w:bidi="ar-SA"/>
              </w:rPr>
              <w:t>3.噪声环境影响和保护措施</w:t>
            </w:r>
          </w:p>
          <w:p w14:paraId="063B66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2" w:firstLineChars="200"/>
              <w:jc w:val="both"/>
              <w:textAlignment w:val="auto"/>
              <w:outlineLvl w:val="9"/>
              <w:rPr>
                <w:rFonts w:hint="eastAsia" w:cs="Times New Roman"/>
                <w:b/>
                <w:color w:val="0000FF"/>
                <w:kern w:val="2"/>
                <w:sz w:val="24"/>
                <w:szCs w:val="24"/>
                <w:highlight w:val="none"/>
                <w:lang w:val="en-US" w:eastAsia="zh-CN" w:bidi="ar-SA"/>
              </w:rPr>
            </w:pPr>
            <w:r>
              <w:rPr>
                <w:rFonts w:hint="eastAsia" w:cs="Times New Roman"/>
                <w:b/>
                <w:color w:val="0000FF"/>
                <w:kern w:val="2"/>
                <w:sz w:val="24"/>
                <w:szCs w:val="24"/>
                <w:highlight w:val="none"/>
                <w:lang w:val="en-US" w:eastAsia="zh-CN" w:bidi="ar-SA"/>
              </w:rPr>
              <w:t>3.1噪声源分析</w:t>
            </w:r>
          </w:p>
          <w:p w14:paraId="7303A2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0000FF"/>
                <w:sz w:val="24"/>
                <w:szCs w:val="24"/>
                <w:highlight w:val="none"/>
                <w:lang w:val="en-US" w:eastAsia="zh-CN"/>
              </w:rPr>
            </w:pPr>
            <w:r>
              <w:rPr>
                <w:rFonts w:hint="eastAsia" w:ascii="宋体" w:hAnsi="宋体" w:eastAsia="宋体" w:cs="宋体"/>
                <w:color w:val="0000FF"/>
                <w:kern w:val="0"/>
                <w:sz w:val="24"/>
                <w:szCs w:val="24"/>
                <w:lang w:val="en-US" w:eastAsia="zh-CN" w:bidi="ar"/>
              </w:rPr>
              <w:t>本项目噪声主要为</w:t>
            </w:r>
            <w:r>
              <w:rPr>
                <w:rFonts w:hint="eastAsia" w:ascii="宋体" w:hAnsi="宋体" w:cs="宋体"/>
                <w:color w:val="0000FF"/>
                <w:kern w:val="0"/>
                <w:sz w:val="24"/>
                <w:szCs w:val="24"/>
                <w:lang w:val="en-US" w:eastAsia="zh-CN" w:bidi="ar"/>
              </w:rPr>
              <w:t>成品酸泵</w:t>
            </w:r>
            <w:r>
              <w:rPr>
                <w:rFonts w:hint="eastAsia" w:ascii="宋体" w:hAnsi="宋体" w:eastAsia="宋体" w:cs="宋体"/>
                <w:color w:val="0000FF"/>
                <w:kern w:val="0"/>
                <w:sz w:val="24"/>
                <w:szCs w:val="24"/>
                <w:lang w:val="en-US" w:eastAsia="zh-CN" w:bidi="ar"/>
              </w:rPr>
              <w:t>设备运作时产生的机械噪声</w:t>
            </w:r>
            <w:r>
              <w:rPr>
                <w:rFonts w:hint="eastAsia" w:ascii="宋体" w:hAnsi="宋体" w:cs="宋体"/>
                <w:color w:val="0000FF"/>
                <w:kern w:val="0"/>
                <w:sz w:val="24"/>
                <w:szCs w:val="24"/>
                <w:lang w:val="en-US" w:eastAsia="zh-CN" w:bidi="ar"/>
              </w:rPr>
              <w:t>，噪声级为80-95dB（A）</w:t>
            </w:r>
            <w:r>
              <w:rPr>
                <w:rFonts w:hint="eastAsia" w:ascii="宋体" w:hAnsi="宋体" w:eastAsia="宋体" w:cs="宋体"/>
                <w:color w:val="0000FF"/>
                <w:kern w:val="0"/>
                <w:sz w:val="24"/>
                <w:szCs w:val="24"/>
                <w:lang w:val="en-US" w:eastAsia="zh-CN" w:bidi="ar"/>
              </w:rPr>
              <w:t>。</w:t>
            </w:r>
            <w:r>
              <w:rPr>
                <w:rFonts w:hint="default" w:ascii="Times New Roman" w:hAnsi="Times New Roman" w:cs="Times New Roman"/>
                <w:color w:val="0000FF"/>
                <w:sz w:val="24"/>
                <w:szCs w:val="24"/>
                <w:highlight w:val="none"/>
                <w:lang w:val="en-US" w:eastAsia="zh-CN"/>
              </w:rPr>
              <w:t>主要产噪设备的源强见下表。</w:t>
            </w:r>
          </w:p>
          <w:p w14:paraId="1B480459">
            <w:pPr>
              <w:pStyle w:val="40"/>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0000FF"/>
                <w:kern w:val="2"/>
                <w:sz w:val="21"/>
                <w:szCs w:val="21"/>
                <w:highlight w:val="none"/>
                <w:lang w:val="en-US" w:eastAsia="zh-CN" w:bidi="ar-SA"/>
              </w:rPr>
            </w:pPr>
            <w:r>
              <w:rPr>
                <w:rFonts w:hint="default" w:ascii="Times New Roman" w:hAnsi="Times New Roman" w:eastAsia="宋体" w:cs="Times New Roman"/>
                <w:b/>
                <w:bCs/>
                <w:color w:val="0000FF"/>
                <w:kern w:val="2"/>
                <w:sz w:val="21"/>
                <w:szCs w:val="21"/>
                <w:highlight w:val="none"/>
                <w:lang w:val="en-US" w:eastAsia="zh-CN" w:bidi="ar-SA"/>
              </w:rPr>
              <w:t>表4-</w:t>
            </w:r>
            <w:r>
              <w:rPr>
                <w:rFonts w:hint="eastAsia" w:ascii="Times New Roman" w:hAnsi="Times New Roman" w:cs="Times New Roman"/>
                <w:b/>
                <w:bCs/>
                <w:color w:val="0000FF"/>
                <w:kern w:val="2"/>
                <w:sz w:val="21"/>
                <w:szCs w:val="21"/>
                <w:highlight w:val="none"/>
                <w:lang w:val="en-US" w:eastAsia="zh-CN" w:bidi="ar-SA"/>
              </w:rPr>
              <w:t>4</w:t>
            </w:r>
            <w:r>
              <w:rPr>
                <w:rFonts w:hint="default" w:ascii="Times New Roman" w:hAnsi="Times New Roman" w:eastAsia="宋体" w:cs="Times New Roman"/>
                <w:b/>
                <w:bCs/>
                <w:color w:val="0000FF"/>
                <w:kern w:val="2"/>
                <w:sz w:val="21"/>
                <w:szCs w:val="21"/>
                <w:highlight w:val="none"/>
                <w:lang w:val="en-US" w:eastAsia="zh-CN" w:bidi="ar-SA"/>
              </w:rPr>
              <w:t xml:space="preserve">  工业企业噪声源强调查清单</w:t>
            </w:r>
          </w:p>
          <w:tbl>
            <w:tblPr>
              <w:tblStyle w:val="22"/>
              <w:tblW w:w="76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095"/>
              <w:gridCol w:w="1538"/>
              <w:gridCol w:w="1110"/>
              <w:gridCol w:w="735"/>
              <w:gridCol w:w="690"/>
              <w:gridCol w:w="660"/>
              <w:gridCol w:w="1031"/>
            </w:tblGrid>
            <w:tr w14:paraId="2B2B3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764" w:type="dxa"/>
                  <w:vMerge w:val="restart"/>
                  <w:tcBorders>
                    <w:tl2br w:val="nil"/>
                    <w:tr2bl w:val="nil"/>
                  </w:tcBorders>
                  <w:noWrap w:val="0"/>
                  <w:vAlign w:val="center"/>
                </w:tcPr>
                <w:p w14:paraId="0D5DBD0F">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color w:val="0000FF"/>
                      <w:sz w:val="18"/>
                      <w:szCs w:val="18"/>
                    </w:rPr>
                  </w:pPr>
                  <w:bookmarkStart w:id="9" w:name="PT_6"/>
                  <w:r>
                    <w:rPr>
                      <w:rFonts w:ascii="Times New Roman" w:hAnsi="Times New Roman" w:eastAsia="宋体" w:cs="Times New Roman"/>
                      <w:b/>
                      <w:color w:val="0000FF"/>
                      <w:sz w:val="18"/>
                      <w:szCs w:val="18"/>
                    </w:rPr>
                    <w:t>序号</w:t>
                  </w:r>
                </w:p>
              </w:tc>
              <w:tc>
                <w:tcPr>
                  <w:tcW w:w="1095" w:type="dxa"/>
                  <w:vMerge w:val="restart"/>
                  <w:tcBorders>
                    <w:tl2br w:val="nil"/>
                    <w:tr2bl w:val="nil"/>
                  </w:tcBorders>
                  <w:noWrap w:val="0"/>
                  <w:vAlign w:val="center"/>
                </w:tcPr>
                <w:p w14:paraId="79B31A4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color w:val="0000FF"/>
                      <w:sz w:val="18"/>
                      <w:szCs w:val="18"/>
                    </w:rPr>
                  </w:pPr>
                  <w:r>
                    <w:rPr>
                      <w:rFonts w:ascii="Times New Roman" w:hAnsi="Times New Roman" w:eastAsia="宋体" w:cs="Times New Roman"/>
                      <w:b/>
                      <w:color w:val="0000FF"/>
                      <w:sz w:val="18"/>
                      <w:szCs w:val="18"/>
                    </w:rPr>
                    <w:t>声源名称</w:t>
                  </w:r>
                </w:p>
              </w:tc>
              <w:tc>
                <w:tcPr>
                  <w:tcW w:w="1538" w:type="dxa"/>
                  <w:tcBorders>
                    <w:tl2br w:val="nil"/>
                    <w:tr2bl w:val="nil"/>
                  </w:tcBorders>
                  <w:shd w:val="clear" w:color="auto" w:fill="auto"/>
                  <w:noWrap w:val="0"/>
                  <w:vAlign w:val="center"/>
                </w:tcPr>
                <w:p w14:paraId="6C82DC06">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color w:val="0000FF"/>
                      <w:sz w:val="18"/>
                      <w:szCs w:val="18"/>
                      <w:lang w:eastAsia="zh-CN"/>
                    </w:rPr>
                  </w:pPr>
                  <w:r>
                    <w:rPr>
                      <w:rFonts w:ascii="Times New Roman" w:hAnsi="Times New Roman" w:eastAsia="宋体" w:cs="Times New Roman"/>
                      <w:b/>
                      <w:color w:val="0000FF"/>
                      <w:sz w:val="18"/>
                      <w:szCs w:val="18"/>
                      <w:lang w:eastAsia="zh-CN"/>
                    </w:rPr>
                    <w:t>声</w:t>
                  </w:r>
                  <w:r>
                    <w:rPr>
                      <w:rFonts w:hint="eastAsia" w:ascii="Times New Roman" w:hAnsi="Times New Roman" w:eastAsia="宋体" w:cs="Times New Roman"/>
                      <w:b/>
                      <w:color w:val="0000FF"/>
                      <w:sz w:val="18"/>
                      <w:szCs w:val="18"/>
                      <w:lang w:eastAsia="zh-CN"/>
                    </w:rPr>
                    <w:t>源源</w:t>
                  </w:r>
                  <w:r>
                    <w:rPr>
                      <w:rFonts w:ascii="Times New Roman" w:hAnsi="Times New Roman" w:eastAsia="宋体" w:cs="Times New Roman"/>
                      <w:b/>
                      <w:color w:val="0000FF"/>
                      <w:sz w:val="18"/>
                      <w:szCs w:val="18"/>
                      <w:lang w:eastAsia="zh-CN"/>
                    </w:rPr>
                    <w:t>强</w:t>
                  </w:r>
                </w:p>
              </w:tc>
              <w:tc>
                <w:tcPr>
                  <w:tcW w:w="1110" w:type="dxa"/>
                  <w:vMerge w:val="restart"/>
                  <w:tcBorders>
                    <w:tl2br w:val="nil"/>
                    <w:tr2bl w:val="nil"/>
                  </w:tcBorders>
                  <w:shd w:val="clear" w:color="auto" w:fill="auto"/>
                  <w:noWrap w:val="0"/>
                  <w:vAlign w:val="center"/>
                </w:tcPr>
                <w:p w14:paraId="69DE21B6">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b/>
                      <w:color w:val="0000FF"/>
                      <w:sz w:val="18"/>
                      <w:szCs w:val="18"/>
                    </w:rPr>
                  </w:pPr>
                  <w:r>
                    <w:rPr>
                      <w:rFonts w:ascii="Times New Roman" w:hAnsi="Times New Roman" w:eastAsia="宋体" w:cs="Times New Roman"/>
                      <w:b/>
                      <w:color w:val="0000FF"/>
                      <w:sz w:val="18"/>
                      <w:szCs w:val="18"/>
                    </w:rPr>
                    <w:t>声源控</w:t>
                  </w:r>
                </w:p>
                <w:p w14:paraId="22D2453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color w:val="0000FF"/>
                      <w:sz w:val="18"/>
                      <w:szCs w:val="18"/>
                    </w:rPr>
                  </w:pPr>
                  <w:r>
                    <w:rPr>
                      <w:rFonts w:ascii="Times New Roman" w:hAnsi="Times New Roman" w:eastAsia="宋体" w:cs="Times New Roman"/>
                      <w:b/>
                      <w:color w:val="0000FF"/>
                      <w:sz w:val="18"/>
                      <w:szCs w:val="18"/>
                    </w:rPr>
                    <w:t>制措施</w:t>
                  </w:r>
                </w:p>
              </w:tc>
              <w:tc>
                <w:tcPr>
                  <w:tcW w:w="2085" w:type="dxa"/>
                  <w:gridSpan w:val="3"/>
                  <w:tcBorders>
                    <w:tl2br w:val="nil"/>
                    <w:tr2bl w:val="nil"/>
                  </w:tcBorders>
                  <w:shd w:val="clear" w:color="auto" w:fill="auto"/>
                  <w:noWrap w:val="0"/>
                  <w:vAlign w:val="center"/>
                </w:tcPr>
                <w:p w14:paraId="109E4096">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color w:val="0000FF"/>
                      <w:sz w:val="18"/>
                      <w:szCs w:val="18"/>
                    </w:rPr>
                  </w:pPr>
                  <w:r>
                    <w:rPr>
                      <w:rFonts w:ascii="Times New Roman" w:hAnsi="Times New Roman" w:eastAsia="宋体" w:cs="Times New Roman"/>
                      <w:b/>
                      <w:color w:val="0000FF"/>
                      <w:sz w:val="18"/>
                      <w:szCs w:val="18"/>
                    </w:rPr>
                    <w:t>空间相对位置/m</w:t>
                  </w:r>
                </w:p>
              </w:tc>
              <w:tc>
                <w:tcPr>
                  <w:tcW w:w="1031" w:type="dxa"/>
                  <w:vMerge w:val="restart"/>
                  <w:tcBorders>
                    <w:tl2br w:val="nil"/>
                    <w:tr2bl w:val="nil"/>
                  </w:tcBorders>
                  <w:shd w:val="clear" w:color="auto" w:fill="auto"/>
                  <w:noWrap w:val="0"/>
                  <w:vAlign w:val="center"/>
                </w:tcPr>
                <w:p w14:paraId="07FC34E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color w:val="0000FF"/>
                      <w:sz w:val="18"/>
                      <w:szCs w:val="18"/>
                    </w:rPr>
                  </w:pPr>
                  <w:r>
                    <w:rPr>
                      <w:rFonts w:ascii="Times New Roman" w:hAnsi="Times New Roman" w:eastAsia="宋体" w:cs="Times New Roman"/>
                      <w:b/>
                      <w:color w:val="0000FF"/>
                      <w:sz w:val="18"/>
                      <w:szCs w:val="18"/>
                    </w:rPr>
                    <w:t>运行时段</w:t>
                  </w:r>
                </w:p>
              </w:tc>
            </w:tr>
            <w:tr w14:paraId="74BE1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48" w:hRule="atLeast"/>
                <w:jc w:val="center"/>
              </w:trPr>
              <w:tc>
                <w:tcPr>
                  <w:tcW w:w="764" w:type="dxa"/>
                  <w:vMerge w:val="continue"/>
                  <w:tcBorders>
                    <w:tl2br w:val="nil"/>
                    <w:tr2bl w:val="nil"/>
                  </w:tcBorders>
                  <w:shd w:val="clear" w:color="auto" w:fill="FFFFFF"/>
                  <w:noWrap w:val="0"/>
                  <w:tcMar>
                    <w:top w:w="0" w:type="dxa"/>
                    <w:left w:w="0" w:type="dxa"/>
                    <w:bottom w:w="0" w:type="dxa"/>
                    <w:right w:w="0" w:type="dxa"/>
                  </w:tcMar>
                  <w:vAlign w:val="center"/>
                </w:tcPr>
                <w:p w14:paraId="1EABACB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FF"/>
                      <w:sz w:val="18"/>
                      <w:szCs w:val="18"/>
                      <w:lang w:val="en-US" w:eastAsia="zh-CN"/>
                    </w:rPr>
                  </w:pPr>
                </w:p>
              </w:tc>
              <w:tc>
                <w:tcPr>
                  <w:tcW w:w="1095" w:type="dxa"/>
                  <w:vMerge w:val="continue"/>
                  <w:tcBorders>
                    <w:tl2br w:val="nil"/>
                    <w:tr2bl w:val="nil"/>
                  </w:tcBorders>
                  <w:shd w:val="clear" w:color="auto" w:fill="FFFFFF"/>
                  <w:noWrap w:val="0"/>
                  <w:tcMar>
                    <w:top w:w="0" w:type="dxa"/>
                    <w:left w:w="0" w:type="dxa"/>
                    <w:bottom w:w="0" w:type="dxa"/>
                    <w:right w:w="0" w:type="dxa"/>
                  </w:tcMar>
                  <w:vAlign w:val="center"/>
                </w:tcPr>
                <w:p w14:paraId="545FFA76">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color w:val="0000FF"/>
                      <w:sz w:val="18"/>
                      <w:szCs w:val="18"/>
                    </w:rPr>
                  </w:pPr>
                </w:p>
              </w:tc>
              <w:tc>
                <w:tcPr>
                  <w:tcW w:w="1538" w:type="dxa"/>
                  <w:tcBorders>
                    <w:tl2br w:val="nil"/>
                    <w:tr2bl w:val="nil"/>
                  </w:tcBorders>
                  <w:shd w:val="clear" w:color="auto" w:fill="auto"/>
                  <w:noWrap w:val="0"/>
                  <w:tcMar>
                    <w:top w:w="0" w:type="dxa"/>
                    <w:left w:w="0" w:type="dxa"/>
                    <w:bottom w:w="0" w:type="dxa"/>
                    <w:right w:w="0" w:type="dxa"/>
                  </w:tcMar>
                  <w:vAlign w:val="center"/>
                </w:tcPr>
                <w:p w14:paraId="424F1F3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color w:val="0000FF"/>
                      <w:sz w:val="18"/>
                      <w:szCs w:val="18"/>
                    </w:rPr>
                  </w:pPr>
                  <w:r>
                    <w:rPr>
                      <w:rFonts w:ascii="Times New Roman" w:hAnsi="Times New Roman" w:eastAsia="宋体" w:cs="Times New Roman"/>
                      <w:color w:val="0000FF"/>
                      <w:sz w:val="18"/>
                      <w:szCs w:val="18"/>
                    </w:rPr>
                    <w:t>声功率级/dB(A)</w:t>
                  </w:r>
                </w:p>
              </w:tc>
              <w:tc>
                <w:tcPr>
                  <w:tcW w:w="1110" w:type="dxa"/>
                  <w:vMerge w:val="continue"/>
                  <w:tcBorders>
                    <w:tl2br w:val="nil"/>
                    <w:tr2bl w:val="nil"/>
                  </w:tcBorders>
                  <w:shd w:val="clear" w:color="auto" w:fill="auto"/>
                  <w:noWrap w:val="0"/>
                  <w:tcMar>
                    <w:top w:w="0" w:type="dxa"/>
                    <w:left w:w="0" w:type="dxa"/>
                    <w:bottom w:w="0" w:type="dxa"/>
                    <w:right w:w="0" w:type="dxa"/>
                  </w:tcMar>
                  <w:vAlign w:val="center"/>
                </w:tcPr>
                <w:p w14:paraId="382D404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color w:val="0000FF"/>
                      <w:sz w:val="18"/>
                      <w:szCs w:val="18"/>
                    </w:rPr>
                  </w:pPr>
                </w:p>
              </w:tc>
              <w:tc>
                <w:tcPr>
                  <w:tcW w:w="735" w:type="dxa"/>
                  <w:tcBorders>
                    <w:tl2br w:val="nil"/>
                    <w:tr2bl w:val="nil"/>
                  </w:tcBorders>
                  <w:shd w:val="clear" w:color="auto" w:fill="auto"/>
                  <w:noWrap w:val="0"/>
                  <w:tcMar>
                    <w:top w:w="0" w:type="dxa"/>
                    <w:left w:w="0" w:type="dxa"/>
                    <w:bottom w:w="0" w:type="dxa"/>
                    <w:right w:w="0" w:type="dxa"/>
                  </w:tcMar>
                  <w:vAlign w:val="center"/>
                </w:tcPr>
                <w:p w14:paraId="4844ADAF">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color w:val="0000FF"/>
                      <w:sz w:val="18"/>
                      <w:szCs w:val="18"/>
                    </w:rPr>
                  </w:pPr>
                  <w:r>
                    <w:rPr>
                      <w:rFonts w:ascii="Times New Roman" w:hAnsi="Times New Roman" w:eastAsia="宋体" w:cs="Times New Roman"/>
                      <w:color w:val="0000FF"/>
                      <w:sz w:val="18"/>
                      <w:szCs w:val="18"/>
                    </w:rPr>
                    <w:t>X</w:t>
                  </w:r>
                </w:p>
              </w:tc>
              <w:tc>
                <w:tcPr>
                  <w:tcW w:w="690" w:type="dxa"/>
                  <w:tcBorders>
                    <w:tl2br w:val="nil"/>
                    <w:tr2bl w:val="nil"/>
                  </w:tcBorders>
                  <w:shd w:val="clear" w:color="auto" w:fill="auto"/>
                  <w:noWrap w:val="0"/>
                  <w:tcMar>
                    <w:top w:w="0" w:type="dxa"/>
                    <w:left w:w="0" w:type="dxa"/>
                    <w:bottom w:w="0" w:type="dxa"/>
                    <w:right w:w="0" w:type="dxa"/>
                  </w:tcMar>
                  <w:vAlign w:val="center"/>
                </w:tcPr>
                <w:p w14:paraId="169B67D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color w:val="0000FF"/>
                      <w:sz w:val="18"/>
                      <w:szCs w:val="18"/>
                    </w:rPr>
                  </w:pPr>
                  <w:r>
                    <w:rPr>
                      <w:rFonts w:ascii="Times New Roman" w:hAnsi="Times New Roman" w:eastAsia="宋体" w:cs="Times New Roman"/>
                      <w:color w:val="0000FF"/>
                      <w:sz w:val="18"/>
                      <w:szCs w:val="18"/>
                    </w:rPr>
                    <w:t>Y</w:t>
                  </w:r>
                </w:p>
              </w:tc>
              <w:tc>
                <w:tcPr>
                  <w:tcW w:w="660" w:type="dxa"/>
                  <w:tcBorders>
                    <w:tl2br w:val="nil"/>
                    <w:tr2bl w:val="nil"/>
                  </w:tcBorders>
                  <w:shd w:val="clear" w:color="auto" w:fill="auto"/>
                  <w:noWrap w:val="0"/>
                  <w:tcMar>
                    <w:top w:w="0" w:type="dxa"/>
                    <w:left w:w="0" w:type="dxa"/>
                    <w:bottom w:w="0" w:type="dxa"/>
                    <w:right w:w="0" w:type="dxa"/>
                  </w:tcMar>
                  <w:vAlign w:val="center"/>
                </w:tcPr>
                <w:p w14:paraId="3A2EF63E">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color w:val="0000FF"/>
                      <w:sz w:val="18"/>
                      <w:szCs w:val="18"/>
                    </w:rPr>
                  </w:pPr>
                  <w:r>
                    <w:rPr>
                      <w:rFonts w:ascii="Times New Roman" w:hAnsi="Times New Roman" w:eastAsia="宋体" w:cs="Times New Roman"/>
                      <w:color w:val="0000FF"/>
                      <w:sz w:val="18"/>
                      <w:szCs w:val="18"/>
                    </w:rPr>
                    <w:t>Z</w:t>
                  </w:r>
                </w:p>
              </w:tc>
              <w:tc>
                <w:tcPr>
                  <w:tcW w:w="1031" w:type="dxa"/>
                  <w:vMerge w:val="continue"/>
                  <w:tcBorders>
                    <w:tl2br w:val="nil"/>
                    <w:tr2bl w:val="nil"/>
                  </w:tcBorders>
                  <w:shd w:val="clear" w:color="auto" w:fill="auto"/>
                  <w:noWrap w:val="0"/>
                  <w:tcMar>
                    <w:top w:w="0" w:type="dxa"/>
                    <w:left w:w="0" w:type="dxa"/>
                    <w:bottom w:w="0" w:type="dxa"/>
                    <w:right w:w="0" w:type="dxa"/>
                  </w:tcMar>
                  <w:vAlign w:val="center"/>
                </w:tcPr>
                <w:p w14:paraId="197B925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Times New Roman" w:hAnsi="Times New Roman" w:eastAsia="宋体" w:cs="Times New Roman"/>
                      <w:color w:val="0000FF"/>
                      <w:sz w:val="18"/>
                      <w:szCs w:val="18"/>
                    </w:rPr>
                  </w:pPr>
                </w:p>
              </w:tc>
            </w:tr>
            <w:tr w14:paraId="24C91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6" w:hRule="atLeast"/>
                <w:jc w:val="center"/>
              </w:trPr>
              <w:tc>
                <w:tcPr>
                  <w:tcW w:w="764" w:type="dxa"/>
                  <w:tcBorders>
                    <w:tl2br w:val="nil"/>
                    <w:tr2bl w:val="nil"/>
                  </w:tcBorders>
                  <w:shd w:val="clear" w:color="auto" w:fill="auto"/>
                  <w:noWrap w:val="0"/>
                  <w:tcMar>
                    <w:top w:w="0" w:type="dxa"/>
                    <w:left w:w="0" w:type="dxa"/>
                    <w:bottom w:w="0" w:type="dxa"/>
                    <w:right w:w="0" w:type="dxa"/>
                  </w:tcMar>
                  <w:vAlign w:val="center"/>
                </w:tcPr>
                <w:p w14:paraId="1C24E552">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firstLine="0" w:firstLineChars="0"/>
                    <w:jc w:val="center"/>
                    <w:textAlignment w:val="auto"/>
                    <w:rPr>
                      <w:rFonts w:hint="eastAsia" w:eastAsia="宋体"/>
                      <w:color w:val="0000FF"/>
                      <w:sz w:val="18"/>
                      <w:szCs w:val="18"/>
                      <w:lang w:eastAsia="zh-CN"/>
                    </w:rPr>
                  </w:pPr>
                  <w:r>
                    <w:rPr>
                      <w:rFonts w:hint="eastAsia" w:ascii="Arial" w:hAnsi="Arial" w:eastAsia="宋体" w:cs="Arial"/>
                      <w:color w:val="0000FF"/>
                      <w:sz w:val="18"/>
                      <w:szCs w:val="18"/>
                      <w:lang w:val="en-US" w:eastAsia="zh-CN"/>
                    </w:rPr>
                    <w:t>1</w:t>
                  </w:r>
                </w:p>
              </w:tc>
              <w:tc>
                <w:tcPr>
                  <w:tcW w:w="1095" w:type="dxa"/>
                  <w:tcBorders>
                    <w:tl2br w:val="nil"/>
                    <w:tr2bl w:val="nil"/>
                  </w:tcBorders>
                  <w:shd w:val="clear" w:color="auto" w:fill="auto"/>
                  <w:noWrap w:val="0"/>
                  <w:tcMar>
                    <w:top w:w="0" w:type="dxa"/>
                    <w:left w:w="0" w:type="dxa"/>
                    <w:bottom w:w="0" w:type="dxa"/>
                    <w:right w:w="0" w:type="dxa"/>
                  </w:tcMar>
                  <w:vAlign w:val="center"/>
                </w:tcPr>
                <w:p w14:paraId="0AD84AD9">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eastAsia="宋体" w:cs="Times New Roman"/>
                      <w:color w:val="0000FF"/>
                      <w:kern w:val="2"/>
                      <w:sz w:val="18"/>
                      <w:szCs w:val="18"/>
                      <w:lang w:val="en-US" w:eastAsia="zh-CN" w:bidi="ar-SA"/>
                    </w:rPr>
                    <w:t>成品酸泵</w:t>
                  </w:r>
                  <w:r>
                    <w:rPr>
                      <w:rFonts w:hint="eastAsia" w:cs="Times New Roman"/>
                      <w:color w:val="0000FF"/>
                      <w:kern w:val="2"/>
                      <w:sz w:val="18"/>
                      <w:szCs w:val="18"/>
                      <w:lang w:val="en-US" w:eastAsia="zh-CN" w:bidi="ar-SA"/>
                    </w:rPr>
                    <w:t>A</w:t>
                  </w:r>
                </w:p>
              </w:tc>
              <w:tc>
                <w:tcPr>
                  <w:tcW w:w="1538" w:type="dxa"/>
                  <w:tcBorders>
                    <w:tl2br w:val="nil"/>
                    <w:tr2bl w:val="nil"/>
                  </w:tcBorders>
                  <w:shd w:val="clear" w:color="auto" w:fill="auto"/>
                  <w:noWrap w:val="0"/>
                  <w:tcMar>
                    <w:top w:w="0" w:type="dxa"/>
                    <w:left w:w="0" w:type="dxa"/>
                    <w:bottom w:w="0" w:type="dxa"/>
                    <w:right w:w="0" w:type="dxa"/>
                  </w:tcMar>
                  <w:vAlign w:val="center"/>
                </w:tcPr>
                <w:p w14:paraId="11CE30E3">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firstLine="0" w:firstLineChars="0"/>
                    <w:jc w:val="center"/>
                    <w:textAlignment w:val="auto"/>
                    <w:rPr>
                      <w:color w:val="0000FF"/>
                      <w:sz w:val="18"/>
                      <w:szCs w:val="18"/>
                    </w:rPr>
                  </w:pPr>
                  <w:r>
                    <w:rPr>
                      <w:rFonts w:hint="eastAsia" w:ascii="Arial" w:hAnsi="Arial" w:cs="Arial"/>
                      <w:color w:val="0000FF"/>
                      <w:sz w:val="18"/>
                      <w:szCs w:val="18"/>
                      <w:lang w:val="en-US" w:eastAsia="zh-CN"/>
                    </w:rPr>
                    <w:t>8</w:t>
                  </w:r>
                  <w:r>
                    <w:rPr>
                      <w:rFonts w:ascii="Arial" w:hAnsi="Arial" w:eastAsia="Arial" w:cs="Arial"/>
                      <w:color w:val="0000FF"/>
                      <w:sz w:val="18"/>
                      <w:szCs w:val="18"/>
                    </w:rPr>
                    <w:t>5</w:t>
                  </w:r>
                </w:p>
              </w:tc>
              <w:tc>
                <w:tcPr>
                  <w:tcW w:w="1110" w:type="dxa"/>
                  <w:tcBorders>
                    <w:tl2br w:val="nil"/>
                    <w:tr2bl w:val="nil"/>
                  </w:tcBorders>
                  <w:shd w:val="clear" w:color="auto" w:fill="auto"/>
                  <w:noWrap w:val="0"/>
                  <w:tcMar>
                    <w:top w:w="0" w:type="dxa"/>
                    <w:left w:w="0" w:type="dxa"/>
                    <w:bottom w:w="0" w:type="dxa"/>
                    <w:right w:w="0" w:type="dxa"/>
                  </w:tcMar>
                  <w:vAlign w:val="center"/>
                </w:tcPr>
                <w:p w14:paraId="7F1F230C">
                  <w:pPr>
                    <w:keepNext w:val="0"/>
                    <w:keepLines w:val="0"/>
                    <w:pageBreakBefore w:val="0"/>
                    <w:widowControl w:val="0"/>
                    <w:shd w:val="clear"/>
                    <w:kinsoku/>
                    <w:wordWrap/>
                    <w:overflowPunct/>
                    <w:topLinePunct w:val="0"/>
                    <w:autoSpaceDE/>
                    <w:autoSpaceDN/>
                    <w:bidi w:val="0"/>
                    <w:adjustRightInd w:val="0"/>
                    <w:snapToGrid w:val="0"/>
                    <w:spacing w:line="240" w:lineRule="auto"/>
                    <w:ind w:right="0" w:firstLine="0" w:firstLineChars="0"/>
                    <w:jc w:val="center"/>
                    <w:textAlignment w:val="auto"/>
                    <w:rPr>
                      <w:color w:val="0000FF"/>
                      <w:sz w:val="18"/>
                      <w:szCs w:val="18"/>
                    </w:rPr>
                  </w:pPr>
                  <w:r>
                    <w:rPr>
                      <w:rFonts w:hint="eastAsia"/>
                      <w:color w:val="0000FF"/>
                      <w:sz w:val="18"/>
                      <w:szCs w:val="18"/>
                    </w:rPr>
                    <w:t>减震、选用低噪声的设备</w:t>
                  </w:r>
                </w:p>
              </w:tc>
              <w:tc>
                <w:tcPr>
                  <w:tcW w:w="735" w:type="dxa"/>
                  <w:tcBorders>
                    <w:tl2br w:val="nil"/>
                    <w:tr2bl w:val="nil"/>
                  </w:tcBorders>
                  <w:shd w:val="clear" w:color="auto" w:fill="auto"/>
                  <w:noWrap w:val="0"/>
                  <w:tcMar>
                    <w:top w:w="0" w:type="dxa"/>
                    <w:left w:w="0" w:type="dxa"/>
                    <w:bottom w:w="0" w:type="dxa"/>
                    <w:right w:w="0" w:type="dxa"/>
                  </w:tcMar>
                  <w:vAlign w:val="center"/>
                </w:tcPr>
                <w:p w14:paraId="1219E804">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FF"/>
                      <w:kern w:val="2"/>
                      <w:sz w:val="18"/>
                      <w:szCs w:val="18"/>
                      <w:lang w:val="en-US" w:eastAsia="zh-CN" w:bidi="ar-SA"/>
                    </w:rPr>
                  </w:pPr>
                  <w:r>
                    <w:rPr>
                      <w:rFonts w:hint="eastAsia" w:cs="Times New Roman"/>
                      <w:color w:val="0000FF"/>
                      <w:kern w:val="2"/>
                      <w:sz w:val="18"/>
                      <w:szCs w:val="18"/>
                      <w:lang w:val="en-US" w:eastAsia="zh-CN" w:bidi="ar-SA"/>
                    </w:rPr>
                    <w:t>100</w:t>
                  </w:r>
                </w:p>
              </w:tc>
              <w:tc>
                <w:tcPr>
                  <w:tcW w:w="690" w:type="dxa"/>
                  <w:tcBorders>
                    <w:tl2br w:val="nil"/>
                    <w:tr2bl w:val="nil"/>
                  </w:tcBorders>
                  <w:shd w:val="clear" w:color="auto" w:fill="auto"/>
                  <w:noWrap w:val="0"/>
                  <w:tcMar>
                    <w:top w:w="0" w:type="dxa"/>
                    <w:left w:w="0" w:type="dxa"/>
                    <w:bottom w:w="0" w:type="dxa"/>
                    <w:right w:w="0" w:type="dxa"/>
                  </w:tcMar>
                  <w:vAlign w:val="center"/>
                </w:tcPr>
                <w:p w14:paraId="305ABD53">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FF"/>
                      <w:kern w:val="2"/>
                      <w:sz w:val="18"/>
                      <w:szCs w:val="18"/>
                      <w:lang w:val="en-US" w:eastAsia="zh-CN" w:bidi="ar-SA"/>
                    </w:rPr>
                  </w:pPr>
                  <w:r>
                    <w:rPr>
                      <w:rFonts w:hint="eastAsia" w:cs="Times New Roman"/>
                      <w:color w:val="0000FF"/>
                      <w:kern w:val="2"/>
                      <w:sz w:val="18"/>
                      <w:szCs w:val="18"/>
                      <w:lang w:val="en-US" w:eastAsia="zh-CN" w:bidi="ar-SA"/>
                    </w:rPr>
                    <w:t>203</w:t>
                  </w:r>
                </w:p>
              </w:tc>
              <w:tc>
                <w:tcPr>
                  <w:tcW w:w="660" w:type="dxa"/>
                  <w:tcBorders>
                    <w:tl2br w:val="nil"/>
                    <w:tr2bl w:val="nil"/>
                  </w:tcBorders>
                  <w:shd w:val="clear" w:color="auto" w:fill="auto"/>
                  <w:noWrap w:val="0"/>
                  <w:tcMar>
                    <w:top w:w="0" w:type="dxa"/>
                    <w:left w:w="0" w:type="dxa"/>
                    <w:bottom w:w="0" w:type="dxa"/>
                    <w:right w:w="0" w:type="dxa"/>
                  </w:tcMar>
                  <w:vAlign w:val="center"/>
                </w:tcPr>
                <w:p w14:paraId="1439E0A4">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firstLine="0" w:firstLineChars="0"/>
                    <w:jc w:val="center"/>
                    <w:textAlignment w:val="auto"/>
                    <w:rPr>
                      <w:rFonts w:hint="eastAsia" w:ascii="Times New Roman" w:hAnsi="Times New Roman" w:eastAsia="宋体" w:cs="Times New Roman"/>
                      <w:color w:val="0000FF"/>
                      <w:kern w:val="2"/>
                      <w:sz w:val="18"/>
                      <w:szCs w:val="18"/>
                      <w:lang w:val="en-US" w:eastAsia="zh-CN" w:bidi="ar-SA"/>
                    </w:rPr>
                  </w:pPr>
                  <w:r>
                    <w:rPr>
                      <w:rFonts w:hint="eastAsia" w:ascii="Times New Roman" w:hAnsi="Times New Roman" w:eastAsia="宋体" w:cs="Times New Roman"/>
                      <w:color w:val="0000FF"/>
                      <w:kern w:val="2"/>
                      <w:sz w:val="18"/>
                      <w:szCs w:val="18"/>
                      <w:lang w:val="en-US" w:eastAsia="zh-CN" w:bidi="ar-SA"/>
                    </w:rPr>
                    <w:t>1</w:t>
                  </w:r>
                </w:p>
              </w:tc>
              <w:tc>
                <w:tcPr>
                  <w:tcW w:w="1031" w:type="dxa"/>
                  <w:vMerge w:val="continue"/>
                  <w:tcBorders>
                    <w:tl2br w:val="nil"/>
                    <w:tr2bl w:val="nil"/>
                  </w:tcBorders>
                  <w:shd w:val="clear" w:color="auto" w:fill="auto"/>
                  <w:noWrap w:val="0"/>
                  <w:tcMar>
                    <w:top w:w="0" w:type="dxa"/>
                    <w:left w:w="0" w:type="dxa"/>
                    <w:bottom w:w="0" w:type="dxa"/>
                    <w:right w:w="0" w:type="dxa"/>
                  </w:tcMar>
                  <w:vAlign w:val="center"/>
                </w:tcPr>
                <w:p w14:paraId="785F62ED">
                  <w:pPr>
                    <w:keepNext w:val="0"/>
                    <w:keepLines w:val="0"/>
                    <w:pageBreakBefore w:val="0"/>
                    <w:widowControl w:val="0"/>
                    <w:shd w:val="clear"/>
                    <w:kinsoku/>
                    <w:wordWrap/>
                    <w:overflowPunct/>
                    <w:topLinePunct w:val="0"/>
                    <w:autoSpaceDE/>
                    <w:autoSpaceDN/>
                    <w:bidi w:val="0"/>
                    <w:adjustRightInd w:val="0"/>
                    <w:snapToGrid w:val="0"/>
                    <w:spacing w:line="240" w:lineRule="auto"/>
                    <w:ind w:right="0" w:firstLine="0" w:firstLineChars="0"/>
                    <w:jc w:val="center"/>
                    <w:textAlignment w:val="auto"/>
                    <w:rPr>
                      <w:rFonts w:hint="eastAsia" w:ascii="Times New Roman" w:hAnsi="Times New Roman" w:eastAsia="宋体" w:cs="Times New Roman"/>
                      <w:color w:val="0000FF"/>
                      <w:kern w:val="2"/>
                      <w:sz w:val="18"/>
                      <w:szCs w:val="18"/>
                      <w:lang w:val="en-US" w:eastAsia="zh-CN" w:bidi="ar-SA"/>
                    </w:rPr>
                  </w:pPr>
                </w:p>
              </w:tc>
            </w:tr>
            <w:tr w14:paraId="22267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3" w:hRule="atLeast"/>
                <w:jc w:val="center"/>
              </w:trPr>
              <w:tc>
                <w:tcPr>
                  <w:tcW w:w="764" w:type="dxa"/>
                  <w:tcBorders>
                    <w:tl2br w:val="nil"/>
                    <w:tr2bl w:val="nil"/>
                  </w:tcBorders>
                  <w:shd w:val="clear" w:color="auto" w:fill="auto"/>
                  <w:noWrap w:val="0"/>
                  <w:tcMar>
                    <w:top w:w="0" w:type="dxa"/>
                    <w:left w:w="0" w:type="dxa"/>
                    <w:bottom w:w="0" w:type="dxa"/>
                    <w:right w:w="0" w:type="dxa"/>
                  </w:tcMar>
                  <w:vAlign w:val="center"/>
                </w:tcPr>
                <w:p w14:paraId="2FC51220">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firstLine="0" w:firstLineChars="0"/>
                    <w:jc w:val="center"/>
                    <w:textAlignment w:val="auto"/>
                    <w:rPr>
                      <w:rFonts w:hint="eastAsia" w:eastAsia="宋体"/>
                      <w:color w:val="0000FF"/>
                      <w:sz w:val="18"/>
                      <w:szCs w:val="18"/>
                      <w:lang w:eastAsia="zh-CN"/>
                    </w:rPr>
                  </w:pPr>
                  <w:r>
                    <w:rPr>
                      <w:rFonts w:hint="eastAsia" w:ascii="Arial" w:hAnsi="Arial" w:eastAsia="宋体" w:cs="Arial"/>
                      <w:color w:val="0000FF"/>
                      <w:sz w:val="18"/>
                      <w:szCs w:val="18"/>
                      <w:lang w:val="en-US" w:eastAsia="zh-CN"/>
                    </w:rPr>
                    <w:t>2</w:t>
                  </w:r>
                </w:p>
              </w:tc>
              <w:tc>
                <w:tcPr>
                  <w:tcW w:w="1095" w:type="dxa"/>
                  <w:tcBorders>
                    <w:tl2br w:val="nil"/>
                    <w:tr2bl w:val="nil"/>
                  </w:tcBorders>
                  <w:shd w:val="clear" w:color="auto" w:fill="auto"/>
                  <w:noWrap w:val="0"/>
                  <w:tcMar>
                    <w:top w:w="0" w:type="dxa"/>
                    <w:left w:w="0" w:type="dxa"/>
                    <w:bottom w:w="0" w:type="dxa"/>
                    <w:right w:w="0" w:type="dxa"/>
                  </w:tcMar>
                  <w:vAlign w:val="center"/>
                </w:tcPr>
                <w:p w14:paraId="41F5E342">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firstLine="0" w:firstLineChars="0"/>
                    <w:jc w:val="center"/>
                    <w:textAlignment w:val="auto"/>
                    <w:rPr>
                      <w:rFonts w:hint="eastAsia" w:ascii="Times New Roman" w:hAnsi="Times New Roman" w:eastAsia="宋体" w:cs="Times New Roman"/>
                      <w:color w:val="0000FF"/>
                      <w:kern w:val="2"/>
                      <w:sz w:val="18"/>
                      <w:szCs w:val="18"/>
                      <w:lang w:val="en-US" w:eastAsia="zh-CN" w:bidi="ar-SA"/>
                    </w:rPr>
                  </w:pPr>
                  <w:r>
                    <w:rPr>
                      <w:rFonts w:hint="eastAsia" w:ascii="Times New Roman" w:hAnsi="Times New Roman" w:eastAsia="宋体" w:cs="Times New Roman"/>
                      <w:color w:val="0000FF"/>
                      <w:kern w:val="2"/>
                      <w:sz w:val="18"/>
                      <w:szCs w:val="18"/>
                      <w:lang w:val="en-US" w:eastAsia="zh-CN" w:bidi="ar-SA"/>
                    </w:rPr>
                    <w:t>成品酸泵</w:t>
                  </w:r>
                  <w:r>
                    <w:rPr>
                      <w:rFonts w:hint="eastAsia" w:cs="Times New Roman"/>
                      <w:color w:val="0000FF"/>
                      <w:kern w:val="2"/>
                      <w:sz w:val="18"/>
                      <w:szCs w:val="18"/>
                      <w:lang w:val="en-US" w:eastAsia="zh-CN" w:bidi="ar-SA"/>
                    </w:rPr>
                    <w:t>D</w:t>
                  </w:r>
                </w:p>
              </w:tc>
              <w:tc>
                <w:tcPr>
                  <w:tcW w:w="1538" w:type="dxa"/>
                  <w:tcBorders>
                    <w:tl2br w:val="nil"/>
                    <w:tr2bl w:val="nil"/>
                  </w:tcBorders>
                  <w:shd w:val="clear" w:color="auto" w:fill="auto"/>
                  <w:noWrap w:val="0"/>
                  <w:tcMar>
                    <w:top w:w="0" w:type="dxa"/>
                    <w:left w:w="0" w:type="dxa"/>
                    <w:bottom w:w="0" w:type="dxa"/>
                    <w:right w:w="0" w:type="dxa"/>
                  </w:tcMar>
                  <w:vAlign w:val="center"/>
                </w:tcPr>
                <w:p w14:paraId="4973A35D">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eastAsia="宋体"/>
                      <w:color w:val="0000FF"/>
                      <w:sz w:val="18"/>
                      <w:szCs w:val="18"/>
                      <w:lang w:val="en-US" w:eastAsia="zh-CN"/>
                    </w:rPr>
                  </w:pPr>
                  <w:r>
                    <w:rPr>
                      <w:rFonts w:hint="eastAsia" w:ascii="Arial" w:hAnsi="Arial" w:cs="Arial"/>
                      <w:color w:val="0000FF"/>
                      <w:sz w:val="18"/>
                      <w:szCs w:val="18"/>
                      <w:lang w:val="en-US" w:eastAsia="zh-CN"/>
                    </w:rPr>
                    <w:t>85</w:t>
                  </w:r>
                </w:p>
              </w:tc>
              <w:tc>
                <w:tcPr>
                  <w:tcW w:w="1110" w:type="dxa"/>
                  <w:tcBorders>
                    <w:tl2br w:val="nil"/>
                    <w:tr2bl w:val="nil"/>
                  </w:tcBorders>
                  <w:shd w:val="clear" w:color="auto" w:fill="auto"/>
                  <w:noWrap w:val="0"/>
                  <w:tcMar>
                    <w:top w:w="0" w:type="dxa"/>
                    <w:left w:w="0" w:type="dxa"/>
                    <w:bottom w:w="0" w:type="dxa"/>
                    <w:right w:w="0" w:type="dxa"/>
                  </w:tcMar>
                  <w:vAlign w:val="center"/>
                </w:tcPr>
                <w:p w14:paraId="2D7D2A98">
                  <w:pPr>
                    <w:keepNext w:val="0"/>
                    <w:keepLines w:val="0"/>
                    <w:pageBreakBefore w:val="0"/>
                    <w:widowControl w:val="0"/>
                    <w:shd w:val="clear"/>
                    <w:kinsoku/>
                    <w:wordWrap/>
                    <w:overflowPunct/>
                    <w:topLinePunct w:val="0"/>
                    <w:autoSpaceDE/>
                    <w:autoSpaceDN/>
                    <w:bidi w:val="0"/>
                    <w:adjustRightInd w:val="0"/>
                    <w:snapToGrid w:val="0"/>
                    <w:spacing w:line="240" w:lineRule="auto"/>
                    <w:ind w:right="0" w:firstLine="0" w:firstLineChars="0"/>
                    <w:jc w:val="center"/>
                    <w:textAlignment w:val="auto"/>
                    <w:rPr>
                      <w:color w:val="0000FF"/>
                      <w:sz w:val="18"/>
                      <w:szCs w:val="18"/>
                    </w:rPr>
                  </w:pPr>
                </w:p>
              </w:tc>
              <w:tc>
                <w:tcPr>
                  <w:tcW w:w="735" w:type="dxa"/>
                  <w:tcBorders>
                    <w:tl2br w:val="nil"/>
                    <w:tr2bl w:val="nil"/>
                  </w:tcBorders>
                  <w:shd w:val="clear" w:color="auto" w:fill="auto"/>
                  <w:noWrap w:val="0"/>
                  <w:tcMar>
                    <w:top w:w="0" w:type="dxa"/>
                    <w:left w:w="0" w:type="dxa"/>
                    <w:bottom w:w="0" w:type="dxa"/>
                    <w:right w:w="0" w:type="dxa"/>
                  </w:tcMar>
                  <w:vAlign w:val="center"/>
                </w:tcPr>
                <w:p w14:paraId="4C0F573E">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FF"/>
                      <w:kern w:val="2"/>
                      <w:sz w:val="18"/>
                      <w:szCs w:val="18"/>
                      <w:lang w:val="en-US" w:eastAsia="zh-CN" w:bidi="ar-SA"/>
                    </w:rPr>
                  </w:pPr>
                  <w:r>
                    <w:rPr>
                      <w:rFonts w:hint="eastAsia" w:cs="Times New Roman"/>
                      <w:color w:val="0000FF"/>
                      <w:kern w:val="2"/>
                      <w:sz w:val="18"/>
                      <w:szCs w:val="18"/>
                      <w:lang w:val="en-US" w:eastAsia="zh-CN" w:bidi="ar-SA"/>
                    </w:rPr>
                    <w:t>160</w:t>
                  </w:r>
                </w:p>
              </w:tc>
              <w:tc>
                <w:tcPr>
                  <w:tcW w:w="690" w:type="dxa"/>
                  <w:tcBorders>
                    <w:tl2br w:val="nil"/>
                    <w:tr2bl w:val="nil"/>
                  </w:tcBorders>
                  <w:shd w:val="clear" w:color="auto" w:fill="auto"/>
                  <w:noWrap w:val="0"/>
                  <w:tcMar>
                    <w:top w:w="0" w:type="dxa"/>
                    <w:left w:w="0" w:type="dxa"/>
                    <w:bottom w:w="0" w:type="dxa"/>
                    <w:right w:w="0" w:type="dxa"/>
                  </w:tcMar>
                  <w:vAlign w:val="center"/>
                </w:tcPr>
                <w:p w14:paraId="6A1F528B">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FF"/>
                      <w:kern w:val="2"/>
                      <w:sz w:val="18"/>
                      <w:szCs w:val="18"/>
                      <w:lang w:val="en-US" w:eastAsia="zh-CN" w:bidi="ar-SA"/>
                    </w:rPr>
                  </w:pPr>
                  <w:r>
                    <w:rPr>
                      <w:rFonts w:hint="eastAsia" w:cs="Times New Roman"/>
                      <w:color w:val="0000FF"/>
                      <w:kern w:val="2"/>
                      <w:sz w:val="18"/>
                      <w:szCs w:val="18"/>
                      <w:lang w:val="en-US" w:eastAsia="zh-CN" w:bidi="ar-SA"/>
                    </w:rPr>
                    <w:t>204</w:t>
                  </w:r>
                </w:p>
              </w:tc>
              <w:tc>
                <w:tcPr>
                  <w:tcW w:w="660" w:type="dxa"/>
                  <w:tcBorders>
                    <w:tl2br w:val="nil"/>
                    <w:tr2bl w:val="nil"/>
                  </w:tcBorders>
                  <w:shd w:val="clear" w:color="auto" w:fill="auto"/>
                  <w:noWrap w:val="0"/>
                  <w:tcMar>
                    <w:top w:w="0" w:type="dxa"/>
                    <w:left w:w="0" w:type="dxa"/>
                    <w:bottom w:w="0" w:type="dxa"/>
                    <w:right w:w="0" w:type="dxa"/>
                  </w:tcMar>
                  <w:vAlign w:val="center"/>
                </w:tcPr>
                <w:p w14:paraId="2CCA90C9">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firstLine="0" w:firstLineChars="0"/>
                    <w:jc w:val="center"/>
                    <w:textAlignment w:val="auto"/>
                    <w:rPr>
                      <w:rFonts w:hint="eastAsia" w:ascii="Times New Roman" w:hAnsi="Times New Roman" w:eastAsia="宋体" w:cs="Times New Roman"/>
                      <w:color w:val="0000FF"/>
                      <w:kern w:val="2"/>
                      <w:sz w:val="18"/>
                      <w:szCs w:val="18"/>
                      <w:lang w:val="en-US" w:eastAsia="zh-CN" w:bidi="ar-SA"/>
                    </w:rPr>
                  </w:pPr>
                  <w:r>
                    <w:rPr>
                      <w:rFonts w:hint="eastAsia" w:ascii="Times New Roman" w:hAnsi="Times New Roman" w:eastAsia="宋体" w:cs="Times New Roman"/>
                      <w:color w:val="0000FF"/>
                      <w:kern w:val="2"/>
                      <w:sz w:val="18"/>
                      <w:szCs w:val="18"/>
                      <w:lang w:val="en-US" w:eastAsia="zh-CN" w:bidi="ar-SA"/>
                    </w:rPr>
                    <w:t>1</w:t>
                  </w:r>
                </w:p>
              </w:tc>
              <w:tc>
                <w:tcPr>
                  <w:tcW w:w="1031" w:type="dxa"/>
                  <w:vMerge w:val="continue"/>
                  <w:tcBorders>
                    <w:tl2br w:val="nil"/>
                    <w:tr2bl w:val="nil"/>
                  </w:tcBorders>
                  <w:shd w:val="clear" w:color="auto" w:fill="auto"/>
                  <w:noWrap w:val="0"/>
                  <w:tcMar>
                    <w:top w:w="0" w:type="dxa"/>
                    <w:left w:w="0" w:type="dxa"/>
                    <w:bottom w:w="0" w:type="dxa"/>
                    <w:right w:w="0" w:type="dxa"/>
                  </w:tcMar>
                  <w:vAlign w:val="center"/>
                </w:tcPr>
                <w:p w14:paraId="7CB8792E">
                  <w:pPr>
                    <w:keepNext w:val="0"/>
                    <w:keepLines w:val="0"/>
                    <w:pageBreakBefore w:val="0"/>
                    <w:widowControl w:val="0"/>
                    <w:shd w:val="clear"/>
                    <w:kinsoku/>
                    <w:wordWrap/>
                    <w:overflowPunct/>
                    <w:topLinePunct w:val="0"/>
                    <w:autoSpaceDE/>
                    <w:autoSpaceDN/>
                    <w:bidi w:val="0"/>
                    <w:adjustRightInd w:val="0"/>
                    <w:snapToGrid w:val="0"/>
                    <w:spacing w:line="240" w:lineRule="auto"/>
                    <w:ind w:right="0" w:firstLine="0" w:firstLineChars="0"/>
                    <w:jc w:val="center"/>
                    <w:textAlignment w:val="auto"/>
                    <w:rPr>
                      <w:rFonts w:hint="eastAsia" w:ascii="Times New Roman" w:hAnsi="Times New Roman" w:eastAsia="宋体" w:cs="Times New Roman"/>
                      <w:color w:val="0000FF"/>
                      <w:kern w:val="2"/>
                      <w:sz w:val="18"/>
                      <w:szCs w:val="18"/>
                      <w:lang w:val="en-US" w:eastAsia="zh-CN" w:bidi="ar-SA"/>
                    </w:rPr>
                  </w:pPr>
                </w:p>
              </w:tc>
            </w:tr>
            <w:bookmarkEnd w:id="9"/>
          </w:tbl>
          <w:p w14:paraId="08178ACA">
            <w:pPr>
              <w:shd w:val="clear"/>
              <w:spacing w:line="360" w:lineRule="auto"/>
              <w:rPr>
                <w:b/>
                <w:bCs/>
                <w:color w:val="0000FF"/>
                <w:sz w:val="24"/>
              </w:rPr>
            </w:pPr>
            <w:r>
              <w:rPr>
                <w:b/>
                <w:bCs/>
                <w:color w:val="0000FF"/>
                <w:sz w:val="24"/>
              </w:rPr>
              <w:t>3.2预测方法</w:t>
            </w:r>
          </w:p>
          <w:p w14:paraId="29248164">
            <w:pPr>
              <w:spacing w:line="360" w:lineRule="auto"/>
              <w:ind w:firstLine="480" w:firstLineChars="200"/>
              <w:rPr>
                <w:color w:val="0000FF"/>
                <w:sz w:val="24"/>
              </w:rPr>
            </w:pPr>
            <w:r>
              <w:rPr>
                <w:color w:val="0000FF"/>
                <w:sz w:val="24"/>
              </w:rPr>
              <w:t>噪声源布置较为集中，其对厂界外的声环境影响采取《环境影响评价技术导则 声环境》（HJ2.4-20</w:t>
            </w:r>
            <w:r>
              <w:rPr>
                <w:rFonts w:hint="eastAsia"/>
                <w:color w:val="0000FF"/>
                <w:sz w:val="24"/>
                <w:lang w:val="en-US" w:eastAsia="zh-CN"/>
              </w:rPr>
              <w:t>21</w:t>
            </w:r>
            <w:r>
              <w:rPr>
                <w:color w:val="0000FF"/>
                <w:sz w:val="24"/>
              </w:rPr>
              <w:t>）中的噪声预测模式。</w:t>
            </w:r>
          </w:p>
          <w:p w14:paraId="473CDAA8">
            <w:pPr>
              <w:spacing w:line="360" w:lineRule="auto"/>
              <w:rPr>
                <w:b/>
                <w:bCs/>
                <w:color w:val="0000FF"/>
                <w:sz w:val="24"/>
              </w:rPr>
            </w:pPr>
            <w:r>
              <w:rPr>
                <w:b/>
                <w:bCs/>
                <w:color w:val="0000FF"/>
                <w:sz w:val="24"/>
              </w:rPr>
              <w:t>3.3噪声排放标准</w:t>
            </w:r>
          </w:p>
          <w:p w14:paraId="0339A11B">
            <w:pPr>
              <w:spacing w:line="360" w:lineRule="auto"/>
              <w:ind w:firstLine="480" w:firstLineChars="200"/>
              <w:rPr>
                <w:color w:val="0000FF"/>
                <w:sz w:val="24"/>
              </w:rPr>
            </w:pPr>
            <w:r>
              <w:rPr>
                <w:color w:val="0000FF"/>
                <w:sz w:val="24"/>
              </w:rPr>
              <w:t>厂界噪声标准采用《工业企业厂界环境噪声排放标准》（GB12348-2008）中的</w:t>
            </w:r>
            <w:r>
              <w:rPr>
                <w:rFonts w:hint="eastAsia"/>
                <w:color w:val="0000FF"/>
                <w:sz w:val="24"/>
                <w:lang w:val="en-US" w:eastAsia="zh-CN"/>
              </w:rPr>
              <w:t>3</w:t>
            </w:r>
            <w:r>
              <w:rPr>
                <w:color w:val="0000FF"/>
                <w:sz w:val="24"/>
              </w:rPr>
              <w:t>类标准，其标准值见表4-</w:t>
            </w:r>
            <w:r>
              <w:rPr>
                <w:rFonts w:hint="eastAsia"/>
                <w:color w:val="0000FF"/>
                <w:sz w:val="24"/>
                <w:lang w:val="en-US" w:eastAsia="zh-CN"/>
              </w:rPr>
              <w:t>5</w:t>
            </w:r>
            <w:r>
              <w:rPr>
                <w:color w:val="0000FF"/>
                <w:sz w:val="24"/>
              </w:rPr>
              <w:t>。</w:t>
            </w:r>
          </w:p>
          <w:p w14:paraId="02283D99">
            <w:pPr>
              <w:autoSpaceDE w:val="0"/>
              <w:autoSpaceDN w:val="0"/>
              <w:adjustRightInd w:val="0"/>
              <w:snapToGrid w:val="0"/>
              <w:jc w:val="center"/>
              <w:textAlignment w:val="baseline"/>
              <w:rPr>
                <w:rFonts w:hint="default" w:ascii="Times New Roman" w:hAnsi="Times New Roman" w:eastAsia="宋体" w:cs="Times New Roman"/>
                <w:b/>
                <w:bCs/>
                <w:color w:val="0000FF"/>
                <w:kern w:val="2"/>
                <w:sz w:val="21"/>
                <w:szCs w:val="21"/>
                <w:highlight w:val="none"/>
                <w:lang w:val="en-US" w:eastAsia="zh-CN" w:bidi="ar-SA"/>
              </w:rPr>
            </w:pPr>
            <w:r>
              <w:rPr>
                <w:rFonts w:hint="default" w:ascii="Times New Roman" w:hAnsi="Times New Roman" w:eastAsia="宋体" w:cs="Times New Roman"/>
                <w:b/>
                <w:bCs/>
                <w:color w:val="0000FF"/>
                <w:kern w:val="2"/>
                <w:sz w:val="21"/>
                <w:szCs w:val="21"/>
                <w:highlight w:val="none"/>
                <w:lang w:val="en-US" w:eastAsia="zh-CN" w:bidi="ar-SA"/>
              </w:rPr>
              <w:t>表4-</w:t>
            </w:r>
            <w:r>
              <w:rPr>
                <w:rFonts w:hint="eastAsia" w:cs="Times New Roman"/>
                <w:b/>
                <w:bCs/>
                <w:color w:val="0000FF"/>
                <w:kern w:val="2"/>
                <w:sz w:val="21"/>
                <w:szCs w:val="21"/>
                <w:highlight w:val="none"/>
                <w:lang w:val="en-US" w:eastAsia="zh-CN" w:bidi="ar-SA"/>
              </w:rPr>
              <w:t>5</w:t>
            </w:r>
            <w:r>
              <w:rPr>
                <w:rFonts w:hint="default" w:ascii="Times New Roman" w:hAnsi="Times New Roman" w:eastAsia="宋体" w:cs="Times New Roman"/>
                <w:b/>
                <w:bCs/>
                <w:color w:val="0000FF"/>
                <w:kern w:val="2"/>
                <w:sz w:val="21"/>
                <w:szCs w:val="21"/>
                <w:highlight w:val="none"/>
                <w:lang w:val="en-US" w:eastAsia="zh-CN" w:bidi="ar-SA"/>
              </w:rPr>
              <w:t xml:space="preserve">    噪声评价标准    单位：dB（A）</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179"/>
              <w:gridCol w:w="1044"/>
              <w:gridCol w:w="1044"/>
              <w:gridCol w:w="1044"/>
            </w:tblGrid>
            <w:tr w14:paraId="262D6D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79" w:type="dxa"/>
                  <w:noWrap w:val="0"/>
                  <w:vAlign w:val="center"/>
                </w:tcPr>
                <w:p w14:paraId="66AFB5B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bCs/>
                      <w:color w:val="0000FF"/>
                      <w:sz w:val="21"/>
                      <w:szCs w:val="21"/>
                    </w:rPr>
                  </w:pPr>
                  <w:r>
                    <w:rPr>
                      <w:b/>
                      <w:bCs/>
                      <w:color w:val="0000FF"/>
                      <w:sz w:val="21"/>
                      <w:szCs w:val="21"/>
                    </w:rPr>
                    <w:t>采用标准</w:t>
                  </w:r>
                </w:p>
              </w:tc>
              <w:tc>
                <w:tcPr>
                  <w:tcW w:w="1044" w:type="dxa"/>
                  <w:noWrap w:val="0"/>
                  <w:vAlign w:val="center"/>
                </w:tcPr>
                <w:p w14:paraId="7C02233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bCs/>
                      <w:color w:val="0000FF"/>
                      <w:sz w:val="21"/>
                      <w:szCs w:val="21"/>
                    </w:rPr>
                  </w:pPr>
                  <w:r>
                    <w:rPr>
                      <w:b/>
                      <w:bCs/>
                      <w:color w:val="0000FF"/>
                      <w:sz w:val="21"/>
                      <w:szCs w:val="21"/>
                    </w:rPr>
                    <w:t>类别</w:t>
                  </w:r>
                </w:p>
              </w:tc>
              <w:tc>
                <w:tcPr>
                  <w:tcW w:w="1044" w:type="dxa"/>
                  <w:noWrap w:val="0"/>
                  <w:vAlign w:val="center"/>
                </w:tcPr>
                <w:p w14:paraId="5151954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bCs/>
                      <w:color w:val="0000FF"/>
                      <w:sz w:val="21"/>
                      <w:szCs w:val="21"/>
                    </w:rPr>
                  </w:pPr>
                  <w:r>
                    <w:rPr>
                      <w:b/>
                      <w:bCs/>
                      <w:color w:val="0000FF"/>
                      <w:sz w:val="21"/>
                      <w:szCs w:val="21"/>
                    </w:rPr>
                    <w:t>昼间</w:t>
                  </w:r>
                </w:p>
              </w:tc>
              <w:tc>
                <w:tcPr>
                  <w:tcW w:w="1044" w:type="dxa"/>
                  <w:noWrap w:val="0"/>
                  <w:vAlign w:val="center"/>
                </w:tcPr>
                <w:p w14:paraId="28D4ADA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bCs/>
                      <w:color w:val="0000FF"/>
                      <w:sz w:val="21"/>
                      <w:szCs w:val="21"/>
                    </w:rPr>
                  </w:pPr>
                  <w:r>
                    <w:rPr>
                      <w:b/>
                      <w:bCs/>
                      <w:color w:val="0000FF"/>
                      <w:sz w:val="21"/>
                      <w:szCs w:val="21"/>
                    </w:rPr>
                    <w:t>夜间</w:t>
                  </w:r>
                </w:p>
              </w:tc>
            </w:tr>
            <w:tr w14:paraId="1CCC87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79" w:type="dxa"/>
                  <w:noWrap w:val="0"/>
                  <w:vAlign w:val="center"/>
                </w:tcPr>
                <w:p w14:paraId="507FA82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0000FF"/>
                      <w:sz w:val="21"/>
                      <w:szCs w:val="21"/>
                    </w:rPr>
                  </w:pPr>
                  <w:r>
                    <w:rPr>
                      <w:color w:val="0000FF"/>
                      <w:sz w:val="21"/>
                      <w:szCs w:val="21"/>
                    </w:rPr>
                    <w:t>《工业企业厂界环境噪声排放标准》（GB12348-2008）中的</w:t>
                  </w:r>
                  <w:r>
                    <w:rPr>
                      <w:rFonts w:hint="eastAsia"/>
                      <w:color w:val="0000FF"/>
                      <w:sz w:val="21"/>
                      <w:szCs w:val="21"/>
                      <w:lang w:val="en-US" w:eastAsia="zh-CN"/>
                    </w:rPr>
                    <w:t>3</w:t>
                  </w:r>
                  <w:r>
                    <w:rPr>
                      <w:color w:val="0000FF"/>
                      <w:sz w:val="21"/>
                      <w:szCs w:val="21"/>
                    </w:rPr>
                    <w:t>类标准</w:t>
                  </w:r>
                </w:p>
              </w:tc>
              <w:tc>
                <w:tcPr>
                  <w:tcW w:w="1044" w:type="dxa"/>
                  <w:noWrap w:val="0"/>
                  <w:vAlign w:val="center"/>
                </w:tcPr>
                <w:p w14:paraId="12F3091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color w:val="0000FF"/>
                      <w:sz w:val="21"/>
                      <w:szCs w:val="21"/>
                      <w:lang w:eastAsia="zh-CN"/>
                    </w:rPr>
                  </w:pPr>
                  <w:r>
                    <w:rPr>
                      <w:rFonts w:hint="eastAsia"/>
                      <w:color w:val="0000FF"/>
                      <w:sz w:val="21"/>
                      <w:szCs w:val="21"/>
                      <w:lang w:val="en-US" w:eastAsia="zh-CN"/>
                    </w:rPr>
                    <w:t>3</w:t>
                  </w:r>
                </w:p>
              </w:tc>
              <w:tc>
                <w:tcPr>
                  <w:tcW w:w="1044" w:type="dxa"/>
                  <w:noWrap w:val="0"/>
                  <w:vAlign w:val="center"/>
                </w:tcPr>
                <w:p w14:paraId="420DC64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olor w:val="0000FF"/>
                      <w:sz w:val="21"/>
                      <w:szCs w:val="21"/>
                    </w:rPr>
                  </w:pPr>
                  <w:r>
                    <w:rPr>
                      <w:color w:val="0000FF"/>
                      <w:sz w:val="21"/>
                      <w:szCs w:val="21"/>
                    </w:rPr>
                    <w:t>6</w:t>
                  </w:r>
                  <w:r>
                    <w:rPr>
                      <w:rFonts w:hint="eastAsia"/>
                      <w:color w:val="0000FF"/>
                      <w:sz w:val="21"/>
                      <w:szCs w:val="21"/>
                      <w:lang w:val="en-US" w:eastAsia="zh-CN"/>
                    </w:rPr>
                    <w:t>5</w:t>
                  </w:r>
                </w:p>
              </w:tc>
              <w:tc>
                <w:tcPr>
                  <w:tcW w:w="1044" w:type="dxa"/>
                  <w:noWrap w:val="0"/>
                  <w:vAlign w:val="center"/>
                </w:tcPr>
                <w:p w14:paraId="267C16A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color w:val="0000FF"/>
                      <w:sz w:val="21"/>
                      <w:szCs w:val="21"/>
                      <w:lang w:val="en-US" w:eastAsia="zh-CN"/>
                    </w:rPr>
                  </w:pPr>
                  <w:r>
                    <w:rPr>
                      <w:rFonts w:hint="eastAsia"/>
                      <w:color w:val="0000FF"/>
                      <w:sz w:val="21"/>
                      <w:szCs w:val="21"/>
                      <w:lang w:val="en-US" w:eastAsia="zh-CN"/>
                    </w:rPr>
                    <w:t>55</w:t>
                  </w:r>
                </w:p>
              </w:tc>
            </w:tr>
          </w:tbl>
          <w:p w14:paraId="70A7343C">
            <w:pPr>
              <w:spacing w:line="480" w:lineRule="exact"/>
              <w:rPr>
                <w:b/>
                <w:bCs/>
                <w:color w:val="0000FF"/>
                <w:sz w:val="24"/>
              </w:rPr>
            </w:pPr>
            <w:r>
              <w:rPr>
                <w:rFonts w:hint="eastAsia"/>
                <w:b/>
                <w:bCs/>
                <w:color w:val="0000FF"/>
                <w:sz w:val="24"/>
                <w:lang w:val="en-US" w:eastAsia="zh-CN"/>
              </w:rPr>
              <w:t>3.4</w:t>
            </w:r>
            <w:r>
              <w:rPr>
                <w:b/>
                <w:bCs/>
                <w:color w:val="0000FF"/>
                <w:sz w:val="24"/>
              </w:rPr>
              <w:t>噪声影响预测模式</w:t>
            </w:r>
          </w:p>
          <w:p w14:paraId="7352FE2F">
            <w:pPr>
              <w:spacing w:line="480" w:lineRule="exact"/>
              <w:rPr>
                <w:color w:val="0000FF"/>
              </w:rPr>
            </w:pPr>
            <w:r>
              <w:rPr>
                <w:rFonts w:hint="eastAsia" w:ascii="宋体" w:hAnsi="宋体" w:eastAsia="宋体" w:cs="宋体"/>
                <w:color w:val="0000FF"/>
                <w:kern w:val="0"/>
                <w:sz w:val="24"/>
                <w:szCs w:val="24"/>
                <w:lang w:val="en-US" w:eastAsia="zh-CN" w:bidi="ar"/>
              </w:rPr>
              <w:t>本次环境噪声影响预测采用《环境影响评价技术导则 声环境》（</w:t>
            </w:r>
            <w:r>
              <w:rPr>
                <w:rFonts w:hint="default" w:ascii="Times New Roman" w:hAnsi="Times New Roman" w:eastAsia="宋体" w:cs="Times New Roman"/>
                <w:color w:val="0000FF"/>
                <w:kern w:val="0"/>
                <w:sz w:val="24"/>
                <w:szCs w:val="24"/>
                <w:lang w:val="en-US" w:eastAsia="zh-CN" w:bidi="ar"/>
              </w:rPr>
              <w:t>HJ2.4-2021</w:t>
            </w:r>
            <w:r>
              <w:rPr>
                <w:rFonts w:hint="eastAsia" w:ascii="宋体" w:hAnsi="宋体" w:eastAsia="宋体" w:cs="宋体"/>
                <w:color w:val="0000FF"/>
                <w:kern w:val="0"/>
                <w:sz w:val="24"/>
                <w:szCs w:val="24"/>
                <w:lang w:val="en-US" w:eastAsia="zh-CN" w:bidi="ar"/>
              </w:rPr>
              <w:t>）中推荐的噪声预测模式，主要对本项目噪声源对厂界的影响进行预测。</w:t>
            </w:r>
          </w:p>
          <w:p w14:paraId="1C79908E">
            <w:pPr>
              <w:keepNext w:val="0"/>
              <w:keepLines w:val="0"/>
              <w:widowControl/>
              <w:suppressLineNumbers w:val="0"/>
              <w:jc w:val="left"/>
              <w:rPr>
                <w:color w:val="0000FF"/>
              </w:rPr>
            </w:pPr>
            <w:r>
              <w:rPr>
                <w:rFonts w:hint="eastAsia" w:ascii="宋体" w:hAnsi="宋体" w:eastAsia="宋体" w:cs="宋体"/>
                <w:color w:val="0000FF"/>
                <w:kern w:val="0"/>
                <w:sz w:val="24"/>
                <w:szCs w:val="24"/>
                <w:lang w:val="en-US" w:eastAsia="zh-CN" w:bidi="ar"/>
              </w:rPr>
              <w:t>户外传播声级衰减计算模式按下面公式进行计算。</w:t>
            </w:r>
          </w:p>
          <w:p w14:paraId="14780A39">
            <w:pPr>
              <w:keepNext w:val="0"/>
              <w:keepLines w:val="0"/>
              <w:widowControl/>
              <w:suppressLineNumbers w:val="0"/>
              <w:ind w:left="0" w:leftChars="0" w:firstLine="0" w:firstLineChars="0"/>
              <w:jc w:val="center"/>
              <w:rPr>
                <w:color w:val="0000FF"/>
              </w:rPr>
            </w:pPr>
            <w:r>
              <w:rPr>
                <w:rFonts w:hint="default" w:ascii="Times New Roman" w:hAnsi="Times New Roman" w:eastAsia="宋体" w:cs="Times New Roman"/>
                <w:color w:val="0000FF"/>
                <w:kern w:val="0"/>
                <w:sz w:val="24"/>
                <w:szCs w:val="24"/>
                <w:lang w:val="en-US" w:eastAsia="zh-CN" w:bidi="ar"/>
              </w:rPr>
              <w:t>L</w:t>
            </w:r>
            <w:r>
              <w:rPr>
                <w:rFonts w:hint="default" w:ascii="Times New Roman" w:hAnsi="Times New Roman" w:eastAsia="宋体" w:cs="Times New Roman"/>
                <w:color w:val="0000FF"/>
                <w:kern w:val="0"/>
                <w:sz w:val="15"/>
                <w:szCs w:val="15"/>
                <w:lang w:val="en-US" w:eastAsia="zh-CN" w:bidi="ar"/>
              </w:rPr>
              <w:t>p</w:t>
            </w:r>
            <w:r>
              <w:rPr>
                <w:rFonts w:hint="default" w:ascii="Times New Roman" w:hAnsi="Times New Roman" w:eastAsia="宋体" w:cs="Times New Roman"/>
                <w:color w:val="0000FF"/>
                <w:kern w:val="0"/>
                <w:sz w:val="24"/>
                <w:szCs w:val="24"/>
                <w:lang w:val="en-US" w:eastAsia="zh-CN" w:bidi="ar"/>
              </w:rPr>
              <w:t>(r)</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L</w:t>
            </w:r>
            <w:r>
              <w:rPr>
                <w:rFonts w:hint="default" w:ascii="Times New Roman" w:hAnsi="Times New Roman" w:eastAsia="宋体" w:cs="Times New Roman"/>
                <w:color w:val="0000FF"/>
                <w:kern w:val="0"/>
                <w:sz w:val="15"/>
                <w:szCs w:val="15"/>
                <w:lang w:val="en-US" w:eastAsia="zh-CN" w:bidi="ar"/>
              </w:rPr>
              <w:t>w</w:t>
            </w:r>
            <w:r>
              <w:rPr>
                <w:rFonts w:hint="default" w:ascii="Times New Roman" w:hAnsi="Times New Roman" w:eastAsia="宋体" w:cs="Times New Roman"/>
                <w:color w:val="0000FF"/>
                <w:kern w:val="0"/>
                <w:sz w:val="24"/>
                <w:szCs w:val="24"/>
                <w:lang w:val="en-US" w:eastAsia="zh-CN" w:bidi="ar"/>
              </w:rPr>
              <w:t>+D</w:t>
            </w:r>
            <w:r>
              <w:rPr>
                <w:rFonts w:hint="default" w:ascii="Times New Roman" w:hAnsi="Times New Roman" w:eastAsia="宋体" w:cs="Times New Roman"/>
                <w:color w:val="0000FF"/>
                <w:kern w:val="0"/>
                <w:sz w:val="15"/>
                <w:szCs w:val="15"/>
                <w:lang w:val="en-US" w:eastAsia="zh-CN" w:bidi="ar"/>
              </w:rPr>
              <w:t>C</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(A</w:t>
            </w:r>
            <w:r>
              <w:rPr>
                <w:rFonts w:hint="default" w:ascii="Times New Roman" w:hAnsi="Times New Roman" w:eastAsia="宋体" w:cs="Times New Roman"/>
                <w:color w:val="0000FF"/>
                <w:kern w:val="0"/>
                <w:sz w:val="15"/>
                <w:szCs w:val="15"/>
                <w:lang w:val="en-US" w:eastAsia="zh-CN" w:bidi="ar"/>
              </w:rPr>
              <w:t>div</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A</w:t>
            </w:r>
            <w:r>
              <w:rPr>
                <w:rFonts w:hint="default" w:ascii="Times New Roman" w:hAnsi="Times New Roman" w:eastAsia="宋体" w:cs="Times New Roman"/>
                <w:color w:val="0000FF"/>
                <w:kern w:val="0"/>
                <w:sz w:val="15"/>
                <w:szCs w:val="15"/>
                <w:lang w:val="en-US" w:eastAsia="zh-CN" w:bidi="ar"/>
              </w:rPr>
              <w:t>atm</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A</w:t>
            </w:r>
            <w:r>
              <w:rPr>
                <w:rFonts w:hint="default" w:ascii="Times New Roman" w:hAnsi="Times New Roman" w:eastAsia="宋体" w:cs="Times New Roman"/>
                <w:color w:val="0000FF"/>
                <w:kern w:val="0"/>
                <w:sz w:val="15"/>
                <w:szCs w:val="15"/>
                <w:lang w:val="en-US" w:eastAsia="zh-CN" w:bidi="ar"/>
              </w:rPr>
              <w:t>gr</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A</w:t>
            </w:r>
            <w:r>
              <w:rPr>
                <w:rFonts w:hint="default" w:ascii="Times New Roman" w:hAnsi="Times New Roman" w:eastAsia="宋体" w:cs="Times New Roman"/>
                <w:color w:val="0000FF"/>
                <w:kern w:val="0"/>
                <w:sz w:val="15"/>
                <w:szCs w:val="15"/>
                <w:lang w:val="en-US" w:eastAsia="zh-CN" w:bidi="ar"/>
              </w:rPr>
              <w:t>bar</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A</w:t>
            </w:r>
            <w:r>
              <w:rPr>
                <w:rFonts w:hint="default" w:ascii="Times New Roman" w:hAnsi="Times New Roman" w:eastAsia="宋体" w:cs="Times New Roman"/>
                <w:color w:val="0000FF"/>
                <w:kern w:val="0"/>
                <w:sz w:val="15"/>
                <w:szCs w:val="15"/>
                <w:lang w:val="en-US" w:eastAsia="zh-CN" w:bidi="ar"/>
              </w:rPr>
              <w:t>misc</w:t>
            </w:r>
            <w:r>
              <w:rPr>
                <w:rFonts w:hint="default" w:ascii="Times New Roman" w:hAnsi="Times New Roman" w:eastAsia="宋体" w:cs="Times New Roman"/>
                <w:color w:val="0000FF"/>
                <w:kern w:val="0"/>
                <w:sz w:val="24"/>
                <w:szCs w:val="24"/>
                <w:lang w:val="en-US" w:eastAsia="zh-CN" w:bidi="ar"/>
              </w:rPr>
              <w:t>)</w:t>
            </w:r>
          </w:p>
          <w:p w14:paraId="7E642C31">
            <w:pPr>
              <w:keepNext w:val="0"/>
              <w:keepLines w:val="0"/>
              <w:widowControl/>
              <w:suppressLineNumbers w:val="0"/>
              <w:jc w:val="left"/>
              <w:rPr>
                <w:color w:val="0000FF"/>
              </w:rPr>
            </w:pPr>
            <w:r>
              <w:rPr>
                <w:rFonts w:hint="eastAsia" w:ascii="宋体" w:hAnsi="宋体" w:eastAsia="宋体" w:cs="宋体"/>
                <w:color w:val="0000FF"/>
                <w:kern w:val="0"/>
                <w:sz w:val="24"/>
                <w:szCs w:val="24"/>
                <w:lang w:val="en-US" w:eastAsia="zh-CN" w:bidi="ar"/>
              </w:rPr>
              <w:t>式中：</w:t>
            </w:r>
            <w:r>
              <w:rPr>
                <w:rFonts w:hint="default" w:ascii="Times New Roman" w:hAnsi="Times New Roman" w:eastAsia="宋体" w:cs="Times New Roman"/>
                <w:color w:val="0000FF"/>
                <w:kern w:val="0"/>
                <w:sz w:val="24"/>
                <w:szCs w:val="24"/>
                <w:lang w:val="en-US" w:eastAsia="zh-CN" w:bidi="ar"/>
              </w:rPr>
              <w:t>L</w:t>
            </w:r>
            <w:r>
              <w:rPr>
                <w:rFonts w:hint="default" w:ascii="Times New Roman" w:hAnsi="Times New Roman" w:eastAsia="宋体" w:cs="Times New Roman"/>
                <w:color w:val="0000FF"/>
                <w:kern w:val="0"/>
                <w:sz w:val="15"/>
                <w:szCs w:val="15"/>
                <w:lang w:val="en-US" w:eastAsia="zh-CN" w:bidi="ar"/>
              </w:rPr>
              <w:t>p</w:t>
            </w:r>
            <w:r>
              <w:rPr>
                <w:rFonts w:hint="default" w:ascii="Times New Roman" w:hAnsi="Times New Roman" w:eastAsia="宋体" w:cs="Times New Roman"/>
                <w:color w:val="0000FF"/>
                <w:kern w:val="0"/>
                <w:sz w:val="24"/>
                <w:szCs w:val="24"/>
                <w:lang w:val="en-US" w:eastAsia="zh-CN" w:bidi="ar"/>
              </w:rPr>
              <w:t xml:space="preserve">(r) </w:t>
            </w:r>
            <w:r>
              <w:rPr>
                <w:rFonts w:hint="eastAsia" w:ascii="宋体" w:hAnsi="宋体" w:eastAsia="宋体" w:cs="宋体"/>
                <w:color w:val="0000FF"/>
                <w:kern w:val="0"/>
                <w:sz w:val="24"/>
                <w:szCs w:val="24"/>
                <w:lang w:val="en-US" w:eastAsia="zh-CN" w:bidi="ar"/>
              </w:rPr>
              <w:t>——预测点处声压级，</w:t>
            </w:r>
            <w:r>
              <w:rPr>
                <w:rFonts w:hint="default" w:ascii="Times New Roman" w:hAnsi="Times New Roman" w:eastAsia="宋体" w:cs="Times New Roman"/>
                <w:color w:val="0000FF"/>
                <w:kern w:val="0"/>
                <w:sz w:val="24"/>
                <w:szCs w:val="24"/>
                <w:lang w:val="en-US" w:eastAsia="zh-CN" w:bidi="ar"/>
              </w:rPr>
              <w:t>dB</w:t>
            </w:r>
            <w:r>
              <w:rPr>
                <w:rFonts w:hint="eastAsia" w:ascii="宋体" w:hAnsi="宋体" w:eastAsia="宋体" w:cs="宋体"/>
                <w:color w:val="0000FF"/>
                <w:kern w:val="0"/>
                <w:sz w:val="24"/>
                <w:szCs w:val="24"/>
                <w:lang w:val="en-US" w:eastAsia="zh-CN" w:bidi="ar"/>
              </w:rPr>
              <w:t xml:space="preserve">； </w:t>
            </w:r>
          </w:p>
          <w:p w14:paraId="35E05752">
            <w:pPr>
              <w:keepNext w:val="0"/>
              <w:keepLines w:val="0"/>
              <w:widowControl/>
              <w:suppressLineNumbers w:val="0"/>
              <w:ind w:firstLine="1200" w:firstLineChars="500"/>
              <w:jc w:val="left"/>
              <w:rPr>
                <w:color w:val="0000FF"/>
              </w:rPr>
            </w:pPr>
            <w:r>
              <w:rPr>
                <w:rFonts w:hint="default" w:ascii="Times New Roman" w:hAnsi="Times New Roman" w:eastAsia="宋体" w:cs="Times New Roman"/>
                <w:color w:val="0000FF"/>
                <w:kern w:val="0"/>
                <w:sz w:val="24"/>
                <w:szCs w:val="24"/>
                <w:lang w:val="en-US" w:eastAsia="zh-CN" w:bidi="ar"/>
              </w:rPr>
              <w:t>L</w:t>
            </w:r>
            <w:r>
              <w:rPr>
                <w:rFonts w:hint="default" w:ascii="Times New Roman" w:hAnsi="Times New Roman" w:eastAsia="宋体" w:cs="Times New Roman"/>
                <w:color w:val="0000FF"/>
                <w:kern w:val="0"/>
                <w:sz w:val="15"/>
                <w:szCs w:val="15"/>
                <w:lang w:val="en-US" w:eastAsia="zh-CN" w:bidi="ar"/>
              </w:rPr>
              <w:t xml:space="preserve">w </w:t>
            </w:r>
            <w:r>
              <w:rPr>
                <w:rFonts w:hint="eastAsia" w:ascii="宋体" w:hAnsi="宋体" w:eastAsia="宋体" w:cs="宋体"/>
                <w:color w:val="0000FF"/>
                <w:kern w:val="0"/>
                <w:sz w:val="24"/>
                <w:szCs w:val="24"/>
                <w:lang w:val="en-US" w:eastAsia="zh-CN" w:bidi="ar"/>
              </w:rPr>
              <w:t>——由点声源产生的声功率级（</w:t>
            </w:r>
            <w:r>
              <w:rPr>
                <w:rFonts w:hint="default" w:ascii="Times New Roman" w:hAnsi="Times New Roman" w:eastAsia="宋体" w:cs="Times New Roman"/>
                <w:color w:val="0000FF"/>
                <w:kern w:val="0"/>
                <w:sz w:val="24"/>
                <w:szCs w:val="24"/>
                <w:lang w:val="en-US" w:eastAsia="zh-CN" w:bidi="ar"/>
              </w:rPr>
              <w:t xml:space="preserve">A </w:t>
            </w:r>
            <w:r>
              <w:rPr>
                <w:rFonts w:hint="eastAsia" w:ascii="宋体" w:hAnsi="宋体" w:eastAsia="宋体" w:cs="宋体"/>
                <w:color w:val="0000FF"/>
                <w:kern w:val="0"/>
                <w:sz w:val="24"/>
                <w:szCs w:val="24"/>
                <w:lang w:val="en-US" w:eastAsia="zh-CN" w:bidi="ar"/>
              </w:rPr>
              <w:t>计权或倍频带），</w:t>
            </w:r>
            <w:r>
              <w:rPr>
                <w:rFonts w:hint="default" w:ascii="Times New Roman" w:hAnsi="Times New Roman" w:eastAsia="宋体" w:cs="Times New Roman"/>
                <w:color w:val="0000FF"/>
                <w:kern w:val="0"/>
                <w:sz w:val="24"/>
                <w:szCs w:val="24"/>
                <w:lang w:val="en-US" w:eastAsia="zh-CN" w:bidi="ar"/>
              </w:rPr>
              <w:t>dB</w:t>
            </w:r>
            <w:r>
              <w:rPr>
                <w:rFonts w:hint="eastAsia" w:ascii="宋体" w:hAnsi="宋体" w:eastAsia="宋体" w:cs="宋体"/>
                <w:color w:val="0000FF"/>
                <w:kern w:val="0"/>
                <w:sz w:val="24"/>
                <w:szCs w:val="24"/>
                <w:lang w:val="en-US" w:eastAsia="zh-CN" w:bidi="ar"/>
              </w:rPr>
              <w:t xml:space="preserve">； </w:t>
            </w:r>
          </w:p>
          <w:p w14:paraId="0AB7D5AA">
            <w:pPr>
              <w:keepNext w:val="0"/>
              <w:keepLines w:val="0"/>
              <w:widowControl/>
              <w:suppressLineNumbers w:val="0"/>
              <w:ind w:left="480" w:leftChars="200" w:firstLine="720" w:firstLineChars="300"/>
              <w:jc w:val="left"/>
              <w:rPr>
                <w:color w:val="0000FF"/>
              </w:rPr>
            </w:pPr>
            <w:r>
              <w:rPr>
                <w:rFonts w:hint="default" w:ascii="Times New Roman" w:hAnsi="Times New Roman" w:eastAsia="宋体" w:cs="Times New Roman"/>
                <w:color w:val="0000FF"/>
                <w:kern w:val="0"/>
                <w:sz w:val="24"/>
                <w:szCs w:val="24"/>
                <w:lang w:val="en-US" w:eastAsia="zh-CN" w:bidi="ar"/>
              </w:rPr>
              <w:t>D</w:t>
            </w:r>
            <w:r>
              <w:rPr>
                <w:rFonts w:hint="default" w:ascii="Times New Roman" w:hAnsi="Times New Roman" w:eastAsia="宋体" w:cs="Times New Roman"/>
                <w:color w:val="0000FF"/>
                <w:kern w:val="0"/>
                <w:sz w:val="15"/>
                <w:szCs w:val="15"/>
                <w:lang w:val="en-US" w:eastAsia="zh-CN" w:bidi="ar"/>
              </w:rPr>
              <w:t xml:space="preserve">C </w:t>
            </w:r>
            <w:r>
              <w:rPr>
                <w:rFonts w:hint="eastAsia" w:ascii="宋体" w:hAnsi="宋体" w:eastAsia="宋体" w:cs="宋体"/>
                <w:color w:val="0000FF"/>
                <w:kern w:val="0"/>
                <w:sz w:val="24"/>
                <w:szCs w:val="24"/>
                <w:lang w:val="en-US" w:eastAsia="zh-CN" w:bidi="ar"/>
              </w:rPr>
              <w:t>——指向性校正，它描述点声源的等效连续声压级与产生声功率级</w:t>
            </w:r>
            <w:r>
              <w:rPr>
                <w:rFonts w:hint="default" w:ascii="Times New Roman" w:hAnsi="Times New Roman" w:eastAsia="宋体" w:cs="Times New Roman"/>
                <w:color w:val="0000FF"/>
                <w:kern w:val="0"/>
                <w:sz w:val="24"/>
                <w:szCs w:val="24"/>
                <w:lang w:val="en-US" w:eastAsia="zh-CN" w:bidi="ar"/>
              </w:rPr>
              <w:t xml:space="preserve">Lw </w:t>
            </w:r>
            <w:r>
              <w:rPr>
                <w:rFonts w:hint="eastAsia" w:ascii="宋体" w:hAnsi="宋体" w:eastAsia="宋体" w:cs="宋体"/>
                <w:color w:val="0000FF"/>
                <w:kern w:val="0"/>
                <w:sz w:val="24"/>
                <w:szCs w:val="24"/>
                <w:lang w:val="en-US" w:eastAsia="zh-CN" w:bidi="ar"/>
              </w:rPr>
              <w:t>的全向点声源在规定方向的声级的偏差程度，</w:t>
            </w:r>
            <w:r>
              <w:rPr>
                <w:rFonts w:hint="default" w:ascii="Times New Roman" w:hAnsi="Times New Roman" w:eastAsia="宋体" w:cs="Times New Roman"/>
                <w:color w:val="0000FF"/>
                <w:kern w:val="0"/>
                <w:sz w:val="24"/>
                <w:szCs w:val="24"/>
                <w:lang w:val="en-US" w:eastAsia="zh-CN" w:bidi="ar"/>
              </w:rPr>
              <w:t>dB</w:t>
            </w:r>
            <w:r>
              <w:rPr>
                <w:rFonts w:hint="eastAsia" w:ascii="宋体" w:hAnsi="宋体" w:eastAsia="宋体" w:cs="宋体"/>
                <w:color w:val="0000FF"/>
                <w:kern w:val="0"/>
                <w:sz w:val="24"/>
                <w:szCs w:val="24"/>
                <w:lang w:val="en-US" w:eastAsia="zh-CN" w:bidi="ar"/>
              </w:rPr>
              <w:t xml:space="preserve">； </w:t>
            </w:r>
          </w:p>
          <w:p w14:paraId="14DA434E">
            <w:pPr>
              <w:keepNext w:val="0"/>
              <w:keepLines w:val="0"/>
              <w:widowControl/>
              <w:suppressLineNumbers w:val="0"/>
              <w:ind w:firstLine="1200" w:firstLineChars="500"/>
              <w:jc w:val="left"/>
              <w:rPr>
                <w:color w:val="0000FF"/>
              </w:rPr>
            </w:pPr>
            <w:r>
              <w:rPr>
                <w:rFonts w:hint="default" w:ascii="Times New Roman" w:hAnsi="Times New Roman" w:eastAsia="宋体" w:cs="Times New Roman"/>
                <w:color w:val="0000FF"/>
                <w:kern w:val="0"/>
                <w:sz w:val="24"/>
                <w:szCs w:val="24"/>
                <w:lang w:val="en-US" w:eastAsia="zh-CN" w:bidi="ar"/>
              </w:rPr>
              <w:t>A</w:t>
            </w:r>
            <w:r>
              <w:rPr>
                <w:rFonts w:hint="default" w:ascii="Times New Roman" w:hAnsi="Times New Roman" w:eastAsia="宋体" w:cs="Times New Roman"/>
                <w:color w:val="0000FF"/>
                <w:kern w:val="0"/>
                <w:sz w:val="15"/>
                <w:szCs w:val="15"/>
                <w:lang w:val="en-US" w:eastAsia="zh-CN" w:bidi="ar"/>
              </w:rPr>
              <w:t xml:space="preserve">div </w:t>
            </w:r>
            <w:r>
              <w:rPr>
                <w:rFonts w:hint="eastAsia" w:ascii="宋体" w:hAnsi="宋体" w:eastAsia="宋体" w:cs="宋体"/>
                <w:color w:val="0000FF"/>
                <w:kern w:val="0"/>
                <w:sz w:val="24"/>
                <w:szCs w:val="24"/>
                <w:lang w:val="en-US" w:eastAsia="zh-CN" w:bidi="ar"/>
              </w:rPr>
              <w:t>——几何发散引起的衰减，</w:t>
            </w:r>
            <w:r>
              <w:rPr>
                <w:rFonts w:hint="default" w:ascii="Times New Roman" w:hAnsi="Times New Roman" w:eastAsia="宋体" w:cs="Times New Roman"/>
                <w:color w:val="0000FF"/>
                <w:kern w:val="0"/>
                <w:sz w:val="24"/>
                <w:szCs w:val="24"/>
                <w:lang w:val="en-US" w:eastAsia="zh-CN" w:bidi="ar"/>
              </w:rPr>
              <w:t>dB</w:t>
            </w:r>
            <w:r>
              <w:rPr>
                <w:rFonts w:hint="eastAsia" w:ascii="宋体" w:hAnsi="宋体" w:eastAsia="宋体" w:cs="宋体"/>
                <w:color w:val="0000FF"/>
                <w:kern w:val="0"/>
                <w:sz w:val="24"/>
                <w:szCs w:val="24"/>
                <w:lang w:val="en-US" w:eastAsia="zh-CN" w:bidi="ar"/>
              </w:rPr>
              <w:t xml:space="preserve">； </w:t>
            </w:r>
          </w:p>
          <w:p w14:paraId="7F05C59D">
            <w:pPr>
              <w:keepNext w:val="0"/>
              <w:keepLines w:val="0"/>
              <w:widowControl/>
              <w:suppressLineNumbers w:val="0"/>
              <w:ind w:firstLine="1200" w:firstLineChars="500"/>
              <w:jc w:val="left"/>
              <w:rPr>
                <w:color w:val="0000FF"/>
              </w:rPr>
            </w:pPr>
            <w:r>
              <w:rPr>
                <w:rFonts w:hint="default" w:ascii="Times New Roman" w:hAnsi="Times New Roman" w:eastAsia="宋体" w:cs="Times New Roman"/>
                <w:color w:val="0000FF"/>
                <w:kern w:val="0"/>
                <w:sz w:val="24"/>
                <w:szCs w:val="24"/>
                <w:lang w:val="en-US" w:eastAsia="zh-CN" w:bidi="ar"/>
              </w:rPr>
              <w:t>A</w:t>
            </w:r>
            <w:r>
              <w:rPr>
                <w:rFonts w:hint="default" w:ascii="Times New Roman" w:hAnsi="Times New Roman" w:eastAsia="宋体" w:cs="Times New Roman"/>
                <w:color w:val="0000FF"/>
                <w:kern w:val="0"/>
                <w:sz w:val="15"/>
                <w:szCs w:val="15"/>
                <w:lang w:val="en-US" w:eastAsia="zh-CN" w:bidi="ar"/>
              </w:rPr>
              <w:t xml:space="preserve">atm </w:t>
            </w:r>
            <w:r>
              <w:rPr>
                <w:rFonts w:hint="eastAsia" w:ascii="宋体" w:hAnsi="宋体" w:eastAsia="宋体" w:cs="宋体"/>
                <w:color w:val="0000FF"/>
                <w:kern w:val="0"/>
                <w:sz w:val="24"/>
                <w:szCs w:val="24"/>
                <w:lang w:val="en-US" w:eastAsia="zh-CN" w:bidi="ar"/>
              </w:rPr>
              <w:t>——大气吸收引起的衰减，</w:t>
            </w:r>
            <w:r>
              <w:rPr>
                <w:rFonts w:hint="default" w:ascii="Times New Roman" w:hAnsi="Times New Roman" w:eastAsia="宋体" w:cs="Times New Roman"/>
                <w:color w:val="0000FF"/>
                <w:kern w:val="0"/>
                <w:sz w:val="24"/>
                <w:szCs w:val="24"/>
                <w:lang w:val="en-US" w:eastAsia="zh-CN" w:bidi="ar"/>
              </w:rPr>
              <w:t>dB</w:t>
            </w:r>
            <w:r>
              <w:rPr>
                <w:rFonts w:hint="eastAsia" w:ascii="宋体" w:hAnsi="宋体" w:eastAsia="宋体" w:cs="宋体"/>
                <w:color w:val="0000FF"/>
                <w:kern w:val="0"/>
                <w:sz w:val="24"/>
                <w:szCs w:val="24"/>
                <w:lang w:val="en-US" w:eastAsia="zh-CN" w:bidi="ar"/>
              </w:rPr>
              <w:t xml:space="preserve">； </w:t>
            </w:r>
          </w:p>
          <w:p w14:paraId="05F1321F">
            <w:pPr>
              <w:keepNext w:val="0"/>
              <w:keepLines w:val="0"/>
              <w:widowControl/>
              <w:suppressLineNumbers w:val="0"/>
              <w:ind w:firstLine="1200" w:firstLineChars="500"/>
              <w:jc w:val="left"/>
              <w:rPr>
                <w:color w:val="0000FF"/>
              </w:rPr>
            </w:pPr>
            <w:r>
              <w:rPr>
                <w:rFonts w:hint="default" w:ascii="Times New Roman" w:hAnsi="Times New Roman" w:eastAsia="宋体" w:cs="Times New Roman"/>
                <w:color w:val="0000FF"/>
                <w:kern w:val="0"/>
                <w:sz w:val="24"/>
                <w:szCs w:val="24"/>
                <w:lang w:val="en-US" w:eastAsia="zh-CN" w:bidi="ar"/>
              </w:rPr>
              <w:t>A</w:t>
            </w:r>
            <w:r>
              <w:rPr>
                <w:rFonts w:hint="default" w:ascii="Times New Roman" w:hAnsi="Times New Roman" w:eastAsia="宋体" w:cs="Times New Roman"/>
                <w:color w:val="0000FF"/>
                <w:kern w:val="0"/>
                <w:sz w:val="15"/>
                <w:szCs w:val="15"/>
                <w:lang w:val="en-US" w:eastAsia="zh-CN" w:bidi="ar"/>
              </w:rPr>
              <w:t xml:space="preserve">gr </w:t>
            </w:r>
            <w:r>
              <w:rPr>
                <w:rFonts w:hint="eastAsia" w:ascii="宋体" w:hAnsi="宋体" w:eastAsia="宋体" w:cs="宋体"/>
                <w:color w:val="0000FF"/>
                <w:kern w:val="0"/>
                <w:sz w:val="24"/>
                <w:szCs w:val="24"/>
                <w:lang w:val="en-US" w:eastAsia="zh-CN" w:bidi="ar"/>
              </w:rPr>
              <w:t>——地面效应引起的衰减，</w:t>
            </w:r>
            <w:r>
              <w:rPr>
                <w:rFonts w:hint="default" w:ascii="Times New Roman" w:hAnsi="Times New Roman" w:eastAsia="宋体" w:cs="Times New Roman"/>
                <w:color w:val="0000FF"/>
                <w:kern w:val="0"/>
                <w:sz w:val="24"/>
                <w:szCs w:val="24"/>
                <w:lang w:val="en-US" w:eastAsia="zh-CN" w:bidi="ar"/>
              </w:rPr>
              <w:t>dB</w:t>
            </w:r>
            <w:r>
              <w:rPr>
                <w:rFonts w:hint="eastAsia" w:ascii="宋体" w:hAnsi="宋体" w:eastAsia="宋体" w:cs="宋体"/>
                <w:color w:val="0000FF"/>
                <w:kern w:val="0"/>
                <w:sz w:val="24"/>
                <w:szCs w:val="24"/>
                <w:lang w:val="en-US" w:eastAsia="zh-CN" w:bidi="ar"/>
              </w:rPr>
              <w:t xml:space="preserve">； </w:t>
            </w:r>
          </w:p>
          <w:p w14:paraId="36524671">
            <w:pPr>
              <w:keepNext w:val="0"/>
              <w:keepLines w:val="0"/>
              <w:widowControl/>
              <w:suppressLineNumbers w:val="0"/>
              <w:ind w:firstLine="1200" w:firstLineChars="500"/>
              <w:jc w:val="left"/>
              <w:rPr>
                <w:color w:val="0000FF"/>
              </w:rPr>
            </w:pPr>
            <w:r>
              <w:rPr>
                <w:rFonts w:hint="default" w:ascii="Times New Roman" w:hAnsi="Times New Roman" w:eastAsia="宋体" w:cs="Times New Roman"/>
                <w:color w:val="0000FF"/>
                <w:kern w:val="0"/>
                <w:sz w:val="24"/>
                <w:szCs w:val="24"/>
                <w:lang w:val="en-US" w:eastAsia="zh-CN" w:bidi="ar"/>
              </w:rPr>
              <w:t>A</w:t>
            </w:r>
            <w:r>
              <w:rPr>
                <w:rFonts w:hint="default" w:ascii="Times New Roman" w:hAnsi="Times New Roman" w:eastAsia="宋体" w:cs="Times New Roman"/>
                <w:color w:val="0000FF"/>
                <w:kern w:val="0"/>
                <w:sz w:val="15"/>
                <w:szCs w:val="15"/>
                <w:lang w:val="en-US" w:eastAsia="zh-CN" w:bidi="ar"/>
              </w:rPr>
              <w:t xml:space="preserve">bar </w:t>
            </w:r>
            <w:r>
              <w:rPr>
                <w:rFonts w:hint="eastAsia" w:ascii="宋体" w:hAnsi="宋体" w:eastAsia="宋体" w:cs="宋体"/>
                <w:color w:val="0000FF"/>
                <w:kern w:val="0"/>
                <w:sz w:val="24"/>
                <w:szCs w:val="24"/>
                <w:lang w:val="en-US" w:eastAsia="zh-CN" w:bidi="ar"/>
              </w:rPr>
              <w:t>——障碍物屏蔽引起的衰减，</w:t>
            </w:r>
            <w:r>
              <w:rPr>
                <w:rFonts w:hint="default" w:ascii="Times New Roman" w:hAnsi="Times New Roman" w:eastAsia="宋体" w:cs="Times New Roman"/>
                <w:color w:val="0000FF"/>
                <w:kern w:val="0"/>
                <w:sz w:val="24"/>
                <w:szCs w:val="24"/>
                <w:lang w:val="en-US" w:eastAsia="zh-CN" w:bidi="ar"/>
              </w:rPr>
              <w:t>dB</w:t>
            </w:r>
            <w:r>
              <w:rPr>
                <w:rFonts w:hint="eastAsia" w:ascii="宋体" w:hAnsi="宋体" w:eastAsia="宋体" w:cs="宋体"/>
                <w:color w:val="0000FF"/>
                <w:kern w:val="0"/>
                <w:sz w:val="24"/>
                <w:szCs w:val="24"/>
                <w:lang w:val="en-US" w:eastAsia="zh-CN" w:bidi="ar"/>
              </w:rPr>
              <w:t xml:space="preserve">； </w:t>
            </w:r>
          </w:p>
          <w:p w14:paraId="04C9807A">
            <w:pPr>
              <w:keepNext w:val="0"/>
              <w:keepLines w:val="0"/>
              <w:widowControl/>
              <w:suppressLineNumbers w:val="0"/>
              <w:ind w:firstLine="1200" w:firstLineChars="500"/>
              <w:jc w:val="left"/>
              <w:rPr>
                <w:rFonts w:hint="eastAsia" w:ascii="宋体" w:hAnsi="宋体" w:eastAsia="宋体" w:cs="宋体"/>
                <w:color w:val="0000FF"/>
                <w:kern w:val="0"/>
                <w:sz w:val="24"/>
                <w:szCs w:val="24"/>
                <w:lang w:val="en-US" w:eastAsia="zh-CN" w:bidi="ar"/>
              </w:rPr>
            </w:pPr>
            <w:r>
              <w:rPr>
                <w:rFonts w:hint="default" w:ascii="Times New Roman" w:hAnsi="Times New Roman" w:eastAsia="宋体" w:cs="Times New Roman"/>
                <w:color w:val="0000FF"/>
                <w:kern w:val="0"/>
                <w:sz w:val="24"/>
                <w:szCs w:val="24"/>
                <w:lang w:val="en-US" w:eastAsia="zh-CN" w:bidi="ar"/>
              </w:rPr>
              <w:t>A</w:t>
            </w:r>
            <w:r>
              <w:rPr>
                <w:rFonts w:hint="default" w:ascii="Times New Roman" w:hAnsi="Times New Roman" w:eastAsia="宋体" w:cs="Times New Roman"/>
                <w:color w:val="0000FF"/>
                <w:kern w:val="0"/>
                <w:sz w:val="15"/>
                <w:szCs w:val="15"/>
                <w:lang w:val="en-US" w:eastAsia="zh-CN" w:bidi="ar"/>
              </w:rPr>
              <w:t xml:space="preserve">misc </w:t>
            </w:r>
            <w:r>
              <w:rPr>
                <w:rFonts w:hint="eastAsia" w:ascii="宋体" w:hAnsi="宋体" w:eastAsia="宋体" w:cs="宋体"/>
                <w:color w:val="0000FF"/>
                <w:kern w:val="0"/>
                <w:sz w:val="24"/>
                <w:szCs w:val="24"/>
                <w:lang w:val="en-US" w:eastAsia="zh-CN" w:bidi="ar"/>
              </w:rPr>
              <w:t>——其他多方面效应引起的衰减，</w:t>
            </w:r>
            <w:r>
              <w:rPr>
                <w:rFonts w:hint="default" w:ascii="Times New Roman" w:hAnsi="Times New Roman" w:eastAsia="宋体" w:cs="Times New Roman"/>
                <w:color w:val="0000FF"/>
                <w:kern w:val="0"/>
                <w:sz w:val="24"/>
                <w:szCs w:val="24"/>
                <w:lang w:val="en-US" w:eastAsia="zh-CN" w:bidi="ar"/>
              </w:rPr>
              <w:t>dB</w:t>
            </w:r>
            <w:r>
              <w:rPr>
                <w:rFonts w:hint="eastAsia" w:ascii="宋体" w:hAnsi="宋体" w:eastAsia="宋体" w:cs="宋体"/>
                <w:color w:val="0000FF"/>
                <w:kern w:val="0"/>
                <w:sz w:val="24"/>
                <w:szCs w:val="24"/>
                <w:lang w:val="en-US" w:eastAsia="zh-CN" w:bidi="ar"/>
              </w:rPr>
              <w:t>。</w:t>
            </w:r>
          </w:p>
          <w:p w14:paraId="2C6CA821">
            <w:pPr>
              <w:keepNext w:val="0"/>
              <w:keepLines w:val="0"/>
              <w:widowControl/>
              <w:suppressLineNumbers w:val="0"/>
              <w:jc w:val="left"/>
              <w:rPr>
                <w:color w:val="0000FF"/>
              </w:rPr>
            </w:pPr>
            <w:r>
              <w:rPr>
                <w:rFonts w:hint="eastAsia" w:ascii="宋体" w:hAnsi="宋体" w:eastAsia="宋体" w:cs="宋体"/>
                <w:color w:val="0000FF"/>
                <w:kern w:val="0"/>
                <w:sz w:val="24"/>
                <w:szCs w:val="24"/>
                <w:lang w:val="en-US" w:eastAsia="zh-CN" w:bidi="ar"/>
              </w:rPr>
              <w:t>由上述各式可计算出周围声环境因该项目设备新增加的声级值，综合该区内的声环境背景值，再按声能量迭加模式预测出某点的总声压级值，预测模式如下：</w:t>
            </w:r>
          </w:p>
          <w:p w14:paraId="22357415">
            <w:pPr>
              <w:spacing w:line="480" w:lineRule="exact"/>
              <w:rPr>
                <w:rFonts w:ascii="宋体" w:hAnsi="宋体" w:eastAsia="宋体" w:cs="宋体"/>
                <w:color w:val="0000FF"/>
                <w:sz w:val="24"/>
                <w:szCs w:val="24"/>
              </w:rPr>
            </w:pPr>
            <w:r>
              <w:rPr>
                <w:rFonts w:ascii="宋体" w:hAnsi="宋体" w:eastAsia="宋体" w:cs="宋体"/>
                <w:color w:val="0000FF"/>
                <w:sz w:val="24"/>
                <w:szCs w:val="24"/>
              </w:rPr>
              <w:t>噪声贡献值</w:t>
            </w:r>
            <w:r>
              <w:rPr>
                <w:rFonts w:hint="default" w:ascii="Times New Roman" w:hAnsi="Times New Roman" w:eastAsia="宋体" w:cs="Times New Roman"/>
                <w:color w:val="0000FF"/>
                <w:sz w:val="24"/>
                <w:szCs w:val="24"/>
              </w:rPr>
              <w:t>（L</w:t>
            </w:r>
            <w:r>
              <w:rPr>
                <w:rFonts w:hint="default" w:ascii="Times New Roman" w:hAnsi="Times New Roman" w:eastAsia="宋体" w:cs="Times New Roman"/>
                <w:color w:val="0000FF"/>
                <w:sz w:val="24"/>
                <w:szCs w:val="24"/>
                <w:vertAlign w:val="subscript"/>
              </w:rPr>
              <w:t>eqg</w:t>
            </w:r>
            <w:r>
              <w:rPr>
                <w:rFonts w:hint="default" w:ascii="Times New Roman" w:hAnsi="Times New Roman" w:eastAsia="宋体" w:cs="Times New Roman"/>
                <w:color w:val="0000FF"/>
                <w:sz w:val="24"/>
                <w:szCs w:val="24"/>
              </w:rPr>
              <w:t>）</w:t>
            </w:r>
            <w:r>
              <w:rPr>
                <w:rFonts w:ascii="宋体" w:hAnsi="宋体" w:eastAsia="宋体" w:cs="宋体"/>
                <w:color w:val="0000FF"/>
                <w:sz w:val="24"/>
                <w:szCs w:val="24"/>
              </w:rPr>
              <w:t>计算公式为：</w:t>
            </w:r>
          </w:p>
          <w:p w14:paraId="3FB27ABC">
            <w:pPr>
              <w:keepNext w:val="0"/>
              <w:keepLines w:val="0"/>
              <w:pageBreakBefore w:val="0"/>
              <w:widowControl w:val="0"/>
              <w:kinsoku/>
              <w:wordWrap/>
              <w:overflowPunct/>
              <w:topLinePunct w:val="0"/>
              <w:autoSpaceDE/>
              <w:autoSpaceDN/>
              <w:bidi w:val="0"/>
              <w:adjustRightInd/>
              <w:snapToGrid/>
              <w:spacing w:line="960" w:lineRule="exact"/>
              <w:ind w:left="0" w:leftChars="0" w:firstLine="0" w:firstLineChars="0"/>
              <w:jc w:val="center"/>
              <w:textAlignment w:val="auto"/>
              <w:rPr>
                <w:rFonts w:hint="default" w:ascii="宋体" w:hAnsi="宋体" w:eastAsia="宋体" w:cs="宋体"/>
                <w:color w:val="0000FF"/>
                <w:sz w:val="24"/>
                <w:szCs w:val="24"/>
                <w:lang w:eastAsia="zh-CN"/>
              </w:rPr>
            </w:pPr>
            <w:r>
              <w:rPr>
                <w:rFonts w:ascii="Times New Roman" w:hAnsi="Times New Roman" w:cs="Times New Roman"/>
                <w:color w:val="0000FF"/>
                <w:position w:val="-30"/>
                <w:sz w:val="24"/>
                <w:highlight w:val="none"/>
              </w:rPr>
              <w:object>
                <v:shape id="_x0000_i1026" o:spt="75" type="#_x0000_t75" style="height:39.25pt;width:132.5pt;" o:ole="t" filled="f" o:preferrelative="t" stroked="f" coordsize="21600,21600">
                  <v:path/>
                  <v:fill on="f" focussize="0,0"/>
                  <v:stroke on="f"/>
                  <v:imagedata r:id="rId27" o:title=""/>
                  <o:lock v:ext="edit" aspectratio="t"/>
                  <w10:wrap type="none"/>
                  <w10:anchorlock/>
                </v:shape>
                <o:OLEObject Type="Embed" ProgID="Equation.3" ShapeID="_x0000_i1026" DrawAspect="Content" ObjectID="_1468075726" r:id="rId26">
                  <o:LockedField>false</o:LockedField>
                </o:OLEObject>
              </w:object>
            </w:r>
          </w:p>
          <w:p w14:paraId="4FC67A8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cs="Times New Roman"/>
                <w:color w:val="0000FF"/>
                <w:sz w:val="24"/>
                <w:highlight w:val="none"/>
              </w:rPr>
            </w:pPr>
            <w:r>
              <w:rPr>
                <w:rFonts w:hint="eastAsia" w:ascii="宋体" w:hAnsi="宋体" w:eastAsia="宋体" w:cs="宋体"/>
                <w:color w:val="0000FF"/>
                <w:sz w:val="24"/>
                <w:szCs w:val="24"/>
                <w:lang w:eastAsia="zh-CN"/>
              </w:rPr>
              <w:t>式中：</w:t>
            </w:r>
            <w:r>
              <w:rPr>
                <w:rFonts w:ascii="Times New Roman" w:hAnsi="Times New Roman" w:cs="Times New Roman"/>
                <w:color w:val="0000FF"/>
                <w:sz w:val="24"/>
                <w:highlight w:val="none"/>
              </w:rPr>
              <w:t>L</w:t>
            </w:r>
            <w:r>
              <w:rPr>
                <w:rFonts w:ascii="Times New Roman" w:hAnsi="Times New Roman" w:cs="Times New Roman"/>
                <w:color w:val="0000FF"/>
                <w:sz w:val="24"/>
                <w:highlight w:val="none"/>
                <w:vertAlign w:val="subscript"/>
              </w:rPr>
              <w:t>eqg</w:t>
            </w:r>
            <w:r>
              <w:rPr>
                <w:rFonts w:ascii="Times New Roman" w:hAnsi="Times New Roman" w:cs="Times New Roman"/>
                <w:color w:val="0000FF"/>
                <w:sz w:val="24"/>
                <w:highlight w:val="none"/>
              </w:rPr>
              <w:t>—建设项目声源在预测点的等效声级贡献值，dB（A）；</w:t>
            </w:r>
          </w:p>
          <w:p w14:paraId="7DD9A52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cs="Times New Roman"/>
                <w:color w:val="0000FF"/>
                <w:sz w:val="24"/>
                <w:highlight w:val="none"/>
              </w:rPr>
            </w:pPr>
            <w:r>
              <w:rPr>
                <w:rFonts w:hint="eastAsia" w:cs="Times New Roman"/>
                <w:color w:val="0000FF"/>
                <w:sz w:val="24"/>
                <w:highlight w:val="none"/>
                <w:lang w:val="en-US" w:eastAsia="zh-CN"/>
              </w:rPr>
              <w:t xml:space="preserve">      L</w:t>
            </w:r>
            <w:r>
              <w:rPr>
                <w:rFonts w:hint="eastAsia" w:cs="Times New Roman"/>
                <w:color w:val="0000FF"/>
                <w:sz w:val="24"/>
                <w:highlight w:val="none"/>
                <w:vertAlign w:val="subscript"/>
                <w:lang w:val="en-US" w:eastAsia="zh-CN"/>
              </w:rPr>
              <w:t>Ai</w:t>
            </w:r>
            <w:r>
              <w:rPr>
                <w:rFonts w:ascii="Times New Roman" w:hAnsi="Times New Roman" w:cs="Times New Roman"/>
                <w:color w:val="0000FF"/>
                <w:sz w:val="24"/>
                <w:highlight w:val="none"/>
              </w:rPr>
              <w:t>—</w:t>
            </w:r>
            <w:r>
              <w:rPr>
                <w:rFonts w:hint="eastAsia" w:cs="Times New Roman"/>
                <w:color w:val="0000FF"/>
                <w:sz w:val="24"/>
                <w:highlight w:val="none"/>
                <w:lang w:val="en-US" w:eastAsia="zh-CN"/>
              </w:rPr>
              <w:t>i声源在预测点产生的A声级，</w:t>
            </w:r>
            <w:r>
              <w:rPr>
                <w:rFonts w:ascii="Times New Roman" w:hAnsi="Times New Roman" w:cs="Times New Roman"/>
                <w:color w:val="0000FF"/>
                <w:sz w:val="24"/>
                <w:highlight w:val="none"/>
              </w:rPr>
              <w:t>dB（A）；</w:t>
            </w:r>
          </w:p>
          <w:p w14:paraId="6181189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0000FF"/>
                <w:sz w:val="24"/>
                <w:highlight w:val="none"/>
                <w:lang w:val="en-US" w:eastAsia="zh-CN"/>
              </w:rPr>
            </w:pPr>
            <w:r>
              <w:rPr>
                <w:rFonts w:hint="eastAsia" w:cs="Times New Roman"/>
                <w:color w:val="0000FF"/>
                <w:sz w:val="24"/>
                <w:highlight w:val="none"/>
                <w:lang w:val="en-US" w:eastAsia="zh-CN"/>
              </w:rPr>
              <w:t xml:space="preserve">      T</w:t>
            </w:r>
            <w:r>
              <w:rPr>
                <w:rFonts w:ascii="Times New Roman" w:hAnsi="Times New Roman" w:cs="Times New Roman"/>
                <w:color w:val="0000FF"/>
                <w:sz w:val="24"/>
                <w:highlight w:val="none"/>
              </w:rPr>
              <w:t>—</w:t>
            </w:r>
            <w:r>
              <w:rPr>
                <w:rFonts w:hint="eastAsia" w:cs="Times New Roman"/>
                <w:color w:val="0000FF"/>
                <w:sz w:val="24"/>
                <w:highlight w:val="none"/>
                <w:lang w:eastAsia="zh-CN"/>
              </w:rPr>
              <w:t>预测计算的时间段，</w:t>
            </w:r>
            <w:r>
              <w:rPr>
                <w:rFonts w:hint="eastAsia" w:cs="Times New Roman"/>
                <w:color w:val="0000FF"/>
                <w:sz w:val="24"/>
                <w:highlight w:val="none"/>
                <w:lang w:val="en-US" w:eastAsia="zh-CN"/>
              </w:rPr>
              <w:t>s；</w:t>
            </w:r>
          </w:p>
          <w:p w14:paraId="322162D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0000FF"/>
                <w:sz w:val="24"/>
                <w:highlight w:val="none"/>
                <w:lang w:val="en-US" w:eastAsia="zh-CN"/>
              </w:rPr>
            </w:pPr>
            <w:r>
              <w:rPr>
                <w:rFonts w:hint="eastAsia" w:cs="Times New Roman"/>
                <w:color w:val="0000FF"/>
                <w:sz w:val="24"/>
                <w:highlight w:val="none"/>
                <w:lang w:val="en-US" w:eastAsia="zh-CN"/>
              </w:rPr>
              <w:t xml:space="preserve">      T</w:t>
            </w:r>
            <w:r>
              <w:rPr>
                <w:rFonts w:ascii="Times New Roman" w:hAnsi="Times New Roman" w:cs="Times New Roman"/>
                <w:color w:val="0000FF"/>
                <w:sz w:val="24"/>
                <w:highlight w:val="none"/>
              </w:rPr>
              <w:t>—</w:t>
            </w:r>
            <w:r>
              <w:rPr>
                <w:rFonts w:hint="eastAsia" w:cs="Times New Roman"/>
                <w:color w:val="0000FF"/>
                <w:sz w:val="24"/>
                <w:highlight w:val="none"/>
                <w:lang w:val="en-US" w:eastAsia="zh-CN"/>
              </w:rPr>
              <w:t>i声源在T时段内的运行时间，s。</w:t>
            </w:r>
          </w:p>
          <w:p w14:paraId="1125439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0000FF"/>
                <w:sz w:val="24"/>
                <w:highlight w:val="none"/>
                <w:lang w:val="en-US" w:eastAsia="zh-CN"/>
              </w:rPr>
            </w:pPr>
            <w:r>
              <w:rPr>
                <w:rFonts w:hint="eastAsia" w:cs="Times New Roman"/>
                <w:color w:val="0000FF"/>
                <w:sz w:val="24"/>
                <w:highlight w:val="none"/>
                <w:lang w:val="en-US" w:eastAsia="zh-CN"/>
              </w:rPr>
              <w:t>噪声预测值（L</w:t>
            </w:r>
            <w:r>
              <w:rPr>
                <w:rFonts w:hint="eastAsia" w:cs="Times New Roman"/>
                <w:color w:val="0000FF"/>
                <w:sz w:val="24"/>
                <w:highlight w:val="none"/>
                <w:vertAlign w:val="subscript"/>
                <w:lang w:val="en-US" w:eastAsia="zh-CN"/>
              </w:rPr>
              <w:t>eq</w:t>
            </w:r>
            <w:r>
              <w:rPr>
                <w:rFonts w:hint="eastAsia" w:cs="Times New Roman"/>
                <w:color w:val="0000FF"/>
                <w:sz w:val="24"/>
                <w:highlight w:val="none"/>
                <w:lang w:val="en-US" w:eastAsia="zh-CN"/>
              </w:rPr>
              <w:t>）计算公式为：</w:t>
            </w:r>
          </w:p>
          <w:p w14:paraId="6B95EAD1">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cs="Times New Roman"/>
                <w:color w:val="0000FF"/>
                <w:sz w:val="24"/>
                <w:highlight w:val="none"/>
                <w:vertAlign w:val="baseline"/>
                <w:lang w:val="en-US" w:eastAsia="zh-CN"/>
              </w:rPr>
            </w:pPr>
            <w:r>
              <w:rPr>
                <w:rFonts w:hint="eastAsia" w:cs="Times New Roman"/>
                <w:color w:val="0000FF"/>
                <w:sz w:val="24"/>
                <w:highlight w:val="none"/>
                <w:lang w:val="en-US" w:eastAsia="zh-CN"/>
              </w:rPr>
              <w:t>L</w:t>
            </w:r>
            <w:r>
              <w:rPr>
                <w:rFonts w:hint="eastAsia" w:cs="Times New Roman"/>
                <w:color w:val="0000FF"/>
                <w:sz w:val="24"/>
                <w:highlight w:val="none"/>
                <w:vertAlign w:val="subscript"/>
                <w:lang w:val="en-US" w:eastAsia="zh-CN"/>
              </w:rPr>
              <w:t>eq</w:t>
            </w:r>
            <w:r>
              <w:rPr>
                <w:rFonts w:hint="eastAsia" w:cs="Times New Roman"/>
                <w:color w:val="0000FF"/>
                <w:sz w:val="24"/>
                <w:highlight w:val="none"/>
                <w:vertAlign w:val="baseline"/>
                <w:lang w:val="en-US" w:eastAsia="zh-CN"/>
              </w:rPr>
              <w:t>=10lg（10</w:t>
            </w:r>
            <w:r>
              <w:rPr>
                <w:rFonts w:hint="eastAsia" w:cs="Times New Roman"/>
                <w:color w:val="0000FF"/>
                <w:sz w:val="24"/>
                <w:highlight w:val="none"/>
                <w:vertAlign w:val="superscript"/>
                <w:lang w:val="en-US" w:eastAsia="zh-CN"/>
              </w:rPr>
              <w:t>0.1Leqg</w:t>
            </w:r>
            <w:r>
              <w:rPr>
                <w:rFonts w:hint="eastAsia" w:cs="Times New Roman"/>
                <w:color w:val="0000FF"/>
                <w:sz w:val="24"/>
                <w:highlight w:val="none"/>
                <w:vertAlign w:val="baseline"/>
                <w:lang w:val="en-US" w:eastAsia="zh-CN"/>
              </w:rPr>
              <w:t>+10</w:t>
            </w:r>
            <w:r>
              <w:rPr>
                <w:rFonts w:hint="eastAsia" w:cs="Times New Roman"/>
                <w:color w:val="0000FF"/>
                <w:sz w:val="24"/>
                <w:highlight w:val="none"/>
                <w:vertAlign w:val="superscript"/>
                <w:lang w:val="en-US" w:eastAsia="zh-CN"/>
              </w:rPr>
              <w:t>0.1Leqb</w:t>
            </w:r>
            <w:r>
              <w:rPr>
                <w:rFonts w:hint="eastAsia" w:cs="Times New Roman"/>
                <w:color w:val="0000FF"/>
                <w:sz w:val="24"/>
                <w:highlight w:val="none"/>
                <w:vertAlign w:val="baseline"/>
                <w:lang w:val="en-US" w:eastAsia="zh-CN"/>
              </w:rPr>
              <w:t>）</w:t>
            </w:r>
          </w:p>
          <w:p w14:paraId="3BC23687">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0"/>
              <w:jc w:val="both"/>
              <w:textAlignment w:val="auto"/>
              <w:rPr>
                <w:rFonts w:hint="eastAsia" w:cs="Times New Roman"/>
                <w:color w:val="0000FF"/>
                <w:sz w:val="24"/>
                <w:highlight w:val="none"/>
                <w:lang w:eastAsia="zh-CN"/>
              </w:rPr>
            </w:pPr>
            <w:r>
              <w:rPr>
                <w:rFonts w:hint="eastAsia" w:cs="Times New Roman"/>
                <w:color w:val="0000FF"/>
                <w:sz w:val="24"/>
                <w:highlight w:val="none"/>
                <w:vertAlign w:val="baseline"/>
                <w:lang w:val="en-US" w:eastAsia="zh-CN"/>
              </w:rPr>
              <w:t>式中：L</w:t>
            </w:r>
            <w:r>
              <w:rPr>
                <w:rFonts w:hint="eastAsia" w:cs="Times New Roman"/>
                <w:color w:val="0000FF"/>
                <w:sz w:val="24"/>
                <w:highlight w:val="none"/>
                <w:vertAlign w:val="subscript"/>
                <w:lang w:val="en-US" w:eastAsia="zh-CN"/>
              </w:rPr>
              <w:t>eq</w:t>
            </w:r>
            <w:r>
              <w:rPr>
                <w:rFonts w:hint="eastAsia" w:cs="Times New Roman"/>
                <w:color w:val="0000FF"/>
                <w:sz w:val="24"/>
                <w:highlight w:val="none"/>
                <w:vertAlign w:val="baseline"/>
                <w:lang w:val="en-US" w:eastAsia="zh-CN"/>
              </w:rPr>
              <w:t>——预测点的噪声预测值，</w:t>
            </w:r>
            <w:r>
              <w:rPr>
                <w:rFonts w:ascii="Times New Roman" w:hAnsi="Times New Roman" w:cs="Times New Roman"/>
                <w:color w:val="0000FF"/>
                <w:sz w:val="24"/>
                <w:highlight w:val="none"/>
              </w:rPr>
              <w:t>dB</w:t>
            </w:r>
            <w:r>
              <w:rPr>
                <w:rFonts w:hint="eastAsia" w:cs="Times New Roman"/>
                <w:color w:val="0000FF"/>
                <w:sz w:val="24"/>
                <w:highlight w:val="none"/>
                <w:lang w:eastAsia="zh-CN"/>
              </w:rPr>
              <w:t>；</w:t>
            </w:r>
          </w:p>
          <w:p w14:paraId="655C847E">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0"/>
              <w:jc w:val="both"/>
              <w:textAlignment w:val="auto"/>
              <w:rPr>
                <w:rFonts w:hint="eastAsia" w:cs="Times New Roman"/>
                <w:color w:val="0000FF"/>
                <w:sz w:val="24"/>
                <w:highlight w:val="none"/>
                <w:lang w:eastAsia="zh-CN"/>
              </w:rPr>
            </w:pPr>
            <w:r>
              <w:rPr>
                <w:rFonts w:hint="eastAsia" w:cs="Times New Roman"/>
                <w:color w:val="0000FF"/>
                <w:sz w:val="24"/>
                <w:highlight w:val="none"/>
                <w:lang w:val="en-US" w:eastAsia="zh-CN"/>
              </w:rPr>
              <w:t xml:space="preserve">      L</w:t>
            </w:r>
            <w:r>
              <w:rPr>
                <w:rFonts w:hint="eastAsia" w:cs="Times New Roman"/>
                <w:color w:val="0000FF"/>
                <w:sz w:val="24"/>
                <w:highlight w:val="none"/>
                <w:vertAlign w:val="subscript"/>
                <w:lang w:val="en-US" w:eastAsia="zh-CN"/>
              </w:rPr>
              <w:t>eqg</w:t>
            </w:r>
            <w:r>
              <w:rPr>
                <w:rFonts w:hint="eastAsia" w:cs="Times New Roman"/>
                <w:color w:val="0000FF"/>
                <w:sz w:val="24"/>
                <w:highlight w:val="none"/>
                <w:vertAlign w:val="baseline"/>
                <w:lang w:val="en-US" w:eastAsia="zh-CN"/>
              </w:rPr>
              <w:t>——建设项目声源在预测点产生的噪声贡献值，</w:t>
            </w:r>
            <w:r>
              <w:rPr>
                <w:rFonts w:ascii="Times New Roman" w:hAnsi="Times New Roman" w:cs="Times New Roman"/>
                <w:color w:val="0000FF"/>
                <w:sz w:val="24"/>
                <w:highlight w:val="none"/>
              </w:rPr>
              <w:t>dB</w:t>
            </w:r>
            <w:r>
              <w:rPr>
                <w:rFonts w:hint="eastAsia" w:cs="Times New Roman"/>
                <w:color w:val="0000FF"/>
                <w:sz w:val="24"/>
                <w:highlight w:val="none"/>
                <w:lang w:eastAsia="zh-CN"/>
              </w:rPr>
              <w:t>；</w:t>
            </w:r>
          </w:p>
          <w:p w14:paraId="5EDCF1E8">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0"/>
              <w:jc w:val="both"/>
              <w:textAlignment w:val="auto"/>
              <w:rPr>
                <w:rFonts w:hint="eastAsia" w:eastAsia="宋体" w:cs="Times New Roman"/>
                <w:color w:val="0000FF"/>
                <w:sz w:val="24"/>
                <w:highlight w:val="none"/>
                <w:lang w:val="en-US" w:eastAsia="zh-CN"/>
              </w:rPr>
            </w:pPr>
            <w:r>
              <w:rPr>
                <w:rFonts w:hint="eastAsia" w:cs="Times New Roman"/>
                <w:color w:val="0000FF"/>
                <w:sz w:val="24"/>
                <w:highlight w:val="none"/>
                <w:lang w:val="en-US" w:eastAsia="zh-CN"/>
              </w:rPr>
              <w:t xml:space="preserve">      L</w:t>
            </w:r>
            <w:r>
              <w:rPr>
                <w:rFonts w:hint="eastAsia" w:cs="Times New Roman"/>
                <w:color w:val="0000FF"/>
                <w:sz w:val="24"/>
                <w:highlight w:val="none"/>
                <w:vertAlign w:val="subscript"/>
                <w:lang w:val="en-US" w:eastAsia="zh-CN"/>
              </w:rPr>
              <w:t>eqb</w:t>
            </w:r>
            <w:r>
              <w:rPr>
                <w:rFonts w:hint="eastAsia" w:cs="Times New Roman"/>
                <w:color w:val="0000FF"/>
                <w:sz w:val="24"/>
                <w:highlight w:val="none"/>
                <w:lang w:val="en-US" w:eastAsia="zh-CN"/>
              </w:rPr>
              <w:t>——预测点的背景噪声值，</w:t>
            </w:r>
            <w:r>
              <w:rPr>
                <w:rFonts w:ascii="Times New Roman" w:hAnsi="Times New Roman" w:cs="Times New Roman"/>
                <w:color w:val="0000FF"/>
                <w:sz w:val="24"/>
                <w:highlight w:val="none"/>
              </w:rPr>
              <w:t>dB</w:t>
            </w:r>
            <w:r>
              <w:rPr>
                <w:rFonts w:hint="eastAsia" w:cs="Times New Roman"/>
                <w:color w:val="0000FF"/>
                <w:sz w:val="24"/>
                <w:highlight w:val="none"/>
                <w:lang w:eastAsia="zh-CN"/>
              </w:rPr>
              <w:t>。</w:t>
            </w:r>
          </w:p>
          <w:p w14:paraId="3A8D98BD">
            <w:pPr>
              <w:autoSpaceDE w:val="0"/>
              <w:autoSpaceDN w:val="0"/>
              <w:adjustRightInd w:val="0"/>
              <w:spacing w:line="360" w:lineRule="auto"/>
              <w:ind w:firstLine="480" w:firstLineChars="200"/>
              <w:jc w:val="left"/>
              <w:outlineLvl w:val="3"/>
              <w:rPr>
                <w:rFonts w:hint="eastAsia" w:ascii="宋体" w:hAnsi="宋体" w:eastAsia="宋体" w:cs="宋体"/>
                <w:color w:val="0000FF"/>
                <w:kern w:val="2"/>
                <w:sz w:val="24"/>
                <w:szCs w:val="24"/>
                <w:lang w:val="en-US" w:eastAsia="zh-CN" w:bidi="ar-SA"/>
              </w:rPr>
            </w:pPr>
            <w:r>
              <w:rPr>
                <w:rFonts w:hint="eastAsia" w:ascii="宋体" w:hAnsi="宋体" w:cs="宋体"/>
                <w:color w:val="0000FF"/>
                <w:kern w:val="2"/>
                <w:sz w:val="24"/>
                <w:szCs w:val="24"/>
                <w:lang w:val="en-US" w:eastAsia="zh-CN" w:bidi="ar-SA"/>
              </w:rPr>
              <w:t>经预测，正常生产情况下</w:t>
            </w:r>
            <w:r>
              <w:rPr>
                <w:rFonts w:hint="eastAsia" w:ascii="宋体" w:hAnsi="宋体" w:eastAsia="宋体" w:cs="宋体"/>
                <w:color w:val="0000FF"/>
                <w:kern w:val="2"/>
                <w:sz w:val="24"/>
                <w:szCs w:val="24"/>
                <w:lang w:val="en-US" w:eastAsia="zh-CN" w:bidi="ar-SA"/>
              </w:rPr>
              <w:t>对厂界</w:t>
            </w:r>
            <w:r>
              <w:rPr>
                <w:rFonts w:hint="eastAsia" w:ascii="宋体" w:hAnsi="宋体" w:cs="宋体"/>
                <w:color w:val="0000FF"/>
                <w:kern w:val="2"/>
                <w:sz w:val="24"/>
                <w:szCs w:val="24"/>
                <w:lang w:val="en-US" w:eastAsia="zh-CN" w:bidi="ar-SA"/>
              </w:rPr>
              <w:t>声环境影响预测结果</w:t>
            </w:r>
            <w:r>
              <w:rPr>
                <w:rFonts w:hint="eastAsia" w:ascii="宋体" w:hAnsi="宋体" w:eastAsia="宋体" w:cs="宋体"/>
                <w:color w:val="0000FF"/>
                <w:kern w:val="2"/>
                <w:sz w:val="24"/>
                <w:szCs w:val="24"/>
                <w:lang w:val="en-US" w:eastAsia="zh-CN" w:bidi="ar-SA"/>
              </w:rPr>
              <w:t>见表4-</w:t>
            </w:r>
            <w:r>
              <w:rPr>
                <w:rFonts w:hint="eastAsia" w:ascii="宋体" w:hAnsi="宋体" w:cs="宋体"/>
                <w:color w:val="0000FF"/>
                <w:kern w:val="2"/>
                <w:sz w:val="24"/>
                <w:szCs w:val="24"/>
                <w:lang w:val="en-US" w:eastAsia="zh-CN" w:bidi="ar-SA"/>
              </w:rPr>
              <w:t>6</w:t>
            </w:r>
            <w:r>
              <w:rPr>
                <w:rFonts w:hint="eastAsia" w:ascii="宋体" w:hAnsi="宋体" w:eastAsia="宋体" w:cs="宋体"/>
                <w:color w:val="0000FF"/>
                <w:kern w:val="2"/>
                <w:sz w:val="24"/>
                <w:szCs w:val="24"/>
                <w:lang w:val="en-US" w:eastAsia="zh-CN" w:bidi="ar-SA"/>
              </w:rPr>
              <w:t>。</w:t>
            </w:r>
          </w:p>
          <w:p w14:paraId="4DBDABFF">
            <w:pPr>
              <w:pStyle w:val="44"/>
              <w:rPr>
                <w:rFonts w:hint="default" w:ascii="Times New Roman" w:hAnsi="Times New Roman" w:eastAsia="宋体" w:cs="Times New Roman"/>
                <w:b/>
                <w:bCs/>
                <w:color w:val="0000FF"/>
                <w:spacing w:val="0"/>
                <w:kern w:val="2"/>
                <w:position w:val="0"/>
                <w:sz w:val="21"/>
                <w:szCs w:val="24"/>
                <w:highlight w:val="none"/>
                <w:lang w:val="en-US" w:eastAsia="zh-CN" w:bidi="ar-SA"/>
              </w:rPr>
            </w:pPr>
            <w:r>
              <w:rPr>
                <w:rFonts w:hint="default" w:ascii="Times New Roman" w:hAnsi="Times New Roman" w:eastAsia="宋体" w:cs="Times New Roman"/>
                <w:b/>
                <w:bCs/>
                <w:color w:val="0000FF"/>
                <w:spacing w:val="0"/>
                <w:kern w:val="2"/>
                <w:position w:val="0"/>
                <w:sz w:val="21"/>
                <w:szCs w:val="24"/>
                <w:highlight w:val="none"/>
                <w:lang w:val="en-US" w:eastAsia="zh-CN" w:bidi="ar-SA"/>
              </w:rPr>
              <w:t>表</w:t>
            </w:r>
            <w:r>
              <w:rPr>
                <w:rFonts w:hint="eastAsia" w:ascii="Times New Roman" w:hAnsi="Times New Roman" w:eastAsia="宋体" w:cs="Times New Roman"/>
                <w:b/>
                <w:bCs/>
                <w:color w:val="0000FF"/>
                <w:spacing w:val="0"/>
                <w:kern w:val="2"/>
                <w:position w:val="0"/>
                <w:sz w:val="21"/>
                <w:szCs w:val="24"/>
                <w:highlight w:val="none"/>
                <w:lang w:val="en-US" w:eastAsia="zh-CN" w:bidi="ar-SA"/>
              </w:rPr>
              <w:t>4-</w:t>
            </w:r>
            <w:r>
              <w:rPr>
                <w:rFonts w:hint="eastAsia" w:cs="Times New Roman"/>
                <w:b/>
                <w:bCs/>
                <w:color w:val="0000FF"/>
                <w:spacing w:val="0"/>
                <w:kern w:val="2"/>
                <w:position w:val="0"/>
                <w:sz w:val="21"/>
                <w:szCs w:val="24"/>
                <w:highlight w:val="none"/>
                <w:lang w:val="en-US" w:eastAsia="zh-CN" w:bidi="ar-SA"/>
              </w:rPr>
              <w:t>6</w:t>
            </w:r>
            <w:r>
              <w:rPr>
                <w:rFonts w:hint="default" w:ascii="Times New Roman" w:hAnsi="Times New Roman" w:eastAsia="宋体" w:cs="Times New Roman"/>
                <w:b/>
                <w:bCs/>
                <w:color w:val="0000FF"/>
                <w:spacing w:val="0"/>
                <w:kern w:val="2"/>
                <w:position w:val="0"/>
                <w:sz w:val="21"/>
                <w:szCs w:val="24"/>
                <w:highlight w:val="none"/>
                <w:lang w:val="en-US" w:eastAsia="zh-CN" w:bidi="ar-SA"/>
              </w:rPr>
              <w:t xml:space="preserve">   </w:t>
            </w:r>
            <w:r>
              <w:rPr>
                <w:rFonts w:hint="eastAsia" w:ascii="Times New Roman" w:hAnsi="Times New Roman" w:eastAsia="宋体" w:cs="Times New Roman"/>
                <w:b/>
                <w:bCs/>
                <w:color w:val="0000FF"/>
                <w:spacing w:val="0"/>
                <w:kern w:val="2"/>
                <w:position w:val="0"/>
                <w:sz w:val="21"/>
                <w:szCs w:val="24"/>
                <w:highlight w:val="none"/>
                <w:lang w:val="en-US" w:eastAsia="zh-CN" w:bidi="ar-SA"/>
              </w:rPr>
              <w:t>厂界噪声贡献值一览表</w:t>
            </w:r>
            <w:r>
              <w:rPr>
                <w:rFonts w:hint="default" w:ascii="Times New Roman" w:hAnsi="Times New Roman" w:eastAsia="宋体" w:cs="Times New Roman"/>
                <w:b/>
                <w:bCs/>
                <w:color w:val="0000FF"/>
                <w:spacing w:val="0"/>
                <w:kern w:val="2"/>
                <w:position w:val="0"/>
                <w:sz w:val="21"/>
                <w:szCs w:val="24"/>
                <w:highlight w:val="none"/>
                <w:lang w:val="en-US" w:eastAsia="zh-CN" w:bidi="ar-SA"/>
              </w:rPr>
              <w:t xml:space="preserve">    单位：dB(A)</w:t>
            </w:r>
          </w:p>
          <w:tbl>
            <w:tblPr>
              <w:tblStyle w:val="23"/>
              <w:tblW w:w="832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784"/>
              <w:gridCol w:w="825"/>
              <w:gridCol w:w="810"/>
              <w:gridCol w:w="810"/>
              <w:gridCol w:w="780"/>
              <w:gridCol w:w="810"/>
              <w:gridCol w:w="810"/>
              <w:gridCol w:w="780"/>
              <w:gridCol w:w="795"/>
            </w:tblGrid>
            <w:tr w14:paraId="14BDD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7" w:type="dxa"/>
                  <w:vMerge w:val="restart"/>
                  <w:vAlign w:val="center"/>
                </w:tcPr>
                <w:p w14:paraId="1C07F289">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color w:val="0000FF"/>
                      <w:spacing w:val="0"/>
                      <w:kern w:val="2"/>
                      <w:position w:val="0"/>
                      <w:sz w:val="21"/>
                      <w:szCs w:val="24"/>
                      <w:highlight w:val="none"/>
                      <w:vertAlign w:val="baseline"/>
                      <w:lang w:val="en-US" w:eastAsia="zh-CN" w:bidi="ar-SA"/>
                    </w:rPr>
                  </w:pPr>
                  <w:r>
                    <w:rPr>
                      <w:rFonts w:hint="eastAsia" w:cs="Times New Roman"/>
                      <w:b/>
                      <w:bCs/>
                      <w:color w:val="0000FF"/>
                      <w:spacing w:val="0"/>
                      <w:kern w:val="2"/>
                      <w:position w:val="0"/>
                      <w:sz w:val="21"/>
                      <w:szCs w:val="24"/>
                      <w:highlight w:val="none"/>
                      <w:vertAlign w:val="baseline"/>
                      <w:lang w:val="en-US" w:eastAsia="zh-CN" w:bidi="ar-SA"/>
                    </w:rPr>
                    <w:t>预测点</w:t>
                  </w:r>
                </w:p>
                <w:p w14:paraId="23C4FB69">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FF"/>
                      <w:spacing w:val="0"/>
                      <w:kern w:val="2"/>
                      <w:position w:val="0"/>
                      <w:sz w:val="21"/>
                      <w:szCs w:val="24"/>
                      <w:highlight w:val="none"/>
                      <w:vertAlign w:val="baseline"/>
                      <w:lang w:val="en-US" w:eastAsia="zh-CN" w:bidi="ar-SA"/>
                    </w:rPr>
                  </w:pPr>
                  <w:r>
                    <w:rPr>
                      <w:rFonts w:hint="eastAsia" w:cs="Times New Roman"/>
                      <w:b/>
                      <w:bCs/>
                      <w:color w:val="0000FF"/>
                      <w:spacing w:val="0"/>
                      <w:kern w:val="2"/>
                      <w:position w:val="0"/>
                      <w:sz w:val="21"/>
                      <w:szCs w:val="24"/>
                      <w:highlight w:val="none"/>
                      <w:vertAlign w:val="baseline"/>
                      <w:lang w:val="en-US" w:eastAsia="zh-CN" w:bidi="ar-SA"/>
                    </w:rPr>
                    <w:t>名称</w:t>
                  </w:r>
                </w:p>
              </w:tc>
              <w:tc>
                <w:tcPr>
                  <w:tcW w:w="1609" w:type="dxa"/>
                  <w:gridSpan w:val="2"/>
                  <w:vAlign w:val="center"/>
                </w:tcPr>
                <w:p w14:paraId="0A30EDCF">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bCs/>
                      <w:color w:val="0000FF"/>
                      <w:kern w:val="2"/>
                      <w:sz w:val="21"/>
                      <w:szCs w:val="24"/>
                      <w:lang w:val="en-US" w:eastAsia="zh-CN" w:bidi="ar-SA"/>
                    </w:rPr>
                  </w:pPr>
                  <w:r>
                    <w:rPr>
                      <w:rFonts w:hint="eastAsia" w:cs="Times New Roman"/>
                      <w:b/>
                      <w:bCs/>
                      <w:color w:val="0000FF"/>
                      <w:kern w:val="2"/>
                      <w:sz w:val="21"/>
                      <w:szCs w:val="24"/>
                      <w:lang w:val="en-US" w:eastAsia="zh-CN" w:bidi="ar-SA"/>
                    </w:rPr>
                    <w:t>贡献值dB（A）</w:t>
                  </w:r>
                </w:p>
              </w:tc>
              <w:tc>
                <w:tcPr>
                  <w:tcW w:w="1620" w:type="dxa"/>
                  <w:gridSpan w:val="2"/>
                  <w:vAlign w:val="center"/>
                </w:tcPr>
                <w:p w14:paraId="679F21B6">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Times New Roman" w:hAnsi="Times New Roman" w:eastAsia="宋体" w:cs="Times New Roman"/>
                      <w:b/>
                      <w:bCs/>
                      <w:color w:val="0000FF"/>
                      <w:kern w:val="2"/>
                      <w:sz w:val="21"/>
                      <w:szCs w:val="24"/>
                      <w:lang w:val="en-US" w:eastAsia="zh-CN" w:bidi="ar-SA"/>
                    </w:rPr>
                  </w:pPr>
                  <w:r>
                    <w:rPr>
                      <w:rFonts w:hint="eastAsia"/>
                      <w:b/>
                      <w:bCs/>
                      <w:color w:val="0000FF"/>
                      <w:lang w:eastAsia="zh-CN"/>
                    </w:rPr>
                    <w:t>背景值</w:t>
                  </w:r>
                  <w:r>
                    <w:rPr>
                      <w:rFonts w:hint="eastAsia" w:cs="Times New Roman"/>
                      <w:b/>
                      <w:bCs/>
                      <w:color w:val="0000FF"/>
                      <w:kern w:val="2"/>
                      <w:sz w:val="21"/>
                      <w:szCs w:val="24"/>
                      <w:lang w:val="en-US" w:eastAsia="zh-CN" w:bidi="ar-SA"/>
                    </w:rPr>
                    <w:t>dB（A）</w:t>
                  </w:r>
                </w:p>
              </w:tc>
              <w:tc>
                <w:tcPr>
                  <w:tcW w:w="1590" w:type="dxa"/>
                  <w:gridSpan w:val="2"/>
                  <w:vAlign w:val="center"/>
                </w:tcPr>
                <w:p w14:paraId="26517569">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Times New Roman" w:hAnsi="Times New Roman" w:eastAsia="宋体" w:cs="Times New Roman"/>
                      <w:b/>
                      <w:bCs/>
                      <w:color w:val="0000FF"/>
                      <w:kern w:val="2"/>
                      <w:sz w:val="21"/>
                      <w:szCs w:val="24"/>
                      <w:lang w:val="en-US" w:eastAsia="zh-CN" w:bidi="ar-SA"/>
                    </w:rPr>
                  </w:pPr>
                  <w:r>
                    <w:rPr>
                      <w:rFonts w:hint="eastAsia"/>
                      <w:b/>
                      <w:bCs/>
                      <w:color w:val="0000FF"/>
                      <w:lang w:eastAsia="zh-CN"/>
                    </w:rPr>
                    <w:t>叠加值</w:t>
                  </w:r>
                  <w:r>
                    <w:rPr>
                      <w:rFonts w:hint="eastAsia" w:cs="Times New Roman"/>
                      <w:b/>
                      <w:bCs/>
                      <w:color w:val="0000FF"/>
                      <w:kern w:val="2"/>
                      <w:sz w:val="21"/>
                      <w:szCs w:val="24"/>
                      <w:lang w:val="en-US" w:eastAsia="zh-CN" w:bidi="ar-SA"/>
                    </w:rPr>
                    <w:t>dB（A）</w:t>
                  </w:r>
                </w:p>
              </w:tc>
              <w:tc>
                <w:tcPr>
                  <w:tcW w:w="1590" w:type="dxa"/>
                  <w:gridSpan w:val="2"/>
                  <w:vAlign w:val="center"/>
                </w:tcPr>
                <w:p w14:paraId="4A119FC4">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b/>
                      <w:bCs/>
                      <w:color w:val="0000FF"/>
                      <w:lang w:eastAsia="zh-CN"/>
                    </w:rPr>
                  </w:pPr>
                  <w:r>
                    <w:rPr>
                      <w:rFonts w:hint="eastAsia"/>
                      <w:b/>
                      <w:bCs/>
                      <w:color w:val="0000FF"/>
                      <w:lang w:eastAsia="zh-CN"/>
                    </w:rPr>
                    <w:t>标准值</w:t>
                  </w:r>
                  <w:r>
                    <w:rPr>
                      <w:rFonts w:hint="eastAsia" w:cs="Times New Roman"/>
                      <w:b/>
                      <w:bCs/>
                      <w:color w:val="0000FF"/>
                      <w:kern w:val="2"/>
                      <w:sz w:val="21"/>
                      <w:szCs w:val="24"/>
                      <w:lang w:val="en-US" w:eastAsia="zh-CN" w:bidi="ar-SA"/>
                    </w:rPr>
                    <w:t>dB（A）</w:t>
                  </w:r>
                </w:p>
              </w:tc>
              <w:tc>
                <w:tcPr>
                  <w:tcW w:w="795" w:type="dxa"/>
                  <w:vMerge w:val="restart"/>
                  <w:vAlign w:val="center"/>
                </w:tcPr>
                <w:p w14:paraId="396E35A4">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b/>
                      <w:bCs/>
                      <w:color w:val="0000FF"/>
                      <w:lang w:eastAsia="zh-CN"/>
                    </w:rPr>
                  </w:pPr>
                  <w:r>
                    <w:rPr>
                      <w:rFonts w:hint="eastAsia"/>
                      <w:b/>
                      <w:bCs/>
                      <w:color w:val="0000FF"/>
                      <w:lang w:eastAsia="zh-CN"/>
                    </w:rPr>
                    <w:t>是否达标</w:t>
                  </w:r>
                </w:p>
              </w:tc>
            </w:tr>
            <w:tr w14:paraId="3EB59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7" w:type="dxa"/>
                  <w:vMerge w:val="continue"/>
                  <w:tcBorders>
                    <w:bottom w:val="single" w:color="auto" w:sz="12" w:space="0"/>
                  </w:tcBorders>
                </w:tcPr>
                <w:p w14:paraId="7BE21D1E">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bCs/>
                      <w:color w:val="0000FF"/>
                      <w:spacing w:val="0"/>
                      <w:kern w:val="2"/>
                      <w:position w:val="0"/>
                      <w:sz w:val="21"/>
                      <w:szCs w:val="24"/>
                      <w:highlight w:val="none"/>
                      <w:vertAlign w:val="baseline"/>
                      <w:lang w:val="en-US" w:eastAsia="zh-CN" w:bidi="ar-SA"/>
                    </w:rPr>
                  </w:pPr>
                </w:p>
              </w:tc>
              <w:tc>
                <w:tcPr>
                  <w:tcW w:w="784" w:type="dxa"/>
                  <w:tcBorders>
                    <w:bottom w:val="single" w:color="auto" w:sz="12" w:space="0"/>
                  </w:tcBorders>
                </w:tcPr>
                <w:p w14:paraId="1B16751B">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bCs/>
                      <w:color w:val="0000FF"/>
                      <w:spacing w:val="0"/>
                      <w:kern w:val="2"/>
                      <w:position w:val="0"/>
                      <w:sz w:val="21"/>
                      <w:szCs w:val="24"/>
                      <w:highlight w:val="none"/>
                      <w:vertAlign w:val="baseline"/>
                      <w:lang w:val="en-US" w:eastAsia="zh-CN" w:bidi="ar-SA"/>
                    </w:rPr>
                  </w:pPr>
                  <w:r>
                    <w:rPr>
                      <w:rFonts w:hint="eastAsia" w:cs="Times New Roman"/>
                      <w:b/>
                      <w:bCs/>
                      <w:color w:val="0000FF"/>
                      <w:spacing w:val="0"/>
                      <w:kern w:val="2"/>
                      <w:position w:val="0"/>
                      <w:sz w:val="21"/>
                      <w:szCs w:val="24"/>
                      <w:highlight w:val="none"/>
                      <w:vertAlign w:val="baseline"/>
                      <w:lang w:val="en-US" w:eastAsia="zh-CN" w:bidi="ar-SA"/>
                    </w:rPr>
                    <w:t>昼间</w:t>
                  </w:r>
                </w:p>
              </w:tc>
              <w:tc>
                <w:tcPr>
                  <w:tcW w:w="825" w:type="dxa"/>
                  <w:tcBorders>
                    <w:bottom w:val="single" w:color="auto" w:sz="12" w:space="0"/>
                  </w:tcBorders>
                </w:tcPr>
                <w:p w14:paraId="5BDF5839">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bCs/>
                      <w:color w:val="0000FF"/>
                      <w:spacing w:val="0"/>
                      <w:kern w:val="2"/>
                      <w:position w:val="0"/>
                      <w:sz w:val="21"/>
                      <w:szCs w:val="24"/>
                      <w:highlight w:val="none"/>
                      <w:vertAlign w:val="baseline"/>
                      <w:lang w:val="en-US" w:eastAsia="zh-CN" w:bidi="ar-SA"/>
                    </w:rPr>
                  </w:pPr>
                  <w:r>
                    <w:rPr>
                      <w:rFonts w:hint="eastAsia" w:cs="Times New Roman"/>
                      <w:b/>
                      <w:bCs/>
                      <w:color w:val="0000FF"/>
                      <w:spacing w:val="0"/>
                      <w:kern w:val="2"/>
                      <w:position w:val="0"/>
                      <w:sz w:val="21"/>
                      <w:szCs w:val="24"/>
                      <w:highlight w:val="none"/>
                      <w:vertAlign w:val="baseline"/>
                      <w:lang w:val="en-US" w:eastAsia="zh-CN" w:bidi="ar-SA"/>
                    </w:rPr>
                    <w:t>夜间</w:t>
                  </w:r>
                </w:p>
              </w:tc>
              <w:tc>
                <w:tcPr>
                  <w:tcW w:w="810" w:type="dxa"/>
                  <w:tcBorders>
                    <w:bottom w:val="single" w:color="auto" w:sz="12" w:space="0"/>
                  </w:tcBorders>
                  <w:vAlign w:val="top"/>
                </w:tcPr>
                <w:p w14:paraId="15F5A5D0">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bCs/>
                      <w:color w:val="0000FF"/>
                      <w:spacing w:val="0"/>
                      <w:kern w:val="2"/>
                      <w:position w:val="0"/>
                      <w:sz w:val="21"/>
                      <w:szCs w:val="24"/>
                      <w:highlight w:val="none"/>
                      <w:vertAlign w:val="baseline"/>
                      <w:lang w:val="en-US" w:eastAsia="zh-CN" w:bidi="ar-SA"/>
                    </w:rPr>
                  </w:pPr>
                  <w:r>
                    <w:rPr>
                      <w:rFonts w:hint="eastAsia" w:cs="Times New Roman"/>
                      <w:b/>
                      <w:bCs/>
                      <w:color w:val="0000FF"/>
                      <w:spacing w:val="0"/>
                      <w:kern w:val="2"/>
                      <w:position w:val="0"/>
                      <w:sz w:val="21"/>
                      <w:szCs w:val="24"/>
                      <w:highlight w:val="none"/>
                      <w:vertAlign w:val="baseline"/>
                      <w:lang w:val="en-US" w:eastAsia="zh-CN" w:bidi="ar-SA"/>
                    </w:rPr>
                    <w:t>昼间</w:t>
                  </w:r>
                </w:p>
              </w:tc>
              <w:tc>
                <w:tcPr>
                  <w:tcW w:w="810" w:type="dxa"/>
                  <w:tcBorders>
                    <w:bottom w:val="single" w:color="auto" w:sz="12" w:space="0"/>
                  </w:tcBorders>
                  <w:vAlign w:val="top"/>
                </w:tcPr>
                <w:p w14:paraId="47CAFF47">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bCs/>
                      <w:color w:val="0000FF"/>
                      <w:spacing w:val="0"/>
                      <w:kern w:val="2"/>
                      <w:position w:val="0"/>
                      <w:sz w:val="21"/>
                      <w:szCs w:val="24"/>
                      <w:highlight w:val="none"/>
                      <w:vertAlign w:val="baseline"/>
                      <w:lang w:val="en-US" w:eastAsia="zh-CN" w:bidi="ar-SA"/>
                    </w:rPr>
                  </w:pPr>
                  <w:r>
                    <w:rPr>
                      <w:rFonts w:hint="eastAsia" w:cs="Times New Roman"/>
                      <w:b/>
                      <w:bCs/>
                      <w:color w:val="0000FF"/>
                      <w:spacing w:val="0"/>
                      <w:kern w:val="2"/>
                      <w:position w:val="0"/>
                      <w:sz w:val="21"/>
                      <w:szCs w:val="24"/>
                      <w:highlight w:val="none"/>
                      <w:vertAlign w:val="baseline"/>
                      <w:lang w:val="en-US" w:eastAsia="zh-CN" w:bidi="ar-SA"/>
                    </w:rPr>
                    <w:t>夜间</w:t>
                  </w:r>
                </w:p>
              </w:tc>
              <w:tc>
                <w:tcPr>
                  <w:tcW w:w="780" w:type="dxa"/>
                  <w:tcBorders>
                    <w:bottom w:val="single" w:color="auto" w:sz="12" w:space="0"/>
                  </w:tcBorders>
                  <w:vAlign w:val="top"/>
                </w:tcPr>
                <w:p w14:paraId="5B2A18C9">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bCs/>
                      <w:color w:val="0000FF"/>
                      <w:spacing w:val="0"/>
                      <w:kern w:val="2"/>
                      <w:position w:val="0"/>
                      <w:sz w:val="21"/>
                      <w:szCs w:val="24"/>
                      <w:highlight w:val="none"/>
                      <w:vertAlign w:val="baseline"/>
                      <w:lang w:val="en-US" w:eastAsia="zh-CN" w:bidi="ar-SA"/>
                    </w:rPr>
                  </w:pPr>
                  <w:r>
                    <w:rPr>
                      <w:rFonts w:hint="eastAsia" w:cs="Times New Roman"/>
                      <w:b/>
                      <w:bCs/>
                      <w:color w:val="0000FF"/>
                      <w:spacing w:val="0"/>
                      <w:kern w:val="2"/>
                      <w:position w:val="0"/>
                      <w:sz w:val="21"/>
                      <w:szCs w:val="24"/>
                      <w:highlight w:val="none"/>
                      <w:vertAlign w:val="baseline"/>
                      <w:lang w:val="en-US" w:eastAsia="zh-CN" w:bidi="ar-SA"/>
                    </w:rPr>
                    <w:t>昼间</w:t>
                  </w:r>
                </w:p>
              </w:tc>
              <w:tc>
                <w:tcPr>
                  <w:tcW w:w="810" w:type="dxa"/>
                  <w:tcBorders>
                    <w:bottom w:val="single" w:color="auto" w:sz="12" w:space="0"/>
                  </w:tcBorders>
                  <w:vAlign w:val="top"/>
                </w:tcPr>
                <w:p w14:paraId="5160DBEF">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bCs/>
                      <w:color w:val="0000FF"/>
                      <w:spacing w:val="0"/>
                      <w:kern w:val="2"/>
                      <w:position w:val="0"/>
                      <w:sz w:val="21"/>
                      <w:szCs w:val="24"/>
                      <w:highlight w:val="none"/>
                      <w:vertAlign w:val="baseline"/>
                      <w:lang w:val="en-US" w:eastAsia="zh-CN" w:bidi="ar-SA"/>
                    </w:rPr>
                  </w:pPr>
                  <w:r>
                    <w:rPr>
                      <w:rFonts w:hint="eastAsia" w:cs="Times New Roman"/>
                      <w:b/>
                      <w:bCs/>
                      <w:color w:val="0000FF"/>
                      <w:spacing w:val="0"/>
                      <w:kern w:val="2"/>
                      <w:position w:val="0"/>
                      <w:sz w:val="21"/>
                      <w:szCs w:val="24"/>
                      <w:highlight w:val="none"/>
                      <w:vertAlign w:val="baseline"/>
                      <w:lang w:val="en-US" w:eastAsia="zh-CN" w:bidi="ar-SA"/>
                    </w:rPr>
                    <w:t>夜间</w:t>
                  </w:r>
                </w:p>
              </w:tc>
              <w:tc>
                <w:tcPr>
                  <w:tcW w:w="810" w:type="dxa"/>
                  <w:tcBorders>
                    <w:bottom w:val="single" w:color="auto" w:sz="12" w:space="0"/>
                  </w:tcBorders>
                  <w:vAlign w:val="top"/>
                </w:tcPr>
                <w:p w14:paraId="180F4A54">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bCs/>
                      <w:color w:val="0000FF"/>
                      <w:spacing w:val="0"/>
                      <w:kern w:val="2"/>
                      <w:position w:val="0"/>
                      <w:sz w:val="21"/>
                      <w:szCs w:val="24"/>
                      <w:highlight w:val="none"/>
                      <w:vertAlign w:val="baseline"/>
                      <w:lang w:val="en-US" w:eastAsia="zh-CN" w:bidi="ar-SA"/>
                    </w:rPr>
                  </w:pPr>
                  <w:r>
                    <w:rPr>
                      <w:rFonts w:hint="eastAsia" w:cs="Times New Roman"/>
                      <w:b/>
                      <w:bCs/>
                      <w:color w:val="0000FF"/>
                      <w:spacing w:val="0"/>
                      <w:kern w:val="2"/>
                      <w:position w:val="0"/>
                      <w:sz w:val="21"/>
                      <w:szCs w:val="24"/>
                      <w:highlight w:val="none"/>
                      <w:vertAlign w:val="baseline"/>
                      <w:lang w:val="en-US" w:eastAsia="zh-CN" w:bidi="ar-SA"/>
                    </w:rPr>
                    <w:t>昼间</w:t>
                  </w:r>
                </w:p>
              </w:tc>
              <w:tc>
                <w:tcPr>
                  <w:tcW w:w="780" w:type="dxa"/>
                  <w:tcBorders>
                    <w:bottom w:val="single" w:color="auto" w:sz="12" w:space="0"/>
                  </w:tcBorders>
                  <w:vAlign w:val="top"/>
                </w:tcPr>
                <w:p w14:paraId="385A66B9">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bCs/>
                      <w:color w:val="0000FF"/>
                      <w:spacing w:val="0"/>
                      <w:kern w:val="2"/>
                      <w:position w:val="0"/>
                      <w:sz w:val="21"/>
                      <w:szCs w:val="24"/>
                      <w:highlight w:val="none"/>
                      <w:vertAlign w:val="baseline"/>
                      <w:lang w:val="en-US" w:eastAsia="zh-CN" w:bidi="ar-SA"/>
                    </w:rPr>
                  </w:pPr>
                  <w:r>
                    <w:rPr>
                      <w:rFonts w:hint="eastAsia" w:cs="Times New Roman"/>
                      <w:b/>
                      <w:bCs/>
                      <w:color w:val="0000FF"/>
                      <w:spacing w:val="0"/>
                      <w:kern w:val="2"/>
                      <w:position w:val="0"/>
                      <w:sz w:val="21"/>
                      <w:szCs w:val="24"/>
                      <w:highlight w:val="none"/>
                      <w:vertAlign w:val="baseline"/>
                      <w:lang w:val="en-US" w:eastAsia="zh-CN" w:bidi="ar-SA"/>
                    </w:rPr>
                    <w:t>夜间</w:t>
                  </w:r>
                </w:p>
              </w:tc>
              <w:tc>
                <w:tcPr>
                  <w:tcW w:w="795" w:type="dxa"/>
                  <w:vMerge w:val="continue"/>
                  <w:tcBorders>
                    <w:bottom w:val="single" w:color="auto" w:sz="12" w:space="0"/>
                  </w:tcBorders>
                  <w:vAlign w:val="top"/>
                </w:tcPr>
                <w:p w14:paraId="34E80FF6">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s="Times New Roman"/>
                      <w:b/>
                      <w:bCs/>
                      <w:color w:val="0000FF"/>
                      <w:spacing w:val="0"/>
                      <w:kern w:val="2"/>
                      <w:position w:val="0"/>
                      <w:sz w:val="21"/>
                      <w:szCs w:val="24"/>
                      <w:highlight w:val="none"/>
                      <w:vertAlign w:val="baseline"/>
                      <w:lang w:val="en-US" w:eastAsia="zh-CN" w:bidi="ar-SA"/>
                    </w:rPr>
                  </w:pPr>
                </w:p>
              </w:tc>
            </w:tr>
            <w:tr w14:paraId="7705D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7" w:type="dxa"/>
                  <w:tcBorders>
                    <w:top w:val="single" w:color="auto" w:sz="12" w:space="0"/>
                    <w:tl2br w:val="nil"/>
                    <w:tr2bl w:val="nil"/>
                  </w:tcBorders>
                </w:tcPr>
                <w:p w14:paraId="5DA70A35">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bCs/>
                      <w:color w:val="0000FF"/>
                      <w:spacing w:val="0"/>
                      <w:kern w:val="2"/>
                      <w:position w:val="0"/>
                      <w:sz w:val="21"/>
                      <w:szCs w:val="24"/>
                      <w:highlight w:val="none"/>
                      <w:vertAlign w:val="baseline"/>
                      <w:lang w:val="en-US" w:eastAsia="zh-CN" w:bidi="ar-SA"/>
                    </w:rPr>
                  </w:pPr>
                  <w:r>
                    <w:rPr>
                      <w:rFonts w:hint="default"/>
                      <w:b/>
                      <w:bCs/>
                      <w:color w:val="0000FF"/>
                    </w:rPr>
                    <w:t>厂界东</w:t>
                  </w:r>
                </w:p>
              </w:tc>
              <w:tc>
                <w:tcPr>
                  <w:tcW w:w="784" w:type="dxa"/>
                  <w:tcBorders>
                    <w:top w:val="single" w:color="auto" w:sz="12" w:space="0"/>
                    <w:tl2br w:val="nil"/>
                    <w:tr2bl w:val="nil"/>
                  </w:tcBorders>
                </w:tcPr>
                <w:p w14:paraId="76938A6B">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eastAsia="宋体" w:cs="Times New Roman"/>
                      <w:b w:val="0"/>
                      <w:bCs w:val="0"/>
                      <w:color w:val="0000FF"/>
                      <w:spacing w:val="0"/>
                      <w:kern w:val="2"/>
                      <w:position w:val="0"/>
                      <w:sz w:val="21"/>
                      <w:szCs w:val="24"/>
                      <w:highlight w:val="none"/>
                      <w:vertAlign w:val="baseline"/>
                      <w:lang w:val="en-US" w:eastAsia="zh-CN" w:bidi="ar-SA"/>
                    </w:rPr>
                  </w:pPr>
                  <w:r>
                    <w:rPr>
                      <w:rFonts w:hint="eastAsia" w:eastAsia="宋体" w:cs="Times New Roman"/>
                      <w:b w:val="0"/>
                      <w:bCs w:val="0"/>
                      <w:color w:val="0000FF"/>
                      <w:spacing w:val="0"/>
                      <w:kern w:val="2"/>
                      <w:position w:val="0"/>
                      <w:sz w:val="21"/>
                      <w:szCs w:val="24"/>
                      <w:highlight w:val="none"/>
                      <w:vertAlign w:val="baseline"/>
                      <w:lang w:val="en-US" w:eastAsia="zh-CN" w:bidi="ar-SA"/>
                    </w:rPr>
                    <w:t>3</w:t>
                  </w:r>
                  <w:r>
                    <w:rPr>
                      <w:rFonts w:hint="eastAsia" w:cs="Times New Roman"/>
                      <w:b w:val="0"/>
                      <w:bCs w:val="0"/>
                      <w:color w:val="0000FF"/>
                      <w:spacing w:val="0"/>
                      <w:kern w:val="2"/>
                      <w:position w:val="0"/>
                      <w:sz w:val="21"/>
                      <w:szCs w:val="24"/>
                      <w:highlight w:val="none"/>
                      <w:vertAlign w:val="baseline"/>
                      <w:lang w:val="en-US" w:eastAsia="zh-CN" w:bidi="ar-SA"/>
                    </w:rPr>
                    <w:t>2</w:t>
                  </w:r>
                  <w:r>
                    <w:rPr>
                      <w:rFonts w:hint="eastAsia" w:eastAsia="宋体" w:cs="Times New Roman"/>
                      <w:b w:val="0"/>
                      <w:bCs w:val="0"/>
                      <w:color w:val="0000FF"/>
                      <w:spacing w:val="0"/>
                      <w:kern w:val="2"/>
                      <w:position w:val="0"/>
                      <w:sz w:val="21"/>
                      <w:szCs w:val="24"/>
                      <w:highlight w:val="none"/>
                      <w:vertAlign w:val="baseline"/>
                      <w:lang w:val="en-US" w:eastAsia="zh-CN" w:bidi="ar-SA"/>
                    </w:rPr>
                    <w:t>.</w:t>
                  </w:r>
                  <w:r>
                    <w:rPr>
                      <w:rFonts w:hint="eastAsia" w:cs="Times New Roman"/>
                      <w:b w:val="0"/>
                      <w:bCs w:val="0"/>
                      <w:color w:val="0000FF"/>
                      <w:spacing w:val="0"/>
                      <w:kern w:val="2"/>
                      <w:position w:val="0"/>
                      <w:sz w:val="21"/>
                      <w:szCs w:val="24"/>
                      <w:highlight w:val="none"/>
                      <w:vertAlign w:val="baseline"/>
                      <w:lang w:val="en-US" w:eastAsia="zh-CN" w:bidi="ar-SA"/>
                    </w:rPr>
                    <w:t>8</w:t>
                  </w:r>
                </w:p>
              </w:tc>
              <w:tc>
                <w:tcPr>
                  <w:tcW w:w="825" w:type="dxa"/>
                  <w:tcBorders>
                    <w:top w:val="single" w:color="auto" w:sz="12" w:space="0"/>
                    <w:tl2br w:val="nil"/>
                    <w:tr2bl w:val="nil"/>
                  </w:tcBorders>
                  <w:shd w:val="clear" w:color="auto" w:fill="auto"/>
                  <w:vAlign w:val="top"/>
                </w:tcPr>
                <w:p w14:paraId="3E87CBD9">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eastAsia="宋体" w:cs="Times New Roman"/>
                      <w:b w:val="0"/>
                      <w:bCs w:val="0"/>
                      <w:color w:val="0000FF"/>
                      <w:spacing w:val="0"/>
                      <w:kern w:val="2"/>
                      <w:position w:val="0"/>
                      <w:sz w:val="21"/>
                      <w:szCs w:val="24"/>
                      <w:highlight w:val="none"/>
                      <w:vertAlign w:val="baseline"/>
                      <w:lang w:val="en-US" w:eastAsia="zh-CN" w:bidi="ar-SA"/>
                    </w:rPr>
                    <w:t>3</w:t>
                  </w:r>
                  <w:r>
                    <w:rPr>
                      <w:rFonts w:hint="eastAsia" w:cs="Times New Roman"/>
                      <w:b w:val="0"/>
                      <w:bCs w:val="0"/>
                      <w:color w:val="0000FF"/>
                      <w:spacing w:val="0"/>
                      <w:kern w:val="2"/>
                      <w:position w:val="0"/>
                      <w:sz w:val="21"/>
                      <w:szCs w:val="24"/>
                      <w:highlight w:val="none"/>
                      <w:vertAlign w:val="baseline"/>
                      <w:lang w:val="en-US" w:eastAsia="zh-CN" w:bidi="ar-SA"/>
                    </w:rPr>
                    <w:t>2</w:t>
                  </w:r>
                  <w:r>
                    <w:rPr>
                      <w:rFonts w:hint="eastAsia" w:eastAsia="宋体" w:cs="Times New Roman"/>
                      <w:b w:val="0"/>
                      <w:bCs w:val="0"/>
                      <w:color w:val="0000FF"/>
                      <w:spacing w:val="0"/>
                      <w:kern w:val="2"/>
                      <w:position w:val="0"/>
                      <w:sz w:val="21"/>
                      <w:szCs w:val="24"/>
                      <w:highlight w:val="none"/>
                      <w:vertAlign w:val="baseline"/>
                      <w:lang w:val="en-US" w:eastAsia="zh-CN" w:bidi="ar-SA"/>
                    </w:rPr>
                    <w:t>.</w:t>
                  </w:r>
                  <w:r>
                    <w:rPr>
                      <w:rFonts w:hint="eastAsia" w:cs="Times New Roman"/>
                      <w:b w:val="0"/>
                      <w:bCs w:val="0"/>
                      <w:color w:val="0000FF"/>
                      <w:spacing w:val="0"/>
                      <w:kern w:val="2"/>
                      <w:position w:val="0"/>
                      <w:sz w:val="21"/>
                      <w:szCs w:val="24"/>
                      <w:highlight w:val="none"/>
                      <w:vertAlign w:val="baseline"/>
                      <w:lang w:val="en-US" w:eastAsia="zh-CN" w:bidi="ar-SA"/>
                    </w:rPr>
                    <w:t>8</w:t>
                  </w:r>
                </w:p>
              </w:tc>
              <w:tc>
                <w:tcPr>
                  <w:tcW w:w="810" w:type="dxa"/>
                  <w:tcBorders>
                    <w:top w:val="single" w:color="auto" w:sz="12" w:space="0"/>
                    <w:tl2br w:val="nil"/>
                    <w:tr2bl w:val="nil"/>
                  </w:tcBorders>
                </w:tcPr>
                <w:p w14:paraId="1583398A">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55</w:t>
                  </w:r>
                </w:p>
              </w:tc>
              <w:tc>
                <w:tcPr>
                  <w:tcW w:w="810" w:type="dxa"/>
                  <w:tcBorders>
                    <w:top w:val="single" w:color="auto" w:sz="12" w:space="0"/>
                    <w:tl2br w:val="nil"/>
                    <w:tr2bl w:val="nil"/>
                  </w:tcBorders>
                </w:tcPr>
                <w:p w14:paraId="3B8B9AD0">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45</w:t>
                  </w:r>
                </w:p>
              </w:tc>
              <w:tc>
                <w:tcPr>
                  <w:tcW w:w="780" w:type="dxa"/>
                  <w:tcBorders>
                    <w:top w:val="single" w:color="auto" w:sz="12" w:space="0"/>
                    <w:tl2br w:val="nil"/>
                    <w:tr2bl w:val="nil"/>
                  </w:tcBorders>
                </w:tcPr>
                <w:p w14:paraId="36713252">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55.0</w:t>
                  </w:r>
                </w:p>
              </w:tc>
              <w:tc>
                <w:tcPr>
                  <w:tcW w:w="810" w:type="dxa"/>
                  <w:tcBorders>
                    <w:top w:val="single" w:color="auto" w:sz="12" w:space="0"/>
                    <w:tl2br w:val="nil"/>
                    <w:tr2bl w:val="nil"/>
                  </w:tcBorders>
                </w:tcPr>
                <w:p w14:paraId="622B0FAE">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45.3</w:t>
                  </w:r>
                </w:p>
              </w:tc>
              <w:tc>
                <w:tcPr>
                  <w:tcW w:w="810" w:type="dxa"/>
                  <w:tcBorders>
                    <w:top w:val="single" w:color="auto" w:sz="12" w:space="0"/>
                    <w:tl2br w:val="nil"/>
                    <w:tr2bl w:val="nil"/>
                  </w:tcBorders>
                </w:tcPr>
                <w:p w14:paraId="0B766D02">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65</w:t>
                  </w:r>
                </w:p>
              </w:tc>
              <w:tc>
                <w:tcPr>
                  <w:tcW w:w="780" w:type="dxa"/>
                  <w:tcBorders>
                    <w:top w:val="single" w:color="auto" w:sz="12" w:space="0"/>
                    <w:tl2br w:val="nil"/>
                    <w:tr2bl w:val="nil"/>
                  </w:tcBorders>
                </w:tcPr>
                <w:p w14:paraId="2DA8E879">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55</w:t>
                  </w:r>
                </w:p>
              </w:tc>
              <w:tc>
                <w:tcPr>
                  <w:tcW w:w="795" w:type="dxa"/>
                  <w:tcBorders>
                    <w:top w:val="single" w:color="auto" w:sz="12" w:space="0"/>
                    <w:tl2br w:val="nil"/>
                    <w:tr2bl w:val="nil"/>
                  </w:tcBorders>
                </w:tcPr>
                <w:p w14:paraId="1B48D308">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达标</w:t>
                  </w:r>
                </w:p>
              </w:tc>
            </w:tr>
            <w:tr w14:paraId="06BB9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7" w:type="dxa"/>
                  <w:tcBorders>
                    <w:tl2br w:val="nil"/>
                    <w:tr2bl w:val="nil"/>
                  </w:tcBorders>
                </w:tcPr>
                <w:p w14:paraId="6ED2498F">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bCs/>
                      <w:color w:val="0000FF"/>
                      <w:spacing w:val="0"/>
                      <w:kern w:val="2"/>
                      <w:position w:val="0"/>
                      <w:sz w:val="21"/>
                      <w:szCs w:val="24"/>
                      <w:highlight w:val="none"/>
                      <w:vertAlign w:val="baseline"/>
                      <w:lang w:val="en-US" w:eastAsia="zh-CN" w:bidi="ar-SA"/>
                    </w:rPr>
                  </w:pPr>
                  <w:r>
                    <w:rPr>
                      <w:rFonts w:hint="default"/>
                      <w:b/>
                      <w:bCs/>
                      <w:color w:val="0000FF"/>
                    </w:rPr>
                    <w:t>厂界南</w:t>
                  </w:r>
                </w:p>
              </w:tc>
              <w:tc>
                <w:tcPr>
                  <w:tcW w:w="784" w:type="dxa"/>
                  <w:tcBorders>
                    <w:tl2br w:val="nil"/>
                    <w:tr2bl w:val="nil"/>
                  </w:tcBorders>
                </w:tcPr>
                <w:p w14:paraId="7DCDD22F">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eastAsia="宋体" w:cs="Times New Roman"/>
                      <w:b w:val="0"/>
                      <w:bCs w:val="0"/>
                      <w:color w:val="0000FF"/>
                      <w:spacing w:val="0"/>
                      <w:kern w:val="2"/>
                      <w:position w:val="0"/>
                      <w:sz w:val="21"/>
                      <w:szCs w:val="24"/>
                      <w:highlight w:val="none"/>
                      <w:vertAlign w:val="baseline"/>
                      <w:lang w:val="en-US" w:eastAsia="zh-CN" w:bidi="ar-SA"/>
                    </w:rPr>
                    <w:t>3</w:t>
                  </w:r>
                  <w:r>
                    <w:rPr>
                      <w:rFonts w:hint="eastAsia" w:cs="Times New Roman"/>
                      <w:b w:val="0"/>
                      <w:bCs w:val="0"/>
                      <w:color w:val="0000FF"/>
                      <w:spacing w:val="0"/>
                      <w:kern w:val="2"/>
                      <w:position w:val="0"/>
                      <w:sz w:val="21"/>
                      <w:szCs w:val="24"/>
                      <w:highlight w:val="none"/>
                      <w:vertAlign w:val="baseline"/>
                      <w:lang w:val="en-US" w:eastAsia="zh-CN" w:bidi="ar-SA"/>
                    </w:rPr>
                    <w:t>7</w:t>
                  </w:r>
                  <w:r>
                    <w:rPr>
                      <w:rFonts w:hint="eastAsia" w:eastAsia="宋体" w:cs="Times New Roman"/>
                      <w:b w:val="0"/>
                      <w:bCs w:val="0"/>
                      <w:color w:val="0000FF"/>
                      <w:spacing w:val="0"/>
                      <w:kern w:val="2"/>
                      <w:position w:val="0"/>
                      <w:sz w:val="21"/>
                      <w:szCs w:val="24"/>
                      <w:highlight w:val="none"/>
                      <w:vertAlign w:val="baseline"/>
                      <w:lang w:val="en-US" w:eastAsia="zh-CN" w:bidi="ar-SA"/>
                    </w:rPr>
                    <w:t>.</w:t>
                  </w:r>
                  <w:r>
                    <w:rPr>
                      <w:rFonts w:hint="eastAsia" w:cs="Times New Roman"/>
                      <w:b w:val="0"/>
                      <w:bCs w:val="0"/>
                      <w:color w:val="0000FF"/>
                      <w:spacing w:val="0"/>
                      <w:kern w:val="2"/>
                      <w:position w:val="0"/>
                      <w:sz w:val="21"/>
                      <w:szCs w:val="24"/>
                      <w:highlight w:val="none"/>
                      <w:vertAlign w:val="baseline"/>
                      <w:lang w:val="en-US" w:eastAsia="zh-CN" w:bidi="ar-SA"/>
                    </w:rPr>
                    <w:t>6</w:t>
                  </w:r>
                </w:p>
              </w:tc>
              <w:tc>
                <w:tcPr>
                  <w:tcW w:w="825" w:type="dxa"/>
                  <w:tcBorders>
                    <w:tl2br w:val="nil"/>
                    <w:tr2bl w:val="nil"/>
                  </w:tcBorders>
                  <w:shd w:val="clear" w:color="auto" w:fill="auto"/>
                  <w:vAlign w:val="top"/>
                </w:tcPr>
                <w:p w14:paraId="77FB69F3">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eastAsia="宋体" w:cs="Times New Roman"/>
                      <w:b w:val="0"/>
                      <w:bCs w:val="0"/>
                      <w:color w:val="0000FF"/>
                      <w:spacing w:val="0"/>
                      <w:kern w:val="2"/>
                      <w:position w:val="0"/>
                      <w:sz w:val="21"/>
                      <w:szCs w:val="24"/>
                      <w:highlight w:val="none"/>
                      <w:vertAlign w:val="baseline"/>
                      <w:lang w:val="en-US" w:eastAsia="zh-CN" w:bidi="ar-SA"/>
                    </w:rPr>
                    <w:t>3</w:t>
                  </w:r>
                  <w:r>
                    <w:rPr>
                      <w:rFonts w:hint="eastAsia" w:cs="Times New Roman"/>
                      <w:b w:val="0"/>
                      <w:bCs w:val="0"/>
                      <w:color w:val="0000FF"/>
                      <w:spacing w:val="0"/>
                      <w:kern w:val="2"/>
                      <w:position w:val="0"/>
                      <w:sz w:val="21"/>
                      <w:szCs w:val="24"/>
                      <w:highlight w:val="none"/>
                      <w:vertAlign w:val="baseline"/>
                      <w:lang w:val="en-US" w:eastAsia="zh-CN" w:bidi="ar-SA"/>
                    </w:rPr>
                    <w:t>7.6</w:t>
                  </w:r>
                </w:p>
              </w:tc>
              <w:tc>
                <w:tcPr>
                  <w:tcW w:w="810" w:type="dxa"/>
                  <w:tcBorders>
                    <w:tl2br w:val="nil"/>
                    <w:tr2bl w:val="nil"/>
                  </w:tcBorders>
                  <w:vAlign w:val="top"/>
                </w:tcPr>
                <w:p w14:paraId="43FB594E">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56</w:t>
                  </w:r>
                </w:p>
              </w:tc>
              <w:tc>
                <w:tcPr>
                  <w:tcW w:w="810" w:type="dxa"/>
                  <w:tcBorders>
                    <w:tl2br w:val="nil"/>
                    <w:tr2bl w:val="nil"/>
                  </w:tcBorders>
                  <w:vAlign w:val="top"/>
                </w:tcPr>
                <w:p w14:paraId="06CC9EB3">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46</w:t>
                  </w:r>
                </w:p>
              </w:tc>
              <w:tc>
                <w:tcPr>
                  <w:tcW w:w="780" w:type="dxa"/>
                  <w:tcBorders>
                    <w:tl2br w:val="nil"/>
                    <w:tr2bl w:val="nil"/>
                  </w:tcBorders>
                  <w:vAlign w:val="top"/>
                </w:tcPr>
                <w:p w14:paraId="232CF15F">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56.1</w:t>
                  </w:r>
                </w:p>
              </w:tc>
              <w:tc>
                <w:tcPr>
                  <w:tcW w:w="810" w:type="dxa"/>
                  <w:tcBorders>
                    <w:tl2br w:val="nil"/>
                    <w:tr2bl w:val="nil"/>
                  </w:tcBorders>
                  <w:vAlign w:val="top"/>
                </w:tcPr>
                <w:p w14:paraId="6290153A">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46.7</w:t>
                  </w:r>
                </w:p>
              </w:tc>
              <w:tc>
                <w:tcPr>
                  <w:tcW w:w="810" w:type="dxa"/>
                  <w:tcBorders>
                    <w:tl2br w:val="nil"/>
                    <w:tr2bl w:val="nil"/>
                  </w:tcBorders>
                  <w:shd w:val="clear" w:color="auto" w:fill="auto"/>
                  <w:vAlign w:val="top"/>
                </w:tcPr>
                <w:p w14:paraId="5122C441">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65</w:t>
                  </w:r>
                </w:p>
              </w:tc>
              <w:tc>
                <w:tcPr>
                  <w:tcW w:w="780" w:type="dxa"/>
                  <w:tcBorders>
                    <w:tl2br w:val="nil"/>
                    <w:tr2bl w:val="nil"/>
                  </w:tcBorders>
                  <w:shd w:val="clear" w:color="auto" w:fill="auto"/>
                  <w:vAlign w:val="top"/>
                </w:tcPr>
                <w:p w14:paraId="735804FB">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55</w:t>
                  </w:r>
                </w:p>
              </w:tc>
              <w:tc>
                <w:tcPr>
                  <w:tcW w:w="795" w:type="dxa"/>
                  <w:tcBorders>
                    <w:tl2br w:val="nil"/>
                    <w:tr2bl w:val="nil"/>
                  </w:tcBorders>
                  <w:vAlign w:val="top"/>
                </w:tcPr>
                <w:p w14:paraId="6E145990">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达标</w:t>
                  </w:r>
                </w:p>
              </w:tc>
            </w:tr>
            <w:tr w14:paraId="7C359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7" w:type="dxa"/>
                  <w:tcBorders>
                    <w:tl2br w:val="nil"/>
                    <w:tr2bl w:val="nil"/>
                  </w:tcBorders>
                </w:tcPr>
                <w:p w14:paraId="242701C4">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s="Times New Roman"/>
                      <w:b/>
                      <w:bCs/>
                      <w:color w:val="0000FF"/>
                      <w:spacing w:val="0"/>
                      <w:kern w:val="2"/>
                      <w:position w:val="0"/>
                      <w:sz w:val="21"/>
                      <w:szCs w:val="24"/>
                      <w:highlight w:val="none"/>
                      <w:vertAlign w:val="baseline"/>
                      <w:lang w:val="en-US" w:eastAsia="zh-CN" w:bidi="ar-SA"/>
                    </w:rPr>
                  </w:pPr>
                  <w:r>
                    <w:rPr>
                      <w:rFonts w:hint="default"/>
                      <w:b/>
                      <w:bCs/>
                      <w:color w:val="0000FF"/>
                    </w:rPr>
                    <w:t>厂界西</w:t>
                  </w:r>
                </w:p>
              </w:tc>
              <w:tc>
                <w:tcPr>
                  <w:tcW w:w="784" w:type="dxa"/>
                  <w:tcBorders>
                    <w:tl2br w:val="nil"/>
                    <w:tr2bl w:val="nil"/>
                  </w:tcBorders>
                </w:tcPr>
                <w:p w14:paraId="39DB005D">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s="Times New Roman"/>
                      <w:b w:val="0"/>
                      <w:bCs w:val="0"/>
                      <w:color w:val="0000FF"/>
                      <w:spacing w:val="0"/>
                      <w:kern w:val="2"/>
                      <w:position w:val="0"/>
                      <w:sz w:val="21"/>
                      <w:szCs w:val="24"/>
                      <w:highlight w:val="none"/>
                      <w:vertAlign w:val="baseline"/>
                      <w:lang w:val="en-US" w:eastAsia="zh-CN" w:bidi="ar-SA"/>
                    </w:rPr>
                  </w:pPr>
                  <w:r>
                    <w:rPr>
                      <w:rFonts w:hint="eastAsia" w:eastAsia="宋体" w:cs="Times New Roman"/>
                      <w:b w:val="0"/>
                      <w:bCs w:val="0"/>
                      <w:color w:val="0000FF"/>
                      <w:spacing w:val="0"/>
                      <w:kern w:val="2"/>
                      <w:position w:val="0"/>
                      <w:sz w:val="21"/>
                      <w:szCs w:val="24"/>
                      <w:highlight w:val="none"/>
                      <w:vertAlign w:val="baseline"/>
                      <w:lang w:val="en-US" w:eastAsia="zh-CN" w:bidi="ar-SA"/>
                    </w:rPr>
                    <w:t>3</w:t>
                  </w:r>
                  <w:r>
                    <w:rPr>
                      <w:rFonts w:hint="eastAsia" w:cs="Times New Roman"/>
                      <w:b w:val="0"/>
                      <w:bCs w:val="0"/>
                      <w:color w:val="0000FF"/>
                      <w:spacing w:val="0"/>
                      <w:kern w:val="2"/>
                      <w:position w:val="0"/>
                      <w:sz w:val="21"/>
                      <w:szCs w:val="24"/>
                      <w:highlight w:val="none"/>
                      <w:vertAlign w:val="baseline"/>
                      <w:lang w:val="en-US" w:eastAsia="zh-CN" w:bidi="ar-SA"/>
                    </w:rPr>
                    <w:t>7</w:t>
                  </w:r>
                  <w:r>
                    <w:rPr>
                      <w:rFonts w:hint="eastAsia" w:eastAsia="宋体" w:cs="Times New Roman"/>
                      <w:b w:val="0"/>
                      <w:bCs w:val="0"/>
                      <w:color w:val="0000FF"/>
                      <w:spacing w:val="0"/>
                      <w:kern w:val="2"/>
                      <w:position w:val="0"/>
                      <w:sz w:val="21"/>
                      <w:szCs w:val="24"/>
                      <w:highlight w:val="none"/>
                      <w:vertAlign w:val="baseline"/>
                      <w:lang w:val="en-US" w:eastAsia="zh-CN" w:bidi="ar-SA"/>
                    </w:rPr>
                    <w:t>.</w:t>
                  </w:r>
                  <w:r>
                    <w:rPr>
                      <w:rFonts w:hint="eastAsia" w:cs="Times New Roman"/>
                      <w:b w:val="0"/>
                      <w:bCs w:val="0"/>
                      <w:color w:val="0000FF"/>
                      <w:spacing w:val="0"/>
                      <w:kern w:val="2"/>
                      <w:position w:val="0"/>
                      <w:sz w:val="21"/>
                      <w:szCs w:val="24"/>
                      <w:highlight w:val="none"/>
                      <w:vertAlign w:val="baseline"/>
                      <w:lang w:val="en-US" w:eastAsia="zh-CN" w:bidi="ar-SA"/>
                    </w:rPr>
                    <w:t>9</w:t>
                  </w:r>
                </w:p>
              </w:tc>
              <w:tc>
                <w:tcPr>
                  <w:tcW w:w="825" w:type="dxa"/>
                  <w:tcBorders>
                    <w:tl2br w:val="nil"/>
                    <w:tr2bl w:val="nil"/>
                  </w:tcBorders>
                  <w:shd w:val="clear" w:color="auto" w:fill="auto"/>
                  <w:vAlign w:val="top"/>
                </w:tcPr>
                <w:p w14:paraId="34424251">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eastAsia="宋体" w:cs="Times New Roman"/>
                      <w:b w:val="0"/>
                      <w:bCs w:val="0"/>
                      <w:color w:val="0000FF"/>
                      <w:spacing w:val="0"/>
                      <w:kern w:val="2"/>
                      <w:position w:val="0"/>
                      <w:sz w:val="21"/>
                      <w:szCs w:val="24"/>
                      <w:highlight w:val="none"/>
                      <w:vertAlign w:val="baseline"/>
                      <w:lang w:val="en-US" w:eastAsia="zh-CN" w:bidi="ar-SA"/>
                    </w:rPr>
                    <w:t>3</w:t>
                  </w:r>
                  <w:r>
                    <w:rPr>
                      <w:rFonts w:hint="eastAsia" w:cs="Times New Roman"/>
                      <w:b w:val="0"/>
                      <w:bCs w:val="0"/>
                      <w:color w:val="0000FF"/>
                      <w:spacing w:val="0"/>
                      <w:kern w:val="2"/>
                      <w:position w:val="0"/>
                      <w:sz w:val="21"/>
                      <w:szCs w:val="24"/>
                      <w:highlight w:val="none"/>
                      <w:vertAlign w:val="baseline"/>
                      <w:lang w:val="en-US" w:eastAsia="zh-CN" w:bidi="ar-SA"/>
                    </w:rPr>
                    <w:t>7</w:t>
                  </w:r>
                  <w:r>
                    <w:rPr>
                      <w:rFonts w:hint="eastAsia" w:eastAsia="宋体" w:cs="Times New Roman"/>
                      <w:b w:val="0"/>
                      <w:bCs w:val="0"/>
                      <w:color w:val="0000FF"/>
                      <w:spacing w:val="0"/>
                      <w:kern w:val="2"/>
                      <w:position w:val="0"/>
                      <w:sz w:val="21"/>
                      <w:szCs w:val="24"/>
                      <w:highlight w:val="none"/>
                      <w:vertAlign w:val="baseline"/>
                      <w:lang w:val="en-US" w:eastAsia="zh-CN" w:bidi="ar-SA"/>
                    </w:rPr>
                    <w:t>.</w:t>
                  </w:r>
                  <w:r>
                    <w:rPr>
                      <w:rFonts w:hint="eastAsia" w:cs="Times New Roman"/>
                      <w:b w:val="0"/>
                      <w:bCs w:val="0"/>
                      <w:color w:val="0000FF"/>
                      <w:spacing w:val="0"/>
                      <w:kern w:val="2"/>
                      <w:position w:val="0"/>
                      <w:sz w:val="21"/>
                      <w:szCs w:val="24"/>
                      <w:highlight w:val="none"/>
                      <w:vertAlign w:val="baseline"/>
                      <w:lang w:val="en-US" w:eastAsia="zh-CN" w:bidi="ar-SA"/>
                    </w:rPr>
                    <w:t>9</w:t>
                  </w:r>
                </w:p>
              </w:tc>
              <w:tc>
                <w:tcPr>
                  <w:tcW w:w="810" w:type="dxa"/>
                  <w:tcBorders>
                    <w:tl2br w:val="nil"/>
                    <w:tr2bl w:val="nil"/>
                  </w:tcBorders>
                  <w:vAlign w:val="top"/>
                </w:tcPr>
                <w:p w14:paraId="1F6EDA1E">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55</w:t>
                  </w:r>
                </w:p>
              </w:tc>
              <w:tc>
                <w:tcPr>
                  <w:tcW w:w="810" w:type="dxa"/>
                  <w:tcBorders>
                    <w:tl2br w:val="nil"/>
                    <w:tr2bl w:val="nil"/>
                  </w:tcBorders>
                  <w:vAlign w:val="top"/>
                </w:tcPr>
                <w:p w14:paraId="75CA5724">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46</w:t>
                  </w:r>
                </w:p>
              </w:tc>
              <w:tc>
                <w:tcPr>
                  <w:tcW w:w="780" w:type="dxa"/>
                  <w:tcBorders>
                    <w:tl2br w:val="nil"/>
                    <w:tr2bl w:val="nil"/>
                  </w:tcBorders>
                  <w:vAlign w:val="top"/>
                </w:tcPr>
                <w:p w14:paraId="1A9916C7">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55.1</w:t>
                  </w:r>
                </w:p>
              </w:tc>
              <w:tc>
                <w:tcPr>
                  <w:tcW w:w="810" w:type="dxa"/>
                  <w:tcBorders>
                    <w:tl2br w:val="nil"/>
                    <w:tr2bl w:val="nil"/>
                  </w:tcBorders>
                  <w:vAlign w:val="top"/>
                </w:tcPr>
                <w:p w14:paraId="4B56C187">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46.7</w:t>
                  </w:r>
                </w:p>
              </w:tc>
              <w:tc>
                <w:tcPr>
                  <w:tcW w:w="810" w:type="dxa"/>
                  <w:tcBorders>
                    <w:tl2br w:val="nil"/>
                    <w:tr2bl w:val="nil"/>
                  </w:tcBorders>
                  <w:shd w:val="clear" w:color="auto" w:fill="auto"/>
                  <w:vAlign w:val="top"/>
                </w:tcPr>
                <w:p w14:paraId="1E808E43">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65</w:t>
                  </w:r>
                </w:p>
              </w:tc>
              <w:tc>
                <w:tcPr>
                  <w:tcW w:w="780" w:type="dxa"/>
                  <w:tcBorders>
                    <w:tl2br w:val="nil"/>
                    <w:tr2bl w:val="nil"/>
                  </w:tcBorders>
                  <w:shd w:val="clear" w:color="auto" w:fill="auto"/>
                  <w:vAlign w:val="top"/>
                </w:tcPr>
                <w:p w14:paraId="69FCE8DB">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55</w:t>
                  </w:r>
                </w:p>
              </w:tc>
              <w:tc>
                <w:tcPr>
                  <w:tcW w:w="795" w:type="dxa"/>
                  <w:tcBorders>
                    <w:tl2br w:val="nil"/>
                    <w:tr2bl w:val="nil"/>
                  </w:tcBorders>
                  <w:vAlign w:val="top"/>
                </w:tcPr>
                <w:p w14:paraId="20F31200">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达标</w:t>
                  </w:r>
                </w:p>
              </w:tc>
            </w:tr>
            <w:tr w14:paraId="07755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7" w:type="dxa"/>
                  <w:tcBorders>
                    <w:tl2br w:val="nil"/>
                    <w:tr2bl w:val="nil"/>
                  </w:tcBorders>
                </w:tcPr>
                <w:p w14:paraId="3636D610">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s="Times New Roman"/>
                      <w:b/>
                      <w:bCs/>
                      <w:color w:val="0000FF"/>
                      <w:spacing w:val="0"/>
                      <w:kern w:val="2"/>
                      <w:position w:val="0"/>
                      <w:sz w:val="21"/>
                      <w:szCs w:val="24"/>
                      <w:highlight w:val="none"/>
                      <w:vertAlign w:val="baseline"/>
                      <w:lang w:val="en-US" w:eastAsia="zh-CN" w:bidi="ar-SA"/>
                    </w:rPr>
                  </w:pPr>
                  <w:r>
                    <w:rPr>
                      <w:rFonts w:hint="default"/>
                      <w:b/>
                      <w:bCs/>
                      <w:color w:val="0000FF"/>
                    </w:rPr>
                    <w:t>厂界北</w:t>
                  </w:r>
                </w:p>
              </w:tc>
              <w:tc>
                <w:tcPr>
                  <w:tcW w:w="784" w:type="dxa"/>
                  <w:tcBorders>
                    <w:tl2br w:val="nil"/>
                    <w:tr2bl w:val="nil"/>
                  </w:tcBorders>
                </w:tcPr>
                <w:p w14:paraId="53023902">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s="Times New Roman"/>
                      <w:b w:val="0"/>
                      <w:bCs w:val="0"/>
                      <w:color w:val="0000FF"/>
                      <w:spacing w:val="0"/>
                      <w:kern w:val="2"/>
                      <w:position w:val="0"/>
                      <w:sz w:val="21"/>
                      <w:szCs w:val="24"/>
                      <w:highlight w:val="none"/>
                      <w:vertAlign w:val="baseline"/>
                      <w:lang w:val="en-US" w:eastAsia="zh-CN" w:bidi="ar-SA"/>
                    </w:rPr>
                  </w:pPr>
                  <w:r>
                    <w:rPr>
                      <w:rFonts w:hint="eastAsia" w:eastAsia="宋体" w:cs="Times New Roman"/>
                      <w:b w:val="0"/>
                      <w:bCs w:val="0"/>
                      <w:color w:val="0000FF"/>
                      <w:spacing w:val="0"/>
                      <w:kern w:val="2"/>
                      <w:position w:val="0"/>
                      <w:sz w:val="21"/>
                      <w:szCs w:val="24"/>
                      <w:highlight w:val="none"/>
                      <w:vertAlign w:val="baseline"/>
                      <w:lang w:val="en-US" w:eastAsia="zh-CN" w:bidi="ar-SA"/>
                    </w:rPr>
                    <w:t>3</w:t>
                  </w:r>
                  <w:r>
                    <w:rPr>
                      <w:rFonts w:hint="eastAsia" w:cs="Times New Roman"/>
                      <w:b w:val="0"/>
                      <w:bCs w:val="0"/>
                      <w:color w:val="0000FF"/>
                      <w:spacing w:val="0"/>
                      <w:kern w:val="2"/>
                      <w:position w:val="0"/>
                      <w:sz w:val="21"/>
                      <w:szCs w:val="24"/>
                      <w:highlight w:val="none"/>
                      <w:vertAlign w:val="baseline"/>
                      <w:lang w:val="en-US" w:eastAsia="zh-CN" w:bidi="ar-SA"/>
                    </w:rPr>
                    <w:t>3</w:t>
                  </w:r>
                  <w:r>
                    <w:rPr>
                      <w:rFonts w:hint="eastAsia" w:eastAsia="宋体" w:cs="Times New Roman"/>
                      <w:b w:val="0"/>
                      <w:bCs w:val="0"/>
                      <w:color w:val="0000FF"/>
                      <w:spacing w:val="0"/>
                      <w:kern w:val="2"/>
                      <w:position w:val="0"/>
                      <w:sz w:val="21"/>
                      <w:szCs w:val="24"/>
                      <w:highlight w:val="none"/>
                      <w:vertAlign w:val="baseline"/>
                      <w:lang w:val="en-US" w:eastAsia="zh-CN" w:bidi="ar-SA"/>
                    </w:rPr>
                    <w:t>.</w:t>
                  </w:r>
                  <w:r>
                    <w:rPr>
                      <w:rFonts w:hint="eastAsia" w:cs="Times New Roman"/>
                      <w:b w:val="0"/>
                      <w:bCs w:val="0"/>
                      <w:color w:val="0000FF"/>
                      <w:spacing w:val="0"/>
                      <w:kern w:val="2"/>
                      <w:position w:val="0"/>
                      <w:sz w:val="21"/>
                      <w:szCs w:val="24"/>
                      <w:highlight w:val="none"/>
                      <w:vertAlign w:val="baseline"/>
                      <w:lang w:val="en-US" w:eastAsia="zh-CN" w:bidi="ar-SA"/>
                    </w:rPr>
                    <w:t>8</w:t>
                  </w:r>
                </w:p>
              </w:tc>
              <w:tc>
                <w:tcPr>
                  <w:tcW w:w="825" w:type="dxa"/>
                  <w:tcBorders>
                    <w:tl2br w:val="nil"/>
                    <w:tr2bl w:val="nil"/>
                  </w:tcBorders>
                  <w:shd w:val="clear" w:color="auto" w:fill="auto"/>
                  <w:vAlign w:val="top"/>
                </w:tcPr>
                <w:p w14:paraId="11523F68">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eastAsia="宋体" w:cs="Times New Roman"/>
                      <w:b w:val="0"/>
                      <w:bCs w:val="0"/>
                      <w:color w:val="0000FF"/>
                      <w:spacing w:val="0"/>
                      <w:kern w:val="2"/>
                      <w:position w:val="0"/>
                      <w:sz w:val="21"/>
                      <w:szCs w:val="24"/>
                      <w:highlight w:val="none"/>
                      <w:vertAlign w:val="baseline"/>
                      <w:lang w:val="en-US" w:eastAsia="zh-CN" w:bidi="ar-SA"/>
                    </w:rPr>
                    <w:t>3</w:t>
                  </w:r>
                  <w:r>
                    <w:rPr>
                      <w:rFonts w:hint="eastAsia" w:cs="Times New Roman"/>
                      <w:b w:val="0"/>
                      <w:bCs w:val="0"/>
                      <w:color w:val="0000FF"/>
                      <w:spacing w:val="0"/>
                      <w:kern w:val="2"/>
                      <w:position w:val="0"/>
                      <w:sz w:val="21"/>
                      <w:szCs w:val="24"/>
                      <w:highlight w:val="none"/>
                      <w:vertAlign w:val="baseline"/>
                      <w:lang w:val="en-US" w:eastAsia="zh-CN" w:bidi="ar-SA"/>
                    </w:rPr>
                    <w:t>3</w:t>
                  </w:r>
                  <w:r>
                    <w:rPr>
                      <w:rFonts w:hint="eastAsia" w:eastAsia="宋体" w:cs="Times New Roman"/>
                      <w:b w:val="0"/>
                      <w:bCs w:val="0"/>
                      <w:color w:val="0000FF"/>
                      <w:spacing w:val="0"/>
                      <w:kern w:val="2"/>
                      <w:position w:val="0"/>
                      <w:sz w:val="21"/>
                      <w:szCs w:val="24"/>
                      <w:highlight w:val="none"/>
                      <w:vertAlign w:val="baseline"/>
                      <w:lang w:val="en-US" w:eastAsia="zh-CN" w:bidi="ar-SA"/>
                    </w:rPr>
                    <w:t>.</w:t>
                  </w:r>
                  <w:r>
                    <w:rPr>
                      <w:rFonts w:hint="eastAsia" w:cs="Times New Roman"/>
                      <w:b w:val="0"/>
                      <w:bCs w:val="0"/>
                      <w:color w:val="0000FF"/>
                      <w:spacing w:val="0"/>
                      <w:kern w:val="2"/>
                      <w:position w:val="0"/>
                      <w:sz w:val="21"/>
                      <w:szCs w:val="24"/>
                      <w:highlight w:val="none"/>
                      <w:vertAlign w:val="baseline"/>
                      <w:lang w:val="en-US" w:eastAsia="zh-CN" w:bidi="ar-SA"/>
                    </w:rPr>
                    <w:t>8</w:t>
                  </w:r>
                </w:p>
              </w:tc>
              <w:tc>
                <w:tcPr>
                  <w:tcW w:w="810" w:type="dxa"/>
                  <w:tcBorders>
                    <w:tl2br w:val="nil"/>
                    <w:tr2bl w:val="nil"/>
                  </w:tcBorders>
                  <w:vAlign w:val="top"/>
                </w:tcPr>
                <w:p w14:paraId="7CA698AC">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56</w:t>
                  </w:r>
                </w:p>
              </w:tc>
              <w:tc>
                <w:tcPr>
                  <w:tcW w:w="810" w:type="dxa"/>
                  <w:tcBorders>
                    <w:tl2br w:val="nil"/>
                    <w:tr2bl w:val="nil"/>
                  </w:tcBorders>
                  <w:vAlign w:val="top"/>
                </w:tcPr>
                <w:p w14:paraId="231327AD">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46</w:t>
                  </w:r>
                </w:p>
              </w:tc>
              <w:tc>
                <w:tcPr>
                  <w:tcW w:w="780" w:type="dxa"/>
                  <w:tcBorders>
                    <w:tl2br w:val="nil"/>
                    <w:tr2bl w:val="nil"/>
                  </w:tcBorders>
                  <w:vAlign w:val="top"/>
                </w:tcPr>
                <w:p w14:paraId="63F2ADA1">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56.0</w:t>
                  </w:r>
                </w:p>
              </w:tc>
              <w:tc>
                <w:tcPr>
                  <w:tcW w:w="810" w:type="dxa"/>
                  <w:tcBorders>
                    <w:tl2br w:val="nil"/>
                    <w:tr2bl w:val="nil"/>
                  </w:tcBorders>
                  <w:vAlign w:val="top"/>
                </w:tcPr>
                <w:p w14:paraId="658CC56B">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46.3</w:t>
                  </w:r>
                </w:p>
              </w:tc>
              <w:tc>
                <w:tcPr>
                  <w:tcW w:w="810" w:type="dxa"/>
                  <w:tcBorders>
                    <w:tl2br w:val="nil"/>
                    <w:tr2bl w:val="nil"/>
                  </w:tcBorders>
                  <w:shd w:val="clear" w:color="auto" w:fill="auto"/>
                  <w:vAlign w:val="top"/>
                </w:tcPr>
                <w:p w14:paraId="52E11A63">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65</w:t>
                  </w:r>
                </w:p>
              </w:tc>
              <w:tc>
                <w:tcPr>
                  <w:tcW w:w="780" w:type="dxa"/>
                  <w:tcBorders>
                    <w:tl2br w:val="nil"/>
                    <w:tr2bl w:val="nil"/>
                  </w:tcBorders>
                  <w:shd w:val="clear" w:color="auto" w:fill="auto"/>
                  <w:vAlign w:val="top"/>
                </w:tcPr>
                <w:p w14:paraId="154EFA00">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55</w:t>
                  </w:r>
                </w:p>
              </w:tc>
              <w:tc>
                <w:tcPr>
                  <w:tcW w:w="795" w:type="dxa"/>
                  <w:tcBorders>
                    <w:tl2br w:val="nil"/>
                    <w:tr2bl w:val="nil"/>
                  </w:tcBorders>
                  <w:vAlign w:val="top"/>
                </w:tcPr>
                <w:p w14:paraId="0CF48D78">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s="Times New Roman"/>
                      <w:b w:val="0"/>
                      <w:bCs w:val="0"/>
                      <w:color w:val="0000FF"/>
                      <w:spacing w:val="0"/>
                      <w:kern w:val="2"/>
                      <w:position w:val="0"/>
                      <w:sz w:val="21"/>
                      <w:szCs w:val="24"/>
                      <w:highlight w:val="none"/>
                      <w:vertAlign w:val="baseline"/>
                      <w:lang w:val="en-US" w:eastAsia="zh-CN" w:bidi="ar-SA"/>
                    </w:rPr>
                  </w:pPr>
                  <w:r>
                    <w:rPr>
                      <w:rFonts w:hint="eastAsia" w:cs="Times New Roman"/>
                      <w:b w:val="0"/>
                      <w:bCs w:val="0"/>
                      <w:color w:val="0000FF"/>
                      <w:spacing w:val="0"/>
                      <w:kern w:val="2"/>
                      <w:position w:val="0"/>
                      <w:sz w:val="21"/>
                      <w:szCs w:val="24"/>
                      <w:highlight w:val="none"/>
                      <w:vertAlign w:val="baseline"/>
                      <w:lang w:val="en-US" w:eastAsia="zh-CN" w:bidi="ar-SA"/>
                    </w:rPr>
                    <w:t>达标</w:t>
                  </w:r>
                </w:p>
              </w:tc>
            </w:tr>
          </w:tbl>
          <w:p w14:paraId="5556CB99">
            <w:pPr>
              <w:keepNext w:val="0"/>
              <w:keepLines w:val="0"/>
              <w:pageBreakBefore w:val="0"/>
              <w:suppressLineNumbers w:val="0"/>
              <w:kinsoku/>
              <w:wordWrap/>
              <w:overflowPunct w:val="0"/>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0000FF"/>
                <w:sz w:val="24"/>
                <w:szCs w:val="22"/>
                <w:highlight w:val="none"/>
                <w:lang w:val="en-US" w:eastAsia="zh-CN"/>
              </w:rPr>
            </w:pPr>
            <w:r>
              <w:rPr>
                <w:rFonts w:hint="default" w:ascii="Times New Roman" w:hAnsi="Times New Roman" w:cs="Times New Roman"/>
                <w:color w:val="0000FF"/>
                <w:sz w:val="24"/>
                <w:szCs w:val="22"/>
                <w:highlight w:val="none"/>
                <w:lang w:val="en-US" w:eastAsia="zh-CN"/>
              </w:rPr>
              <w:t>根据预测，项目运行过程中厂界噪声满足《工业企业厂界环境噪声排放标准》（GB12348-2008）3类标准</w:t>
            </w:r>
            <w:r>
              <w:rPr>
                <w:rFonts w:hint="default" w:ascii="Times New Roman" w:hAnsi="Times New Roman" w:eastAsia="宋体" w:cs="Times New Roman"/>
                <w:color w:val="0000FF"/>
                <w:sz w:val="24"/>
                <w:szCs w:val="22"/>
                <w:highlight w:val="none"/>
                <w:lang w:eastAsia="zh-CN"/>
              </w:rPr>
              <w:t>，本项目噪声对周边环境影响较小。</w:t>
            </w:r>
          </w:p>
          <w:p w14:paraId="4BDF7139">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480" w:lineRule="exact"/>
              <w:ind w:left="0" w:leftChars="0" w:right="0" w:firstLine="482" w:firstLineChars="200"/>
              <w:jc w:val="both"/>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eastAsia"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噪声监测计划</w:t>
            </w:r>
          </w:p>
          <w:p w14:paraId="172D7A4C">
            <w:pPr>
              <w:keepNext w:val="0"/>
              <w:keepLines w:val="0"/>
              <w:pageBreakBefore w:val="0"/>
              <w:suppressLineNumbers w:val="0"/>
              <w:tabs>
                <w:tab w:val="left" w:pos="0"/>
              </w:tabs>
              <w:kinsoku/>
              <w:wordWrap/>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cs="Times New Roman"/>
                <w:color w:val="auto"/>
                <w:sz w:val="24"/>
                <w:szCs w:val="22"/>
                <w:highlight w:val="none"/>
                <w:lang w:val="en-US" w:eastAsia="zh-CN"/>
              </w:rPr>
              <w:t>根据《排污单位自行监测技术指南 总则》（HJ819-2017）</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，本项目环境噪声监测方案见表4-</w:t>
            </w:r>
            <w:r>
              <w:rPr>
                <w:rFonts w:hint="eastAsia" w:cs="Times New Roman"/>
                <w:color w:val="000000" w:themeColor="text1"/>
                <w:sz w:val="24"/>
                <w:szCs w:val="22"/>
                <w:highlight w:val="none"/>
                <w:lang w:val="en-US" w:eastAsia="zh-CN"/>
                <w14:textFill>
                  <w14:solidFill>
                    <w14:schemeClr w14:val="tx1"/>
                  </w14:solidFill>
                </w14:textFill>
              </w:rPr>
              <w:t>7</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w:t>
            </w:r>
          </w:p>
          <w:p w14:paraId="68D13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表4-</w:t>
            </w:r>
            <w:r>
              <w:rPr>
                <w:rFonts w:hint="eastAsia"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 xml:space="preserve">   项目运营期噪声监测计划</w:t>
            </w:r>
          </w:p>
          <w:tbl>
            <w:tblPr>
              <w:tblStyle w:val="23"/>
              <w:tblW w:w="4998" w:type="pct"/>
              <w:tblInd w:w="1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396"/>
              <w:gridCol w:w="1481"/>
              <w:gridCol w:w="1365"/>
              <w:gridCol w:w="1893"/>
            </w:tblGrid>
            <w:tr w14:paraId="6925D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0" w:hRule="atLeast"/>
              </w:trPr>
              <w:tc>
                <w:tcPr>
                  <w:tcW w:w="726" w:type="pct"/>
                  <w:tcBorders>
                    <w:tl2br w:val="nil"/>
                    <w:tr2bl w:val="nil"/>
                  </w:tcBorders>
                  <w:noWrap w:val="0"/>
                  <w:vAlign w:val="center"/>
                </w:tcPr>
                <w:p w14:paraId="4A8B93F2">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类别</w:t>
                  </w:r>
                </w:p>
              </w:tc>
              <w:tc>
                <w:tcPr>
                  <w:tcW w:w="1435" w:type="pct"/>
                  <w:tcBorders>
                    <w:tl2br w:val="nil"/>
                    <w:tr2bl w:val="nil"/>
                  </w:tcBorders>
                  <w:noWrap w:val="0"/>
                  <w:vAlign w:val="center"/>
                </w:tcPr>
                <w:p w14:paraId="7B3ACD7B">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监测点位</w:t>
                  </w:r>
                </w:p>
              </w:tc>
              <w:tc>
                <w:tcPr>
                  <w:tcW w:w="887" w:type="pct"/>
                  <w:tcBorders>
                    <w:tl2br w:val="nil"/>
                    <w:tr2bl w:val="nil"/>
                  </w:tcBorders>
                  <w:noWrap w:val="0"/>
                  <w:vAlign w:val="center"/>
                </w:tcPr>
                <w:p w14:paraId="70C82F10">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监测项目</w:t>
                  </w:r>
                </w:p>
              </w:tc>
              <w:tc>
                <w:tcPr>
                  <w:tcW w:w="817" w:type="pct"/>
                  <w:tcBorders>
                    <w:tl2br w:val="nil"/>
                    <w:tr2bl w:val="nil"/>
                  </w:tcBorders>
                  <w:noWrap w:val="0"/>
                  <w:vAlign w:val="center"/>
                </w:tcPr>
                <w:p w14:paraId="3395AD34">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监测频次</w:t>
                  </w:r>
                </w:p>
              </w:tc>
              <w:tc>
                <w:tcPr>
                  <w:tcW w:w="1133" w:type="pct"/>
                  <w:tcBorders>
                    <w:tl2br w:val="nil"/>
                    <w:tr2bl w:val="nil"/>
                  </w:tcBorders>
                  <w:noWrap w:val="0"/>
                  <w:vAlign w:val="center"/>
                </w:tcPr>
                <w:p w14:paraId="324C3020">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实施单位</w:t>
                  </w:r>
                </w:p>
              </w:tc>
            </w:tr>
            <w:tr w14:paraId="7B156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6" w:type="pct"/>
                  <w:tcBorders>
                    <w:tl2br w:val="nil"/>
                    <w:tr2bl w:val="nil"/>
                  </w:tcBorders>
                  <w:noWrap w:val="0"/>
                  <w:vAlign w:val="center"/>
                </w:tcPr>
                <w:p w14:paraId="7B535089">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厂界噪声</w:t>
                  </w:r>
                </w:p>
              </w:tc>
              <w:tc>
                <w:tcPr>
                  <w:tcW w:w="1435" w:type="pct"/>
                  <w:tcBorders>
                    <w:tl2br w:val="nil"/>
                    <w:tr2bl w:val="nil"/>
                  </w:tcBorders>
                  <w:noWrap w:val="0"/>
                  <w:vAlign w:val="center"/>
                </w:tcPr>
                <w:p w14:paraId="655B2C90">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厂界外东西南北侧1m</w:t>
                  </w:r>
                </w:p>
              </w:tc>
              <w:tc>
                <w:tcPr>
                  <w:tcW w:w="887" w:type="pct"/>
                  <w:tcBorders>
                    <w:tl2br w:val="nil"/>
                    <w:tr2bl w:val="nil"/>
                  </w:tcBorders>
                  <w:noWrap w:val="0"/>
                  <w:vAlign w:val="center"/>
                </w:tcPr>
                <w:p w14:paraId="6D2BCCEE">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等效A声级</w:t>
                  </w:r>
                </w:p>
              </w:tc>
              <w:tc>
                <w:tcPr>
                  <w:tcW w:w="817" w:type="pct"/>
                  <w:tcBorders>
                    <w:tl2br w:val="nil"/>
                    <w:tr2bl w:val="nil"/>
                  </w:tcBorders>
                  <w:noWrap w:val="0"/>
                  <w:vAlign w:val="center"/>
                </w:tcPr>
                <w:p w14:paraId="14A2124F">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1次/季</w:t>
                  </w:r>
                </w:p>
              </w:tc>
              <w:tc>
                <w:tcPr>
                  <w:tcW w:w="1133" w:type="pct"/>
                  <w:tcBorders>
                    <w:tl2br w:val="nil"/>
                    <w:tr2bl w:val="nil"/>
                  </w:tcBorders>
                  <w:noWrap w:val="0"/>
                  <w:vAlign w:val="center"/>
                </w:tcPr>
                <w:p w14:paraId="0A0B51D7">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企业自行委托</w:t>
                  </w:r>
                </w:p>
              </w:tc>
            </w:tr>
          </w:tbl>
          <w:p w14:paraId="218469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0" w:firstLineChars="0"/>
              <w:jc w:val="both"/>
              <w:textAlignment w:val="auto"/>
              <w:outlineLvl w:val="9"/>
              <w:rPr>
                <w:rFonts w:hint="eastAsia" w:cs="Times New Roman"/>
                <w:b/>
                <w:color w:val="auto"/>
                <w:kern w:val="2"/>
                <w:sz w:val="24"/>
                <w:szCs w:val="24"/>
                <w:highlight w:val="none"/>
                <w:lang w:val="en-US" w:eastAsia="zh-CN" w:bidi="ar-SA"/>
              </w:rPr>
            </w:pPr>
            <w:r>
              <w:rPr>
                <w:rFonts w:hint="eastAsia" w:cs="Times New Roman"/>
                <w:b/>
                <w:color w:val="auto"/>
                <w:kern w:val="2"/>
                <w:sz w:val="24"/>
                <w:szCs w:val="24"/>
                <w:highlight w:val="none"/>
                <w:lang w:val="en-US" w:eastAsia="zh-CN" w:bidi="ar-SA"/>
              </w:rPr>
              <w:t>4.固体废物环境影响和保护措施</w:t>
            </w:r>
          </w:p>
          <w:p w14:paraId="68C7F0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cs="Times New Roman"/>
                <w:color w:val="auto"/>
                <w:sz w:val="24"/>
                <w:highlight w:val="none"/>
              </w:rPr>
              <w:t>本</w:t>
            </w:r>
            <w:r>
              <w:rPr>
                <w:rFonts w:ascii="Times New Roman" w:hAnsi="Times New Roman" w:cs="Times New Roman"/>
                <w:color w:val="auto"/>
                <w:sz w:val="24"/>
                <w:highlight w:val="none"/>
              </w:rPr>
              <w:t>项目</w:t>
            </w:r>
            <w:r>
              <w:rPr>
                <w:rFonts w:hint="eastAsia" w:ascii="Times New Roman" w:hAnsi="Times New Roman" w:cs="Times New Roman"/>
                <w:color w:val="auto"/>
                <w:sz w:val="24"/>
                <w:highlight w:val="none"/>
              </w:rPr>
              <w:t>无新增劳动定员，因此不产生生活垃圾。本项目为储罐建设项目，运营期不产生生产固废。因此，项目的建设对项目区环境影响较小。</w:t>
            </w:r>
          </w:p>
          <w:p w14:paraId="21160F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0" w:firstLineChars="0"/>
              <w:jc w:val="both"/>
              <w:textAlignment w:val="auto"/>
              <w:outlineLvl w:val="9"/>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5.地下水、土壤防治措施</w:t>
            </w:r>
          </w:p>
          <w:p w14:paraId="7FB51B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本项目储存的</w:t>
            </w:r>
            <w:r>
              <w:rPr>
                <w:rFonts w:hint="eastAsia" w:eastAsia="宋体" w:cs="Times New Roman"/>
                <w:color w:val="auto"/>
                <w:kern w:val="2"/>
                <w:sz w:val="24"/>
                <w:szCs w:val="24"/>
                <w:highlight w:val="none"/>
                <w:lang w:val="en-US" w:eastAsia="zh-CN" w:bidi="ar-SA"/>
              </w:rPr>
              <w:t>硝酸</w:t>
            </w:r>
            <w:r>
              <w:rPr>
                <w:rFonts w:hint="eastAsia" w:ascii="Times New Roman" w:hAnsi="Times New Roman" w:eastAsia="宋体" w:cs="Times New Roman"/>
                <w:color w:val="auto"/>
                <w:kern w:val="2"/>
                <w:sz w:val="24"/>
                <w:szCs w:val="24"/>
                <w:highlight w:val="none"/>
                <w:lang w:val="en-US" w:eastAsia="zh-CN" w:bidi="ar-SA"/>
              </w:rPr>
              <w:t>下渗可能对地下水、土壤造成影响；结合本项目特征，对厂区地面进行防渗处理，通过厂区地面防渗，同时加强设备、管线维护检修，防止废水跑、冒、滴、漏，能够有效减少项目对地下水、土壤影响。</w:t>
            </w:r>
          </w:p>
          <w:p w14:paraId="1FCA07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（1）地下水影响分析</w:t>
            </w:r>
          </w:p>
          <w:p w14:paraId="0CB253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①正常情况下</w:t>
            </w:r>
          </w:p>
          <w:p w14:paraId="058138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本项目主要</w:t>
            </w:r>
            <w:r>
              <w:rPr>
                <w:rFonts w:hint="eastAsia" w:eastAsia="宋体" w:cs="Times New Roman"/>
                <w:color w:val="auto"/>
                <w:kern w:val="2"/>
                <w:sz w:val="24"/>
                <w:szCs w:val="24"/>
                <w:highlight w:val="none"/>
                <w:lang w:val="en-US" w:eastAsia="zh-CN" w:bidi="ar-SA"/>
              </w:rPr>
              <w:t>为硝酸储罐</w:t>
            </w:r>
            <w:r>
              <w:rPr>
                <w:rFonts w:hint="eastAsia" w:ascii="Times New Roman" w:hAnsi="Times New Roman" w:eastAsia="宋体" w:cs="Times New Roman"/>
                <w:color w:val="auto"/>
                <w:kern w:val="2"/>
                <w:sz w:val="24"/>
                <w:szCs w:val="24"/>
                <w:highlight w:val="none"/>
                <w:lang w:val="en-US" w:eastAsia="zh-CN" w:bidi="ar-SA"/>
              </w:rPr>
              <w:t>，正常状况下，</w:t>
            </w:r>
            <w:r>
              <w:rPr>
                <w:rFonts w:hint="eastAsia" w:eastAsia="宋体" w:cs="Times New Roman"/>
                <w:color w:val="auto"/>
                <w:kern w:val="2"/>
                <w:sz w:val="24"/>
                <w:szCs w:val="24"/>
                <w:highlight w:val="none"/>
                <w:lang w:val="en-US" w:eastAsia="zh-CN" w:bidi="ar-SA"/>
              </w:rPr>
              <w:t>硝酸</w:t>
            </w:r>
            <w:r>
              <w:rPr>
                <w:rFonts w:hint="eastAsia" w:ascii="Times New Roman" w:hAnsi="Times New Roman" w:eastAsia="宋体" w:cs="Times New Roman"/>
                <w:color w:val="auto"/>
                <w:kern w:val="2"/>
                <w:sz w:val="24"/>
                <w:szCs w:val="24"/>
                <w:highlight w:val="none"/>
                <w:lang w:val="en-US" w:eastAsia="zh-CN" w:bidi="ar-SA"/>
              </w:rPr>
              <w:t>在密闭的管线、储罐中，管道与管道、管道与阀门连接密封性能好，不存在“跑、冒、滴、漏”等情况发生，项目运行不会对地下水产生影响。</w:t>
            </w:r>
          </w:p>
          <w:p w14:paraId="7CB35D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②非正常情况下</w:t>
            </w:r>
          </w:p>
          <w:p w14:paraId="472467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非正常情况下，</w:t>
            </w:r>
            <w:r>
              <w:rPr>
                <w:rFonts w:hint="eastAsia" w:eastAsia="宋体" w:cs="Times New Roman"/>
                <w:color w:val="auto"/>
                <w:kern w:val="2"/>
                <w:sz w:val="24"/>
                <w:szCs w:val="24"/>
                <w:highlight w:val="none"/>
                <w:lang w:val="en-US" w:eastAsia="zh-CN" w:bidi="ar-SA"/>
              </w:rPr>
              <w:t>硝酸</w:t>
            </w:r>
            <w:r>
              <w:rPr>
                <w:rFonts w:hint="eastAsia" w:ascii="Times New Roman" w:hAnsi="Times New Roman" w:eastAsia="宋体" w:cs="Times New Roman"/>
                <w:color w:val="auto"/>
                <w:kern w:val="2"/>
                <w:sz w:val="24"/>
                <w:szCs w:val="24"/>
                <w:highlight w:val="none"/>
                <w:lang w:val="en-US" w:eastAsia="zh-CN" w:bidi="ar-SA"/>
              </w:rPr>
              <w:t>储罐或管线破损会导致</w:t>
            </w:r>
            <w:r>
              <w:rPr>
                <w:rFonts w:hint="eastAsia" w:eastAsia="宋体" w:cs="Times New Roman"/>
                <w:color w:val="auto"/>
                <w:kern w:val="2"/>
                <w:sz w:val="24"/>
                <w:szCs w:val="24"/>
                <w:highlight w:val="none"/>
                <w:lang w:val="en-US" w:eastAsia="zh-CN" w:bidi="ar-SA"/>
              </w:rPr>
              <w:t>硝酸</w:t>
            </w:r>
            <w:r>
              <w:rPr>
                <w:rFonts w:hint="eastAsia" w:ascii="Times New Roman" w:hAnsi="Times New Roman" w:eastAsia="宋体" w:cs="Times New Roman"/>
                <w:color w:val="auto"/>
                <w:kern w:val="2"/>
                <w:sz w:val="24"/>
                <w:szCs w:val="24"/>
                <w:highlight w:val="none"/>
                <w:lang w:val="en-US" w:eastAsia="zh-CN" w:bidi="ar-SA"/>
              </w:rPr>
              <w:t>发生泄漏。若不能及时清理，并且防渗设施维护不当发生裂隙，事故状态下，泄漏的污染物可能进入土壤，最终渗入地下水，对地下水造成污染。因此项目罐区、装卸区等位置必须做好防渗工作，加强日常管理维护，将事故概率降至最小。</w:t>
            </w:r>
          </w:p>
          <w:p w14:paraId="36184A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宋体" w:hAnsi="宋体" w:eastAsia="宋体" w:cs="宋体"/>
                <w:sz w:val="24"/>
                <w:szCs w:val="24"/>
                <w:lang w:eastAsia="zh-CN"/>
              </w:rPr>
            </w:pPr>
            <w:r>
              <w:rPr>
                <w:rFonts w:ascii="宋体" w:hAnsi="宋体" w:eastAsia="宋体" w:cs="宋体"/>
                <w:sz w:val="24"/>
                <w:szCs w:val="24"/>
              </w:rPr>
              <w:t>根据《环境影响评价技术导则 地下水环境》（HJ610-2016）地下水污染防渗分区 要求，项目厂区按照重点防渗区、简单防渗区进行防渗处理，项目建设对地下水影响较小。本项目地下水防渗要求见下表</w:t>
            </w:r>
            <w:r>
              <w:rPr>
                <w:rFonts w:hint="eastAsia" w:ascii="宋体" w:hAnsi="宋体" w:eastAsia="宋体" w:cs="宋体"/>
                <w:sz w:val="24"/>
                <w:szCs w:val="24"/>
                <w:lang w:eastAsia="zh-CN"/>
              </w:rPr>
              <w:t>。</w:t>
            </w:r>
          </w:p>
          <w:p w14:paraId="0F6321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bCs/>
                <w:color w:val="0000FF"/>
                <w:sz w:val="21"/>
                <w:szCs w:val="21"/>
                <w:highlight w:val="none"/>
                <w:lang w:val="en-US" w:eastAsia="zh-CN"/>
              </w:rPr>
            </w:pPr>
            <w:r>
              <w:rPr>
                <w:rFonts w:hint="default" w:ascii="Times New Roman" w:hAnsi="Times New Roman" w:cs="Times New Roman"/>
                <w:b/>
                <w:bCs/>
                <w:color w:val="0000FF"/>
                <w:sz w:val="21"/>
                <w:szCs w:val="21"/>
                <w:highlight w:val="none"/>
                <w:lang w:val="en-US" w:eastAsia="zh-CN"/>
              </w:rPr>
              <w:t>表4-</w:t>
            </w:r>
            <w:r>
              <w:rPr>
                <w:rFonts w:hint="eastAsia" w:cs="Times New Roman"/>
                <w:b/>
                <w:bCs/>
                <w:color w:val="0000FF"/>
                <w:sz w:val="21"/>
                <w:szCs w:val="21"/>
                <w:highlight w:val="none"/>
                <w:lang w:val="en-US" w:eastAsia="zh-CN"/>
              </w:rPr>
              <w:t>8</w:t>
            </w:r>
            <w:r>
              <w:rPr>
                <w:rFonts w:hint="default" w:ascii="Times New Roman" w:hAnsi="Times New Roman" w:cs="Times New Roman"/>
                <w:b/>
                <w:bCs/>
                <w:color w:val="0000FF"/>
                <w:sz w:val="21"/>
                <w:szCs w:val="21"/>
                <w:highlight w:val="none"/>
                <w:lang w:val="en-US" w:eastAsia="zh-CN"/>
              </w:rPr>
              <w:t xml:space="preserve">   项目</w:t>
            </w:r>
            <w:r>
              <w:rPr>
                <w:rFonts w:hint="eastAsia" w:cs="Times New Roman"/>
                <w:b/>
                <w:bCs/>
                <w:color w:val="0000FF"/>
                <w:sz w:val="21"/>
                <w:szCs w:val="21"/>
                <w:highlight w:val="none"/>
                <w:lang w:val="en-US" w:eastAsia="zh-CN"/>
              </w:rPr>
              <w:t>防渗分区要求一览表</w:t>
            </w:r>
          </w:p>
          <w:tbl>
            <w:tblPr>
              <w:tblStyle w:val="23"/>
              <w:tblW w:w="4998" w:type="pct"/>
              <w:tblInd w:w="1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396"/>
              <w:gridCol w:w="1717"/>
              <w:gridCol w:w="3022"/>
            </w:tblGrid>
            <w:tr w14:paraId="11E38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26" w:type="pct"/>
                  <w:tcBorders>
                    <w:tl2br w:val="nil"/>
                    <w:tr2bl w:val="nil"/>
                  </w:tcBorders>
                  <w:noWrap w:val="0"/>
                  <w:vAlign w:val="center"/>
                </w:tcPr>
                <w:p w14:paraId="08E3C7F8">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b/>
                      <w:bCs/>
                      <w:color w:val="0000FF"/>
                      <w:sz w:val="21"/>
                      <w:szCs w:val="21"/>
                      <w:highlight w:val="none"/>
                      <w:lang w:val="en-US" w:eastAsia="zh-CN"/>
                    </w:rPr>
                  </w:pPr>
                  <w:r>
                    <w:rPr>
                      <w:rFonts w:hint="eastAsia" w:cs="Times New Roman"/>
                      <w:b/>
                      <w:bCs/>
                      <w:color w:val="0000FF"/>
                      <w:sz w:val="21"/>
                      <w:szCs w:val="21"/>
                      <w:highlight w:val="none"/>
                      <w:lang w:val="en-US" w:eastAsia="zh-CN"/>
                    </w:rPr>
                    <w:t>序号</w:t>
                  </w:r>
                </w:p>
              </w:tc>
              <w:tc>
                <w:tcPr>
                  <w:tcW w:w="1435" w:type="pct"/>
                  <w:tcBorders>
                    <w:tl2br w:val="nil"/>
                    <w:tr2bl w:val="nil"/>
                  </w:tcBorders>
                  <w:noWrap w:val="0"/>
                  <w:vAlign w:val="center"/>
                </w:tcPr>
                <w:p w14:paraId="63B8DC8B">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b/>
                      <w:bCs/>
                      <w:color w:val="0000FF"/>
                      <w:sz w:val="21"/>
                      <w:szCs w:val="21"/>
                      <w:highlight w:val="none"/>
                      <w:lang w:val="en-US" w:eastAsia="zh-CN"/>
                    </w:rPr>
                  </w:pPr>
                  <w:r>
                    <w:rPr>
                      <w:rFonts w:hint="eastAsia" w:cs="Times New Roman"/>
                      <w:b/>
                      <w:bCs/>
                      <w:color w:val="0000FF"/>
                      <w:sz w:val="21"/>
                      <w:szCs w:val="21"/>
                      <w:highlight w:val="none"/>
                      <w:lang w:val="en-US" w:eastAsia="zh-CN"/>
                    </w:rPr>
                    <w:t>防渗区域及部位</w:t>
                  </w:r>
                </w:p>
              </w:tc>
              <w:tc>
                <w:tcPr>
                  <w:tcW w:w="1028" w:type="pct"/>
                  <w:tcBorders>
                    <w:tl2br w:val="nil"/>
                    <w:tr2bl w:val="nil"/>
                  </w:tcBorders>
                  <w:noWrap w:val="0"/>
                  <w:vAlign w:val="center"/>
                </w:tcPr>
                <w:p w14:paraId="3CB0E0CA">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b/>
                      <w:bCs/>
                      <w:color w:val="0000FF"/>
                      <w:sz w:val="21"/>
                      <w:szCs w:val="21"/>
                      <w:highlight w:val="none"/>
                      <w:lang w:val="en-US" w:eastAsia="zh-CN"/>
                    </w:rPr>
                  </w:pPr>
                  <w:r>
                    <w:rPr>
                      <w:rFonts w:hint="eastAsia" w:cs="Times New Roman"/>
                      <w:b/>
                      <w:bCs/>
                      <w:color w:val="0000FF"/>
                      <w:sz w:val="21"/>
                      <w:szCs w:val="21"/>
                      <w:highlight w:val="none"/>
                      <w:lang w:val="en-US" w:eastAsia="zh-CN"/>
                    </w:rPr>
                    <w:t>防渗分区等级</w:t>
                  </w:r>
                </w:p>
              </w:tc>
              <w:tc>
                <w:tcPr>
                  <w:tcW w:w="1810" w:type="pct"/>
                  <w:tcBorders>
                    <w:tl2br w:val="nil"/>
                    <w:tr2bl w:val="nil"/>
                  </w:tcBorders>
                  <w:noWrap w:val="0"/>
                  <w:vAlign w:val="center"/>
                </w:tcPr>
                <w:p w14:paraId="54AFE91A">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b/>
                      <w:bCs/>
                      <w:color w:val="0000FF"/>
                      <w:sz w:val="21"/>
                      <w:szCs w:val="21"/>
                      <w:highlight w:val="none"/>
                      <w:lang w:val="en-US" w:eastAsia="zh-CN"/>
                    </w:rPr>
                  </w:pPr>
                  <w:r>
                    <w:rPr>
                      <w:rFonts w:hint="eastAsia" w:cs="Times New Roman"/>
                      <w:b/>
                      <w:bCs/>
                      <w:color w:val="0000FF"/>
                      <w:sz w:val="21"/>
                      <w:szCs w:val="21"/>
                      <w:highlight w:val="none"/>
                      <w:lang w:val="en-US" w:eastAsia="zh-CN"/>
                    </w:rPr>
                    <w:t>防渗设计要求</w:t>
                  </w:r>
                </w:p>
              </w:tc>
            </w:tr>
            <w:tr w14:paraId="0A40F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6" w:type="pct"/>
                  <w:tcBorders>
                    <w:tl2br w:val="nil"/>
                    <w:tr2bl w:val="nil"/>
                  </w:tcBorders>
                  <w:noWrap w:val="0"/>
                  <w:vAlign w:val="center"/>
                </w:tcPr>
                <w:p w14:paraId="1042E386">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FF"/>
                      <w:sz w:val="21"/>
                      <w:szCs w:val="21"/>
                      <w:highlight w:val="none"/>
                      <w:lang w:val="en-US" w:eastAsia="zh-CN"/>
                    </w:rPr>
                  </w:pPr>
                  <w:r>
                    <w:rPr>
                      <w:rFonts w:hint="eastAsia" w:cs="Times New Roman"/>
                      <w:color w:val="0000FF"/>
                      <w:sz w:val="21"/>
                      <w:szCs w:val="21"/>
                      <w:highlight w:val="none"/>
                      <w:lang w:val="en-US" w:eastAsia="zh-CN"/>
                    </w:rPr>
                    <w:t>1</w:t>
                  </w:r>
                </w:p>
              </w:tc>
              <w:tc>
                <w:tcPr>
                  <w:tcW w:w="1435" w:type="pct"/>
                  <w:tcBorders>
                    <w:tl2br w:val="nil"/>
                    <w:tr2bl w:val="nil"/>
                  </w:tcBorders>
                  <w:noWrap w:val="0"/>
                  <w:vAlign w:val="center"/>
                </w:tcPr>
                <w:p w14:paraId="13FD7F15">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FF"/>
                      <w:sz w:val="21"/>
                      <w:szCs w:val="21"/>
                      <w:highlight w:val="none"/>
                      <w:lang w:val="en-US" w:eastAsia="zh-CN"/>
                    </w:rPr>
                  </w:pPr>
                  <w:r>
                    <w:rPr>
                      <w:rFonts w:hint="eastAsia" w:cs="Times New Roman"/>
                      <w:color w:val="0000FF"/>
                      <w:sz w:val="21"/>
                      <w:szCs w:val="21"/>
                      <w:highlight w:val="none"/>
                      <w:lang w:val="en-US" w:eastAsia="zh-CN"/>
                    </w:rPr>
                    <w:t>硝酸储罐区</w:t>
                  </w:r>
                </w:p>
              </w:tc>
              <w:tc>
                <w:tcPr>
                  <w:tcW w:w="1028" w:type="pct"/>
                  <w:tcBorders>
                    <w:tl2br w:val="nil"/>
                    <w:tr2bl w:val="nil"/>
                  </w:tcBorders>
                  <w:noWrap w:val="0"/>
                  <w:vAlign w:val="center"/>
                </w:tcPr>
                <w:p w14:paraId="63B73CA1">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FF"/>
                      <w:sz w:val="21"/>
                      <w:szCs w:val="21"/>
                      <w:highlight w:val="none"/>
                      <w:lang w:val="en-US" w:eastAsia="zh-CN"/>
                    </w:rPr>
                  </w:pPr>
                  <w:r>
                    <w:rPr>
                      <w:rFonts w:hint="eastAsia" w:cs="Times New Roman"/>
                      <w:color w:val="0000FF"/>
                      <w:sz w:val="21"/>
                      <w:szCs w:val="21"/>
                      <w:highlight w:val="none"/>
                      <w:lang w:val="en-US" w:eastAsia="zh-CN"/>
                    </w:rPr>
                    <w:t>重点防渗区</w:t>
                  </w:r>
                </w:p>
              </w:tc>
              <w:tc>
                <w:tcPr>
                  <w:tcW w:w="1810" w:type="pct"/>
                  <w:tcBorders>
                    <w:tl2br w:val="nil"/>
                    <w:tr2bl w:val="nil"/>
                  </w:tcBorders>
                  <w:noWrap w:val="0"/>
                  <w:vAlign w:val="center"/>
                </w:tcPr>
                <w:p w14:paraId="351BEB65">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FF"/>
                      <w:sz w:val="21"/>
                      <w:szCs w:val="21"/>
                      <w:highlight w:val="none"/>
                      <w:lang w:val="en-US" w:eastAsia="zh-CN"/>
                    </w:rPr>
                  </w:pPr>
                  <w:r>
                    <w:rPr>
                      <w:rFonts w:hint="default" w:ascii="Times New Roman" w:hAnsi="Times New Roman" w:cs="Times New Roman"/>
                      <w:color w:val="0000FF"/>
                      <w:sz w:val="21"/>
                      <w:szCs w:val="21"/>
                      <w:highlight w:val="none"/>
                      <w:lang w:val="en-US" w:eastAsia="zh-CN"/>
                    </w:rPr>
                    <w:t>等效粘土防渗层 Mb≥6m，</w:t>
                  </w:r>
                </w:p>
                <w:p w14:paraId="0BAAFA61">
                  <w:pPr>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0000FF"/>
                      <w:sz w:val="21"/>
                      <w:szCs w:val="21"/>
                      <w:highlight w:val="none"/>
                      <w:lang w:val="en-US" w:eastAsia="zh-CN"/>
                    </w:rPr>
                  </w:pPr>
                  <w:r>
                    <w:rPr>
                      <w:rFonts w:hint="default" w:ascii="Times New Roman" w:hAnsi="Times New Roman" w:cs="Times New Roman"/>
                      <w:color w:val="0000FF"/>
                      <w:sz w:val="21"/>
                      <w:szCs w:val="21"/>
                      <w:highlight w:val="none"/>
                      <w:lang w:val="en-US" w:eastAsia="zh-CN"/>
                    </w:rPr>
                    <w:t>K≤1×10</w:t>
                  </w:r>
                  <w:r>
                    <w:rPr>
                      <w:rFonts w:hint="default" w:ascii="Times New Roman" w:hAnsi="Times New Roman" w:cs="Times New Roman"/>
                      <w:color w:val="0000FF"/>
                      <w:sz w:val="21"/>
                      <w:szCs w:val="21"/>
                      <w:highlight w:val="none"/>
                      <w:vertAlign w:val="superscript"/>
                      <w:lang w:val="en-US" w:eastAsia="zh-CN"/>
                    </w:rPr>
                    <w:t>-7</w:t>
                  </w:r>
                  <w:r>
                    <w:rPr>
                      <w:rFonts w:hint="default" w:ascii="Times New Roman" w:hAnsi="Times New Roman" w:cs="Times New Roman"/>
                      <w:color w:val="0000FF"/>
                      <w:sz w:val="21"/>
                      <w:szCs w:val="21"/>
                      <w:highlight w:val="none"/>
                      <w:lang w:val="en-US" w:eastAsia="zh-CN"/>
                    </w:rPr>
                    <w:t>cm/s；或参照 GB16889 执行</w:t>
                  </w:r>
                </w:p>
              </w:tc>
            </w:tr>
          </w:tbl>
          <w:p w14:paraId="021694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（2）土壤环境影响分析</w:t>
            </w:r>
          </w:p>
          <w:p w14:paraId="1D637E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ascii="宋体" w:hAnsi="宋体" w:eastAsia="宋体" w:cs="宋体"/>
                <w:sz w:val="24"/>
                <w:szCs w:val="24"/>
              </w:rPr>
            </w:pPr>
            <w:r>
              <w:rPr>
                <w:rFonts w:hint="eastAsia" w:ascii="宋体" w:hAnsi="宋体" w:eastAsia="宋体" w:cs="宋体"/>
                <w:sz w:val="24"/>
                <w:szCs w:val="24"/>
                <w:lang w:val="en-US" w:eastAsia="zh-CN"/>
              </w:rPr>
              <w:t>本项目废气产生量较少，能够达标排放，通过大气沉降对土壤环境影响较小；罐区设置有围堰，围堰有效容积大于单罐容积，能够有效防止硝酸</w:t>
            </w:r>
            <w:r>
              <w:rPr>
                <w:rFonts w:ascii="宋体" w:hAnsi="宋体" w:eastAsia="宋体" w:cs="宋体"/>
                <w:sz w:val="24"/>
                <w:szCs w:val="24"/>
              </w:rPr>
              <w:t>溢流至罐区外地表对土壤环境造成影响；建设单位按要求进行重点防渗后，</w:t>
            </w:r>
            <w:r>
              <w:rPr>
                <w:rFonts w:hint="eastAsia" w:ascii="宋体" w:hAnsi="宋体" w:eastAsia="宋体" w:cs="宋体"/>
                <w:sz w:val="24"/>
                <w:szCs w:val="24"/>
                <w:lang w:eastAsia="zh-CN"/>
              </w:rPr>
              <w:t>硝酸</w:t>
            </w:r>
            <w:r>
              <w:rPr>
                <w:rFonts w:ascii="宋体" w:hAnsi="宋体" w:eastAsia="宋体" w:cs="宋体"/>
                <w:sz w:val="24"/>
                <w:szCs w:val="24"/>
              </w:rPr>
              <w:t>泄漏后对土壤环境影响较小。</w:t>
            </w:r>
          </w:p>
          <w:p w14:paraId="3A2957DD">
            <w:pPr>
              <w:pStyle w:val="27"/>
              <w:rPr>
                <w:rFonts w:hint="eastAsia" w:ascii="宋体" w:hAnsi="宋体" w:cs="宋体"/>
                <w:color w:val="0000FF"/>
                <w:sz w:val="24"/>
                <w:szCs w:val="24"/>
                <w:lang w:eastAsia="zh-CN"/>
              </w:rPr>
            </w:pPr>
            <w:r>
              <w:rPr>
                <w:rFonts w:hint="eastAsia" w:ascii="宋体" w:hAnsi="宋体" w:cs="宋体"/>
                <w:color w:val="0000FF"/>
                <w:sz w:val="24"/>
                <w:szCs w:val="24"/>
                <w:lang w:eastAsia="zh-CN"/>
              </w:rPr>
              <w:t>（</w:t>
            </w:r>
            <w:r>
              <w:rPr>
                <w:rFonts w:hint="eastAsia" w:ascii="宋体" w:hAnsi="宋体" w:cs="宋体"/>
                <w:color w:val="0000FF"/>
                <w:sz w:val="24"/>
                <w:szCs w:val="24"/>
                <w:lang w:val="en-US" w:eastAsia="zh-CN"/>
              </w:rPr>
              <w:t>3</w:t>
            </w:r>
            <w:r>
              <w:rPr>
                <w:rFonts w:hint="eastAsia" w:ascii="宋体" w:hAnsi="宋体" w:cs="宋体"/>
                <w:color w:val="0000FF"/>
                <w:sz w:val="24"/>
                <w:szCs w:val="24"/>
                <w:lang w:eastAsia="zh-CN"/>
              </w:rPr>
              <w:t>）围堰、地面防腐防渗要求</w:t>
            </w:r>
          </w:p>
          <w:p w14:paraId="36B7A779">
            <w:pPr>
              <w:pStyle w:val="27"/>
              <w:rPr>
                <w:rFonts w:hint="default" w:ascii="宋体" w:hAnsi="宋体" w:cs="宋体"/>
                <w:color w:val="0000FF"/>
                <w:sz w:val="24"/>
                <w:szCs w:val="24"/>
                <w:lang w:eastAsia="zh-CN"/>
              </w:rPr>
            </w:pPr>
            <w:r>
              <w:rPr>
                <w:rFonts w:hint="eastAsia" w:ascii="宋体" w:hAnsi="宋体" w:cs="宋体"/>
                <w:color w:val="0000FF"/>
                <w:sz w:val="24"/>
                <w:szCs w:val="24"/>
                <w:lang w:eastAsia="zh-CN"/>
              </w:rPr>
              <w:t>企业按照《石油化工工程防渗技术规范》（GB/T50934-2013）相关规定要求对硝酸储罐区采取防腐防渗措施。</w:t>
            </w:r>
          </w:p>
          <w:p w14:paraId="2258040A">
            <w:pPr>
              <w:pStyle w:val="27"/>
              <w:rPr>
                <w:rFonts w:hint="eastAsia" w:ascii="宋体" w:hAnsi="宋体" w:cs="宋体"/>
                <w:color w:val="0000FF"/>
                <w:sz w:val="24"/>
                <w:szCs w:val="24"/>
                <w:lang w:val="en-US" w:eastAsia="zh-CN"/>
              </w:rPr>
            </w:pPr>
            <w:r>
              <w:rPr>
                <w:rFonts w:hint="default" w:ascii="宋体" w:hAnsi="宋体" w:cs="宋体"/>
                <w:color w:val="0000FF"/>
                <w:sz w:val="24"/>
                <w:szCs w:val="24"/>
                <w:lang w:eastAsia="zh-CN"/>
              </w:rPr>
              <w:t>①</w:t>
            </w:r>
            <w:r>
              <w:rPr>
                <w:rFonts w:hint="eastAsia" w:ascii="宋体" w:hAnsi="宋体" w:cs="宋体"/>
                <w:color w:val="0000FF"/>
                <w:sz w:val="24"/>
                <w:szCs w:val="24"/>
                <w:lang w:eastAsia="zh-CN"/>
              </w:rPr>
              <w:t>基础采用强度</w:t>
            </w:r>
            <w:r>
              <w:rPr>
                <w:rFonts w:hint="eastAsia" w:ascii="宋体" w:hAnsi="宋体" w:cs="宋体"/>
                <w:color w:val="0000FF"/>
                <w:sz w:val="24"/>
                <w:szCs w:val="24"/>
                <w:lang w:val="en-US" w:eastAsia="zh-CN"/>
              </w:rPr>
              <w:t>C40，抗渗等级P6；</w:t>
            </w:r>
          </w:p>
          <w:p w14:paraId="79F64B77">
            <w:pPr>
              <w:pStyle w:val="27"/>
              <w:rPr>
                <w:rFonts w:hint="eastAsia" w:ascii="宋体" w:hAnsi="宋体" w:cs="宋体"/>
                <w:color w:val="0000FF"/>
                <w:sz w:val="24"/>
                <w:szCs w:val="24"/>
                <w:lang w:val="en-US" w:eastAsia="zh-CN"/>
              </w:rPr>
            </w:pPr>
            <w:r>
              <w:rPr>
                <w:rFonts w:hint="default" w:ascii="宋体" w:hAnsi="宋体" w:cs="宋体"/>
                <w:color w:val="0000FF"/>
                <w:sz w:val="24"/>
                <w:szCs w:val="24"/>
                <w:lang w:val="en-US" w:eastAsia="zh-CN"/>
              </w:rPr>
              <w:t>②</w:t>
            </w:r>
            <w:r>
              <w:rPr>
                <w:rFonts w:hint="eastAsia" w:ascii="宋体" w:hAnsi="宋体" w:cs="宋体"/>
                <w:color w:val="0000FF"/>
                <w:sz w:val="24"/>
                <w:szCs w:val="24"/>
                <w:lang w:val="en-US" w:eastAsia="zh-CN"/>
              </w:rPr>
              <w:t>基坑开挖后，立即进行基础垫层浇铸；</w:t>
            </w:r>
          </w:p>
          <w:p w14:paraId="290FCC9D">
            <w:pPr>
              <w:pStyle w:val="27"/>
              <w:rPr>
                <w:rFonts w:hint="eastAsia" w:ascii="宋体" w:hAnsi="宋体" w:cs="宋体"/>
                <w:color w:val="0000FF"/>
                <w:sz w:val="24"/>
                <w:szCs w:val="24"/>
                <w:lang w:val="en-US" w:eastAsia="zh-CN"/>
              </w:rPr>
            </w:pPr>
            <w:r>
              <w:rPr>
                <w:rFonts w:hint="default" w:ascii="宋体" w:hAnsi="宋体" w:cs="宋体"/>
                <w:color w:val="0000FF"/>
                <w:sz w:val="24"/>
                <w:szCs w:val="24"/>
                <w:lang w:val="en-US" w:eastAsia="zh-CN"/>
              </w:rPr>
              <w:t>③</w:t>
            </w:r>
            <w:r>
              <w:rPr>
                <w:rFonts w:hint="eastAsia" w:ascii="宋体" w:hAnsi="宋体" w:cs="宋体"/>
                <w:color w:val="0000FF"/>
                <w:sz w:val="24"/>
                <w:szCs w:val="24"/>
                <w:lang w:val="en-US" w:eastAsia="zh-CN"/>
              </w:rPr>
              <w:t>基础回填土分层夯实，每层回填厚度不超过300mm，夯实后的回填土压实系数大于或等于0.95；</w:t>
            </w:r>
          </w:p>
          <w:p w14:paraId="108622E9">
            <w:pPr>
              <w:pStyle w:val="27"/>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④基础、基础梁、地面以下短柱（或其他钢筋混凝土构件）外表面均涂刷环氧沥青涂层，厚度不小于500μm；</w:t>
            </w:r>
          </w:p>
          <w:p w14:paraId="5961B39A">
            <w:pPr>
              <w:pStyle w:val="27"/>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⑤防渗区地面采取粘土铺底、再在上层铺设15-20cm的抗渗混凝土硬化并采用耐酸水泥进行防腐处理；</w:t>
            </w:r>
          </w:p>
          <w:p w14:paraId="7D842B02">
            <w:pPr>
              <w:pStyle w:val="27"/>
              <w:rPr>
                <w:rFonts w:hint="default"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⑥储罐周边设</w:t>
            </w:r>
            <w:r>
              <w:rPr>
                <w:rFonts w:hint="default" w:ascii="Times New Roman" w:hAnsi="Times New Roman" w:eastAsia="宋体" w:cs="Times New Roman"/>
                <w:color w:val="0000FF"/>
                <w:sz w:val="24"/>
                <w:szCs w:val="24"/>
                <w:lang w:val="en-US" w:eastAsia="zh-CN"/>
              </w:rPr>
              <w:t>置围堰，围堰外形尺寸100m×36.63m，高1.2m</w:t>
            </w:r>
            <w:r>
              <w:rPr>
                <w:rFonts w:hint="eastAsia" w:ascii="Times New Roman" w:hAnsi="Times New Roman" w:eastAsia="宋体" w:cs="Times New Roman"/>
                <w:color w:val="0000FF"/>
                <w:sz w:val="24"/>
                <w:szCs w:val="24"/>
                <w:lang w:val="en-US" w:eastAsia="zh-CN"/>
              </w:rPr>
              <w:t>，围堰容积4395.6m</w:t>
            </w:r>
            <w:r>
              <w:rPr>
                <w:rFonts w:hint="eastAsia" w:ascii="Times New Roman" w:hAnsi="Times New Roman" w:eastAsia="宋体" w:cs="Times New Roman"/>
                <w:color w:val="0000FF"/>
                <w:sz w:val="24"/>
                <w:szCs w:val="24"/>
                <w:vertAlign w:val="superscript"/>
                <w:lang w:val="en-US" w:eastAsia="zh-CN"/>
              </w:rPr>
              <w:t>3</w:t>
            </w:r>
            <w:r>
              <w:rPr>
                <w:rFonts w:hint="eastAsia" w:ascii="宋体" w:hAnsi="宋体" w:eastAsia="宋体" w:cs="宋体"/>
                <w:color w:val="0000FF"/>
                <w:sz w:val="24"/>
                <w:szCs w:val="24"/>
                <w:lang w:val="en-US" w:eastAsia="zh-CN"/>
              </w:rPr>
              <w:t>。围堰内地坪砼等级采用</w:t>
            </w:r>
            <w:r>
              <w:rPr>
                <w:rFonts w:hint="default" w:ascii="Times New Roman" w:hAnsi="Times New Roman" w:eastAsia="宋体" w:cs="Times New Roman"/>
                <w:color w:val="0000FF"/>
                <w:sz w:val="24"/>
                <w:szCs w:val="24"/>
                <w:lang w:val="en-US" w:eastAsia="zh-CN"/>
              </w:rPr>
              <w:t>抗渗P8级</w:t>
            </w:r>
            <w:r>
              <w:rPr>
                <w:rFonts w:hint="eastAsia" w:ascii="宋体" w:hAnsi="宋体" w:eastAsia="宋体" w:cs="宋体"/>
                <w:color w:val="0000FF"/>
                <w:sz w:val="24"/>
                <w:szCs w:val="24"/>
                <w:lang w:val="en-US" w:eastAsia="zh-CN"/>
              </w:rPr>
              <w:t>，在墙、柱基础交接处设衔接缝同膨胀缝</w:t>
            </w:r>
            <w:r>
              <w:rPr>
                <w:rFonts w:hint="eastAsia" w:ascii="宋体" w:hAnsi="宋体" w:cs="宋体"/>
                <w:color w:val="0000FF"/>
                <w:sz w:val="24"/>
                <w:szCs w:val="24"/>
                <w:lang w:val="en-US" w:eastAsia="zh-CN"/>
              </w:rPr>
              <w:t>。</w:t>
            </w:r>
          </w:p>
          <w:p w14:paraId="098FBD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0" w:firstLineChars="0"/>
              <w:jc w:val="both"/>
              <w:textAlignment w:val="auto"/>
              <w:outlineLvl w:val="9"/>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6、环境风险分析</w:t>
            </w:r>
          </w:p>
          <w:p w14:paraId="2A24CB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储</w:t>
            </w:r>
            <w:r>
              <w:rPr>
                <w:rFonts w:hint="eastAsia" w:ascii="Times New Roman" w:hAnsi="Times New Roman" w:eastAsia="宋体" w:cs="Times New Roman"/>
                <w:b w:val="0"/>
                <w:bCs/>
                <w:color w:val="auto"/>
                <w:kern w:val="2"/>
                <w:sz w:val="24"/>
                <w:szCs w:val="24"/>
                <w:highlight w:val="none"/>
                <w:lang w:val="en-US" w:eastAsia="zh-CN" w:bidi="ar-SA"/>
              </w:rPr>
              <w:t>罐区内除设置必要的围堰、防火堤外，还配备了灭火系统。本次环境风险评价的目的在于识别原料在贮存、转运过程中的风险因素及可能诱发的环境问题，并针对潜在的环境风险，提出相应的预防措施，以使建设项目的事故率、损失和环境影响达到可接受水平。</w:t>
            </w:r>
          </w:p>
          <w:p w14:paraId="549366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环境风险保护措施见“环境风险专项评价”，通过落实相关措施，本工程运营期原料的储运对周边环境影响较小，在可接受范围内。</w:t>
            </w:r>
          </w:p>
          <w:p w14:paraId="2B8C4072">
            <w:pPr>
              <w:keepNext w:val="0"/>
              <w:keepLines w:val="0"/>
              <w:pageBreakBefore w:val="0"/>
              <w:widowControl/>
              <w:suppressLineNumbers w:val="0"/>
              <w:kinsoku/>
              <w:wordWrap/>
              <w:overflowPunct/>
              <w:topLinePunct w:val="0"/>
              <w:bidi w:val="0"/>
              <w:spacing w:line="360" w:lineRule="auto"/>
              <w:ind w:left="0" w:leftChars="0" w:firstLine="0" w:firstLineChars="0"/>
              <w:jc w:val="left"/>
            </w:pPr>
            <w:r>
              <w:rPr>
                <w:rFonts w:hint="eastAsia" w:ascii="Times New Roman" w:hAnsi="Times New Roman" w:eastAsia="宋体" w:cs="Times New Roman"/>
                <w:b/>
                <w:bCs/>
                <w:color w:val="000000"/>
                <w:kern w:val="0"/>
                <w:sz w:val="24"/>
                <w:szCs w:val="24"/>
                <w:lang w:val="en-US" w:eastAsia="zh-CN" w:bidi="ar"/>
              </w:rPr>
              <w:t>7</w:t>
            </w:r>
            <w:r>
              <w:rPr>
                <w:rFonts w:hint="eastAsia" w:ascii="宋体" w:hAnsi="宋体" w:eastAsia="宋体" w:cs="宋体"/>
                <w:b/>
                <w:bCs/>
                <w:color w:val="000000"/>
                <w:kern w:val="0"/>
                <w:sz w:val="24"/>
                <w:szCs w:val="24"/>
                <w:lang w:val="en-US" w:eastAsia="zh-CN" w:bidi="ar"/>
              </w:rPr>
              <w:t>、环境管理</w:t>
            </w:r>
            <w:r>
              <w:rPr>
                <w:rFonts w:hint="eastAsia" w:ascii="宋体" w:hAnsi="宋体" w:cs="宋体"/>
                <w:b/>
                <w:bCs/>
                <w:color w:val="000000"/>
                <w:kern w:val="0"/>
                <w:sz w:val="24"/>
                <w:szCs w:val="24"/>
                <w:lang w:val="en-US" w:eastAsia="zh-CN" w:bidi="ar"/>
              </w:rPr>
              <w:t>及监测计划</w:t>
            </w:r>
          </w:p>
          <w:p w14:paraId="6AD3205B">
            <w:pPr>
              <w:keepNext w:val="0"/>
              <w:keepLines w:val="0"/>
              <w:pageBreakBefore w:val="0"/>
              <w:widowControl/>
              <w:suppressLineNumbers w:val="0"/>
              <w:kinsoku/>
              <w:wordWrap/>
              <w:overflowPunct/>
              <w:topLinePunct w:val="0"/>
              <w:bidi w:val="0"/>
              <w:spacing w:line="360" w:lineRule="auto"/>
              <w:jc w:val="left"/>
            </w:pPr>
            <w:r>
              <w:rPr>
                <w:rFonts w:hint="eastAsia" w:ascii="Times New Roman" w:hAnsi="Times New Roman" w:eastAsia="宋体" w:cs="Times New Roman"/>
                <w:b/>
                <w:bCs/>
                <w:color w:val="000000"/>
                <w:kern w:val="0"/>
                <w:sz w:val="24"/>
                <w:szCs w:val="24"/>
                <w:lang w:val="en-US" w:eastAsia="zh-CN" w:bidi="ar"/>
              </w:rPr>
              <w:t>7</w:t>
            </w:r>
            <w:r>
              <w:rPr>
                <w:rFonts w:hint="default" w:ascii="Times New Roman" w:hAnsi="Times New Roman" w:eastAsia="宋体" w:cs="Times New Roman"/>
                <w:b/>
                <w:bCs/>
                <w:color w:val="000000"/>
                <w:kern w:val="0"/>
                <w:sz w:val="24"/>
                <w:szCs w:val="24"/>
                <w:lang w:val="en-US" w:eastAsia="zh-CN" w:bidi="ar"/>
              </w:rPr>
              <w:t xml:space="preserve">.1 </w:t>
            </w:r>
            <w:r>
              <w:rPr>
                <w:rFonts w:hint="eastAsia" w:ascii="宋体" w:hAnsi="宋体" w:eastAsia="宋体" w:cs="宋体"/>
                <w:b/>
                <w:bCs/>
                <w:color w:val="000000"/>
                <w:kern w:val="0"/>
                <w:sz w:val="24"/>
                <w:szCs w:val="24"/>
                <w:lang w:val="en-US" w:eastAsia="zh-CN" w:bidi="ar"/>
              </w:rPr>
              <w:t xml:space="preserve">环境体制与机构 </w:t>
            </w:r>
          </w:p>
          <w:p w14:paraId="768B1987">
            <w:pPr>
              <w:keepNext w:val="0"/>
              <w:keepLines w:val="0"/>
              <w:pageBreakBefore w:val="0"/>
              <w:widowControl/>
              <w:suppressLineNumbers w:val="0"/>
              <w:kinsoku/>
              <w:wordWrap/>
              <w:overflowPunct/>
              <w:topLinePunct w:val="0"/>
              <w:bidi w:val="0"/>
              <w:spacing w:line="360" w:lineRule="auto"/>
              <w:jc w:val="left"/>
            </w:pPr>
            <w:r>
              <w:rPr>
                <w:rFonts w:hint="eastAsia" w:ascii="宋体" w:hAnsi="宋体" w:eastAsia="宋体" w:cs="宋体"/>
                <w:color w:val="000000"/>
                <w:kern w:val="0"/>
                <w:sz w:val="24"/>
                <w:szCs w:val="24"/>
                <w:lang w:val="en-US" w:eastAsia="zh-CN" w:bidi="ar"/>
              </w:rPr>
              <w:t xml:space="preserve">本项目由企业负责人主管环境保护工作。成立专门的环境管理办公室负责环境档案的建立和环境制度的落实。 </w:t>
            </w:r>
          </w:p>
          <w:p w14:paraId="35686357">
            <w:pPr>
              <w:keepNext w:val="0"/>
              <w:keepLines w:val="0"/>
              <w:pageBreakBefore w:val="0"/>
              <w:widowControl/>
              <w:suppressLineNumbers w:val="0"/>
              <w:kinsoku/>
              <w:wordWrap/>
              <w:overflowPunct/>
              <w:topLinePunct w:val="0"/>
              <w:bidi w:val="0"/>
              <w:spacing w:line="360" w:lineRule="auto"/>
              <w:jc w:val="left"/>
            </w:pPr>
            <w:r>
              <w:rPr>
                <w:rFonts w:hint="eastAsia" w:ascii="Times New Roman" w:hAnsi="Times New Roman" w:eastAsia="宋体" w:cs="Times New Roman"/>
                <w:b/>
                <w:bCs/>
                <w:color w:val="000000"/>
                <w:kern w:val="0"/>
                <w:sz w:val="24"/>
                <w:szCs w:val="24"/>
                <w:lang w:val="en-US" w:eastAsia="zh-CN" w:bidi="ar"/>
              </w:rPr>
              <w:t>7</w:t>
            </w:r>
            <w:r>
              <w:rPr>
                <w:rFonts w:hint="default" w:ascii="Times New Roman" w:hAnsi="Times New Roman" w:eastAsia="宋体" w:cs="Times New Roman"/>
                <w:b/>
                <w:bCs/>
                <w:color w:val="000000"/>
                <w:kern w:val="0"/>
                <w:sz w:val="24"/>
                <w:szCs w:val="24"/>
                <w:lang w:val="en-US" w:eastAsia="zh-CN" w:bidi="ar"/>
              </w:rPr>
              <w:t xml:space="preserve">.2 </w:t>
            </w:r>
            <w:r>
              <w:rPr>
                <w:rFonts w:hint="eastAsia" w:ascii="宋体" w:hAnsi="宋体" w:eastAsia="宋体" w:cs="宋体"/>
                <w:b/>
                <w:bCs/>
                <w:color w:val="000000"/>
                <w:kern w:val="0"/>
                <w:sz w:val="24"/>
                <w:szCs w:val="24"/>
                <w:lang w:val="en-US" w:eastAsia="zh-CN" w:bidi="ar"/>
              </w:rPr>
              <w:t xml:space="preserve">管理职责 </w:t>
            </w:r>
          </w:p>
          <w:p w14:paraId="6724ED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1</w:t>
            </w:r>
            <w:r>
              <w:rPr>
                <w:rFonts w:hint="eastAsia" w:ascii="Times New Roman" w:hAnsi="Times New Roman" w:eastAsia="宋体" w:cs="Times New Roman"/>
                <w:b w:val="0"/>
                <w:bCs/>
                <w:color w:val="auto"/>
                <w:kern w:val="2"/>
                <w:sz w:val="24"/>
                <w:szCs w:val="24"/>
                <w:highlight w:val="none"/>
                <w:lang w:val="en-US" w:eastAsia="zh-CN" w:bidi="ar-SA"/>
              </w:rPr>
              <w:t xml:space="preserve">）贯彻执行国家、自治区、地方各项环保政策、法规、标准，根据本项目实际，编制环境保护规划和实施细则，并组织实施，监督执行。 </w:t>
            </w:r>
          </w:p>
          <w:p w14:paraId="72E3F2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2</w:t>
            </w:r>
            <w:r>
              <w:rPr>
                <w:rFonts w:hint="eastAsia" w:ascii="Times New Roman" w:hAnsi="Times New Roman" w:eastAsia="宋体" w:cs="Times New Roman"/>
                <w:b w:val="0"/>
                <w:bCs/>
                <w:color w:val="auto"/>
                <w:kern w:val="2"/>
                <w:sz w:val="24"/>
                <w:szCs w:val="24"/>
                <w:highlight w:val="none"/>
                <w:lang w:val="en-US" w:eastAsia="zh-CN" w:bidi="ar-SA"/>
              </w:rPr>
              <w:t xml:space="preserve">）组织和管理污染治理工作，负责环保治理设施的运行及管理工作，建立有关环境保护制度，并做到各项污染物达标排放。 </w:t>
            </w:r>
          </w:p>
          <w:p w14:paraId="586CDD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3</w:t>
            </w:r>
            <w:r>
              <w:rPr>
                <w:rFonts w:hint="eastAsia" w:ascii="Times New Roman" w:hAnsi="Times New Roman" w:eastAsia="宋体" w:cs="Times New Roman"/>
                <w:b w:val="0"/>
                <w:bCs/>
                <w:color w:val="auto"/>
                <w:kern w:val="2"/>
                <w:sz w:val="24"/>
                <w:szCs w:val="24"/>
                <w:highlight w:val="none"/>
                <w:lang w:val="en-US" w:eastAsia="zh-CN" w:bidi="ar-SA"/>
              </w:rPr>
              <w:t xml:space="preserve">）定期进行环境管理人员的环保知识和技术培训工作。 </w:t>
            </w:r>
          </w:p>
          <w:p w14:paraId="5E9FFE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4</w:t>
            </w:r>
            <w:r>
              <w:rPr>
                <w:rFonts w:hint="eastAsia" w:ascii="Times New Roman" w:hAnsi="Times New Roman" w:eastAsia="宋体" w:cs="Times New Roman"/>
                <w:b w:val="0"/>
                <w:bCs/>
                <w:color w:val="auto"/>
                <w:kern w:val="2"/>
                <w:sz w:val="24"/>
                <w:szCs w:val="24"/>
                <w:highlight w:val="none"/>
                <w:lang w:val="en-US" w:eastAsia="zh-CN" w:bidi="ar-SA"/>
              </w:rPr>
              <w:t xml:space="preserve">）通过技术培训，不断提高治理设施的处理水平和可操作性。 </w:t>
            </w:r>
          </w:p>
          <w:p w14:paraId="7E3564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5</w:t>
            </w:r>
            <w:r>
              <w:rPr>
                <w:rFonts w:hint="eastAsia" w:ascii="Times New Roman" w:hAnsi="Times New Roman" w:eastAsia="宋体" w:cs="Times New Roman"/>
                <w:b w:val="0"/>
                <w:bCs/>
                <w:color w:val="auto"/>
                <w:kern w:val="2"/>
                <w:sz w:val="24"/>
                <w:szCs w:val="24"/>
                <w:highlight w:val="none"/>
                <w:lang w:val="en-US" w:eastAsia="zh-CN" w:bidi="ar-SA"/>
              </w:rPr>
              <w:t xml:space="preserve">）做好常规环境统计工作，掌握各项治理设施的运行状况。 </w:t>
            </w:r>
          </w:p>
          <w:p w14:paraId="5C83FE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6</w:t>
            </w:r>
            <w:r>
              <w:rPr>
                <w:rFonts w:hint="eastAsia" w:ascii="Times New Roman" w:hAnsi="Times New Roman" w:eastAsia="宋体" w:cs="Times New Roman"/>
                <w:b w:val="0"/>
                <w:bCs/>
                <w:color w:val="auto"/>
                <w:kern w:val="2"/>
                <w:sz w:val="24"/>
                <w:szCs w:val="24"/>
                <w:highlight w:val="none"/>
                <w:lang w:val="en-US" w:eastAsia="zh-CN" w:bidi="ar-SA"/>
              </w:rPr>
              <w:t>）科学组织生产调度。通过及时全面了解生产情况，均衡组织生产，使生产各环节协调进行，加强环境保护工作调度，做好突发事故时防止污染的应急措施，使生产过程的污染物排放达到最低限度。</w:t>
            </w:r>
          </w:p>
          <w:p w14:paraId="17C07C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（7）设备管理。合理使用设备，加强对设备的维护和修理，改造设备的结构，杜绝设备和管道的跑、冒、漏现象，防止有害物质的泄漏。</w:t>
            </w:r>
          </w:p>
          <w:p w14:paraId="07B611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（8）废弃物管理。针对项目营运期产生的固废，应集中收集及时处理，严禁长时间在厂区堆存污染环境。</w:t>
            </w:r>
          </w:p>
          <w:p w14:paraId="0FC755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outlineLvl w:val="9"/>
              <w:rPr>
                <w:rFonts w:hint="eastAsia" w:ascii="Times New Roman" w:hAnsi="Times New Roman" w:eastAsia="宋体" w:cs="Times New Roman"/>
                <w:b/>
                <w:bCs/>
                <w:color w:val="0000FF"/>
                <w:kern w:val="0"/>
                <w:sz w:val="24"/>
                <w:szCs w:val="24"/>
                <w:lang w:val="en-US" w:eastAsia="zh-CN" w:bidi="ar"/>
              </w:rPr>
            </w:pPr>
            <w:r>
              <w:rPr>
                <w:rFonts w:hint="eastAsia" w:ascii="Times New Roman" w:hAnsi="Times New Roman" w:eastAsia="宋体" w:cs="Times New Roman"/>
                <w:b/>
                <w:bCs/>
                <w:color w:val="0000FF"/>
                <w:kern w:val="0"/>
                <w:sz w:val="24"/>
                <w:szCs w:val="24"/>
                <w:lang w:val="en-US" w:eastAsia="zh-CN" w:bidi="ar"/>
              </w:rPr>
              <w:t>7.3监测计划</w:t>
            </w:r>
          </w:p>
          <w:p w14:paraId="69FB23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color w:val="0000FF"/>
                <w:lang w:val="en-US" w:eastAsia="zh-CN"/>
              </w:rPr>
            </w:pPr>
            <w:r>
              <w:rPr>
                <w:rFonts w:hint="eastAsia" w:ascii="宋体" w:hAnsi="宋体" w:eastAsia="宋体" w:cs="宋体"/>
                <w:color w:val="0000FF"/>
                <w:kern w:val="0"/>
                <w:sz w:val="24"/>
                <w:szCs w:val="24"/>
                <w:lang w:val="en-US" w:eastAsia="zh-CN" w:bidi="ar"/>
              </w:rPr>
              <w:t>建设单位应根据《排污单位自行监测技术指南 总则》（</w:t>
            </w:r>
            <w:r>
              <w:rPr>
                <w:rFonts w:hint="default" w:ascii="Times New Roman" w:hAnsi="Times New Roman" w:eastAsia="宋体" w:cs="Times New Roman"/>
                <w:color w:val="0000FF"/>
                <w:kern w:val="0"/>
                <w:sz w:val="24"/>
                <w:szCs w:val="24"/>
                <w:lang w:val="en-US" w:eastAsia="zh-CN" w:bidi="ar"/>
              </w:rPr>
              <w:t>HJ819-2017</w:t>
            </w:r>
            <w:r>
              <w:rPr>
                <w:rFonts w:hint="eastAsia" w:ascii="宋体" w:hAnsi="宋体" w:eastAsia="宋体" w:cs="宋体"/>
                <w:color w:val="0000FF"/>
                <w:kern w:val="0"/>
                <w:sz w:val="24"/>
                <w:szCs w:val="24"/>
                <w:lang w:val="en-US" w:eastAsia="zh-CN" w:bidi="ar"/>
              </w:rPr>
              <w:t>）、企业现有自行监测方案及本环评要求制定运营期产生的污染物监测方案，监测工作可委托有资质的环境监测单位代理监测，建设方应对监测数据进行数理统计、分析，建立监测数据档案，从而了解污染治理设施运行情况，确保环保治理设施常年有效地工作，使上级部门及时掌握工程污染治理动态。</w:t>
            </w:r>
          </w:p>
          <w:p w14:paraId="4393D6B5">
            <w:pPr>
              <w:pStyle w:val="30"/>
              <w:keepNext w:val="0"/>
              <w:keepLines w:val="0"/>
              <w:pageBreakBefore w:val="0"/>
              <w:kinsoku/>
              <w:wordWrap/>
              <w:overflowPunct/>
              <w:topLinePunct w:val="0"/>
              <w:autoSpaceDE/>
              <w:autoSpaceDN/>
              <w:bidi w:val="0"/>
              <w:spacing w:line="360" w:lineRule="auto"/>
              <w:ind w:left="0" w:leftChars="0" w:firstLine="0" w:firstLineChars="0"/>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8、排污口规范化管理</w:t>
            </w:r>
          </w:p>
          <w:p w14:paraId="24A5FD38">
            <w:pPr>
              <w:pStyle w:val="30"/>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8</w:t>
            </w:r>
            <w:r>
              <w:rPr>
                <w:rFonts w:hint="default" w:ascii="Times New Roman" w:hAnsi="Times New Roman" w:eastAsia="宋体" w:cs="Times New Roman"/>
                <w:b/>
                <w:bCs/>
                <w:color w:val="000000"/>
                <w:kern w:val="0"/>
                <w:sz w:val="24"/>
                <w:szCs w:val="24"/>
                <w:lang w:val="en-US" w:eastAsia="zh-CN" w:bidi="ar"/>
              </w:rPr>
              <w:t>.</w:t>
            </w:r>
            <w:r>
              <w:rPr>
                <w:rFonts w:hint="eastAsia" w:ascii="Times New Roman" w:hAnsi="Times New Roman" w:eastAsia="宋体" w:cs="Times New Roman"/>
                <w:b/>
                <w:bCs/>
                <w:color w:val="000000"/>
                <w:kern w:val="0"/>
                <w:sz w:val="24"/>
                <w:szCs w:val="24"/>
                <w:lang w:val="en-US" w:eastAsia="zh-CN" w:bidi="ar"/>
              </w:rPr>
              <w:t>1排污口标识</w:t>
            </w:r>
          </w:p>
          <w:p w14:paraId="0AC6D61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pacing w:val="0"/>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14:textFill>
                  <w14:solidFill>
                    <w14:schemeClr w14:val="tx1"/>
                  </w14:solidFill>
                </w14:textFill>
              </w:rPr>
              <w:t>按照《环境保护图形标志排放口（源）》（GBl5562.1—1995）中有关规定，在本工程的</w:t>
            </w:r>
            <w:r>
              <w:rPr>
                <w:rFonts w:hint="eastAsia" w:cs="Times New Roman"/>
                <w:color w:val="000000" w:themeColor="text1"/>
                <w:spacing w:val="0"/>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szCs w:val="24"/>
                <w:lang w:val="en-US" w:eastAsia="zh-CN"/>
                <w14:textFill>
                  <w14:solidFill>
                    <w14:schemeClr w14:val="tx1"/>
                  </w14:solidFill>
                </w14:textFill>
              </w:rPr>
              <w:t>三废</w:t>
            </w:r>
            <w:r>
              <w:rPr>
                <w:rFonts w:hint="eastAsia" w:cs="Times New Roman"/>
                <w:color w:val="000000" w:themeColor="text1"/>
                <w:spacing w:val="0"/>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szCs w:val="24"/>
                <w:lang w:val="en-US" w:eastAsia="zh-CN"/>
                <w14:textFill>
                  <w14:solidFill>
                    <w14:schemeClr w14:val="tx1"/>
                  </w14:solidFill>
                </w14:textFill>
              </w:rPr>
              <w:t>及噪声等污染排放点设置明显标志，规范排污口的标志，排放口图形标志见表4-</w:t>
            </w:r>
            <w:r>
              <w:rPr>
                <w:rFonts w:hint="eastAsia" w:cs="Times New Roman"/>
                <w:color w:val="000000" w:themeColor="text1"/>
                <w:spacing w:val="0"/>
                <w:kern w:val="0"/>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pacing w:val="0"/>
                <w:kern w:val="0"/>
                <w:sz w:val="24"/>
                <w:szCs w:val="24"/>
                <w:lang w:val="en-US" w:eastAsia="zh-CN"/>
                <w14:textFill>
                  <w14:solidFill>
                    <w14:schemeClr w14:val="tx1"/>
                  </w14:solidFill>
                </w14:textFill>
              </w:rPr>
              <w:t>。</w:t>
            </w:r>
          </w:p>
          <w:p w14:paraId="770D56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表4-</w:t>
            </w:r>
            <w:r>
              <w:rPr>
                <w:rFonts w:hint="eastAsia" w:cs="Times New Roman"/>
                <w:b/>
                <w:bCs/>
                <w:color w:val="000000" w:themeColor="text1"/>
                <w:spacing w:val="0"/>
                <w:sz w:val="21"/>
                <w:szCs w:val="21"/>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 xml:space="preserve">  排放口图形标志</w:t>
            </w: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一览表</w:t>
            </w:r>
          </w:p>
          <w:tbl>
            <w:tblPr>
              <w:tblStyle w:val="22"/>
              <w:tblW w:w="407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03"/>
              <w:gridCol w:w="1491"/>
              <w:gridCol w:w="1491"/>
              <w:gridCol w:w="1449"/>
              <w:gridCol w:w="1476"/>
            </w:tblGrid>
            <w:tr w14:paraId="51390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62" w:type="pct"/>
                  <w:tcBorders>
                    <w:tl2br w:val="nil"/>
                    <w:tr2bl w:val="nil"/>
                  </w:tcBorders>
                  <w:noWrap w:val="0"/>
                  <w:vAlign w:val="center"/>
                </w:tcPr>
                <w:p w14:paraId="646A7A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排污口</w:t>
                  </w:r>
                </w:p>
              </w:tc>
              <w:tc>
                <w:tcPr>
                  <w:tcW w:w="1094" w:type="pct"/>
                  <w:tcBorders>
                    <w:tl2br w:val="nil"/>
                    <w:tr2bl w:val="nil"/>
                  </w:tcBorders>
                  <w:noWrap w:val="0"/>
                  <w:vAlign w:val="center"/>
                </w:tcPr>
                <w:p w14:paraId="2E1C5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废水排放口</w:t>
                  </w:r>
                </w:p>
              </w:tc>
              <w:tc>
                <w:tcPr>
                  <w:tcW w:w="1094" w:type="pct"/>
                  <w:tcBorders>
                    <w:tl2br w:val="nil"/>
                    <w:tr2bl w:val="nil"/>
                  </w:tcBorders>
                  <w:noWrap w:val="0"/>
                  <w:vAlign w:val="center"/>
                </w:tcPr>
                <w:p w14:paraId="0AFF8A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废气排放口</w:t>
                  </w:r>
                </w:p>
              </w:tc>
              <w:tc>
                <w:tcPr>
                  <w:tcW w:w="1063" w:type="pct"/>
                  <w:tcBorders>
                    <w:tl2br w:val="nil"/>
                    <w:tr2bl w:val="nil"/>
                  </w:tcBorders>
                  <w:noWrap w:val="0"/>
                  <w:vAlign w:val="center"/>
                </w:tcPr>
                <w:p w14:paraId="1B11BC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噪声</w:t>
                  </w:r>
                  <w:r>
                    <w:rPr>
                      <w:rFonts w:hint="eastAsia" w:cs="Times New Roman"/>
                      <w:b/>
                      <w:bCs/>
                      <w:color w:val="000000" w:themeColor="text1"/>
                      <w:spacing w:val="0"/>
                      <w:sz w:val="21"/>
                      <w:szCs w:val="21"/>
                      <w:highlight w:val="none"/>
                      <w:lang w:eastAsia="zh-CN"/>
                      <w14:textFill>
                        <w14:solidFill>
                          <w14:schemeClr w14:val="tx1"/>
                        </w14:solidFill>
                      </w14:textFill>
                    </w:rPr>
                    <w:t>排放</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源</w:t>
                  </w:r>
                </w:p>
              </w:tc>
              <w:tc>
                <w:tcPr>
                  <w:tcW w:w="1083" w:type="pct"/>
                  <w:tcBorders>
                    <w:tl2br w:val="nil"/>
                    <w:tr2bl w:val="nil"/>
                  </w:tcBorders>
                  <w:noWrap w:val="0"/>
                  <w:vAlign w:val="center"/>
                </w:tcPr>
                <w:p w14:paraId="1D8D84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pPr>
                  <w:r>
                    <w:rPr>
                      <w:rFonts w:hint="eastAsia" w:cs="Times New Roman"/>
                      <w:b/>
                      <w:bCs/>
                      <w:color w:val="000000" w:themeColor="text1"/>
                      <w:spacing w:val="0"/>
                      <w:sz w:val="21"/>
                      <w:szCs w:val="21"/>
                      <w:highlight w:val="none"/>
                      <w:lang w:eastAsia="zh-CN"/>
                      <w14:textFill>
                        <w14:solidFill>
                          <w14:schemeClr w14:val="tx1"/>
                        </w14:solidFill>
                      </w14:textFill>
                    </w:rPr>
                    <w:t>一般固体废物</w:t>
                  </w:r>
                </w:p>
              </w:tc>
            </w:tr>
            <w:tr w14:paraId="0C321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33" w:hRule="atLeast"/>
                <w:jc w:val="center"/>
              </w:trPr>
              <w:tc>
                <w:tcPr>
                  <w:tcW w:w="662" w:type="pct"/>
                  <w:tcBorders>
                    <w:tl2br w:val="nil"/>
                    <w:tr2bl w:val="nil"/>
                  </w:tcBorders>
                  <w:noWrap w:val="0"/>
                  <w:vAlign w:val="center"/>
                </w:tcPr>
                <w:p w14:paraId="44121D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图形</w:t>
                  </w:r>
                </w:p>
                <w:p w14:paraId="377425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符号</w:t>
                  </w:r>
                </w:p>
              </w:tc>
              <w:tc>
                <w:tcPr>
                  <w:tcW w:w="1094" w:type="pct"/>
                  <w:tcBorders>
                    <w:tl2br w:val="nil"/>
                    <w:tr2bl w:val="nil"/>
                  </w:tcBorders>
                  <w:noWrap w:val="0"/>
                  <w:vAlign w:val="center"/>
                </w:tcPr>
                <w:p w14:paraId="7F3815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drawing>
                      <wp:inline distT="0" distB="0" distL="114300" distR="114300">
                        <wp:extent cx="830580" cy="830580"/>
                        <wp:effectExtent l="0" t="0" r="7620" b="762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8"/>
                                <a:stretch>
                                  <a:fillRect/>
                                </a:stretch>
                              </pic:blipFill>
                              <pic:spPr>
                                <a:xfrm>
                                  <a:off x="0" y="0"/>
                                  <a:ext cx="830580" cy="830580"/>
                                </a:xfrm>
                                <a:prstGeom prst="rect">
                                  <a:avLst/>
                                </a:prstGeom>
                                <a:noFill/>
                                <a:ln>
                                  <a:noFill/>
                                </a:ln>
                              </pic:spPr>
                            </pic:pic>
                          </a:graphicData>
                        </a:graphic>
                      </wp:inline>
                    </w:drawing>
                  </w:r>
                </w:p>
              </w:tc>
              <w:tc>
                <w:tcPr>
                  <w:tcW w:w="1094" w:type="pct"/>
                  <w:tcBorders>
                    <w:tl2br w:val="nil"/>
                    <w:tr2bl w:val="nil"/>
                  </w:tcBorders>
                  <w:noWrap w:val="0"/>
                  <w:vAlign w:val="center"/>
                </w:tcPr>
                <w:p w14:paraId="542A90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drawing>
                      <wp:inline distT="0" distB="0" distL="114300" distR="114300">
                        <wp:extent cx="830580" cy="830580"/>
                        <wp:effectExtent l="0" t="0" r="7620" b="762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9"/>
                                <a:stretch>
                                  <a:fillRect/>
                                </a:stretch>
                              </pic:blipFill>
                              <pic:spPr>
                                <a:xfrm>
                                  <a:off x="0" y="0"/>
                                  <a:ext cx="830580" cy="830580"/>
                                </a:xfrm>
                                <a:prstGeom prst="rect">
                                  <a:avLst/>
                                </a:prstGeom>
                                <a:noFill/>
                                <a:ln>
                                  <a:noFill/>
                                </a:ln>
                              </pic:spPr>
                            </pic:pic>
                          </a:graphicData>
                        </a:graphic>
                      </wp:inline>
                    </w:drawing>
                  </w:r>
                </w:p>
              </w:tc>
              <w:tc>
                <w:tcPr>
                  <w:tcW w:w="1063" w:type="pct"/>
                  <w:tcBorders>
                    <w:tl2br w:val="nil"/>
                    <w:tr2bl w:val="nil"/>
                  </w:tcBorders>
                  <w:noWrap w:val="0"/>
                  <w:vAlign w:val="center"/>
                </w:tcPr>
                <w:p w14:paraId="30D86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drawing>
                      <wp:inline distT="0" distB="0" distL="114300" distR="114300">
                        <wp:extent cx="803275" cy="803275"/>
                        <wp:effectExtent l="0" t="0" r="15875" b="1587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30"/>
                                <a:stretch>
                                  <a:fillRect/>
                                </a:stretch>
                              </pic:blipFill>
                              <pic:spPr>
                                <a:xfrm>
                                  <a:off x="0" y="0"/>
                                  <a:ext cx="803275" cy="803275"/>
                                </a:xfrm>
                                <a:prstGeom prst="rect">
                                  <a:avLst/>
                                </a:prstGeom>
                                <a:noFill/>
                                <a:ln>
                                  <a:noFill/>
                                </a:ln>
                              </pic:spPr>
                            </pic:pic>
                          </a:graphicData>
                        </a:graphic>
                      </wp:inline>
                    </w:drawing>
                  </w:r>
                </w:p>
              </w:tc>
              <w:tc>
                <w:tcPr>
                  <w:tcW w:w="1083" w:type="pct"/>
                  <w:tcBorders>
                    <w:tl2br w:val="nil"/>
                    <w:tr2bl w:val="nil"/>
                  </w:tcBorders>
                  <w:noWrap w:val="0"/>
                  <w:vAlign w:val="center"/>
                </w:tcPr>
                <w:p w14:paraId="03B7A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drawing>
                      <wp:inline distT="0" distB="0" distL="114300" distR="114300">
                        <wp:extent cx="820420" cy="820420"/>
                        <wp:effectExtent l="0" t="0" r="17780" b="1778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1"/>
                                <a:stretch>
                                  <a:fillRect/>
                                </a:stretch>
                              </pic:blipFill>
                              <pic:spPr>
                                <a:xfrm>
                                  <a:off x="0" y="0"/>
                                  <a:ext cx="820420" cy="820420"/>
                                </a:xfrm>
                                <a:prstGeom prst="rect">
                                  <a:avLst/>
                                </a:prstGeom>
                                <a:noFill/>
                                <a:ln>
                                  <a:noFill/>
                                </a:ln>
                              </pic:spPr>
                            </pic:pic>
                          </a:graphicData>
                        </a:graphic>
                      </wp:inline>
                    </w:drawing>
                  </w:r>
                </w:p>
              </w:tc>
            </w:tr>
          </w:tbl>
          <w:p w14:paraId="208EE784">
            <w:pPr>
              <w:pStyle w:val="30"/>
              <w:keepNext w:val="0"/>
              <w:keepLines w:val="0"/>
              <w:pageBreakBefore w:val="0"/>
              <w:kinsoku/>
              <w:wordWrap/>
              <w:overflowPunct/>
              <w:topLinePunct w:val="0"/>
              <w:autoSpaceDE/>
              <w:autoSpaceDN/>
              <w:bidi w:val="0"/>
              <w:ind w:left="0" w:leftChars="0" w:firstLine="482" w:firstLineChars="200"/>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8.2排污口管理</w:t>
            </w:r>
          </w:p>
          <w:p w14:paraId="235C9B95">
            <w:pPr>
              <w:pStyle w:val="30"/>
              <w:keepNext w:val="0"/>
              <w:keepLines w:val="0"/>
              <w:pageBreakBefore w:val="0"/>
              <w:kinsoku/>
              <w:wordWrap/>
              <w:overflowPunct/>
              <w:topLinePunct w:val="0"/>
              <w:autoSpaceDE/>
              <w:autoSpaceDN/>
              <w:bidi w:val="0"/>
              <w:ind w:left="0" w:leftChars="0" w:firstLine="480" w:firstLineChars="200"/>
              <w:textAlignment w:val="auto"/>
              <w:rPr>
                <w:rFonts w:hint="default" w:ascii="Times New Roman" w:hAnsi="Times New Roman" w:eastAsia="Times New Roman" w:cs="Times New Roman"/>
                <w:b w:val="0"/>
                <w:bCs/>
                <w:color w:val="auto"/>
                <w:szCs w:val="24"/>
                <w:lang w:val="en-US" w:eastAsia="zh-CN"/>
              </w:rPr>
            </w:pPr>
            <w:r>
              <w:rPr>
                <w:rFonts w:hint="default" w:ascii="Times New Roman" w:hAnsi="Times New Roman" w:eastAsia="Times New Roman" w:cs="Times New Roman"/>
                <w:b w:val="0"/>
                <w:bCs/>
                <w:color w:val="auto"/>
                <w:szCs w:val="24"/>
                <w:lang w:val="en-US" w:eastAsia="zh-CN"/>
              </w:rPr>
              <w:t>（1）按照国家相关的规定，应如实向环境管理部门申报排污口数量、位置及所排放的主要污染物或产生公害的种类、数量、浓度、排放去向等情况。</w:t>
            </w:r>
          </w:p>
          <w:p w14:paraId="6D29F54D">
            <w:pPr>
              <w:pStyle w:val="30"/>
              <w:keepNext w:val="0"/>
              <w:keepLines w:val="0"/>
              <w:pageBreakBefore w:val="0"/>
              <w:kinsoku/>
              <w:wordWrap/>
              <w:overflowPunct/>
              <w:topLinePunct w:val="0"/>
              <w:autoSpaceDE/>
              <w:autoSpaceDN/>
              <w:bidi w:val="0"/>
              <w:ind w:left="0" w:leftChars="0" w:firstLine="480" w:firstLineChars="200"/>
              <w:textAlignment w:val="auto"/>
              <w:rPr>
                <w:rFonts w:hint="default" w:ascii="Times New Roman" w:hAnsi="Times New Roman" w:eastAsia="Times New Roman" w:cs="Times New Roman"/>
                <w:b w:val="0"/>
                <w:bCs/>
                <w:color w:val="auto"/>
                <w:szCs w:val="24"/>
                <w:lang w:val="en-US" w:eastAsia="zh-CN"/>
              </w:rPr>
            </w:pPr>
            <w:r>
              <w:rPr>
                <w:rFonts w:hint="default" w:ascii="Times New Roman" w:hAnsi="Times New Roman" w:eastAsia="Times New Roman" w:cs="Times New Roman"/>
                <w:b w:val="0"/>
                <w:bCs/>
                <w:color w:val="auto"/>
                <w:szCs w:val="24"/>
                <w:lang w:val="en-US" w:eastAsia="zh-CN"/>
              </w:rPr>
              <w:t>（</w:t>
            </w:r>
            <w:r>
              <w:rPr>
                <w:rFonts w:hint="eastAsia" w:cs="Times New Roman"/>
                <w:b w:val="0"/>
                <w:bCs/>
                <w:color w:val="auto"/>
                <w:szCs w:val="24"/>
                <w:lang w:val="en-US" w:eastAsia="zh-CN"/>
              </w:rPr>
              <w:t>2</w:t>
            </w:r>
            <w:r>
              <w:rPr>
                <w:rFonts w:hint="default" w:ascii="Times New Roman" w:hAnsi="Times New Roman" w:eastAsia="Times New Roman" w:cs="Times New Roman"/>
                <w:b w:val="0"/>
                <w:bCs/>
                <w:color w:val="auto"/>
                <w:szCs w:val="24"/>
                <w:lang w:val="en-US" w:eastAsia="zh-CN"/>
              </w:rPr>
              <w:t>）对于固体废弃物，应当设置暂时贮存或堆放场所，堆放场地或贮存设施必须有防雨水淋洗冲刷、防流失、防渗漏等措施，贮存（堆放）处进路口应设置标志牌。</w:t>
            </w:r>
          </w:p>
          <w:p w14:paraId="2497BE5E">
            <w:pPr>
              <w:pStyle w:val="30"/>
              <w:keepNext w:val="0"/>
              <w:keepLines w:val="0"/>
              <w:pageBreakBefore w:val="0"/>
              <w:kinsoku/>
              <w:wordWrap/>
              <w:overflowPunct/>
              <w:topLinePunct w:val="0"/>
              <w:autoSpaceDE/>
              <w:autoSpaceDN/>
              <w:bidi w:val="0"/>
              <w:ind w:left="0" w:leftChars="0" w:firstLine="480" w:firstLineChars="200"/>
              <w:textAlignment w:val="auto"/>
              <w:rPr>
                <w:rFonts w:hint="default" w:ascii="Times New Roman" w:hAnsi="Times New Roman" w:eastAsia="Times New Roman" w:cs="Times New Roman"/>
                <w:b w:val="0"/>
                <w:bCs/>
                <w:color w:val="auto"/>
                <w:szCs w:val="24"/>
                <w:lang w:val="en-US" w:eastAsia="zh-CN"/>
              </w:rPr>
            </w:pPr>
            <w:r>
              <w:rPr>
                <w:rFonts w:hint="default" w:ascii="Times New Roman" w:hAnsi="Times New Roman" w:eastAsia="Times New Roman" w:cs="Times New Roman"/>
                <w:b w:val="0"/>
                <w:bCs/>
                <w:color w:val="auto"/>
                <w:szCs w:val="24"/>
                <w:lang w:val="en-US" w:eastAsia="zh-CN"/>
              </w:rPr>
              <w:t>（</w:t>
            </w:r>
            <w:r>
              <w:rPr>
                <w:rFonts w:hint="eastAsia" w:cs="Times New Roman"/>
                <w:b w:val="0"/>
                <w:bCs/>
                <w:color w:val="auto"/>
                <w:szCs w:val="24"/>
                <w:lang w:val="en-US" w:eastAsia="zh-CN"/>
              </w:rPr>
              <w:t>3</w:t>
            </w:r>
            <w:r>
              <w:rPr>
                <w:rFonts w:hint="default" w:ascii="Times New Roman" w:hAnsi="Times New Roman" w:eastAsia="Times New Roman" w:cs="Times New Roman"/>
                <w:b w:val="0"/>
                <w:bCs/>
                <w:color w:val="auto"/>
                <w:szCs w:val="24"/>
                <w:lang w:val="en-US" w:eastAsia="zh-CN"/>
              </w:rPr>
              <w:t>）本项目的工程设计在污染物排放口（源）设置监测用的采样口，采样口的设计应符合《污染源监测技术规范》要求并便于采样监测。同时必须按《环境保护图形标志—排放口（源）》（GB15562.1-1995）规定的图形，在各气、水、声排污口（源）挂牌标识，做到各排污口（源）的环保标志明显，便于企业管理和公众监督。</w:t>
            </w:r>
          </w:p>
          <w:p w14:paraId="635A5062">
            <w:pPr>
              <w:pStyle w:val="30"/>
              <w:keepNext w:val="0"/>
              <w:keepLines w:val="0"/>
              <w:pageBreakBefore w:val="0"/>
              <w:kinsoku/>
              <w:wordWrap/>
              <w:overflowPunct/>
              <w:topLinePunct w:val="0"/>
              <w:autoSpaceDE/>
              <w:autoSpaceDN/>
              <w:bidi w:val="0"/>
              <w:ind w:left="0" w:leftChars="0" w:firstLine="0" w:firstLineChars="0"/>
              <w:textAlignment w:val="auto"/>
              <w:rPr>
                <w:rFonts w:hint="eastAsia" w:ascii="Times New Roman" w:hAnsi="Times New Roman" w:eastAsia="宋体" w:cs="Times New Roman"/>
                <w:b/>
                <w:bCs/>
                <w:color w:val="0000FF"/>
                <w:kern w:val="0"/>
                <w:sz w:val="24"/>
                <w:szCs w:val="24"/>
                <w:lang w:val="en-US" w:eastAsia="zh-CN" w:bidi="ar"/>
              </w:rPr>
            </w:pPr>
            <w:r>
              <w:rPr>
                <w:rFonts w:hint="eastAsia" w:ascii="Times New Roman" w:hAnsi="Times New Roman" w:eastAsia="宋体" w:cs="Times New Roman"/>
                <w:b/>
                <w:bCs/>
                <w:color w:val="0000FF"/>
                <w:kern w:val="0"/>
                <w:sz w:val="24"/>
                <w:szCs w:val="24"/>
                <w:lang w:val="en-US" w:eastAsia="zh-CN" w:bidi="ar"/>
              </w:rPr>
              <w:t>9、环保投资</w:t>
            </w:r>
          </w:p>
          <w:p w14:paraId="6DBA1D70">
            <w:pPr>
              <w:pStyle w:val="30"/>
              <w:keepNext w:val="0"/>
              <w:keepLines w:val="0"/>
              <w:pageBreakBefore w:val="0"/>
              <w:kinsoku/>
              <w:wordWrap/>
              <w:overflowPunct/>
              <w:topLinePunct w:val="0"/>
              <w:autoSpaceDE/>
              <w:autoSpaceDN/>
              <w:bidi w:val="0"/>
              <w:ind w:left="0" w:leftChars="0" w:firstLine="480" w:firstLineChars="200"/>
              <w:textAlignment w:val="auto"/>
              <w:rPr>
                <w:rFonts w:hint="default" w:ascii="Times New Roman" w:hAnsi="Times New Roman" w:eastAsia="Times New Roman" w:cs="Times New Roman"/>
                <w:b w:val="0"/>
                <w:bCs/>
                <w:color w:val="0000FF"/>
                <w:szCs w:val="24"/>
                <w:lang w:val="en-US" w:eastAsia="zh-CN"/>
              </w:rPr>
            </w:pPr>
            <w:r>
              <w:rPr>
                <w:rFonts w:hint="default" w:ascii="Times New Roman" w:hAnsi="Times New Roman" w:eastAsia="Times New Roman" w:cs="Times New Roman"/>
                <w:b w:val="0"/>
                <w:bCs/>
                <w:color w:val="0000FF"/>
                <w:szCs w:val="24"/>
                <w:lang w:val="en-US" w:eastAsia="zh-CN"/>
              </w:rPr>
              <w:t>建设项目总投资400万元，其中环保投资</w:t>
            </w:r>
            <w:r>
              <w:rPr>
                <w:rFonts w:hint="eastAsia" w:cs="Times New Roman"/>
                <w:b w:val="0"/>
                <w:bCs/>
                <w:color w:val="0000FF"/>
                <w:szCs w:val="24"/>
                <w:lang w:val="en-US" w:eastAsia="zh-CN"/>
              </w:rPr>
              <w:t>30.4</w:t>
            </w:r>
            <w:r>
              <w:rPr>
                <w:rFonts w:hint="default" w:ascii="Times New Roman" w:hAnsi="Times New Roman" w:eastAsia="Times New Roman" w:cs="Times New Roman"/>
                <w:b w:val="0"/>
                <w:bCs/>
                <w:color w:val="0000FF"/>
                <w:szCs w:val="24"/>
                <w:lang w:val="en-US" w:eastAsia="zh-CN"/>
              </w:rPr>
              <w:t>万元，环保投资占总投资的</w:t>
            </w:r>
            <w:r>
              <w:rPr>
                <w:rFonts w:hint="eastAsia" w:cs="Times New Roman"/>
                <w:b w:val="0"/>
                <w:bCs/>
                <w:color w:val="0000FF"/>
                <w:szCs w:val="24"/>
                <w:lang w:val="en-US" w:eastAsia="zh-CN"/>
              </w:rPr>
              <w:t>7.6</w:t>
            </w:r>
            <w:r>
              <w:rPr>
                <w:rFonts w:hint="default" w:ascii="Times New Roman" w:hAnsi="Times New Roman" w:eastAsia="Times New Roman" w:cs="Times New Roman"/>
                <w:b w:val="0"/>
                <w:bCs/>
                <w:color w:val="0000FF"/>
                <w:szCs w:val="24"/>
                <w:lang w:val="en-US" w:eastAsia="zh-CN"/>
              </w:rPr>
              <w:t>%，具体环保投资内容见表4-</w:t>
            </w:r>
            <w:r>
              <w:rPr>
                <w:rFonts w:hint="eastAsia" w:cs="Times New Roman"/>
                <w:b w:val="0"/>
                <w:bCs/>
                <w:color w:val="0000FF"/>
                <w:szCs w:val="24"/>
                <w:lang w:val="en-US" w:eastAsia="zh-CN"/>
              </w:rPr>
              <w:t>10</w:t>
            </w:r>
            <w:r>
              <w:rPr>
                <w:rFonts w:hint="default" w:ascii="Times New Roman" w:hAnsi="Times New Roman" w:eastAsia="Times New Roman" w:cs="Times New Roman"/>
                <w:b w:val="0"/>
                <w:bCs/>
                <w:color w:val="0000FF"/>
                <w:szCs w:val="24"/>
                <w:lang w:val="en-US" w:eastAsia="zh-CN"/>
              </w:rPr>
              <w:t>。</w:t>
            </w:r>
          </w:p>
          <w:p w14:paraId="21330E30">
            <w:pPr>
              <w:tabs>
                <w:tab w:val="left" w:pos="4563"/>
              </w:tabs>
              <w:ind w:firstLine="422" w:firstLineChars="200"/>
              <w:jc w:val="center"/>
              <w:rPr>
                <w:b/>
                <w:bCs/>
                <w:color w:val="0000FF"/>
                <w:sz w:val="21"/>
                <w:szCs w:val="21"/>
              </w:rPr>
            </w:pPr>
            <w:r>
              <w:rPr>
                <w:b/>
                <w:bCs/>
                <w:color w:val="0000FF"/>
                <w:sz w:val="21"/>
                <w:szCs w:val="21"/>
              </w:rPr>
              <w:t>表4-</w:t>
            </w:r>
            <w:r>
              <w:rPr>
                <w:rFonts w:hint="eastAsia"/>
                <w:b/>
                <w:bCs/>
                <w:color w:val="0000FF"/>
                <w:sz w:val="21"/>
                <w:szCs w:val="21"/>
                <w:lang w:val="en-US" w:eastAsia="zh-CN"/>
              </w:rPr>
              <w:t xml:space="preserve">10  </w:t>
            </w:r>
            <w:r>
              <w:rPr>
                <w:b/>
                <w:bCs/>
                <w:color w:val="0000FF"/>
                <w:sz w:val="21"/>
                <w:szCs w:val="21"/>
              </w:rPr>
              <w:t>环保措施及环保投资一览表</w:t>
            </w:r>
          </w:p>
          <w:tbl>
            <w:tblPr>
              <w:tblStyle w:val="22"/>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46"/>
              <w:gridCol w:w="347"/>
              <w:gridCol w:w="1005"/>
              <w:gridCol w:w="4415"/>
              <w:gridCol w:w="1633"/>
            </w:tblGrid>
            <w:tr w14:paraId="3FE2959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566" w:type="pct"/>
                  <w:tcBorders>
                    <w:tl2br w:val="nil"/>
                    <w:tr2bl w:val="nil"/>
                  </w:tcBorders>
                  <w:vAlign w:val="center"/>
                </w:tcPr>
                <w:p w14:paraId="5FB13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FF"/>
                      <w:spacing w:val="0"/>
                      <w:sz w:val="21"/>
                      <w:szCs w:val="21"/>
                      <w:highlight w:val="none"/>
                    </w:rPr>
                  </w:pPr>
                  <w:r>
                    <w:rPr>
                      <w:rFonts w:hint="default" w:ascii="Times New Roman" w:hAnsi="Times New Roman" w:eastAsia="宋体" w:cs="Times New Roman"/>
                      <w:b/>
                      <w:bCs/>
                      <w:color w:val="0000FF"/>
                      <w:spacing w:val="0"/>
                      <w:sz w:val="21"/>
                      <w:szCs w:val="21"/>
                      <w:highlight w:val="none"/>
                    </w:rPr>
                    <w:t>序号</w:t>
                  </w:r>
                </w:p>
              </w:tc>
              <w:tc>
                <w:tcPr>
                  <w:tcW w:w="809" w:type="pct"/>
                  <w:gridSpan w:val="2"/>
                  <w:tcBorders>
                    <w:tl2br w:val="nil"/>
                    <w:tr2bl w:val="nil"/>
                  </w:tcBorders>
                  <w:vAlign w:val="center"/>
                </w:tcPr>
                <w:p w14:paraId="264074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FF"/>
                      <w:spacing w:val="0"/>
                      <w:sz w:val="21"/>
                      <w:szCs w:val="21"/>
                      <w:highlight w:val="none"/>
                    </w:rPr>
                  </w:pPr>
                  <w:r>
                    <w:rPr>
                      <w:rFonts w:hint="default" w:ascii="Times New Roman" w:hAnsi="Times New Roman" w:eastAsia="宋体" w:cs="Times New Roman"/>
                      <w:b/>
                      <w:bCs/>
                      <w:color w:val="0000FF"/>
                      <w:spacing w:val="0"/>
                      <w:sz w:val="21"/>
                      <w:szCs w:val="21"/>
                      <w:highlight w:val="none"/>
                    </w:rPr>
                    <w:t>类型</w:t>
                  </w:r>
                </w:p>
              </w:tc>
              <w:tc>
                <w:tcPr>
                  <w:tcW w:w="2644" w:type="pct"/>
                  <w:tcBorders>
                    <w:tl2br w:val="nil"/>
                    <w:tr2bl w:val="nil"/>
                  </w:tcBorders>
                  <w:vAlign w:val="center"/>
                </w:tcPr>
                <w:p w14:paraId="1E8D7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FF"/>
                      <w:spacing w:val="0"/>
                      <w:sz w:val="21"/>
                      <w:szCs w:val="21"/>
                      <w:highlight w:val="none"/>
                    </w:rPr>
                  </w:pPr>
                  <w:r>
                    <w:rPr>
                      <w:rFonts w:hint="default" w:ascii="Times New Roman" w:hAnsi="Times New Roman" w:eastAsia="宋体" w:cs="Times New Roman"/>
                      <w:b/>
                      <w:bCs/>
                      <w:color w:val="0000FF"/>
                      <w:spacing w:val="0"/>
                      <w:sz w:val="21"/>
                      <w:szCs w:val="21"/>
                      <w:highlight w:val="none"/>
                    </w:rPr>
                    <w:t>工程项目</w:t>
                  </w:r>
                </w:p>
              </w:tc>
              <w:tc>
                <w:tcPr>
                  <w:tcW w:w="978" w:type="pct"/>
                  <w:tcBorders>
                    <w:tl2br w:val="nil"/>
                    <w:tr2bl w:val="nil"/>
                  </w:tcBorders>
                  <w:vAlign w:val="center"/>
                </w:tcPr>
                <w:p w14:paraId="36DC67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FF"/>
                      <w:spacing w:val="0"/>
                      <w:sz w:val="21"/>
                      <w:szCs w:val="21"/>
                      <w:highlight w:val="none"/>
                    </w:rPr>
                  </w:pPr>
                  <w:r>
                    <w:rPr>
                      <w:rFonts w:hint="default" w:ascii="Times New Roman" w:hAnsi="Times New Roman" w:eastAsia="宋体" w:cs="Times New Roman"/>
                      <w:b/>
                      <w:bCs/>
                      <w:color w:val="0000FF"/>
                      <w:spacing w:val="0"/>
                      <w:sz w:val="21"/>
                      <w:szCs w:val="21"/>
                      <w:highlight w:val="none"/>
                    </w:rPr>
                    <w:t>投资额（万元）</w:t>
                  </w:r>
                </w:p>
              </w:tc>
            </w:tr>
            <w:tr w14:paraId="51FC791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566" w:type="pct"/>
                  <w:tcBorders>
                    <w:tl2br w:val="nil"/>
                    <w:tr2bl w:val="nil"/>
                  </w:tcBorders>
                  <w:vAlign w:val="center"/>
                </w:tcPr>
                <w:p w14:paraId="6076F3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bCs/>
                      <w:color w:val="0000FF"/>
                      <w:spacing w:val="0"/>
                      <w:sz w:val="21"/>
                      <w:szCs w:val="21"/>
                      <w:highlight w:val="none"/>
                      <w:lang w:val="en-US" w:eastAsia="zh-CN"/>
                    </w:rPr>
                  </w:pPr>
                  <w:r>
                    <w:rPr>
                      <w:rFonts w:hint="eastAsia" w:ascii="Times New Roman" w:hAnsi="Times New Roman" w:eastAsia="宋体" w:cs="Times New Roman"/>
                      <w:color w:val="0000FF"/>
                      <w:spacing w:val="0"/>
                      <w:sz w:val="21"/>
                      <w:szCs w:val="21"/>
                      <w:highlight w:val="none"/>
                      <w:lang w:val="en-US" w:eastAsia="zh-CN"/>
                    </w:rPr>
                    <w:t>1</w:t>
                  </w:r>
                </w:p>
              </w:tc>
              <w:tc>
                <w:tcPr>
                  <w:tcW w:w="207" w:type="pct"/>
                  <w:vMerge w:val="restart"/>
                  <w:tcBorders>
                    <w:tl2br w:val="nil"/>
                    <w:tr2bl w:val="nil"/>
                  </w:tcBorders>
                  <w:vAlign w:val="center"/>
                </w:tcPr>
                <w:p w14:paraId="26ABB2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FF"/>
                      <w:spacing w:val="0"/>
                      <w:sz w:val="21"/>
                      <w:szCs w:val="21"/>
                      <w:highlight w:val="none"/>
                      <w:lang w:eastAsia="zh-CN"/>
                    </w:rPr>
                  </w:pPr>
                  <w:r>
                    <w:rPr>
                      <w:rFonts w:hint="eastAsia" w:cs="Times New Roman"/>
                      <w:color w:val="0000FF"/>
                      <w:spacing w:val="0"/>
                      <w:sz w:val="21"/>
                      <w:szCs w:val="21"/>
                      <w:highlight w:val="none"/>
                      <w:lang w:eastAsia="zh-CN"/>
                    </w:rPr>
                    <w:t>施工期</w:t>
                  </w:r>
                </w:p>
              </w:tc>
              <w:tc>
                <w:tcPr>
                  <w:tcW w:w="602" w:type="pct"/>
                  <w:tcBorders>
                    <w:tl2br w:val="nil"/>
                    <w:tr2bl w:val="nil"/>
                  </w:tcBorders>
                  <w:shd w:val="clear" w:color="auto" w:fill="auto"/>
                  <w:vAlign w:val="center"/>
                </w:tcPr>
                <w:p w14:paraId="78640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kern w:val="2"/>
                      <w:sz w:val="21"/>
                      <w:szCs w:val="21"/>
                      <w:highlight w:val="none"/>
                      <w:lang w:val="en-US" w:eastAsia="zh-CN" w:bidi="ar-SA"/>
                    </w:rPr>
                  </w:pPr>
                  <w:r>
                    <w:rPr>
                      <w:rFonts w:hint="default" w:ascii="Times New Roman" w:hAnsi="Times New Roman" w:eastAsia="宋体" w:cs="Times New Roman"/>
                      <w:color w:val="0000FF"/>
                      <w:spacing w:val="0"/>
                      <w:sz w:val="21"/>
                      <w:szCs w:val="21"/>
                      <w:highlight w:val="none"/>
                    </w:rPr>
                    <w:t>噪声治理</w:t>
                  </w:r>
                </w:p>
              </w:tc>
              <w:tc>
                <w:tcPr>
                  <w:tcW w:w="2644" w:type="pct"/>
                  <w:tcBorders>
                    <w:tl2br w:val="nil"/>
                    <w:tr2bl w:val="nil"/>
                  </w:tcBorders>
                  <w:vAlign w:val="center"/>
                </w:tcPr>
                <w:p w14:paraId="01C3A8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FF"/>
                      <w:spacing w:val="0"/>
                      <w:sz w:val="21"/>
                      <w:szCs w:val="21"/>
                      <w:highlight w:val="none"/>
                      <w:lang w:eastAsia="zh-CN"/>
                    </w:rPr>
                  </w:pPr>
                  <w:r>
                    <w:rPr>
                      <w:rFonts w:hint="default" w:cs="Times New Roman"/>
                      <w:color w:val="0000FF"/>
                      <w:spacing w:val="0"/>
                      <w:sz w:val="21"/>
                      <w:szCs w:val="21"/>
                      <w:highlight w:val="none"/>
                      <w:lang w:eastAsia="zh-CN"/>
                    </w:rPr>
                    <w:t>对噪声较大的机械进行隔声及减振处理，对较小的产噪设备使用移动式隔声屏等措施</w:t>
                  </w:r>
                  <w:r>
                    <w:rPr>
                      <w:rFonts w:hint="eastAsia" w:cs="Times New Roman"/>
                      <w:color w:val="0000FF"/>
                      <w:spacing w:val="0"/>
                      <w:sz w:val="21"/>
                      <w:szCs w:val="21"/>
                      <w:highlight w:val="none"/>
                      <w:lang w:eastAsia="zh-CN"/>
                    </w:rPr>
                    <w:t>等</w:t>
                  </w:r>
                </w:p>
              </w:tc>
              <w:tc>
                <w:tcPr>
                  <w:tcW w:w="978" w:type="pct"/>
                  <w:tcBorders>
                    <w:tl2br w:val="nil"/>
                    <w:tr2bl w:val="nil"/>
                  </w:tcBorders>
                  <w:vAlign w:val="center"/>
                </w:tcPr>
                <w:p w14:paraId="2406E0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0.05</w:t>
                  </w:r>
                </w:p>
              </w:tc>
            </w:tr>
            <w:tr w14:paraId="21620FF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6" w:type="pct"/>
                  <w:tcBorders>
                    <w:tl2br w:val="nil"/>
                    <w:tr2bl w:val="nil"/>
                  </w:tcBorders>
                  <w:vAlign w:val="center"/>
                </w:tcPr>
                <w:p w14:paraId="0FA93E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color w:val="0000FF"/>
                      <w:lang w:val="en-US" w:eastAsia="zh-CN"/>
                    </w:rPr>
                  </w:pPr>
                  <w:r>
                    <w:rPr>
                      <w:rFonts w:hint="eastAsia"/>
                      <w:color w:val="0000FF"/>
                      <w:lang w:val="en-US" w:eastAsia="zh-CN"/>
                    </w:rPr>
                    <w:t>2</w:t>
                  </w:r>
                </w:p>
              </w:tc>
              <w:tc>
                <w:tcPr>
                  <w:tcW w:w="207" w:type="pct"/>
                  <w:vMerge w:val="continue"/>
                  <w:tcBorders>
                    <w:tl2br w:val="nil"/>
                    <w:tr2bl w:val="nil"/>
                  </w:tcBorders>
                  <w:vAlign w:val="center"/>
                </w:tcPr>
                <w:p w14:paraId="79962B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0000FF"/>
                    </w:rPr>
                  </w:pPr>
                </w:p>
              </w:tc>
              <w:tc>
                <w:tcPr>
                  <w:tcW w:w="602" w:type="pct"/>
                  <w:tcBorders>
                    <w:tl2br w:val="nil"/>
                    <w:tr2bl w:val="nil"/>
                  </w:tcBorders>
                  <w:shd w:val="clear" w:color="auto" w:fill="auto"/>
                  <w:vAlign w:val="center"/>
                </w:tcPr>
                <w:p w14:paraId="3A3542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kern w:val="2"/>
                      <w:sz w:val="21"/>
                      <w:szCs w:val="21"/>
                      <w:highlight w:val="none"/>
                      <w:lang w:val="en-US" w:eastAsia="zh-CN" w:bidi="ar-SA"/>
                    </w:rPr>
                  </w:pPr>
                  <w:r>
                    <w:rPr>
                      <w:rFonts w:hint="default" w:ascii="Times New Roman" w:hAnsi="Times New Roman" w:eastAsia="宋体" w:cs="Times New Roman"/>
                      <w:color w:val="0000FF"/>
                      <w:spacing w:val="0"/>
                      <w:sz w:val="21"/>
                      <w:szCs w:val="21"/>
                      <w:highlight w:val="none"/>
                    </w:rPr>
                    <w:t>废气治理</w:t>
                  </w:r>
                </w:p>
              </w:tc>
              <w:tc>
                <w:tcPr>
                  <w:tcW w:w="2644" w:type="pct"/>
                  <w:tcBorders>
                    <w:tl2br w:val="nil"/>
                    <w:tr2bl w:val="nil"/>
                  </w:tcBorders>
                  <w:vAlign w:val="center"/>
                </w:tcPr>
                <w:p w14:paraId="5497E3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FF"/>
                      <w:spacing w:val="0"/>
                      <w:sz w:val="21"/>
                      <w:szCs w:val="21"/>
                      <w:highlight w:val="none"/>
                      <w:lang w:eastAsia="zh-CN"/>
                    </w:rPr>
                  </w:pPr>
                  <w:r>
                    <w:rPr>
                      <w:rFonts w:hint="default" w:cs="Times New Roman"/>
                      <w:color w:val="0000FF"/>
                      <w:spacing w:val="0"/>
                      <w:sz w:val="21"/>
                      <w:szCs w:val="21"/>
                      <w:highlight w:val="none"/>
                      <w:lang w:eastAsia="zh-CN"/>
                    </w:rPr>
                    <w:t>围挡封闭</w:t>
                  </w:r>
                  <w:r>
                    <w:rPr>
                      <w:rFonts w:hint="eastAsia" w:cs="Times New Roman"/>
                      <w:color w:val="0000FF"/>
                      <w:spacing w:val="0"/>
                      <w:sz w:val="21"/>
                      <w:szCs w:val="21"/>
                      <w:highlight w:val="none"/>
                      <w:lang w:eastAsia="zh-CN"/>
                    </w:rPr>
                    <w:t>、路的保湿、保洁等</w:t>
                  </w:r>
                </w:p>
              </w:tc>
              <w:tc>
                <w:tcPr>
                  <w:tcW w:w="978" w:type="pct"/>
                  <w:tcBorders>
                    <w:tl2br w:val="nil"/>
                    <w:tr2bl w:val="nil"/>
                  </w:tcBorders>
                  <w:vAlign w:val="center"/>
                </w:tcPr>
                <w:p w14:paraId="61EAB4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0.2</w:t>
                  </w:r>
                </w:p>
              </w:tc>
            </w:tr>
            <w:tr w14:paraId="394787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566" w:type="pct"/>
                  <w:tcBorders>
                    <w:tl2br w:val="nil"/>
                    <w:tr2bl w:val="nil"/>
                  </w:tcBorders>
                  <w:vAlign w:val="center"/>
                </w:tcPr>
                <w:p w14:paraId="336CFB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3</w:t>
                  </w:r>
                </w:p>
              </w:tc>
              <w:tc>
                <w:tcPr>
                  <w:tcW w:w="207" w:type="pct"/>
                  <w:vMerge w:val="continue"/>
                  <w:tcBorders>
                    <w:tl2br w:val="nil"/>
                    <w:tr2bl w:val="nil"/>
                  </w:tcBorders>
                  <w:vAlign w:val="center"/>
                </w:tcPr>
                <w:p w14:paraId="47032C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FF"/>
                      <w:spacing w:val="0"/>
                      <w:sz w:val="21"/>
                      <w:szCs w:val="21"/>
                      <w:highlight w:val="none"/>
                      <w:lang w:eastAsia="zh-CN"/>
                    </w:rPr>
                  </w:pPr>
                </w:p>
              </w:tc>
              <w:tc>
                <w:tcPr>
                  <w:tcW w:w="602" w:type="pct"/>
                  <w:tcBorders>
                    <w:tl2br w:val="nil"/>
                    <w:tr2bl w:val="nil"/>
                  </w:tcBorders>
                  <w:shd w:val="clear" w:color="auto" w:fill="auto"/>
                  <w:vAlign w:val="center"/>
                </w:tcPr>
                <w:p w14:paraId="74743B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kern w:val="2"/>
                      <w:sz w:val="21"/>
                      <w:szCs w:val="21"/>
                      <w:highlight w:val="none"/>
                      <w:lang w:val="en-US" w:eastAsia="zh-CN" w:bidi="ar-SA"/>
                    </w:rPr>
                  </w:pPr>
                  <w:r>
                    <w:rPr>
                      <w:rFonts w:hint="default" w:ascii="Times New Roman" w:hAnsi="Times New Roman" w:eastAsia="宋体" w:cs="Times New Roman"/>
                      <w:color w:val="0000FF"/>
                      <w:spacing w:val="0"/>
                      <w:sz w:val="21"/>
                      <w:szCs w:val="21"/>
                      <w:highlight w:val="none"/>
                    </w:rPr>
                    <w:t>固废治理</w:t>
                  </w:r>
                </w:p>
              </w:tc>
              <w:tc>
                <w:tcPr>
                  <w:tcW w:w="2644" w:type="pct"/>
                  <w:tcBorders>
                    <w:tl2br w:val="nil"/>
                    <w:tr2bl w:val="nil"/>
                  </w:tcBorders>
                  <w:vAlign w:val="center"/>
                </w:tcPr>
                <w:p w14:paraId="4C6127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FF"/>
                      <w:spacing w:val="0"/>
                      <w:sz w:val="21"/>
                      <w:szCs w:val="21"/>
                      <w:highlight w:val="none"/>
                      <w:lang w:eastAsia="zh-CN"/>
                    </w:rPr>
                  </w:pPr>
                  <w:r>
                    <w:rPr>
                      <w:rFonts w:hint="default" w:cs="Times New Roman"/>
                      <w:color w:val="0000FF"/>
                      <w:spacing w:val="0"/>
                      <w:sz w:val="21"/>
                      <w:szCs w:val="21"/>
                      <w:highlight w:val="none"/>
                      <w:lang w:eastAsia="zh-CN"/>
                    </w:rPr>
                    <w:t>建筑垃圾运至建筑垃圾填埋场处置；施工人员生活垃圾必须经统一收集后，依托公司现有生活垃圾处理资质的单位一并处理。</w:t>
                  </w:r>
                </w:p>
              </w:tc>
              <w:tc>
                <w:tcPr>
                  <w:tcW w:w="978" w:type="pct"/>
                  <w:tcBorders>
                    <w:tl2br w:val="nil"/>
                    <w:tr2bl w:val="nil"/>
                  </w:tcBorders>
                  <w:vAlign w:val="center"/>
                </w:tcPr>
                <w:p w14:paraId="01A132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0.15</w:t>
                  </w:r>
                </w:p>
              </w:tc>
            </w:tr>
            <w:tr w14:paraId="6C16E66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566" w:type="pct"/>
                  <w:tcBorders>
                    <w:tl2br w:val="nil"/>
                    <w:tr2bl w:val="nil"/>
                  </w:tcBorders>
                  <w:vAlign w:val="center"/>
                </w:tcPr>
                <w:p w14:paraId="18F8CC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4</w:t>
                  </w:r>
                </w:p>
              </w:tc>
              <w:tc>
                <w:tcPr>
                  <w:tcW w:w="207" w:type="pct"/>
                  <w:vMerge w:val="continue"/>
                  <w:tcBorders>
                    <w:tl2br w:val="nil"/>
                    <w:tr2bl w:val="nil"/>
                  </w:tcBorders>
                  <w:vAlign w:val="center"/>
                </w:tcPr>
                <w:p w14:paraId="6D0CCF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FF"/>
                      <w:spacing w:val="0"/>
                      <w:sz w:val="21"/>
                      <w:szCs w:val="21"/>
                      <w:highlight w:val="none"/>
                      <w:lang w:eastAsia="zh-CN"/>
                    </w:rPr>
                  </w:pPr>
                </w:p>
              </w:tc>
              <w:tc>
                <w:tcPr>
                  <w:tcW w:w="602" w:type="pct"/>
                  <w:tcBorders>
                    <w:tl2br w:val="nil"/>
                    <w:tr2bl w:val="nil"/>
                  </w:tcBorders>
                  <w:shd w:val="clear" w:color="auto" w:fill="auto"/>
                  <w:vAlign w:val="center"/>
                </w:tcPr>
                <w:p w14:paraId="0A6EAC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kern w:val="2"/>
                      <w:sz w:val="21"/>
                      <w:szCs w:val="21"/>
                      <w:highlight w:val="none"/>
                      <w:lang w:val="en-US" w:eastAsia="zh-CN" w:bidi="ar-SA"/>
                    </w:rPr>
                  </w:pPr>
                  <w:r>
                    <w:rPr>
                      <w:rFonts w:hint="default" w:ascii="Times New Roman" w:hAnsi="Times New Roman" w:eastAsia="宋体" w:cs="Times New Roman"/>
                      <w:color w:val="0000FF"/>
                      <w:spacing w:val="0"/>
                      <w:sz w:val="21"/>
                      <w:szCs w:val="21"/>
                      <w:highlight w:val="none"/>
                    </w:rPr>
                    <w:t>废水</w:t>
                  </w:r>
                  <w:r>
                    <w:rPr>
                      <w:rFonts w:hint="eastAsia" w:ascii="Times New Roman" w:hAnsi="Times New Roman" w:eastAsia="宋体" w:cs="Times New Roman"/>
                      <w:color w:val="0000FF"/>
                      <w:spacing w:val="0"/>
                      <w:sz w:val="21"/>
                      <w:szCs w:val="21"/>
                      <w:highlight w:val="none"/>
                      <w:lang w:eastAsia="zh-CN"/>
                    </w:rPr>
                    <w:t>治理</w:t>
                  </w:r>
                </w:p>
              </w:tc>
              <w:tc>
                <w:tcPr>
                  <w:tcW w:w="2644" w:type="pct"/>
                  <w:tcBorders>
                    <w:tl2br w:val="nil"/>
                    <w:tr2bl w:val="nil"/>
                  </w:tcBorders>
                  <w:vAlign w:val="center"/>
                </w:tcPr>
                <w:p w14:paraId="052D5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生活污水依托托项目区内公共卫生间解决</w:t>
                  </w:r>
                </w:p>
              </w:tc>
              <w:tc>
                <w:tcPr>
                  <w:tcW w:w="978" w:type="pct"/>
                  <w:tcBorders>
                    <w:tl2br w:val="nil"/>
                    <w:tr2bl w:val="nil"/>
                  </w:tcBorders>
                  <w:vAlign w:val="center"/>
                </w:tcPr>
                <w:p w14:paraId="4A64EF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w:t>
                  </w:r>
                </w:p>
              </w:tc>
            </w:tr>
            <w:tr w14:paraId="4EDC7F3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566" w:type="pct"/>
                  <w:tcBorders>
                    <w:tl2br w:val="nil"/>
                    <w:tr2bl w:val="nil"/>
                  </w:tcBorders>
                  <w:shd w:val="clear" w:color="auto" w:fill="auto"/>
                  <w:vAlign w:val="center"/>
                </w:tcPr>
                <w:p w14:paraId="5E8505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kern w:val="2"/>
                      <w:sz w:val="21"/>
                      <w:szCs w:val="21"/>
                      <w:highlight w:val="none"/>
                      <w:lang w:val="en-US" w:eastAsia="zh-CN" w:bidi="ar-SA"/>
                    </w:rPr>
                  </w:pPr>
                  <w:r>
                    <w:rPr>
                      <w:rFonts w:hint="eastAsia" w:ascii="Times New Roman" w:hAnsi="Times New Roman" w:eastAsia="宋体" w:cs="Times New Roman"/>
                      <w:color w:val="0000FF"/>
                      <w:spacing w:val="0"/>
                      <w:sz w:val="21"/>
                      <w:szCs w:val="21"/>
                      <w:highlight w:val="none"/>
                      <w:lang w:val="en-US" w:eastAsia="zh-CN"/>
                    </w:rPr>
                    <w:t>5</w:t>
                  </w:r>
                </w:p>
              </w:tc>
              <w:tc>
                <w:tcPr>
                  <w:tcW w:w="207" w:type="pct"/>
                  <w:vMerge w:val="restart"/>
                  <w:tcBorders>
                    <w:tl2br w:val="nil"/>
                    <w:tr2bl w:val="nil"/>
                  </w:tcBorders>
                  <w:vAlign w:val="center"/>
                </w:tcPr>
                <w:p w14:paraId="3EB504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FF"/>
                      <w:spacing w:val="0"/>
                      <w:sz w:val="21"/>
                      <w:szCs w:val="21"/>
                      <w:highlight w:val="none"/>
                      <w:lang w:eastAsia="zh-CN"/>
                    </w:rPr>
                  </w:pPr>
                  <w:r>
                    <w:rPr>
                      <w:rFonts w:hint="eastAsia" w:cs="Times New Roman"/>
                      <w:color w:val="0000FF"/>
                      <w:spacing w:val="0"/>
                      <w:sz w:val="21"/>
                      <w:szCs w:val="21"/>
                      <w:highlight w:val="none"/>
                      <w:lang w:eastAsia="zh-CN"/>
                    </w:rPr>
                    <w:t>运营期</w:t>
                  </w:r>
                </w:p>
              </w:tc>
              <w:tc>
                <w:tcPr>
                  <w:tcW w:w="602" w:type="pct"/>
                  <w:tcBorders>
                    <w:tl2br w:val="nil"/>
                    <w:tr2bl w:val="nil"/>
                  </w:tcBorders>
                  <w:vAlign w:val="center"/>
                </w:tcPr>
                <w:p w14:paraId="6E4194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rPr>
                  </w:pPr>
                  <w:r>
                    <w:rPr>
                      <w:rFonts w:hint="default" w:ascii="Times New Roman" w:hAnsi="Times New Roman" w:eastAsia="宋体" w:cs="Times New Roman"/>
                      <w:color w:val="0000FF"/>
                      <w:spacing w:val="0"/>
                      <w:sz w:val="21"/>
                      <w:szCs w:val="21"/>
                      <w:highlight w:val="none"/>
                    </w:rPr>
                    <w:t>噪声治理</w:t>
                  </w:r>
                </w:p>
              </w:tc>
              <w:tc>
                <w:tcPr>
                  <w:tcW w:w="2644" w:type="pct"/>
                  <w:tcBorders>
                    <w:tl2br w:val="nil"/>
                    <w:tr2bl w:val="nil"/>
                  </w:tcBorders>
                  <w:vAlign w:val="center"/>
                </w:tcPr>
                <w:p w14:paraId="6C83A6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rPr>
                  </w:pPr>
                  <w:r>
                    <w:rPr>
                      <w:rFonts w:hint="eastAsia" w:cs="Times New Roman"/>
                      <w:color w:val="0000FF"/>
                      <w:spacing w:val="0"/>
                      <w:sz w:val="21"/>
                      <w:szCs w:val="21"/>
                      <w:highlight w:val="none"/>
                      <w:lang w:eastAsia="zh-CN"/>
                    </w:rPr>
                    <w:t>基础</w:t>
                  </w:r>
                  <w:r>
                    <w:rPr>
                      <w:rFonts w:hint="default" w:ascii="Times New Roman" w:hAnsi="Times New Roman" w:eastAsia="宋体" w:cs="Times New Roman"/>
                      <w:color w:val="0000FF"/>
                      <w:spacing w:val="0"/>
                      <w:sz w:val="21"/>
                      <w:szCs w:val="21"/>
                      <w:highlight w:val="none"/>
                    </w:rPr>
                    <w:t>减震</w:t>
                  </w:r>
                </w:p>
              </w:tc>
              <w:tc>
                <w:tcPr>
                  <w:tcW w:w="978" w:type="pct"/>
                  <w:tcBorders>
                    <w:tl2br w:val="nil"/>
                    <w:tr2bl w:val="nil"/>
                  </w:tcBorders>
                  <w:vAlign w:val="center"/>
                </w:tcPr>
                <w:p w14:paraId="28D2FA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3</w:t>
                  </w:r>
                </w:p>
              </w:tc>
            </w:tr>
            <w:tr w14:paraId="3FB004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566" w:type="pct"/>
                  <w:tcBorders>
                    <w:tl2br w:val="nil"/>
                    <w:tr2bl w:val="nil"/>
                  </w:tcBorders>
                  <w:shd w:val="clear" w:color="auto" w:fill="auto"/>
                  <w:vAlign w:val="center"/>
                </w:tcPr>
                <w:p w14:paraId="5B8EF3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kern w:val="2"/>
                      <w:sz w:val="21"/>
                      <w:szCs w:val="21"/>
                      <w:highlight w:val="none"/>
                      <w:lang w:val="en-US" w:eastAsia="zh-CN" w:bidi="ar-SA"/>
                    </w:rPr>
                  </w:pPr>
                  <w:r>
                    <w:rPr>
                      <w:rFonts w:hint="eastAsia" w:cs="Times New Roman"/>
                      <w:color w:val="0000FF"/>
                      <w:spacing w:val="0"/>
                      <w:sz w:val="21"/>
                      <w:szCs w:val="21"/>
                      <w:highlight w:val="none"/>
                      <w:lang w:val="en-US" w:eastAsia="zh-CN"/>
                    </w:rPr>
                    <w:t>6</w:t>
                  </w:r>
                </w:p>
              </w:tc>
              <w:tc>
                <w:tcPr>
                  <w:tcW w:w="207" w:type="pct"/>
                  <w:vMerge w:val="continue"/>
                  <w:tcBorders>
                    <w:tl2br w:val="nil"/>
                    <w:tr2bl w:val="nil"/>
                  </w:tcBorders>
                  <w:vAlign w:val="center"/>
                </w:tcPr>
                <w:p w14:paraId="7BFA91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rPr>
                  </w:pPr>
                </w:p>
              </w:tc>
              <w:tc>
                <w:tcPr>
                  <w:tcW w:w="602" w:type="pct"/>
                  <w:tcBorders>
                    <w:tl2br w:val="nil"/>
                    <w:tr2bl w:val="nil"/>
                  </w:tcBorders>
                  <w:vAlign w:val="center"/>
                </w:tcPr>
                <w:p w14:paraId="266A11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rPr>
                  </w:pPr>
                  <w:r>
                    <w:rPr>
                      <w:rFonts w:hint="default" w:ascii="Times New Roman" w:hAnsi="Times New Roman" w:eastAsia="宋体" w:cs="Times New Roman"/>
                      <w:color w:val="0000FF"/>
                      <w:spacing w:val="0"/>
                      <w:sz w:val="21"/>
                      <w:szCs w:val="21"/>
                      <w:highlight w:val="none"/>
                    </w:rPr>
                    <w:t>废气治理</w:t>
                  </w:r>
                </w:p>
              </w:tc>
              <w:tc>
                <w:tcPr>
                  <w:tcW w:w="2644" w:type="pct"/>
                  <w:tcBorders>
                    <w:tl2br w:val="nil"/>
                    <w:tr2bl w:val="nil"/>
                  </w:tcBorders>
                  <w:vAlign w:val="center"/>
                </w:tcPr>
                <w:p w14:paraId="6498FC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FF"/>
                      <w:spacing w:val="0"/>
                      <w:sz w:val="21"/>
                      <w:szCs w:val="21"/>
                      <w:highlight w:val="none"/>
                      <w:lang w:val="en-US" w:eastAsia="zh-CN"/>
                    </w:rPr>
                  </w:pPr>
                  <w:r>
                    <w:rPr>
                      <w:rFonts w:hint="default" w:ascii="Times New Roman" w:hAnsi="Times New Roman" w:eastAsia="宋体" w:cs="Times New Roman"/>
                      <w:color w:val="0000FF"/>
                      <w:spacing w:val="0"/>
                      <w:sz w:val="21"/>
                      <w:szCs w:val="21"/>
                      <w:highlight w:val="none"/>
                      <w:lang w:val="en-US"/>
                    </w:rPr>
                    <w:t>立式储罐，锥形罐顶设计</w:t>
                  </w:r>
                  <w:r>
                    <w:rPr>
                      <w:rFonts w:hint="eastAsia" w:cs="Times New Roman"/>
                      <w:color w:val="0000FF"/>
                      <w:spacing w:val="0"/>
                      <w:sz w:val="21"/>
                      <w:szCs w:val="21"/>
                      <w:highlight w:val="none"/>
                      <w:lang w:val="en-US" w:eastAsia="zh-CN"/>
                    </w:rPr>
                    <w:t>，</w:t>
                  </w:r>
                  <w:r>
                    <w:rPr>
                      <w:rFonts w:hint="default" w:ascii="Times New Roman" w:hAnsi="Times New Roman" w:eastAsia="宋体" w:cs="Times New Roman"/>
                      <w:color w:val="0000FF"/>
                      <w:spacing w:val="0"/>
                      <w:sz w:val="21"/>
                      <w:szCs w:val="21"/>
                      <w:highlight w:val="none"/>
                      <w:lang w:val="en-US"/>
                    </w:rPr>
                    <w:t>储罐顶部设置呼吸阀</w:t>
                  </w:r>
                  <w:r>
                    <w:rPr>
                      <w:rFonts w:hint="eastAsia" w:cs="Times New Roman"/>
                      <w:color w:val="0000FF"/>
                      <w:spacing w:val="0"/>
                      <w:sz w:val="21"/>
                      <w:szCs w:val="21"/>
                      <w:highlight w:val="none"/>
                      <w:lang w:val="en-US" w:eastAsia="zh-CN"/>
                    </w:rPr>
                    <w:t>，选用密封性良好的设备、管线、阀门、计量设备</w:t>
                  </w:r>
                </w:p>
              </w:tc>
              <w:tc>
                <w:tcPr>
                  <w:tcW w:w="978" w:type="pct"/>
                  <w:tcBorders>
                    <w:tl2br w:val="nil"/>
                    <w:tr2bl w:val="nil"/>
                  </w:tcBorders>
                  <w:vAlign w:val="center"/>
                </w:tcPr>
                <w:p w14:paraId="30FE69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4</w:t>
                  </w:r>
                </w:p>
              </w:tc>
            </w:tr>
            <w:tr w14:paraId="2E729DC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566" w:type="pct"/>
                  <w:tcBorders>
                    <w:tl2br w:val="nil"/>
                    <w:tr2bl w:val="nil"/>
                  </w:tcBorders>
                  <w:vAlign w:val="center"/>
                </w:tcPr>
                <w:p w14:paraId="37AECB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7</w:t>
                  </w:r>
                </w:p>
              </w:tc>
              <w:tc>
                <w:tcPr>
                  <w:tcW w:w="207" w:type="pct"/>
                  <w:vMerge w:val="continue"/>
                  <w:tcBorders>
                    <w:tl2br w:val="nil"/>
                    <w:tr2bl w:val="nil"/>
                  </w:tcBorders>
                  <w:vAlign w:val="center"/>
                </w:tcPr>
                <w:p w14:paraId="312CDE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rPr>
                  </w:pPr>
                </w:p>
              </w:tc>
              <w:tc>
                <w:tcPr>
                  <w:tcW w:w="602" w:type="pct"/>
                  <w:tcBorders>
                    <w:tl2br w:val="nil"/>
                    <w:tr2bl w:val="nil"/>
                  </w:tcBorders>
                  <w:vAlign w:val="center"/>
                </w:tcPr>
                <w:p w14:paraId="71B906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rPr>
                  </w:pPr>
                  <w:r>
                    <w:rPr>
                      <w:rFonts w:hint="default" w:ascii="Times New Roman" w:hAnsi="Times New Roman" w:eastAsia="宋体" w:cs="Times New Roman"/>
                      <w:color w:val="0000FF"/>
                      <w:spacing w:val="0"/>
                      <w:sz w:val="21"/>
                      <w:szCs w:val="21"/>
                      <w:highlight w:val="none"/>
                    </w:rPr>
                    <w:t>固废治理</w:t>
                  </w:r>
                </w:p>
              </w:tc>
              <w:tc>
                <w:tcPr>
                  <w:tcW w:w="2644" w:type="pct"/>
                  <w:tcBorders>
                    <w:tl2br w:val="nil"/>
                    <w:tr2bl w:val="nil"/>
                  </w:tcBorders>
                  <w:vAlign w:val="center"/>
                </w:tcPr>
                <w:p w14:paraId="3FB840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w:t>
                  </w:r>
                </w:p>
              </w:tc>
              <w:tc>
                <w:tcPr>
                  <w:tcW w:w="978" w:type="pct"/>
                  <w:tcBorders>
                    <w:tl2br w:val="nil"/>
                    <w:tr2bl w:val="nil"/>
                  </w:tcBorders>
                  <w:vAlign w:val="center"/>
                </w:tcPr>
                <w:p w14:paraId="4A1090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w:t>
                  </w:r>
                </w:p>
              </w:tc>
            </w:tr>
            <w:tr w14:paraId="727E4DE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566" w:type="pct"/>
                  <w:tcBorders>
                    <w:tl2br w:val="nil"/>
                    <w:tr2bl w:val="nil"/>
                  </w:tcBorders>
                  <w:vAlign w:val="center"/>
                </w:tcPr>
                <w:p w14:paraId="77EBF5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8</w:t>
                  </w:r>
                </w:p>
              </w:tc>
              <w:tc>
                <w:tcPr>
                  <w:tcW w:w="207" w:type="pct"/>
                  <w:vMerge w:val="continue"/>
                  <w:tcBorders>
                    <w:tl2br w:val="nil"/>
                    <w:tr2bl w:val="nil"/>
                  </w:tcBorders>
                  <w:vAlign w:val="center"/>
                </w:tcPr>
                <w:p w14:paraId="07169A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FF"/>
                      <w:spacing w:val="0"/>
                      <w:sz w:val="21"/>
                      <w:szCs w:val="21"/>
                      <w:highlight w:val="none"/>
                      <w:lang w:eastAsia="zh-CN"/>
                    </w:rPr>
                  </w:pPr>
                </w:p>
              </w:tc>
              <w:tc>
                <w:tcPr>
                  <w:tcW w:w="602" w:type="pct"/>
                  <w:tcBorders>
                    <w:tl2br w:val="nil"/>
                    <w:tr2bl w:val="nil"/>
                  </w:tcBorders>
                  <w:vAlign w:val="center"/>
                </w:tcPr>
                <w:p w14:paraId="26C1D3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FF"/>
                      <w:spacing w:val="0"/>
                      <w:sz w:val="21"/>
                      <w:szCs w:val="21"/>
                      <w:highlight w:val="none"/>
                      <w:lang w:eastAsia="zh-CN"/>
                    </w:rPr>
                  </w:pPr>
                  <w:r>
                    <w:rPr>
                      <w:rFonts w:hint="default" w:ascii="Times New Roman" w:hAnsi="Times New Roman" w:eastAsia="宋体" w:cs="Times New Roman"/>
                      <w:color w:val="0000FF"/>
                      <w:spacing w:val="0"/>
                      <w:sz w:val="21"/>
                      <w:szCs w:val="21"/>
                      <w:highlight w:val="none"/>
                    </w:rPr>
                    <w:t>废水</w:t>
                  </w:r>
                  <w:r>
                    <w:rPr>
                      <w:rFonts w:hint="eastAsia" w:ascii="Times New Roman" w:hAnsi="Times New Roman" w:eastAsia="宋体" w:cs="Times New Roman"/>
                      <w:color w:val="0000FF"/>
                      <w:spacing w:val="0"/>
                      <w:sz w:val="21"/>
                      <w:szCs w:val="21"/>
                      <w:highlight w:val="none"/>
                      <w:lang w:eastAsia="zh-CN"/>
                    </w:rPr>
                    <w:t>治理</w:t>
                  </w:r>
                </w:p>
              </w:tc>
              <w:tc>
                <w:tcPr>
                  <w:tcW w:w="2644" w:type="pct"/>
                  <w:tcBorders>
                    <w:tl2br w:val="nil"/>
                    <w:tr2bl w:val="nil"/>
                  </w:tcBorders>
                  <w:vAlign w:val="center"/>
                </w:tcPr>
                <w:p w14:paraId="010580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FF"/>
                      <w:spacing w:val="0"/>
                      <w:sz w:val="21"/>
                      <w:szCs w:val="21"/>
                      <w:highlight w:val="none"/>
                      <w:lang w:eastAsia="zh-CN"/>
                    </w:rPr>
                  </w:pPr>
                  <w:r>
                    <w:rPr>
                      <w:rFonts w:hint="eastAsia" w:cs="Times New Roman"/>
                      <w:color w:val="0000FF"/>
                      <w:spacing w:val="0"/>
                      <w:sz w:val="21"/>
                      <w:szCs w:val="21"/>
                      <w:highlight w:val="none"/>
                      <w:lang w:val="en-US" w:eastAsia="zh-CN"/>
                    </w:rPr>
                    <w:t>/</w:t>
                  </w:r>
                </w:p>
              </w:tc>
              <w:tc>
                <w:tcPr>
                  <w:tcW w:w="978" w:type="pct"/>
                  <w:tcBorders>
                    <w:tl2br w:val="nil"/>
                    <w:tr2bl w:val="nil"/>
                  </w:tcBorders>
                  <w:vAlign w:val="center"/>
                </w:tcPr>
                <w:p w14:paraId="64FEEC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FF"/>
                      <w:spacing w:val="0"/>
                      <w:sz w:val="21"/>
                      <w:szCs w:val="21"/>
                      <w:highlight w:val="none"/>
                      <w:lang w:val="en-US" w:eastAsia="zh-CN"/>
                    </w:rPr>
                  </w:pPr>
                  <w:r>
                    <w:rPr>
                      <w:rFonts w:hint="eastAsia" w:ascii="Times New Roman" w:hAnsi="Times New Roman" w:eastAsia="宋体" w:cs="Times New Roman"/>
                      <w:color w:val="0000FF"/>
                      <w:spacing w:val="0"/>
                      <w:sz w:val="21"/>
                      <w:szCs w:val="21"/>
                      <w:highlight w:val="none"/>
                      <w:lang w:val="en-US" w:eastAsia="zh-CN"/>
                    </w:rPr>
                    <w:t>/</w:t>
                  </w:r>
                </w:p>
              </w:tc>
            </w:tr>
            <w:tr w14:paraId="50551E3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566" w:type="pct"/>
                  <w:tcBorders>
                    <w:tl2br w:val="nil"/>
                    <w:tr2bl w:val="nil"/>
                  </w:tcBorders>
                  <w:vAlign w:val="center"/>
                </w:tcPr>
                <w:p w14:paraId="79FB8F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9</w:t>
                  </w:r>
                </w:p>
              </w:tc>
              <w:tc>
                <w:tcPr>
                  <w:tcW w:w="809" w:type="pct"/>
                  <w:gridSpan w:val="2"/>
                  <w:tcBorders>
                    <w:tl2br w:val="nil"/>
                    <w:tr2bl w:val="nil"/>
                  </w:tcBorders>
                  <w:vAlign w:val="center"/>
                </w:tcPr>
                <w:p w14:paraId="0F5273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FF"/>
                      <w:spacing w:val="0"/>
                      <w:sz w:val="21"/>
                      <w:szCs w:val="21"/>
                      <w:highlight w:val="none"/>
                      <w:lang w:eastAsia="zh-CN"/>
                    </w:rPr>
                  </w:pPr>
                  <w:r>
                    <w:rPr>
                      <w:rFonts w:hint="eastAsia" w:cs="Times New Roman"/>
                      <w:color w:val="0000FF"/>
                      <w:spacing w:val="0"/>
                      <w:sz w:val="21"/>
                      <w:szCs w:val="21"/>
                      <w:highlight w:val="none"/>
                      <w:lang w:eastAsia="zh-CN"/>
                    </w:rPr>
                    <w:t>硝酸储罐区</w:t>
                  </w:r>
                </w:p>
              </w:tc>
              <w:tc>
                <w:tcPr>
                  <w:tcW w:w="2644" w:type="pct"/>
                  <w:tcBorders>
                    <w:tl2br w:val="nil"/>
                    <w:tr2bl w:val="nil"/>
                  </w:tcBorders>
                  <w:vAlign w:val="center"/>
                </w:tcPr>
                <w:p w14:paraId="25E2C2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新建围堰、地面防渗、危险化学品标志</w:t>
                  </w:r>
                </w:p>
              </w:tc>
              <w:tc>
                <w:tcPr>
                  <w:tcW w:w="978" w:type="pct"/>
                  <w:tcBorders>
                    <w:tl2br w:val="nil"/>
                    <w:tr2bl w:val="nil"/>
                  </w:tcBorders>
                  <w:vAlign w:val="center"/>
                </w:tcPr>
                <w:p w14:paraId="6217FF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15</w:t>
                  </w:r>
                </w:p>
              </w:tc>
            </w:tr>
            <w:tr w14:paraId="6C5ABB0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6" w:type="pct"/>
                  <w:tcBorders>
                    <w:tl2br w:val="nil"/>
                    <w:tr2bl w:val="nil"/>
                  </w:tcBorders>
                  <w:vAlign w:val="center"/>
                </w:tcPr>
                <w:p w14:paraId="123DAA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10</w:t>
                  </w:r>
                </w:p>
              </w:tc>
              <w:tc>
                <w:tcPr>
                  <w:tcW w:w="809" w:type="pct"/>
                  <w:gridSpan w:val="2"/>
                  <w:tcBorders>
                    <w:tl2br w:val="nil"/>
                    <w:tr2bl w:val="nil"/>
                  </w:tcBorders>
                  <w:vAlign w:val="center"/>
                </w:tcPr>
                <w:p w14:paraId="32EF27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FF"/>
                      <w:spacing w:val="0"/>
                      <w:sz w:val="21"/>
                      <w:szCs w:val="21"/>
                      <w:highlight w:val="none"/>
                      <w:lang w:eastAsia="zh-CN"/>
                    </w:rPr>
                  </w:pPr>
                  <w:r>
                    <w:rPr>
                      <w:rFonts w:hint="eastAsia" w:ascii="Times New Roman" w:hAnsi="Times New Roman" w:eastAsia="宋体" w:cs="Times New Roman"/>
                      <w:color w:val="0000FF"/>
                      <w:spacing w:val="0"/>
                      <w:sz w:val="21"/>
                      <w:szCs w:val="21"/>
                      <w:highlight w:val="none"/>
                      <w:lang w:eastAsia="zh-CN"/>
                    </w:rPr>
                    <w:t>其他</w:t>
                  </w:r>
                </w:p>
              </w:tc>
              <w:tc>
                <w:tcPr>
                  <w:tcW w:w="2644" w:type="pct"/>
                  <w:tcBorders>
                    <w:tl2br w:val="nil"/>
                    <w:tr2bl w:val="nil"/>
                  </w:tcBorders>
                  <w:vAlign w:val="center"/>
                </w:tcPr>
                <w:p w14:paraId="176EF9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FF"/>
                      <w:spacing w:val="0"/>
                      <w:sz w:val="21"/>
                      <w:szCs w:val="21"/>
                      <w:highlight w:val="none"/>
                      <w:lang w:eastAsia="zh-CN"/>
                    </w:rPr>
                  </w:pPr>
                  <w:r>
                    <w:rPr>
                      <w:rFonts w:hint="eastAsia" w:ascii="Times New Roman" w:hAnsi="Times New Roman" w:eastAsia="宋体" w:cs="Times New Roman"/>
                      <w:color w:val="0000FF"/>
                      <w:spacing w:val="0"/>
                      <w:sz w:val="21"/>
                      <w:szCs w:val="21"/>
                      <w:highlight w:val="none"/>
                      <w:lang w:eastAsia="zh-CN"/>
                    </w:rPr>
                    <w:t>竣工验收、环境管理等费用</w:t>
                  </w:r>
                </w:p>
              </w:tc>
              <w:tc>
                <w:tcPr>
                  <w:tcW w:w="978" w:type="pct"/>
                  <w:tcBorders>
                    <w:tl2br w:val="nil"/>
                    <w:tr2bl w:val="nil"/>
                  </w:tcBorders>
                  <w:vAlign w:val="center"/>
                </w:tcPr>
                <w:p w14:paraId="54F5CC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8</w:t>
                  </w:r>
                </w:p>
              </w:tc>
            </w:tr>
            <w:tr w14:paraId="5389F98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4021" w:type="pct"/>
                  <w:gridSpan w:val="4"/>
                  <w:tcBorders>
                    <w:tl2br w:val="nil"/>
                    <w:tr2bl w:val="nil"/>
                  </w:tcBorders>
                  <w:vAlign w:val="center"/>
                </w:tcPr>
                <w:p w14:paraId="587140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eastAsia="宋体" w:cs="宋体"/>
                      <w:color w:val="0000FF"/>
                      <w:kern w:val="0"/>
                      <w:sz w:val="21"/>
                      <w:szCs w:val="21"/>
                      <w:lang w:val="en-US" w:eastAsia="zh-CN" w:bidi="ar"/>
                    </w:rPr>
                  </w:pPr>
                  <w:r>
                    <w:rPr>
                      <w:rFonts w:hint="default" w:ascii="宋体" w:hAnsi="宋体" w:eastAsia="宋体" w:cs="宋体"/>
                      <w:color w:val="0000FF"/>
                      <w:kern w:val="0"/>
                      <w:sz w:val="21"/>
                      <w:szCs w:val="21"/>
                      <w:lang w:val="en-US" w:eastAsia="zh-CN" w:bidi="ar"/>
                    </w:rPr>
                    <w:t>合计</w:t>
                  </w:r>
                </w:p>
              </w:tc>
              <w:tc>
                <w:tcPr>
                  <w:tcW w:w="978" w:type="pct"/>
                  <w:tcBorders>
                    <w:tl2br w:val="nil"/>
                    <w:tr2bl w:val="nil"/>
                  </w:tcBorders>
                  <w:vAlign w:val="center"/>
                </w:tcPr>
                <w:p w14:paraId="21AC19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30.4</w:t>
                  </w:r>
                  <w:r>
                    <w:rPr>
                      <w:rFonts w:hint="eastAsia" w:ascii="Times New Roman" w:hAnsi="Times New Roman" w:eastAsia="宋体" w:cs="Times New Roman"/>
                      <w:color w:val="0000FF"/>
                      <w:spacing w:val="0"/>
                      <w:sz w:val="21"/>
                      <w:szCs w:val="21"/>
                      <w:highlight w:val="none"/>
                      <w:lang w:val="en-US" w:eastAsia="zh-CN"/>
                    </w:rPr>
                    <w:t>万元</w:t>
                  </w:r>
                </w:p>
              </w:tc>
            </w:tr>
            <w:tr w14:paraId="59271B0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021" w:type="pct"/>
                  <w:gridSpan w:val="4"/>
                  <w:tcBorders>
                    <w:tl2br w:val="nil"/>
                    <w:tr2bl w:val="nil"/>
                  </w:tcBorders>
                  <w:vAlign w:val="center"/>
                </w:tcPr>
                <w:p w14:paraId="17952F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eastAsia="宋体" w:cs="宋体"/>
                      <w:color w:val="0000FF"/>
                      <w:kern w:val="0"/>
                      <w:sz w:val="21"/>
                      <w:szCs w:val="21"/>
                      <w:lang w:val="en-US" w:eastAsia="zh-CN" w:bidi="ar"/>
                    </w:rPr>
                  </w:pPr>
                  <w:r>
                    <w:rPr>
                      <w:rFonts w:hint="default" w:ascii="宋体" w:hAnsi="宋体" w:eastAsia="宋体" w:cs="宋体"/>
                      <w:color w:val="0000FF"/>
                      <w:kern w:val="0"/>
                      <w:sz w:val="21"/>
                      <w:szCs w:val="21"/>
                      <w:lang w:val="en-US" w:eastAsia="zh-CN" w:bidi="ar"/>
                    </w:rPr>
                    <w:t>总投资</w:t>
                  </w:r>
                </w:p>
              </w:tc>
              <w:tc>
                <w:tcPr>
                  <w:tcW w:w="978" w:type="pct"/>
                  <w:tcBorders>
                    <w:tl2br w:val="nil"/>
                    <w:tr2bl w:val="nil"/>
                  </w:tcBorders>
                  <w:vAlign w:val="center"/>
                </w:tcPr>
                <w:p w14:paraId="7F6EBC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lang w:val="en-US" w:eastAsia="zh-CN"/>
                    </w:rPr>
                  </w:pPr>
                  <w:r>
                    <w:rPr>
                      <w:rFonts w:hint="eastAsia" w:ascii="Times New Roman" w:hAnsi="Times New Roman" w:eastAsia="宋体" w:cs="Times New Roman"/>
                      <w:color w:val="0000FF"/>
                      <w:spacing w:val="0"/>
                      <w:sz w:val="21"/>
                      <w:szCs w:val="21"/>
                      <w:highlight w:val="none"/>
                      <w:lang w:val="en-US" w:eastAsia="zh-CN"/>
                    </w:rPr>
                    <w:t>400万元</w:t>
                  </w:r>
                </w:p>
              </w:tc>
            </w:tr>
            <w:tr w14:paraId="0AC3325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4021" w:type="pct"/>
                  <w:gridSpan w:val="4"/>
                  <w:tcBorders>
                    <w:tl2br w:val="nil"/>
                    <w:tr2bl w:val="nil"/>
                  </w:tcBorders>
                  <w:vAlign w:val="center"/>
                </w:tcPr>
                <w:p w14:paraId="1A574F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eastAsia="宋体" w:cs="宋体"/>
                      <w:color w:val="0000FF"/>
                      <w:kern w:val="0"/>
                      <w:sz w:val="21"/>
                      <w:szCs w:val="21"/>
                      <w:lang w:val="en-US" w:eastAsia="zh-CN" w:bidi="ar"/>
                    </w:rPr>
                  </w:pPr>
                  <w:r>
                    <w:rPr>
                      <w:rFonts w:hint="default" w:ascii="宋体" w:hAnsi="宋体" w:eastAsia="宋体" w:cs="宋体"/>
                      <w:color w:val="0000FF"/>
                      <w:kern w:val="0"/>
                      <w:sz w:val="21"/>
                      <w:szCs w:val="21"/>
                      <w:lang w:val="en-US" w:eastAsia="zh-CN" w:bidi="ar"/>
                    </w:rPr>
                    <w:t>环保投资占总投资比例</w:t>
                  </w:r>
                </w:p>
              </w:tc>
              <w:tc>
                <w:tcPr>
                  <w:tcW w:w="978" w:type="pct"/>
                  <w:tcBorders>
                    <w:tl2br w:val="nil"/>
                    <w:tr2bl w:val="nil"/>
                  </w:tcBorders>
                  <w:vAlign w:val="center"/>
                </w:tcPr>
                <w:p w14:paraId="119D9B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lang w:val="en-US" w:eastAsia="zh-CN"/>
                    </w:rPr>
                  </w:pPr>
                  <w:r>
                    <w:rPr>
                      <w:rFonts w:hint="eastAsia" w:cs="Times New Roman"/>
                      <w:color w:val="0000FF"/>
                      <w:spacing w:val="0"/>
                      <w:sz w:val="21"/>
                      <w:szCs w:val="21"/>
                      <w:highlight w:val="none"/>
                      <w:lang w:val="en-US" w:eastAsia="zh-CN"/>
                    </w:rPr>
                    <w:t>7.6</w:t>
                  </w:r>
                  <w:r>
                    <w:rPr>
                      <w:rFonts w:hint="eastAsia" w:ascii="Times New Roman" w:hAnsi="Times New Roman" w:eastAsia="宋体" w:cs="Times New Roman"/>
                      <w:color w:val="0000FF"/>
                      <w:spacing w:val="0"/>
                      <w:sz w:val="21"/>
                      <w:szCs w:val="21"/>
                      <w:highlight w:val="none"/>
                      <w:lang w:val="en-US" w:eastAsia="zh-CN"/>
                    </w:rPr>
                    <w:t>%</w:t>
                  </w:r>
                </w:p>
              </w:tc>
            </w:tr>
          </w:tbl>
          <w:p w14:paraId="03144914">
            <w:pPr>
              <w:pStyle w:val="30"/>
              <w:keepNext w:val="0"/>
              <w:keepLines w:val="0"/>
              <w:pageBreakBefore w:val="0"/>
              <w:widowControl/>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10、</w:t>
            </w:r>
            <w:r>
              <w:rPr>
                <w:rFonts w:hint="eastAsia" w:eastAsia="宋体" w:cs="Times New Roman"/>
                <w:b/>
                <w:bCs/>
                <w:color w:val="000000" w:themeColor="text1"/>
                <w:kern w:val="0"/>
                <w:sz w:val="24"/>
                <w:szCs w:val="24"/>
                <w:lang w:val="en-US" w:eastAsia="zh-CN" w:bidi="ar"/>
                <w14:textFill>
                  <w14:solidFill>
                    <w14:schemeClr w14:val="tx1"/>
                  </w14:solidFill>
                </w14:textFill>
              </w:rPr>
              <w:t>本项目建成后全厂污染物排放“三笔账”</w:t>
            </w:r>
          </w:p>
          <w:p w14:paraId="25DF631E">
            <w:pPr>
              <w:pStyle w:val="34"/>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val="0"/>
                <w:bCs/>
                <w:color w:val="000000" w:themeColor="text1"/>
                <w:sz w:val="24"/>
                <w:szCs w:val="24"/>
                <w:lang w:val="en-US" w:eastAsia="zh-CN" w:bidi="ar-SA"/>
                <w14:textFill>
                  <w14:solidFill>
                    <w14:schemeClr w14:val="tx1"/>
                  </w14:solidFill>
                </w14:textFill>
              </w:rPr>
              <w:t>项</w:t>
            </w:r>
            <w:r>
              <w:rPr>
                <w:rFonts w:hint="eastAsia" w:ascii="宋体" w:hAnsi="宋体" w:eastAsia="宋体" w:cs="宋体"/>
                <w:b w:val="0"/>
                <w:bCs/>
                <w:color w:val="000000" w:themeColor="text1"/>
                <w:sz w:val="24"/>
                <w:szCs w:val="24"/>
                <w:lang w:val="en-US" w:eastAsia="zh-CN" w:bidi="ar-SA"/>
                <w14:textFill>
                  <w14:solidFill>
                    <w14:schemeClr w14:val="tx1"/>
                  </w14:solidFill>
                </w14:textFill>
              </w:rPr>
              <w:t>目</w:t>
            </w:r>
            <w:r>
              <w:rPr>
                <w:rFonts w:hint="eastAsia" w:cs="宋体"/>
                <w:b w:val="0"/>
                <w:bCs/>
                <w:color w:val="000000" w:themeColor="text1"/>
                <w:sz w:val="24"/>
                <w:szCs w:val="24"/>
                <w:lang w:val="en-US" w:eastAsia="zh-CN" w:bidi="ar-SA"/>
                <w14:textFill>
                  <w14:solidFill>
                    <w14:schemeClr w14:val="tx1"/>
                  </w14:solidFill>
                </w14:textFill>
              </w:rPr>
              <w:t>建成后全厂污染物排放情况“三笔账”</w:t>
            </w:r>
            <w:r>
              <w:rPr>
                <w:rFonts w:hint="eastAsia" w:ascii="宋体" w:hAnsi="宋体" w:eastAsia="宋体" w:cs="宋体"/>
                <w:b w:val="0"/>
                <w:bCs/>
                <w:color w:val="000000" w:themeColor="text1"/>
                <w:sz w:val="24"/>
                <w:szCs w:val="24"/>
                <w:lang w:val="en-US" w:eastAsia="zh-CN" w:bidi="ar-SA"/>
                <w14:textFill>
                  <w14:solidFill>
                    <w14:schemeClr w14:val="tx1"/>
                  </w14:solidFill>
                </w14:textFill>
              </w:rPr>
              <w:t>见</w:t>
            </w:r>
            <w:r>
              <w:rPr>
                <w:rFonts w:hint="eastAsia" w:cs="宋体"/>
                <w:b w:val="0"/>
                <w:bCs/>
                <w:color w:val="000000" w:themeColor="text1"/>
                <w:sz w:val="24"/>
                <w:szCs w:val="24"/>
                <w:lang w:val="en-US" w:eastAsia="zh-CN" w:bidi="ar-SA"/>
                <w14:textFill>
                  <w14:solidFill>
                    <w14:schemeClr w14:val="tx1"/>
                  </w14:solidFill>
                </w14:textFill>
              </w:rPr>
              <w:t>下</w:t>
            </w:r>
            <w:r>
              <w:rPr>
                <w:rFonts w:hint="eastAsia" w:ascii="宋体" w:hAnsi="宋体" w:eastAsia="宋体" w:cs="宋体"/>
                <w:b w:val="0"/>
                <w:bCs/>
                <w:color w:val="000000" w:themeColor="text1"/>
                <w:sz w:val="24"/>
                <w:szCs w:val="24"/>
                <w:lang w:val="en-US" w:eastAsia="zh-CN" w:bidi="ar-SA"/>
                <w14:textFill>
                  <w14:solidFill>
                    <w14:schemeClr w14:val="tx1"/>
                  </w14:solidFill>
                </w14:textFill>
              </w:rPr>
              <w:t>表</w:t>
            </w:r>
            <w:r>
              <w:rPr>
                <w:rFonts w:hint="default" w:ascii="Times New Roman" w:hAnsi="Times New Roman" w:eastAsia="Times New Roman" w:cs="Times New Roman"/>
                <w:b w:val="0"/>
                <w:bCs/>
                <w:color w:val="000000" w:themeColor="text1"/>
                <w:sz w:val="24"/>
                <w:szCs w:val="24"/>
                <w:lang w:val="en-US" w:eastAsia="zh-CN" w:bidi="ar-SA"/>
                <w14:textFill>
                  <w14:solidFill>
                    <w14:schemeClr w14:val="tx1"/>
                  </w14:solidFill>
                </w14:textFill>
              </w:rPr>
              <w:t>。</w:t>
            </w:r>
          </w:p>
          <w:p w14:paraId="5EF47D83">
            <w:pPr>
              <w:pStyle w:val="3"/>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bookmarkStart w:id="10" w:name="_Toc421"/>
            <w: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表4-</w:t>
            </w:r>
            <w:r>
              <w:rPr>
                <w:rFonts w:hint="eastAsia" w:cs="Times New Roman"/>
                <w:b/>
                <w:bCs/>
                <w:color w:val="000000" w:themeColor="text1"/>
                <w:kern w:val="2"/>
                <w:sz w:val="21"/>
                <w:szCs w:val="21"/>
                <w:lang w:val="en-US" w:eastAsia="zh-CN" w:bidi="ar-SA"/>
                <w14:textFill>
                  <w14:solidFill>
                    <w14:schemeClr w14:val="tx1"/>
                  </w14:solidFill>
                </w14:textFill>
              </w:rPr>
              <w:t>11</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w:t>
            </w:r>
            <w:bookmarkEnd w:id="10"/>
            <w:r>
              <w:rPr>
                <w:rFonts w:hint="eastAsia" w:ascii="宋体" w:hAnsi="宋体" w:cs="宋体"/>
                <w:b/>
                <w:bCs/>
                <w:color w:val="000000" w:themeColor="text1"/>
                <w:kern w:val="2"/>
                <w:sz w:val="21"/>
                <w:szCs w:val="21"/>
                <w:lang w:val="en-US" w:eastAsia="zh-CN" w:bidi="ar-SA"/>
                <w14:textFill>
                  <w14:solidFill>
                    <w14:schemeClr w14:val="tx1"/>
                  </w14:solidFill>
                </w14:textFill>
              </w:rPr>
              <w:t>项目建成后全厂污染物排放“三笔账”</w:t>
            </w:r>
          </w:p>
          <w:tbl>
            <w:tblPr>
              <w:tblStyle w:val="22"/>
              <w:tblW w:w="840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84"/>
              <w:gridCol w:w="690"/>
              <w:gridCol w:w="721"/>
              <w:gridCol w:w="1613"/>
              <w:gridCol w:w="960"/>
              <w:gridCol w:w="786"/>
              <w:gridCol w:w="1050"/>
              <w:gridCol w:w="1044"/>
              <w:gridCol w:w="960"/>
            </w:tblGrid>
            <w:tr w14:paraId="5D6C7A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4" w:type="dxa"/>
                  <w:tcBorders>
                    <w:tl2br w:val="nil"/>
                    <w:tr2bl w:val="nil"/>
                  </w:tcBorders>
                  <w:vAlign w:val="center"/>
                </w:tcPr>
                <w:p w14:paraId="645F2B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类别</w:t>
                  </w:r>
                </w:p>
              </w:tc>
              <w:tc>
                <w:tcPr>
                  <w:tcW w:w="1411" w:type="dxa"/>
                  <w:gridSpan w:val="2"/>
                  <w:tcBorders>
                    <w:tl2br w:val="nil"/>
                    <w:tr2bl w:val="nil"/>
                  </w:tcBorders>
                  <w:vAlign w:val="center"/>
                </w:tcPr>
                <w:p w14:paraId="054042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污染物</w:t>
                  </w:r>
                </w:p>
              </w:tc>
              <w:tc>
                <w:tcPr>
                  <w:tcW w:w="1613" w:type="dxa"/>
                  <w:tcBorders>
                    <w:tl2br w:val="nil"/>
                    <w:tr2bl w:val="nil"/>
                  </w:tcBorders>
                  <w:vAlign w:val="center"/>
                </w:tcPr>
                <w:p w14:paraId="410B70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pPr>
                  <w:r>
                    <w:rPr>
                      <w:rFonts w:hint="eastAsia" w:cs="Times New Roman"/>
                      <w:b/>
                      <w:bCs/>
                      <w:color w:val="000000" w:themeColor="text1"/>
                      <w:spacing w:val="0"/>
                      <w:sz w:val="21"/>
                      <w:szCs w:val="21"/>
                      <w:highlight w:val="none"/>
                      <w:lang w:eastAsia="zh-CN"/>
                      <w14:textFill>
                        <w14:solidFill>
                          <w14:schemeClr w14:val="tx1"/>
                        </w14:solidFill>
                      </w14:textFill>
                    </w:rPr>
                    <w:t>现有工程实际排放量</w:t>
                  </w:r>
                </w:p>
              </w:tc>
              <w:tc>
                <w:tcPr>
                  <w:tcW w:w="960" w:type="dxa"/>
                  <w:tcBorders>
                    <w:tl2br w:val="nil"/>
                    <w:tr2bl w:val="nil"/>
                  </w:tcBorders>
                  <w:vAlign w:val="center"/>
                </w:tcPr>
                <w:p w14:paraId="4B9D89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pPr>
                  <w:r>
                    <w:rPr>
                      <w:rFonts w:hint="eastAsia" w:cs="Times New Roman"/>
                      <w:b/>
                      <w:bCs/>
                      <w:color w:val="000000" w:themeColor="text1"/>
                      <w:spacing w:val="0"/>
                      <w:sz w:val="21"/>
                      <w:szCs w:val="21"/>
                      <w:highlight w:val="none"/>
                      <w:lang w:eastAsia="zh-CN"/>
                      <w14:textFill>
                        <w14:solidFill>
                          <w14:schemeClr w14:val="tx1"/>
                        </w14:solidFill>
                      </w14:textFill>
                    </w:rPr>
                    <w:t>现有工程许可排放量</w:t>
                  </w:r>
                </w:p>
              </w:tc>
              <w:tc>
                <w:tcPr>
                  <w:tcW w:w="786" w:type="dxa"/>
                  <w:tcBorders>
                    <w:tl2br w:val="nil"/>
                    <w:tr2bl w:val="nil"/>
                  </w:tcBorders>
                  <w:vAlign w:val="center"/>
                </w:tcPr>
                <w:p w14:paraId="1D8B10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pPr>
                  <w:r>
                    <w:rPr>
                      <w:rFonts w:hint="eastAsia" w:cs="Times New Roman"/>
                      <w:b/>
                      <w:bCs/>
                      <w:color w:val="000000" w:themeColor="text1"/>
                      <w:spacing w:val="0"/>
                      <w:sz w:val="21"/>
                      <w:szCs w:val="21"/>
                      <w:highlight w:val="none"/>
                      <w:lang w:eastAsia="zh-CN"/>
                      <w14:textFill>
                        <w14:solidFill>
                          <w14:schemeClr w14:val="tx1"/>
                        </w14:solidFill>
                      </w14:textFill>
                    </w:rPr>
                    <w:t>本次扩建工程</w:t>
                  </w:r>
                </w:p>
              </w:tc>
              <w:tc>
                <w:tcPr>
                  <w:tcW w:w="1050" w:type="dxa"/>
                  <w:tcBorders>
                    <w:tl2br w:val="nil"/>
                    <w:tr2bl w:val="nil"/>
                  </w:tcBorders>
                  <w:vAlign w:val="center"/>
                </w:tcPr>
                <w:p w14:paraId="6333AD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pPr>
                  <w:r>
                    <w:rPr>
                      <w:rFonts w:hint="eastAsia" w:cs="Times New Roman"/>
                      <w:b/>
                      <w:bCs/>
                      <w:color w:val="000000" w:themeColor="text1"/>
                      <w:spacing w:val="0"/>
                      <w:sz w:val="21"/>
                      <w:szCs w:val="21"/>
                      <w:highlight w:val="none"/>
                      <w:lang w:eastAsia="zh-CN"/>
                      <w14:textFill>
                        <w14:solidFill>
                          <w14:schemeClr w14:val="tx1"/>
                        </w14:solidFill>
                      </w14:textFill>
                    </w:rPr>
                    <w:t>“以新带老”削减量</w:t>
                  </w:r>
                </w:p>
              </w:tc>
              <w:tc>
                <w:tcPr>
                  <w:tcW w:w="1044" w:type="dxa"/>
                  <w:tcBorders>
                    <w:tl2br w:val="nil"/>
                    <w:tr2bl w:val="nil"/>
                  </w:tcBorders>
                  <w:vAlign w:val="center"/>
                </w:tcPr>
                <w:p w14:paraId="6B7BDE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pPr>
                  <w:r>
                    <w:rPr>
                      <w:rFonts w:hint="eastAsia" w:cs="Times New Roman"/>
                      <w:b/>
                      <w:bCs/>
                      <w:color w:val="000000" w:themeColor="text1"/>
                      <w:spacing w:val="0"/>
                      <w:sz w:val="21"/>
                      <w:szCs w:val="21"/>
                      <w:highlight w:val="none"/>
                      <w:lang w:eastAsia="zh-CN"/>
                      <w14:textFill>
                        <w14:solidFill>
                          <w14:schemeClr w14:val="tx1"/>
                        </w14:solidFill>
                      </w14:textFill>
                    </w:rPr>
                    <w:t>本次工程完成后全厂排放量</w:t>
                  </w:r>
                </w:p>
              </w:tc>
              <w:tc>
                <w:tcPr>
                  <w:tcW w:w="960" w:type="dxa"/>
                  <w:tcBorders>
                    <w:tl2br w:val="nil"/>
                    <w:tr2bl w:val="nil"/>
                  </w:tcBorders>
                  <w:vAlign w:val="center"/>
                </w:tcPr>
                <w:p w14:paraId="16D517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
                      <w:bCs/>
                      <w:color w:val="000000" w:themeColor="text1"/>
                      <w:spacing w:val="0"/>
                      <w:sz w:val="21"/>
                      <w:szCs w:val="21"/>
                      <w:highlight w:val="none"/>
                      <w:lang w:eastAsia="zh-CN"/>
                      <w14:textFill>
                        <w14:solidFill>
                          <w14:schemeClr w14:val="tx1"/>
                        </w14:solidFill>
                      </w14:textFill>
                    </w:rPr>
                  </w:pPr>
                  <w:r>
                    <w:rPr>
                      <w:rFonts w:hint="eastAsia" w:cs="Times New Roman"/>
                      <w:b/>
                      <w:bCs/>
                      <w:color w:val="000000" w:themeColor="text1"/>
                      <w:spacing w:val="0"/>
                      <w:sz w:val="21"/>
                      <w:szCs w:val="21"/>
                      <w:highlight w:val="none"/>
                      <w:lang w:eastAsia="zh-CN"/>
                      <w14:textFill>
                        <w14:solidFill>
                          <w14:schemeClr w14:val="tx1"/>
                        </w14:solidFill>
                      </w14:textFill>
                    </w:rPr>
                    <w:t>增加量</w:t>
                  </w:r>
                </w:p>
              </w:tc>
            </w:tr>
            <w:tr w14:paraId="0092BF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584" w:type="dxa"/>
                  <w:vMerge w:val="restart"/>
                  <w:tcBorders>
                    <w:tl2br w:val="nil"/>
                    <w:tr2bl w:val="nil"/>
                  </w:tcBorders>
                  <w:vAlign w:val="center"/>
                </w:tcPr>
                <w:p w14:paraId="1DAAB1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废气</w:t>
                  </w:r>
                </w:p>
              </w:tc>
              <w:tc>
                <w:tcPr>
                  <w:tcW w:w="690" w:type="dxa"/>
                  <w:vMerge w:val="restart"/>
                  <w:tcBorders>
                    <w:tl2br w:val="nil"/>
                    <w:tr2bl w:val="nil"/>
                  </w:tcBorders>
                  <w:vAlign w:val="center"/>
                </w:tcPr>
                <w:p w14:paraId="4201BD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DA010</w:t>
                  </w:r>
                </w:p>
              </w:tc>
              <w:tc>
                <w:tcPr>
                  <w:tcW w:w="721" w:type="dxa"/>
                  <w:tcBorders>
                    <w:tl2br w:val="nil"/>
                    <w:tr2bl w:val="nil"/>
                  </w:tcBorders>
                  <w:vAlign w:val="center"/>
                </w:tcPr>
                <w:p w14:paraId="1A9B53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颗粒物</w:t>
                  </w:r>
                </w:p>
              </w:tc>
              <w:tc>
                <w:tcPr>
                  <w:tcW w:w="1613" w:type="dxa"/>
                  <w:tcBorders>
                    <w:tl2br w:val="nil"/>
                    <w:tr2bl w:val="nil"/>
                  </w:tcBorders>
                  <w:vAlign w:val="center"/>
                </w:tcPr>
                <w:p w14:paraId="639456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37.474t/a</w:t>
                  </w:r>
                </w:p>
              </w:tc>
              <w:tc>
                <w:tcPr>
                  <w:tcW w:w="960" w:type="dxa"/>
                  <w:tcBorders>
                    <w:tl2br w:val="nil"/>
                    <w:tr2bl w:val="nil"/>
                  </w:tcBorders>
                  <w:vAlign w:val="center"/>
                </w:tcPr>
                <w:p w14:paraId="6EAF0A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45t/a</w:t>
                  </w:r>
                </w:p>
              </w:tc>
              <w:tc>
                <w:tcPr>
                  <w:tcW w:w="786" w:type="dxa"/>
                  <w:tcBorders>
                    <w:tl2br w:val="nil"/>
                    <w:tr2bl w:val="nil"/>
                  </w:tcBorders>
                  <w:vAlign w:val="center"/>
                </w:tcPr>
                <w:p w14:paraId="063AF3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3A3A60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572865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37.474t/a</w:t>
                  </w:r>
                </w:p>
              </w:tc>
              <w:tc>
                <w:tcPr>
                  <w:tcW w:w="960" w:type="dxa"/>
                  <w:tcBorders>
                    <w:tl2br w:val="nil"/>
                    <w:tr2bl w:val="nil"/>
                  </w:tcBorders>
                  <w:vAlign w:val="center"/>
                </w:tcPr>
                <w:p w14:paraId="74271B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0FB613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584" w:type="dxa"/>
                  <w:vMerge w:val="continue"/>
                  <w:tcBorders>
                    <w:tl2br w:val="nil"/>
                    <w:tr2bl w:val="nil"/>
                  </w:tcBorders>
                  <w:vAlign w:val="center"/>
                </w:tcPr>
                <w:p w14:paraId="2264CF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690" w:type="dxa"/>
                  <w:vMerge w:val="continue"/>
                  <w:tcBorders>
                    <w:tl2br w:val="nil"/>
                    <w:tr2bl w:val="nil"/>
                  </w:tcBorders>
                  <w:vAlign w:val="center"/>
                </w:tcPr>
                <w:p w14:paraId="26337F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721" w:type="dxa"/>
                  <w:tcBorders>
                    <w:tl2br w:val="nil"/>
                    <w:tr2bl w:val="nil"/>
                  </w:tcBorders>
                  <w:vAlign w:val="center"/>
                </w:tcPr>
                <w:p w14:paraId="2ED7F6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氨气</w:t>
                  </w:r>
                </w:p>
              </w:tc>
              <w:tc>
                <w:tcPr>
                  <w:tcW w:w="1613" w:type="dxa"/>
                  <w:tcBorders>
                    <w:tl2br w:val="nil"/>
                    <w:tr2bl w:val="nil"/>
                  </w:tcBorders>
                  <w:vAlign w:val="center"/>
                </w:tcPr>
                <w:p w14:paraId="0DC86C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62.458t/a</w:t>
                  </w:r>
                </w:p>
              </w:tc>
              <w:tc>
                <w:tcPr>
                  <w:tcW w:w="960" w:type="dxa"/>
                  <w:tcBorders>
                    <w:tl2br w:val="nil"/>
                    <w:tr2bl w:val="nil"/>
                  </w:tcBorders>
                  <w:vAlign w:val="center"/>
                </w:tcPr>
                <w:p w14:paraId="4735F5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75t/a</w:t>
                  </w:r>
                </w:p>
              </w:tc>
              <w:tc>
                <w:tcPr>
                  <w:tcW w:w="786" w:type="dxa"/>
                  <w:tcBorders>
                    <w:tl2br w:val="nil"/>
                    <w:tr2bl w:val="nil"/>
                  </w:tcBorders>
                  <w:vAlign w:val="center"/>
                </w:tcPr>
                <w:p w14:paraId="52ACEB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7C9D58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6CF999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62.458t/a</w:t>
                  </w:r>
                </w:p>
              </w:tc>
              <w:tc>
                <w:tcPr>
                  <w:tcW w:w="960" w:type="dxa"/>
                  <w:tcBorders>
                    <w:tl2br w:val="nil"/>
                    <w:tr2bl w:val="nil"/>
                  </w:tcBorders>
                  <w:vAlign w:val="center"/>
                </w:tcPr>
                <w:p w14:paraId="4AF923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072AFA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1" w:hRule="atLeast"/>
                <w:jc w:val="center"/>
              </w:trPr>
              <w:tc>
                <w:tcPr>
                  <w:tcW w:w="584" w:type="dxa"/>
                  <w:vMerge w:val="continue"/>
                  <w:tcBorders>
                    <w:tl2br w:val="nil"/>
                    <w:tr2bl w:val="nil"/>
                  </w:tcBorders>
                  <w:vAlign w:val="center"/>
                </w:tcPr>
                <w:p w14:paraId="596D2A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690" w:type="dxa"/>
                  <w:vMerge w:val="restart"/>
                  <w:tcBorders>
                    <w:tl2br w:val="nil"/>
                    <w:tr2bl w:val="nil"/>
                  </w:tcBorders>
                  <w:vAlign w:val="center"/>
                </w:tcPr>
                <w:p w14:paraId="3B0600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DA002</w:t>
                  </w:r>
                </w:p>
              </w:tc>
              <w:tc>
                <w:tcPr>
                  <w:tcW w:w="721" w:type="dxa"/>
                  <w:tcBorders>
                    <w:tl2br w:val="nil"/>
                    <w:tr2bl w:val="nil"/>
                  </w:tcBorders>
                  <w:vAlign w:val="center"/>
                </w:tcPr>
                <w:p w14:paraId="62B7D8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林格曼黑度</w:t>
                  </w:r>
                </w:p>
              </w:tc>
              <w:tc>
                <w:tcPr>
                  <w:tcW w:w="1613" w:type="dxa"/>
                  <w:tcBorders>
                    <w:tl2br w:val="nil"/>
                    <w:tr2bl w:val="nil"/>
                  </w:tcBorders>
                  <w:vAlign w:val="center"/>
                </w:tcPr>
                <w:p w14:paraId="7AA1BB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960" w:type="dxa"/>
                  <w:tcBorders>
                    <w:tl2br w:val="nil"/>
                    <w:tr2bl w:val="nil"/>
                  </w:tcBorders>
                  <w:vAlign w:val="center"/>
                </w:tcPr>
                <w:p w14:paraId="58AE24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2106B1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1050" w:type="dxa"/>
                  <w:tcBorders>
                    <w:tl2br w:val="nil"/>
                    <w:tr2bl w:val="nil"/>
                  </w:tcBorders>
                  <w:vAlign w:val="center"/>
                </w:tcPr>
                <w:p w14:paraId="34CE26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1044" w:type="dxa"/>
                  <w:tcBorders>
                    <w:tl2br w:val="nil"/>
                    <w:tr2bl w:val="nil"/>
                  </w:tcBorders>
                  <w:shd w:val="clear" w:color="auto" w:fill="auto"/>
                  <w:vAlign w:val="center"/>
                </w:tcPr>
                <w:p w14:paraId="43D0AB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960" w:type="dxa"/>
                  <w:tcBorders>
                    <w:tl2br w:val="nil"/>
                    <w:tr2bl w:val="nil"/>
                  </w:tcBorders>
                  <w:vAlign w:val="center"/>
                </w:tcPr>
                <w:p w14:paraId="1E3374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r>
            <w:tr w14:paraId="0EADA2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1" w:hRule="atLeast"/>
                <w:jc w:val="center"/>
              </w:trPr>
              <w:tc>
                <w:tcPr>
                  <w:tcW w:w="584" w:type="dxa"/>
                  <w:vMerge w:val="continue"/>
                  <w:tcBorders>
                    <w:tl2br w:val="nil"/>
                    <w:tr2bl w:val="nil"/>
                  </w:tcBorders>
                  <w:vAlign w:val="center"/>
                </w:tcPr>
                <w:p w14:paraId="327246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14:textFill>
                        <w14:solidFill>
                          <w14:schemeClr w14:val="tx1"/>
                        </w14:solidFill>
                      </w14:textFill>
                    </w:rPr>
                  </w:pPr>
                </w:p>
              </w:tc>
              <w:tc>
                <w:tcPr>
                  <w:tcW w:w="690" w:type="dxa"/>
                  <w:vMerge w:val="continue"/>
                  <w:tcBorders>
                    <w:tl2br w:val="nil"/>
                    <w:tr2bl w:val="nil"/>
                  </w:tcBorders>
                  <w:vAlign w:val="center"/>
                </w:tcPr>
                <w:p w14:paraId="317ACB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14:textFill>
                        <w14:solidFill>
                          <w14:schemeClr w14:val="tx1"/>
                        </w14:solidFill>
                      </w14:textFill>
                    </w:rPr>
                  </w:pPr>
                </w:p>
              </w:tc>
              <w:tc>
                <w:tcPr>
                  <w:tcW w:w="721" w:type="dxa"/>
                  <w:tcBorders>
                    <w:tl2br w:val="nil"/>
                    <w:tr2bl w:val="nil"/>
                  </w:tcBorders>
                  <w:vAlign w:val="center"/>
                </w:tcPr>
                <w:p w14:paraId="6D6162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氮氧化物</w:t>
                  </w:r>
                </w:p>
              </w:tc>
              <w:tc>
                <w:tcPr>
                  <w:tcW w:w="1613" w:type="dxa"/>
                  <w:tcBorders>
                    <w:tl2br w:val="nil"/>
                    <w:tr2bl w:val="nil"/>
                  </w:tcBorders>
                  <w:vAlign w:val="center"/>
                </w:tcPr>
                <w:p w14:paraId="16727D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4.815t/a</w:t>
                  </w:r>
                </w:p>
              </w:tc>
              <w:tc>
                <w:tcPr>
                  <w:tcW w:w="960" w:type="dxa"/>
                  <w:tcBorders>
                    <w:tl2br w:val="nil"/>
                    <w:tr2bl w:val="nil"/>
                  </w:tcBorders>
                  <w:vAlign w:val="center"/>
                </w:tcPr>
                <w:p w14:paraId="7F657C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61.02t/a</w:t>
                  </w:r>
                </w:p>
              </w:tc>
              <w:tc>
                <w:tcPr>
                  <w:tcW w:w="786" w:type="dxa"/>
                  <w:tcBorders>
                    <w:tl2br w:val="nil"/>
                    <w:tr2bl w:val="nil"/>
                  </w:tcBorders>
                  <w:vAlign w:val="center"/>
                </w:tcPr>
                <w:p w14:paraId="0E12E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393C2D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2CD1FF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4.815t/a</w:t>
                  </w:r>
                </w:p>
              </w:tc>
              <w:tc>
                <w:tcPr>
                  <w:tcW w:w="960" w:type="dxa"/>
                  <w:tcBorders>
                    <w:tl2br w:val="nil"/>
                    <w:tr2bl w:val="nil"/>
                  </w:tcBorders>
                  <w:vAlign w:val="center"/>
                </w:tcPr>
                <w:p w14:paraId="65B3C9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7F8DB6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1" w:hRule="atLeast"/>
                <w:jc w:val="center"/>
              </w:trPr>
              <w:tc>
                <w:tcPr>
                  <w:tcW w:w="584" w:type="dxa"/>
                  <w:vMerge w:val="continue"/>
                  <w:tcBorders>
                    <w:tl2br w:val="nil"/>
                    <w:tr2bl w:val="nil"/>
                  </w:tcBorders>
                  <w:vAlign w:val="center"/>
                </w:tcPr>
                <w:p w14:paraId="21458E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690" w:type="dxa"/>
                  <w:vMerge w:val="continue"/>
                  <w:tcBorders>
                    <w:tl2br w:val="nil"/>
                    <w:tr2bl w:val="nil"/>
                  </w:tcBorders>
                  <w:vAlign w:val="center"/>
                </w:tcPr>
                <w:p w14:paraId="65104D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vAlign w:val="center"/>
                </w:tcPr>
                <w:p w14:paraId="582F17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二氧化硫</w:t>
                  </w:r>
                </w:p>
              </w:tc>
              <w:tc>
                <w:tcPr>
                  <w:tcW w:w="1613" w:type="dxa"/>
                  <w:tcBorders>
                    <w:tl2br w:val="nil"/>
                    <w:tr2bl w:val="nil"/>
                  </w:tcBorders>
                  <w:vAlign w:val="center"/>
                </w:tcPr>
                <w:p w14:paraId="102A39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0.174t/a</w:t>
                  </w:r>
                </w:p>
              </w:tc>
              <w:tc>
                <w:tcPr>
                  <w:tcW w:w="960" w:type="dxa"/>
                  <w:tcBorders>
                    <w:tl2br w:val="nil"/>
                    <w:tr2bl w:val="nil"/>
                  </w:tcBorders>
                  <w:vAlign w:val="center"/>
                </w:tcPr>
                <w:p w14:paraId="4E1161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04FF1E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151724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6F06F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0.174t/a</w:t>
                  </w:r>
                </w:p>
              </w:tc>
              <w:tc>
                <w:tcPr>
                  <w:tcW w:w="960" w:type="dxa"/>
                  <w:tcBorders>
                    <w:tl2br w:val="nil"/>
                    <w:tr2bl w:val="nil"/>
                  </w:tcBorders>
                  <w:vAlign w:val="center"/>
                </w:tcPr>
                <w:p w14:paraId="5CAD18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7237AC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1" w:hRule="atLeast"/>
                <w:jc w:val="center"/>
              </w:trPr>
              <w:tc>
                <w:tcPr>
                  <w:tcW w:w="584" w:type="dxa"/>
                  <w:vMerge w:val="continue"/>
                  <w:tcBorders>
                    <w:tl2br w:val="nil"/>
                    <w:tr2bl w:val="nil"/>
                  </w:tcBorders>
                  <w:vAlign w:val="center"/>
                </w:tcPr>
                <w:p w14:paraId="69A348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690" w:type="dxa"/>
                  <w:vMerge w:val="continue"/>
                  <w:tcBorders>
                    <w:tl2br w:val="nil"/>
                    <w:tr2bl w:val="nil"/>
                  </w:tcBorders>
                  <w:vAlign w:val="center"/>
                </w:tcPr>
                <w:p w14:paraId="52C77A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vAlign w:val="center"/>
                </w:tcPr>
                <w:p w14:paraId="646501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颗粒物</w:t>
                  </w:r>
                </w:p>
              </w:tc>
              <w:tc>
                <w:tcPr>
                  <w:tcW w:w="1613" w:type="dxa"/>
                  <w:tcBorders>
                    <w:tl2br w:val="nil"/>
                    <w:tr2bl w:val="nil"/>
                  </w:tcBorders>
                  <w:vAlign w:val="center"/>
                </w:tcPr>
                <w:p w14:paraId="3F46E1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0.769t/a</w:t>
                  </w:r>
                </w:p>
              </w:tc>
              <w:tc>
                <w:tcPr>
                  <w:tcW w:w="960" w:type="dxa"/>
                  <w:tcBorders>
                    <w:tl2br w:val="nil"/>
                    <w:tr2bl w:val="nil"/>
                  </w:tcBorders>
                  <w:vAlign w:val="center"/>
                </w:tcPr>
                <w:p w14:paraId="5F94D6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764DD8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3FC65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2A71E1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0.769t/a</w:t>
                  </w:r>
                </w:p>
              </w:tc>
              <w:tc>
                <w:tcPr>
                  <w:tcW w:w="960" w:type="dxa"/>
                  <w:tcBorders>
                    <w:tl2br w:val="nil"/>
                    <w:tr2bl w:val="nil"/>
                  </w:tcBorders>
                  <w:vAlign w:val="center"/>
                </w:tcPr>
                <w:p w14:paraId="33B71E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6F8A84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584" w:type="dxa"/>
                  <w:vMerge w:val="continue"/>
                  <w:tcBorders>
                    <w:tl2br w:val="nil"/>
                    <w:tr2bl w:val="nil"/>
                  </w:tcBorders>
                  <w:vAlign w:val="center"/>
                </w:tcPr>
                <w:p w14:paraId="3115BA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restart"/>
                  <w:tcBorders>
                    <w:tl2br w:val="nil"/>
                    <w:tr2bl w:val="nil"/>
                  </w:tcBorders>
                  <w:vAlign w:val="center"/>
                </w:tcPr>
                <w:p w14:paraId="5E4CAA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DA003</w:t>
                  </w:r>
                </w:p>
              </w:tc>
              <w:tc>
                <w:tcPr>
                  <w:tcW w:w="721" w:type="dxa"/>
                  <w:tcBorders>
                    <w:tl2br w:val="nil"/>
                    <w:tr2bl w:val="nil"/>
                  </w:tcBorders>
                  <w:vAlign w:val="center"/>
                </w:tcPr>
                <w:p w14:paraId="79AB2F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氨气</w:t>
                  </w:r>
                </w:p>
              </w:tc>
              <w:tc>
                <w:tcPr>
                  <w:tcW w:w="1613" w:type="dxa"/>
                  <w:tcBorders>
                    <w:tl2br w:val="nil"/>
                    <w:tr2bl w:val="nil"/>
                  </w:tcBorders>
                  <w:vAlign w:val="center"/>
                </w:tcPr>
                <w:p w14:paraId="22436C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0.628t/a</w:t>
                  </w:r>
                </w:p>
              </w:tc>
              <w:tc>
                <w:tcPr>
                  <w:tcW w:w="960" w:type="dxa"/>
                  <w:tcBorders>
                    <w:tl2br w:val="nil"/>
                    <w:tr2bl w:val="nil"/>
                  </w:tcBorders>
                  <w:vAlign w:val="center"/>
                </w:tcPr>
                <w:p w14:paraId="31FF75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123A0E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3256B9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44BAC6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0.628t/a</w:t>
                  </w:r>
                </w:p>
              </w:tc>
              <w:tc>
                <w:tcPr>
                  <w:tcW w:w="960" w:type="dxa"/>
                  <w:tcBorders>
                    <w:tl2br w:val="nil"/>
                    <w:tr2bl w:val="nil"/>
                  </w:tcBorders>
                  <w:vAlign w:val="center"/>
                </w:tcPr>
                <w:p w14:paraId="4D73D7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09BAEE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584" w:type="dxa"/>
                  <w:vMerge w:val="continue"/>
                  <w:tcBorders>
                    <w:tl2br w:val="nil"/>
                    <w:tr2bl w:val="nil"/>
                  </w:tcBorders>
                  <w:vAlign w:val="center"/>
                </w:tcPr>
                <w:p w14:paraId="319DEA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14:textFill>
                        <w14:solidFill>
                          <w14:schemeClr w14:val="tx1"/>
                        </w14:solidFill>
                      </w14:textFill>
                    </w:rPr>
                  </w:pPr>
                </w:p>
              </w:tc>
              <w:tc>
                <w:tcPr>
                  <w:tcW w:w="690" w:type="dxa"/>
                  <w:vMerge w:val="continue"/>
                  <w:tcBorders>
                    <w:tl2br w:val="nil"/>
                    <w:tr2bl w:val="nil"/>
                  </w:tcBorders>
                  <w:vAlign w:val="center"/>
                </w:tcPr>
                <w:p w14:paraId="332DFA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14:textFill>
                        <w14:solidFill>
                          <w14:schemeClr w14:val="tx1"/>
                        </w14:solidFill>
                      </w14:textFill>
                    </w:rPr>
                  </w:pPr>
                </w:p>
              </w:tc>
              <w:tc>
                <w:tcPr>
                  <w:tcW w:w="721" w:type="dxa"/>
                  <w:tcBorders>
                    <w:tl2br w:val="nil"/>
                    <w:tr2bl w:val="nil"/>
                  </w:tcBorders>
                  <w:vAlign w:val="center"/>
                </w:tcPr>
                <w:p w14:paraId="09EC48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eastAsia" w:cs="Times New Roman"/>
                      <w:color w:val="000000" w:themeColor="text1"/>
                      <w:spacing w:val="0"/>
                      <w:sz w:val="21"/>
                      <w:szCs w:val="21"/>
                      <w:highlight w:val="none"/>
                      <w:lang w:eastAsia="zh-CN"/>
                      <w14:textFill>
                        <w14:solidFill>
                          <w14:schemeClr w14:val="tx1"/>
                        </w14:solidFill>
                      </w14:textFill>
                    </w:rPr>
                    <w:t>颗粒物</w:t>
                  </w:r>
                </w:p>
              </w:tc>
              <w:tc>
                <w:tcPr>
                  <w:tcW w:w="1613" w:type="dxa"/>
                  <w:tcBorders>
                    <w:tl2br w:val="nil"/>
                    <w:tr2bl w:val="nil"/>
                  </w:tcBorders>
                  <w:vAlign w:val="center"/>
                </w:tcPr>
                <w:p w14:paraId="756250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0.915t/a</w:t>
                  </w:r>
                </w:p>
              </w:tc>
              <w:tc>
                <w:tcPr>
                  <w:tcW w:w="960" w:type="dxa"/>
                  <w:tcBorders>
                    <w:tl2br w:val="nil"/>
                    <w:tr2bl w:val="nil"/>
                  </w:tcBorders>
                  <w:vAlign w:val="center"/>
                </w:tcPr>
                <w:p w14:paraId="0E407C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375t/a</w:t>
                  </w:r>
                </w:p>
              </w:tc>
              <w:tc>
                <w:tcPr>
                  <w:tcW w:w="786" w:type="dxa"/>
                  <w:tcBorders>
                    <w:tl2br w:val="nil"/>
                    <w:tr2bl w:val="nil"/>
                  </w:tcBorders>
                  <w:vAlign w:val="center"/>
                </w:tcPr>
                <w:p w14:paraId="21949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317D3B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216D62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0.915t/a</w:t>
                  </w:r>
                </w:p>
              </w:tc>
              <w:tc>
                <w:tcPr>
                  <w:tcW w:w="960" w:type="dxa"/>
                  <w:tcBorders>
                    <w:tl2br w:val="nil"/>
                    <w:tr2bl w:val="nil"/>
                  </w:tcBorders>
                  <w:vAlign w:val="center"/>
                </w:tcPr>
                <w:p w14:paraId="08E53D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59B98A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0" w:hRule="atLeast"/>
                <w:jc w:val="center"/>
              </w:trPr>
              <w:tc>
                <w:tcPr>
                  <w:tcW w:w="584" w:type="dxa"/>
                  <w:vMerge w:val="continue"/>
                  <w:tcBorders>
                    <w:tl2br w:val="nil"/>
                    <w:tr2bl w:val="nil"/>
                  </w:tcBorders>
                  <w:vAlign w:val="center"/>
                </w:tcPr>
                <w:p w14:paraId="144BA6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restart"/>
                  <w:tcBorders>
                    <w:tl2br w:val="nil"/>
                    <w:tr2bl w:val="nil"/>
                  </w:tcBorders>
                  <w:vAlign w:val="center"/>
                </w:tcPr>
                <w:p w14:paraId="4C26BF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DA013</w:t>
                  </w:r>
                </w:p>
              </w:tc>
              <w:tc>
                <w:tcPr>
                  <w:tcW w:w="721" w:type="dxa"/>
                  <w:tcBorders>
                    <w:tl2br w:val="nil"/>
                    <w:tr2bl w:val="nil"/>
                  </w:tcBorders>
                  <w:shd w:val="clear" w:color="auto" w:fill="auto"/>
                  <w:vAlign w:val="center"/>
                </w:tcPr>
                <w:p w14:paraId="6FADF5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林格曼黑度</w:t>
                  </w:r>
                </w:p>
              </w:tc>
              <w:tc>
                <w:tcPr>
                  <w:tcW w:w="1613" w:type="dxa"/>
                  <w:tcBorders>
                    <w:tl2br w:val="nil"/>
                    <w:tr2bl w:val="nil"/>
                  </w:tcBorders>
                  <w:shd w:val="clear" w:color="auto" w:fill="auto"/>
                  <w:vAlign w:val="center"/>
                </w:tcPr>
                <w:p w14:paraId="567B17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960" w:type="dxa"/>
                  <w:tcBorders>
                    <w:tl2br w:val="nil"/>
                    <w:tr2bl w:val="nil"/>
                  </w:tcBorders>
                  <w:shd w:val="clear" w:color="auto" w:fill="auto"/>
                  <w:vAlign w:val="center"/>
                </w:tcPr>
                <w:p w14:paraId="2AF283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shd w:val="clear" w:color="auto" w:fill="auto"/>
                  <w:vAlign w:val="center"/>
                </w:tcPr>
                <w:p w14:paraId="058C0A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1050" w:type="dxa"/>
                  <w:tcBorders>
                    <w:tl2br w:val="nil"/>
                    <w:tr2bl w:val="nil"/>
                  </w:tcBorders>
                  <w:shd w:val="clear" w:color="auto" w:fill="auto"/>
                  <w:vAlign w:val="center"/>
                </w:tcPr>
                <w:p w14:paraId="5F5D67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1044" w:type="dxa"/>
                  <w:tcBorders>
                    <w:tl2br w:val="nil"/>
                    <w:tr2bl w:val="nil"/>
                  </w:tcBorders>
                  <w:shd w:val="clear" w:color="auto" w:fill="auto"/>
                  <w:vAlign w:val="center"/>
                </w:tcPr>
                <w:p w14:paraId="0B0CDB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960" w:type="dxa"/>
                  <w:tcBorders>
                    <w:tl2br w:val="nil"/>
                    <w:tr2bl w:val="nil"/>
                  </w:tcBorders>
                  <w:shd w:val="clear" w:color="auto" w:fill="auto"/>
                  <w:vAlign w:val="center"/>
                </w:tcPr>
                <w:p w14:paraId="3FD94C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r>
            <w:tr w14:paraId="7741DF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65" w:hRule="atLeast"/>
                <w:jc w:val="center"/>
              </w:trPr>
              <w:tc>
                <w:tcPr>
                  <w:tcW w:w="584" w:type="dxa"/>
                  <w:vMerge w:val="continue"/>
                  <w:tcBorders>
                    <w:tl2br w:val="nil"/>
                    <w:tr2bl w:val="nil"/>
                  </w:tcBorders>
                  <w:vAlign w:val="center"/>
                </w:tcPr>
                <w:p w14:paraId="5B8CBA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continue"/>
                  <w:tcBorders>
                    <w:tl2br w:val="nil"/>
                    <w:tr2bl w:val="nil"/>
                  </w:tcBorders>
                  <w:vAlign w:val="center"/>
                </w:tcPr>
                <w:p w14:paraId="7506EA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shd w:val="clear" w:color="auto" w:fill="auto"/>
                  <w:vAlign w:val="center"/>
                </w:tcPr>
                <w:p w14:paraId="26826D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氮氧化物</w:t>
                  </w:r>
                </w:p>
              </w:tc>
              <w:tc>
                <w:tcPr>
                  <w:tcW w:w="1613" w:type="dxa"/>
                  <w:tcBorders>
                    <w:tl2br w:val="nil"/>
                    <w:tr2bl w:val="nil"/>
                  </w:tcBorders>
                  <w:vAlign w:val="center"/>
                </w:tcPr>
                <w:p w14:paraId="319670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6.896t/a</w:t>
                  </w:r>
                </w:p>
              </w:tc>
              <w:tc>
                <w:tcPr>
                  <w:tcW w:w="960" w:type="dxa"/>
                  <w:tcBorders>
                    <w:tl2br w:val="nil"/>
                    <w:tr2bl w:val="nil"/>
                  </w:tcBorders>
                  <w:vAlign w:val="center"/>
                </w:tcPr>
                <w:p w14:paraId="2AACEF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13.88t/a</w:t>
                  </w:r>
                </w:p>
              </w:tc>
              <w:tc>
                <w:tcPr>
                  <w:tcW w:w="786" w:type="dxa"/>
                  <w:tcBorders>
                    <w:tl2br w:val="nil"/>
                    <w:tr2bl w:val="nil"/>
                  </w:tcBorders>
                  <w:vAlign w:val="center"/>
                </w:tcPr>
                <w:p w14:paraId="73F390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28A124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5B018C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6.896t/a</w:t>
                  </w:r>
                </w:p>
              </w:tc>
              <w:tc>
                <w:tcPr>
                  <w:tcW w:w="960" w:type="dxa"/>
                  <w:tcBorders>
                    <w:tl2br w:val="nil"/>
                    <w:tr2bl w:val="nil"/>
                  </w:tcBorders>
                  <w:vAlign w:val="center"/>
                </w:tcPr>
                <w:p w14:paraId="031FD0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56D7CE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0" w:hRule="atLeast"/>
                <w:jc w:val="center"/>
              </w:trPr>
              <w:tc>
                <w:tcPr>
                  <w:tcW w:w="584" w:type="dxa"/>
                  <w:vMerge w:val="continue"/>
                  <w:tcBorders>
                    <w:tl2br w:val="nil"/>
                    <w:tr2bl w:val="nil"/>
                  </w:tcBorders>
                  <w:vAlign w:val="center"/>
                </w:tcPr>
                <w:p w14:paraId="40FC2D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continue"/>
                  <w:tcBorders>
                    <w:tl2br w:val="nil"/>
                    <w:tr2bl w:val="nil"/>
                  </w:tcBorders>
                  <w:vAlign w:val="center"/>
                </w:tcPr>
                <w:p w14:paraId="574CD7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shd w:val="clear" w:color="auto" w:fill="auto"/>
                  <w:vAlign w:val="center"/>
                </w:tcPr>
                <w:p w14:paraId="3A4911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二氧化硫</w:t>
                  </w:r>
                </w:p>
              </w:tc>
              <w:tc>
                <w:tcPr>
                  <w:tcW w:w="1613" w:type="dxa"/>
                  <w:tcBorders>
                    <w:tl2br w:val="nil"/>
                    <w:tr2bl w:val="nil"/>
                  </w:tcBorders>
                  <w:vAlign w:val="center"/>
                </w:tcPr>
                <w:p w14:paraId="78B3D6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0.126t/a</w:t>
                  </w:r>
                </w:p>
              </w:tc>
              <w:tc>
                <w:tcPr>
                  <w:tcW w:w="960" w:type="dxa"/>
                  <w:tcBorders>
                    <w:tl2br w:val="nil"/>
                    <w:tr2bl w:val="nil"/>
                  </w:tcBorders>
                  <w:vAlign w:val="center"/>
                </w:tcPr>
                <w:p w14:paraId="4398D6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0.54t/a</w:t>
                  </w:r>
                </w:p>
              </w:tc>
              <w:tc>
                <w:tcPr>
                  <w:tcW w:w="786" w:type="dxa"/>
                  <w:tcBorders>
                    <w:tl2br w:val="nil"/>
                    <w:tr2bl w:val="nil"/>
                  </w:tcBorders>
                  <w:vAlign w:val="center"/>
                </w:tcPr>
                <w:p w14:paraId="271C67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470872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2FA1C8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0.126t/a</w:t>
                  </w:r>
                </w:p>
              </w:tc>
              <w:tc>
                <w:tcPr>
                  <w:tcW w:w="960" w:type="dxa"/>
                  <w:tcBorders>
                    <w:tl2br w:val="nil"/>
                    <w:tr2bl w:val="nil"/>
                  </w:tcBorders>
                  <w:vAlign w:val="center"/>
                </w:tcPr>
                <w:p w14:paraId="1F852D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0A8BFD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584" w:type="dxa"/>
                  <w:vMerge w:val="continue"/>
                  <w:tcBorders>
                    <w:tl2br w:val="nil"/>
                    <w:tr2bl w:val="nil"/>
                  </w:tcBorders>
                  <w:vAlign w:val="center"/>
                </w:tcPr>
                <w:p w14:paraId="706DE3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continue"/>
                  <w:tcBorders>
                    <w:tl2br w:val="nil"/>
                    <w:tr2bl w:val="nil"/>
                  </w:tcBorders>
                  <w:vAlign w:val="center"/>
                </w:tcPr>
                <w:p w14:paraId="6CE732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shd w:val="clear" w:color="auto" w:fill="auto"/>
                  <w:vAlign w:val="center"/>
                </w:tcPr>
                <w:p w14:paraId="1DC62E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颗粒物</w:t>
                  </w:r>
                </w:p>
              </w:tc>
              <w:tc>
                <w:tcPr>
                  <w:tcW w:w="1613" w:type="dxa"/>
                  <w:tcBorders>
                    <w:tl2br w:val="nil"/>
                    <w:tr2bl w:val="nil"/>
                  </w:tcBorders>
                  <w:vAlign w:val="center"/>
                </w:tcPr>
                <w:p w14:paraId="18883B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0.478t/a</w:t>
                  </w:r>
                </w:p>
              </w:tc>
              <w:tc>
                <w:tcPr>
                  <w:tcW w:w="960" w:type="dxa"/>
                  <w:tcBorders>
                    <w:tl2br w:val="nil"/>
                    <w:tr2bl w:val="nil"/>
                  </w:tcBorders>
                  <w:vAlign w:val="center"/>
                </w:tcPr>
                <w:p w14:paraId="222BCB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4.34t/a</w:t>
                  </w:r>
                </w:p>
              </w:tc>
              <w:tc>
                <w:tcPr>
                  <w:tcW w:w="786" w:type="dxa"/>
                  <w:tcBorders>
                    <w:tl2br w:val="nil"/>
                    <w:tr2bl w:val="nil"/>
                  </w:tcBorders>
                  <w:vAlign w:val="center"/>
                </w:tcPr>
                <w:p w14:paraId="3C704A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70FDDF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28BFAC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0.478t/a</w:t>
                  </w:r>
                </w:p>
              </w:tc>
              <w:tc>
                <w:tcPr>
                  <w:tcW w:w="960" w:type="dxa"/>
                  <w:tcBorders>
                    <w:tl2br w:val="nil"/>
                    <w:tr2bl w:val="nil"/>
                  </w:tcBorders>
                  <w:vAlign w:val="center"/>
                </w:tcPr>
                <w:p w14:paraId="64F0C5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38A2A3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84" w:type="dxa"/>
                  <w:vMerge w:val="continue"/>
                  <w:tcBorders>
                    <w:tl2br w:val="nil"/>
                    <w:tr2bl w:val="nil"/>
                  </w:tcBorders>
                  <w:vAlign w:val="center"/>
                </w:tcPr>
                <w:p w14:paraId="01CA29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restart"/>
                  <w:tcBorders>
                    <w:tl2br w:val="nil"/>
                    <w:tr2bl w:val="nil"/>
                  </w:tcBorders>
                  <w:vAlign w:val="center"/>
                </w:tcPr>
                <w:p w14:paraId="14F3DB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DA015</w:t>
                  </w:r>
                </w:p>
              </w:tc>
              <w:tc>
                <w:tcPr>
                  <w:tcW w:w="721" w:type="dxa"/>
                  <w:tcBorders>
                    <w:tl2br w:val="nil"/>
                    <w:tr2bl w:val="nil"/>
                  </w:tcBorders>
                  <w:shd w:val="clear" w:color="auto" w:fill="auto"/>
                  <w:vAlign w:val="center"/>
                </w:tcPr>
                <w:p w14:paraId="51C829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林格曼黑度</w:t>
                  </w:r>
                </w:p>
              </w:tc>
              <w:tc>
                <w:tcPr>
                  <w:tcW w:w="1613" w:type="dxa"/>
                  <w:tcBorders>
                    <w:tl2br w:val="nil"/>
                    <w:tr2bl w:val="nil"/>
                  </w:tcBorders>
                  <w:vAlign w:val="center"/>
                </w:tcPr>
                <w:p w14:paraId="06A462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960" w:type="dxa"/>
                  <w:tcBorders>
                    <w:tl2br w:val="nil"/>
                    <w:tr2bl w:val="nil"/>
                  </w:tcBorders>
                  <w:vAlign w:val="center"/>
                </w:tcPr>
                <w:p w14:paraId="62417A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1A9342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1050" w:type="dxa"/>
                  <w:tcBorders>
                    <w:tl2br w:val="nil"/>
                    <w:tr2bl w:val="nil"/>
                  </w:tcBorders>
                  <w:vAlign w:val="center"/>
                </w:tcPr>
                <w:p w14:paraId="20886B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1044" w:type="dxa"/>
                  <w:tcBorders>
                    <w:tl2br w:val="nil"/>
                    <w:tr2bl w:val="nil"/>
                  </w:tcBorders>
                  <w:shd w:val="clear" w:color="auto" w:fill="auto"/>
                  <w:vAlign w:val="center"/>
                </w:tcPr>
                <w:p w14:paraId="4143A8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960" w:type="dxa"/>
                  <w:tcBorders>
                    <w:tl2br w:val="nil"/>
                    <w:tr2bl w:val="nil"/>
                  </w:tcBorders>
                  <w:vAlign w:val="center"/>
                </w:tcPr>
                <w:p w14:paraId="36D700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r>
            <w:tr w14:paraId="3E5D74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584" w:type="dxa"/>
                  <w:vMerge w:val="continue"/>
                  <w:tcBorders>
                    <w:tl2br w:val="nil"/>
                    <w:tr2bl w:val="nil"/>
                  </w:tcBorders>
                  <w:vAlign w:val="center"/>
                </w:tcPr>
                <w:p w14:paraId="13773B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continue"/>
                  <w:tcBorders>
                    <w:tl2br w:val="nil"/>
                    <w:tr2bl w:val="nil"/>
                  </w:tcBorders>
                  <w:vAlign w:val="center"/>
                </w:tcPr>
                <w:p w14:paraId="43194A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shd w:val="clear" w:color="auto" w:fill="auto"/>
                  <w:vAlign w:val="center"/>
                </w:tcPr>
                <w:p w14:paraId="7BC99F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氮氧化物</w:t>
                  </w:r>
                </w:p>
              </w:tc>
              <w:tc>
                <w:tcPr>
                  <w:tcW w:w="1613" w:type="dxa"/>
                  <w:tcBorders>
                    <w:tl2br w:val="nil"/>
                    <w:tr2bl w:val="nil"/>
                  </w:tcBorders>
                  <w:shd w:val="clear" w:color="auto" w:fill="auto"/>
                  <w:vAlign w:val="center"/>
                </w:tcPr>
                <w:p w14:paraId="14A905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4.061</w:t>
                  </w:r>
                  <w:r>
                    <w:rPr>
                      <w:rFonts w:hint="eastAsia" w:cs="Times New Roman"/>
                      <w:color w:val="000000" w:themeColor="text1"/>
                      <w:spacing w:val="0"/>
                      <w:sz w:val="21"/>
                      <w:szCs w:val="21"/>
                      <w:highlight w:val="none"/>
                      <w:lang w:val="en-US" w:eastAsia="zh-CN"/>
                      <w14:textFill>
                        <w14:solidFill>
                          <w14:schemeClr w14:val="tx1"/>
                        </w14:solidFill>
                      </w14:textFill>
                    </w:rPr>
                    <w:t>t/a</w:t>
                  </w:r>
                </w:p>
              </w:tc>
              <w:tc>
                <w:tcPr>
                  <w:tcW w:w="960" w:type="dxa"/>
                  <w:tcBorders>
                    <w:tl2br w:val="nil"/>
                    <w:tr2bl w:val="nil"/>
                  </w:tcBorders>
                  <w:vAlign w:val="center"/>
                </w:tcPr>
                <w:p w14:paraId="569D2A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13.88t/a</w:t>
                  </w:r>
                </w:p>
              </w:tc>
              <w:tc>
                <w:tcPr>
                  <w:tcW w:w="786" w:type="dxa"/>
                  <w:tcBorders>
                    <w:tl2br w:val="nil"/>
                    <w:tr2bl w:val="nil"/>
                  </w:tcBorders>
                  <w:vAlign w:val="center"/>
                </w:tcPr>
                <w:p w14:paraId="2D6647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0AA2D9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29D15B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4.061</w:t>
                  </w:r>
                  <w:r>
                    <w:rPr>
                      <w:rFonts w:hint="eastAsia" w:cs="Times New Roman"/>
                      <w:color w:val="000000" w:themeColor="text1"/>
                      <w:spacing w:val="0"/>
                      <w:sz w:val="21"/>
                      <w:szCs w:val="21"/>
                      <w:highlight w:val="none"/>
                      <w:lang w:val="en-US" w:eastAsia="zh-CN"/>
                      <w14:textFill>
                        <w14:solidFill>
                          <w14:schemeClr w14:val="tx1"/>
                        </w14:solidFill>
                      </w14:textFill>
                    </w:rPr>
                    <w:t>t/a</w:t>
                  </w:r>
                </w:p>
              </w:tc>
              <w:tc>
                <w:tcPr>
                  <w:tcW w:w="960" w:type="dxa"/>
                  <w:tcBorders>
                    <w:tl2br w:val="nil"/>
                    <w:tr2bl w:val="nil"/>
                  </w:tcBorders>
                  <w:vAlign w:val="center"/>
                </w:tcPr>
                <w:p w14:paraId="0D90C9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6E098B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584" w:type="dxa"/>
                  <w:vMerge w:val="continue"/>
                  <w:tcBorders>
                    <w:tl2br w:val="nil"/>
                    <w:tr2bl w:val="nil"/>
                  </w:tcBorders>
                  <w:vAlign w:val="center"/>
                </w:tcPr>
                <w:p w14:paraId="5AB675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continue"/>
                  <w:tcBorders>
                    <w:tl2br w:val="nil"/>
                    <w:tr2bl w:val="nil"/>
                  </w:tcBorders>
                  <w:vAlign w:val="center"/>
                </w:tcPr>
                <w:p w14:paraId="74924C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shd w:val="clear" w:color="auto" w:fill="auto"/>
                  <w:vAlign w:val="center"/>
                </w:tcPr>
                <w:p w14:paraId="1C6158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二氧化硫</w:t>
                  </w:r>
                </w:p>
              </w:tc>
              <w:tc>
                <w:tcPr>
                  <w:tcW w:w="1613" w:type="dxa"/>
                  <w:tcBorders>
                    <w:tl2br w:val="nil"/>
                    <w:tr2bl w:val="nil"/>
                  </w:tcBorders>
                  <w:shd w:val="clear" w:color="auto" w:fill="auto"/>
                  <w:vAlign w:val="center"/>
                </w:tcPr>
                <w:p w14:paraId="2A2251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0.082</w:t>
                  </w:r>
                  <w:r>
                    <w:rPr>
                      <w:rFonts w:hint="eastAsia" w:cs="Times New Roman"/>
                      <w:color w:val="000000" w:themeColor="text1"/>
                      <w:spacing w:val="0"/>
                      <w:sz w:val="21"/>
                      <w:szCs w:val="21"/>
                      <w:highlight w:val="none"/>
                      <w:lang w:val="en-US" w:eastAsia="zh-CN"/>
                      <w14:textFill>
                        <w14:solidFill>
                          <w14:schemeClr w14:val="tx1"/>
                        </w14:solidFill>
                      </w14:textFill>
                    </w:rPr>
                    <w:t>t/a</w:t>
                  </w:r>
                </w:p>
              </w:tc>
              <w:tc>
                <w:tcPr>
                  <w:tcW w:w="960" w:type="dxa"/>
                  <w:tcBorders>
                    <w:tl2br w:val="nil"/>
                    <w:tr2bl w:val="nil"/>
                  </w:tcBorders>
                  <w:vAlign w:val="center"/>
                </w:tcPr>
                <w:p w14:paraId="64E002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0.54t/a</w:t>
                  </w:r>
                </w:p>
              </w:tc>
              <w:tc>
                <w:tcPr>
                  <w:tcW w:w="786" w:type="dxa"/>
                  <w:tcBorders>
                    <w:tl2br w:val="nil"/>
                    <w:tr2bl w:val="nil"/>
                  </w:tcBorders>
                  <w:vAlign w:val="center"/>
                </w:tcPr>
                <w:p w14:paraId="6E2871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13113B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381AE3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0.082</w:t>
                  </w:r>
                  <w:r>
                    <w:rPr>
                      <w:rFonts w:hint="eastAsia" w:cs="Times New Roman"/>
                      <w:color w:val="000000" w:themeColor="text1"/>
                      <w:spacing w:val="0"/>
                      <w:sz w:val="21"/>
                      <w:szCs w:val="21"/>
                      <w:highlight w:val="none"/>
                      <w:lang w:val="en-US" w:eastAsia="zh-CN"/>
                      <w14:textFill>
                        <w14:solidFill>
                          <w14:schemeClr w14:val="tx1"/>
                        </w14:solidFill>
                      </w14:textFill>
                    </w:rPr>
                    <w:t>t/a</w:t>
                  </w:r>
                </w:p>
              </w:tc>
              <w:tc>
                <w:tcPr>
                  <w:tcW w:w="960" w:type="dxa"/>
                  <w:tcBorders>
                    <w:tl2br w:val="nil"/>
                    <w:tr2bl w:val="nil"/>
                  </w:tcBorders>
                  <w:vAlign w:val="center"/>
                </w:tcPr>
                <w:p w14:paraId="7CF53E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46F682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584" w:type="dxa"/>
                  <w:vMerge w:val="continue"/>
                  <w:tcBorders>
                    <w:tl2br w:val="nil"/>
                    <w:tr2bl w:val="nil"/>
                  </w:tcBorders>
                  <w:vAlign w:val="center"/>
                </w:tcPr>
                <w:p w14:paraId="333727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continue"/>
                  <w:tcBorders>
                    <w:tl2br w:val="nil"/>
                    <w:tr2bl w:val="nil"/>
                  </w:tcBorders>
                  <w:vAlign w:val="center"/>
                </w:tcPr>
                <w:p w14:paraId="52D5AD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shd w:val="clear" w:color="auto" w:fill="auto"/>
                  <w:vAlign w:val="center"/>
                </w:tcPr>
                <w:p w14:paraId="0ED42D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颗粒物</w:t>
                  </w:r>
                </w:p>
              </w:tc>
              <w:tc>
                <w:tcPr>
                  <w:tcW w:w="1613" w:type="dxa"/>
                  <w:tcBorders>
                    <w:tl2br w:val="nil"/>
                    <w:tr2bl w:val="nil"/>
                  </w:tcBorders>
                  <w:shd w:val="clear" w:color="auto" w:fill="auto"/>
                  <w:vAlign w:val="center"/>
                </w:tcPr>
                <w:p w14:paraId="4A7B76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0.473</w:t>
                  </w:r>
                  <w:r>
                    <w:rPr>
                      <w:rFonts w:hint="eastAsia" w:cs="Times New Roman"/>
                      <w:color w:val="000000" w:themeColor="text1"/>
                      <w:spacing w:val="0"/>
                      <w:sz w:val="21"/>
                      <w:szCs w:val="21"/>
                      <w:highlight w:val="none"/>
                      <w:lang w:val="en-US" w:eastAsia="zh-CN"/>
                      <w14:textFill>
                        <w14:solidFill>
                          <w14:schemeClr w14:val="tx1"/>
                        </w14:solidFill>
                      </w14:textFill>
                    </w:rPr>
                    <w:t>t/a</w:t>
                  </w:r>
                </w:p>
              </w:tc>
              <w:tc>
                <w:tcPr>
                  <w:tcW w:w="960" w:type="dxa"/>
                  <w:tcBorders>
                    <w:tl2br w:val="nil"/>
                    <w:tr2bl w:val="nil"/>
                  </w:tcBorders>
                  <w:vAlign w:val="center"/>
                </w:tcPr>
                <w:p w14:paraId="6B7948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4.34t/a</w:t>
                  </w:r>
                </w:p>
              </w:tc>
              <w:tc>
                <w:tcPr>
                  <w:tcW w:w="786" w:type="dxa"/>
                  <w:tcBorders>
                    <w:tl2br w:val="nil"/>
                    <w:tr2bl w:val="nil"/>
                  </w:tcBorders>
                  <w:vAlign w:val="center"/>
                </w:tcPr>
                <w:p w14:paraId="58F30F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1CA9DC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263CE4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0.473</w:t>
                  </w:r>
                  <w:r>
                    <w:rPr>
                      <w:rFonts w:hint="eastAsia" w:cs="Times New Roman"/>
                      <w:color w:val="000000" w:themeColor="text1"/>
                      <w:spacing w:val="0"/>
                      <w:sz w:val="21"/>
                      <w:szCs w:val="21"/>
                      <w:highlight w:val="none"/>
                      <w:lang w:val="en-US" w:eastAsia="zh-CN"/>
                      <w14:textFill>
                        <w14:solidFill>
                          <w14:schemeClr w14:val="tx1"/>
                        </w14:solidFill>
                      </w14:textFill>
                    </w:rPr>
                    <w:t>t/a</w:t>
                  </w:r>
                </w:p>
              </w:tc>
              <w:tc>
                <w:tcPr>
                  <w:tcW w:w="960" w:type="dxa"/>
                  <w:tcBorders>
                    <w:tl2br w:val="nil"/>
                    <w:tr2bl w:val="nil"/>
                  </w:tcBorders>
                  <w:vAlign w:val="center"/>
                </w:tcPr>
                <w:p w14:paraId="7FEC6B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1DFCCF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584" w:type="dxa"/>
                  <w:vMerge w:val="continue"/>
                  <w:tcBorders>
                    <w:tl2br w:val="nil"/>
                    <w:tr2bl w:val="nil"/>
                  </w:tcBorders>
                  <w:vAlign w:val="center"/>
                </w:tcPr>
                <w:p w14:paraId="47F6A0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tcBorders>
                    <w:tl2br w:val="nil"/>
                    <w:tr2bl w:val="nil"/>
                  </w:tcBorders>
                  <w:vAlign w:val="center"/>
                </w:tcPr>
                <w:p w14:paraId="061E9A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DA017</w:t>
                  </w:r>
                </w:p>
              </w:tc>
              <w:tc>
                <w:tcPr>
                  <w:tcW w:w="721" w:type="dxa"/>
                  <w:tcBorders>
                    <w:tl2br w:val="nil"/>
                    <w:tr2bl w:val="nil"/>
                  </w:tcBorders>
                  <w:shd w:val="clear" w:color="auto" w:fill="auto"/>
                  <w:vAlign w:val="center"/>
                </w:tcPr>
                <w:p w14:paraId="36B48B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氮氧化物</w:t>
                  </w:r>
                </w:p>
              </w:tc>
              <w:tc>
                <w:tcPr>
                  <w:tcW w:w="1613" w:type="dxa"/>
                  <w:tcBorders>
                    <w:tl2br w:val="nil"/>
                    <w:tr2bl w:val="nil"/>
                  </w:tcBorders>
                  <w:shd w:val="clear" w:color="auto" w:fill="auto"/>
                  <w:vAlign w:val="center"/>
                </w:tcPr>
                <w:p w14:paraId="67D3E5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52.114</w:t>
                  </w:r>
                  <w:r>
                    <w:rPr>
                      <w:rFonts w:hint="eastAsia" w:cs="Times New Roman"/>
                      <w:color w:val="000000" w:themeColor="text1"/>
                      <w:spacing w:val="0"/>
                      <w:sz w:val="21"/>
                      <w:szCs w:val="21"/>
                      <w:highlight w:val="none"/>
                      <w:lang w:val="en-US" w:eastAsia="zh-CN"/>
                      <w14:textFill>
                        <w14:solidFill>
                          <w14:schemeClr w14:val="tx1"/>
                        </w14:solidFill>
                      </w14:textFill>
                    </w:rPr>
                    <w:t>t/a</w:t>
                  </w:r>
                </w:p>
              </w:tc>
              <w:tc>
                <w:tcPr>
                  <w:tcW w:w="960" w:type="dxa"/>
                  <w:tcBorders>
                    <w:tl2br w:val="nil"/>
                    <w:tr2bl w:val="nil"/>
                  </w:tcBorders>
                  <w:vAlign w:val="center"/>
                </w:tcPr>
                <w:p w14:paraId="797542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102t/a</w:t>
                  </w:r>
                </w:p>
              </w:tc>
              <w:tc>
                <w:tcPr>
                  <w:tcW w:w="786" w:type="dxa"/>
                  <w:tcBorders>
                    <w:tl2br w:val="nil"/>
                    <w:tr2bl w:val="nil"/>
                  </w:tcBorders>
                  <w:vAlign w:val="center"/>
                </w:tcPr>
                <w:p w14:paraId="5E7DAB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5B33BC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362342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52.114</w:t>
                  </w:r>
                  <w:r>
                    <w:rPr>
                      <w:rFonts w:hint="eastAsia" w:cs="Times New Roman"/>
                      <w:color w:val="000000" w:themeColor="text1"/>
                      <w:spacing w:val="0"/>
                      <w:sz w:val="21"/>
                      <w:szCs w:val="21"/>
                      <w:highlight w:val="none"/>
                      <w:lang w:val="en-US" w:eastAsia="zh-CN"/>
                      <w14:textFill>
                        <w14:solidFill>
                          <w14:schemeClr w14:val="tx1"/>
                        </w14:solidFill>
                      </w14:textFill>
                    </w:rPr>
                    <w:t>t/a</w:t>
                  </w:r>
                </w:p>
              </w:tc>
              <w:tc>
                <w:tcPr>
                  <w:tcW w:w="960" w:type="dxa"/>
                  <w:tcBorders>
                    <w:tl2br w:val="nil"/>
                    <w:tr2bl w:val="nil"/>
                  </w:tcBorders>
                  <w:vAlign w:val="center"/>
                </w:tcPr>
                <w:p w14:paraId="42B6A6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5654C1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584" w:type="dxa"/>
                  <w:vMerge w:val="continue"/>
                  <w:tcBorders>
                    <w:tl2br w:val="nil"/>
                    <w:tr2bl w:val="nil"/>
                  </w:tcBorders>
                  <w:vAlign w:val="center"/>
                </w:tcPr>
                <w:p w14:paraId="73D396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restart"/>
                  <w:tcBorders>
                    <w:tl2br w:val="nil"/>
                    <w:tr2bl w:val="nil"/>
                  </w:tcBorders>
                  <w:vAlign w:val="center"/>
                </w:tcPr>
                <w:p w14:paraId="72990E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其他排放</w:t>
                  </w:r>
                </w:p>
              </w:tc>
              <w:tc>
                <w:tcPr>
                  <w:tcW w:w="721" w:type="dxa"/>
                  <w:tcBorders>
                    <w:tl2br w:val="nil"/>
                    <w:tr2bl w:val="nil"/>
                  </w:tcBorders>
                  <w:shd w:val="clear" w:color="auto" w:fill="auto"/>
                  <w:vAlign w:val="center"/>
                </w:tcPr>
                <w:p w14:paraId="07F9E7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臭气浓度</w:t>
                  </w:r>
                </w:p>
              </w:tc>
              <w:tc>
                <w:tcPr>
                  <w:tcW w:w="1613" w:type="dxa"/>
                  <w:tcBorders>
                    <w:tl2br w:val="nil"/>
                    <w:tr2bl w:val="nil"/>
                  </w:tcBorders>
                  <w:shd w:val="clear" w:color="auto" w:fill="auto"/>
                  <w:vAlign w:val="center"/>
                </w:tcPr>
                <w:p w14:paraId="01334F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0</w:t>
                  </w:r>
                </w:p>
              </w:tc>
              <w:tc>
                <w:tcPr>
                  <w:tcW w:w="960" w:type="dxa"/>
                  <w:tcBorders>
                    <w:tl2br w:val="nil"/>
                    <w:tr2bl w:val="nil"/>
                  </w:tcBorders>
                  <w:vAlign w:val="center"/>
                </w:tcPr>
                <w:p w14:paraId="57486D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7550B6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5D9A38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2C4588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0</w:t>
                  </w:r>
                </w:p>
              </w:tc>
              <w:tc>
                <w:tcPr>
                  <w:tcW w:w="960" w:type="dxa"/>
                  <w:tcBorders>
                    <w:tl2br w:val="nil"/>
                    <w:tr2bl w:val="nil"/>
                  </w:tcBorders>
                  <w:vAlign w:val="center"/>
                </w:tcPr>
                <w:p w14:paraId="65A73B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1617FA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584" w:type="dxa"/>
                  <w:vMerge w:val="continue"/>
                  <w:tcBorders>
                    <w:tl2br w:val="nil"/>
                    <w:tr2bl w:val="nil"/>
                  </w:tcBorders>
                  <w:vAlign w:val="center"/>
                </w:tcPr>
                <w:p w14:paraId="0C8D48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continue"/>
                  <w:tcBorders>
                    <w:tl2br w:val="nil"/>
                    <w:tr2bl w:val="nil"/>
                  </w:tcBorders>
                  <w:vAlign w:val="center"/>
                </w:tcPr>
                <w:p w14:paraId="6C13D4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pacing w:val="0"/>
                      <w:sz w:val="21"/>
                      <w:szCs w:val="21"/>
                      <w:highlight w:val="none"/>
                      <w:lang w:val="en-US" w:eastAsia="zh-CN"/>
                      <w14:textFill>
                        <w14:solidFill>
                          <w14:schemeClr w14:val="tx1"/>
                        </w14:solidFill>
                      </w14:textFill>
                    </w:rPr>
                  </w:pPr>
                </w:p>
              </w:tc>
              <w:tc>
                <w:tcPr>
                  <w:tcW w:w="721" w:type="dxa"/>
                  <w:tcBorders>
                    <w:tl2br w:val="nil"/>
                    <w:tr2bl w:val="nil"/>
                  </w:tcBorders>
                  <w:shd w:val="clear" w:color="auto" w:fill="auto"/>
                  <w:vAlign w:val="center"/>
                </w:tcPr>
                <w:p w14:paraId="6A6896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氨气</w:t>
                  </w:r>
                </w:p>
              </w:tc>
              <w:tc>
                <w:tcPr>
                  <w:tcW w:w="1613" w:type="dxa"/>
                  <w:tcBorders>
                    <w:tl2br w:val="nil"/>
                    <w:tr2bl w:val="nil"/>
                  </w:tcBorders>
                  <w:shd w:val="clear" w:color="auto" w:fill="auto"/>
                  <w:vAlign w:val="center"/>
                </w:tcPr>
                <w:p w14:paraId="59A01A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1.206</w:t>
                  </w:r>
                  <w:r>
                    <w:rPr>
                      <w:rFonts w:hint="eastAsia" w:cs="Times New Roman"/>
                      <w:color w:val="000000" w:themeColor="text1"/>
                      <w:spacing w:val="0"/>
                      <w:sz w:val="21"/>
                      <w:szCs w:val="21"/>
                      <w:highlight w:val="none"/>
                      <w:lang w:val="en-US" w:eastAsia="zh-CN"/>
                      <w14:textFill>
                        <w14:solidFill>
                          <w14:schemeClr w14:val="tx1"/>
                        </w14:solidFill>
                      </w14:textFill>
                    </w:rPr>
                    <w:t>t/a</w:t>
                  </w:r>
                </w:p>
              </w:tc>
              <w:tc>
                <w:tcPr>
                  <w:tcW w:w="960" w:type="dxa"/>
                  <w:tcBorders>
                    <w:tl2br w:val="nil"/>
                    <w:tr2bl w:val="nil"/>
                  </w:tcBorders>
                  <w:vAlign w:val="center"/>
                </w:tcPr>
                <w:p w14:paraId="1086E9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246712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2AB8EE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1B8B32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1.206</w:t>
                  </w:r>
                  <w:r>
                    <w:rPr>
                      <w:rFonts w:hint="eastAsia" w:cs="Times New Roman"/>
                      <w:color w:val="000000" w:themeColor="text1"/>
                      <w:spacing w:val="0"/>
                      <w:sz w:val="21"/>
                      <w:szCs w:val="21"/>
                      <w:highlight w:val="none"/>
                      <w:lang w:val="en-US" w:eastAsia="zh-CN"/>
                      <w14:textFill>
                        <w14:solidFill>
                          <w14:schemeClr w14:val="tx1"/>
                        </w14:solidFill>
                      </w14:textFill>
                    </w:rPr>
                    <w:t>t/a</w:t>
                  </w:r>
                </w:p>
              </w:tc>
              <w:tc>
                <w:tcPr>
                  <w:tcW w:w="960" w:type="dxa"/>
                  <w:tcBorders>
                    <w:tl2br w:val="nil"/>
                    <w:tr2bl w:val="nil"/>
                  </w:tcBorders>
                  <w:vAlign w:val="center"/>
                </w:tcPr>
                <w:p w14:paraId="6110D7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6442DD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584" w:type="dxa"/>
                  <w:vMerge w:val="continue"/>
                  <w:tcBorders>
                    <w:tl2br w:val="nil"/>
                    <w:tr2bl w:val="nil"/>
                  </w:tcBorders>
                  <w:vAlign w:val="center"/>
                </w:tcPr>
                <w:p w14:paraId="3A0B0F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continue"/>
                  <w:tcBorders>
                    <w:tl2br w:val="nil"/>
                    <w:tr2bl w:val="nil"/>
                  </w:tcBorders>
                  <w:vAlign w:val="center"/>
                </w:tcPr>
                <w:p w14:paraId="7A8585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pacing w:val="0"/>
                      <w:sz w:val="21"/>
                      <w:szCs w:val="21"/>
                      <w:highlight w:val="none"/>
                      <w:lang w:val="en-US" w:eastAsia="zh-CN"/>
                      <w14:textFill>
                        <w14:solidFill>
                          <w14:schemeClr w14:val="tx1"/>
                        </w14:solidFill>
                      </w14:textFill>
                    </w:rPr>
                  </w:pPr>
                </w:p>
              </w:tc>
              <w:tc>
                <w:tcPr>
                  <w:tcW w:w="721" w:type="dxa"/>
                  <w:tcBorders>
                    <w:tl2br w:val="nil"/>
                    <w:tr2bl w:val="nil"/>
                  </w:tcBorders>
                  <w:shd w:val="clear" w:color="auto" w:fill="auto"/>
                  <w:vAlign w:val="center"/>
                </w:tcPr>
                <w:p w14:paraId="44E9F6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氮氧化物</w:t>
                  </w:r>
                </w:p>
              </w:tc>
              <w:tc>
                <w:tcPr>
                  <w:tcW w:w="1613" w:type="dxa"/>
                  <w:tcBorders>
                    <w:tl2br w:val="nil"/>
                    <w:tr2bl w:val="nil"/>
                  </w:tcBorders>
                  <w:shd w:val="clear" w:color="auto" w:fill="auto"/>
                  <w:vAlign w:val="center"/>
                </w:tcPr>
                <w:p w14:paraId="26B7E9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0</w:t>
                  </w:r>
                </w:p>
              </w:tc>
              <w:tc>
                <w:tcPr>
                  <w:tcW w:w="960" w:type="dxa"/>
                  <w:tcBorders>
                    <w:tl2br w:val="nil"/>
                    <w:tr2bl w:val="nil"/>
                  </w:tcBorders>
                  <w:vAlign w:val="center"/>
                </w:tcPr>
                <w:p w14:paraId="7C2ECC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1AF633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1A4791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76BD9F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0</w:t>
                  </w:r>
                </w:p>
              </w:tc>
              <w:tc>
                <w:tcPr>
                  <w:tcW w:w="960" w:type="dxa"/>
                  <w:tcBorders>
                    <w:tl2br w:val="nil"/>
                    <w:tr2bl w:val="nil"/>
                  </w:tcBorders>
                  <w:vAlign w:val="center"/>
                </w:tcPr>
                <w:p w14:paraId="752E1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043E5F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584" w:type="dxa"/>
                  <w:vMerge w:val="continue"/>
                  <w:tcBorders>
                    <w:tl2br w:val="nil"/>
                    <w:tr2bl w:val="nil"/>
                  </w:tcBorders>
                  <w:vAlign w:val="center"/>
                </w:tcPr>
                <w:p w14:paraId="32DBAB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continue"/>
                  <w:tcBorders>
                    <w:tl2br w:val="nil"/>
                    <w:tr2bl w:val="nil"/>
                  </w:tcBorders>
                  <w:vAlign w:val="center"/>
                </w:tcPr>
                <w:p w14:paraId="294A9B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pacing w:val="0"/>
                      <w:sz w:val="21"/>
                      <w:szCs w:val="21"/>
                      <w:highlight w:val="none"/>
                      <w:lang w:val="en-US" w:eastAsia="zh-CN"/>
                      <w14:textFill>
                        <w14:solidFill>
                          <w14:schemeClr w14:val="tx1"/>
                        </w14:solidFill>
                      </w14:textFill>
                    </w:rPr>
                  </w:pPr>
                </w:p>
              </w:tc>
              <w:tc>
                <w:tcPr>
                  <w:tcW w:w="721" w:type="dxa"/>
                  <w:tcBorders>
                    <w:tl2br w:val="nil"/>
                    <w:tr2bl w:val="nil"/>
                  </w:tcBorders>
                  <w:shd w:val="clear" w:color="auto" w:fill="auto"/>
                  <w:vAlign w:val="center"/>
                </w:tcPr>
                <w:p w14:paraId="0D0D03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硫化氢</w:t>
                  </w:r>
                </w:p>
              </w:tc>
              <w:tc>
                <w:tcPr>
                  <w:tcW w:w="1613" w:type="dxa"/>
                  <w:tcBorders>
                    <w:tl2br w:val="nil"/>
                    <w:tr2bl w:val="nil"/>
                  </w:tcBorders>
                  <w:shd w:val="clear" w:color="auto" w:fill="auto"/>
                  <w:vAlign w:val="center"/>
                </w:tcPr>
                <w:p w14:paraId="5137A8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0</w:t>
                  </w:r>
                </w:p>
              </w:tc>
              <w:tc>
                <w:tcPr>
                  <w:tcW w:w="960" w:type="dxa"/>
                  <w:tcBorders>
                    <w:tl2br w:val="nil"/>
                    <w:tr2bl w:val="nil"/>
                  </w:tcBorders>
                  <w:vAlign w:val="center"/>
                </w:tcPr>
                <w:p w14:paraId="06707B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60C30E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139223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6DA59E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0</w:t>
                  </w:r>
                </w:p>
              </w:tc>
              <w:tc>
                <w:tcPr>
                  <w:tcW w:w="960" w:type="dxa"/>
                  <w:tcBorders>
                    <w:tl2br w:val="nil"/>
                    <w:tr2bl w:val="nil"/>
                  </w:tcBorders>
                  <w:vAlign w:val="center"/>
                </w:tcPr>
                <w:p w14:paraId="31F052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6D475B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584" w:type="dxa"/>
                  <w:vMerge w:val="continue"/>
                  <w:tcBorders>
                    <w:tl2br w:val="nil"/>
                    <w:tr2bl w:val="nil"/>
                  </w:tcBorders>
                  <w:vAlign w:val="center"/>
                </w:tcPr>
                <w:p w14:paraId="08C2DB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continue"/>
                  <w:tcBorders>
                    <w:tl2br w:val="nil"/>
                    <w:tr2bl w:val="nil"/>
                  </w:tcBorders>
                  <w:vAlign w:val="center"/>
                </w:tcPr>
                <w:p w14:paraId="6F98DE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pacing w:val="0"/>
                      <w:sz w:val="21"/>
                      <w:szCs w:val="21"/>
                      <w:highlight w:val="none"/>
                      <w:lang w:val="en-US" w:eastAsia="zh-CN"/>
                      <w14:textFill>
                        <w14:solidFill>
                          <w14:schemeClr w14:val="tx1"/>
                        </w14:solidFill>
                      </w14:textFill>
                    </w:rPr>
                  </w:pPr>
                </w:p>
              </w:tc>
              <w:tc>
                <w:tcPr>
                  <w:tcW w:w="721" w:type="dxa"/>
                  <w:tcBorders>
                    <w:tl2br w:val="nil"/>
                    <w:tr2bl w:val="nil"/>
                  </w:tcBorders>
                  <w:shd w:val="clear" w:color="auto" w:fill="auto"/>
                  <w:vAlign w:val="center"/>
                </w:tcPr>
                <w:p w14:paraId="3BA344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颗粒物</w:t>
                  </w:r>
                </w:p>
              </w:tc>
              <w:tc>
                <w:tcPr>
                  <w:tcW w:w="1613" w:type="dxa"/>
                  <w:tcBorders>
                    <w:tl2br w:val="nil"/>
                    <w:tr2bl w:val="nil"/>
                  </w:tcBorders>
                  <w:shd w:val="clear" w:color="auto" w:fill="auto"/>
                  <w:vAlign w:val="center"/>
                </w:tcPr>
                <w:p w14:paraId="4A7682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4.59</w:t>
                  </w:r>
                  <w:r>
                    <w:rPr>
                      <w:rFonts w:hint="eastAsia" w:cs="Times New Roman"/>
                      <w:color w:val="000000" w:themeColor="text1"/>
                      <w:spacing w:val="0"/>
                      <w:sz w:val="21"/>
                      <w:szCs w:val="21"/>
                      <w:highlight w:val="none"/>
                      <w:lang w:val="en-US" w:eastAsia="zh-CN"/>
                      <w14:textFill>
                        <w14:solidFill>
                          <w14:schemeClr w14:val="tx1"/>
                        </w14:solidFill>
                      </w14:textFill>
                    </w:rPr>
                    <w:t>t/a</w:t>
                  </w:r>
                </w:p>
              </w:tc>
              <w:tc>
                <w:tcPr>
                  <w:tcW w:w="960" w:type="dxa"/>
                  <w:tcBorders>
                    <w:tl2br w:val="nil"/>
                    <w:tr2bl w:val="nil"/>
                  </w:tcBorders>
                  <w:vAlign w:val="center"/>
                </w:tcPr>
                <w:p w14:paraId="2EA394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543594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567E35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76E0CB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4.59</w:t>
                  </w:r>
                  <w:r>
                    <w:rPr>
                      <w:rFonts w:hint="eastAsia" w:cs="Times New Roman"/>
                      <w:color w:val="000000" w:themeColor="text1"/>
                      <w:spacing w:val="0"/>
                      <w:sz w:val="21"/>
                      <w:szCs w:val="21"/>
                      <w:highlight w:val="none"/>
                      <w:lang w:val="en-US" w:eastAsia="zh-CN"/>
                      <w14:textFill>
                        <w14:solidFill>
                          <w14:schemeClr w14:val="tx1"/>
                        </w14:solidFill>
                      </w14:textFill>
                    </w:rPr>
                    <w:t>t/a</w:t>
                  </w:r>
                </w:p>
              </w:tc>
              <w:tc>
                <w:tcPr>
                  <w:tcW w:w="960" w:type="dxa"/>
                  <w:tcBorders>
                    <w:tl2br w:val="nil"/>
                    <w:tr2bl w:val="nil"/>
                  </w:tcBorders>
                  <w:vAlign w:val="center"/>
                </w:tcPr>
                <w:p w14:paraId="670F16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0FB8BB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584" w:type="dxa"/>
                  <w:vMerge w:val="continue"/>
                  <w:tcBorders>
                    <w:tl2br w:val="nil"/>
                    <w:tr2bl w:val="nil"/>
                  </w:tcBorders>
                  <w:vAlign w:val="center"/>
                </w:tcPr>
                <w:p w14:paraId="431298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dxa"/>
                  <w:vMerge w:val="restart"/>
                  <w:tcBorders>
                    <w:tl2br w:val="nil"/>
                    <w:tr2bl w:val="nil"/>
                  </w:tcBorders>
                  <w:vAlign w:val="center"/>
                </w:tcPr>
                <w:p w14:paraId="5F8B73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无组织</w:t>
                  </w:r>
                </w:p>
              </w:tc>
              <w:tc>
                <w:tcPr>
                  <w:tcW w:w="721" w:type="dxa"/>
                  <w:tcBorders>
                    <w:tl2br w:val="nil"/>
                    <w:tr2bl w:val="nil"/>
                  </w:tcBorders>
                  <w:vAlign w:val="center"/>
                </w:tcPr>
                <w:p w14:paraId="439F2D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氮氧化物</w:t>
                  </w:r>
                </w:p>
              </w:tc>
              <w:tc>
                <w:tcPr>
                  <w:tcW w:w="1613" w:type="dxa"/>
                  <w:tcBorders>
                    <w:tl2br w:val="nil"/>
                    <w:tr2bl w:val="nil"/>
                  </w:tcBorders>
                  <w:vAlign w:val="center"/>
                </w:tcPr>
                <w:p w14:paraId="164344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p>
              </w:tc>
              <w:tc>
                <w:tcPr>
                  <w:tcW w:w="960" w:type="dxa"/>
                  <w:tcBorders>
                    <w:tl2br w:val="nil"/>
                    <w:tr2bl w:val="nil"/>
                  </w:tcBorders>
                  <w:shd w:val="clear" w:color="auto" w:fill="auto"/>
                  <w:vAlign w:val="center"/>
                </w:tcPr>
                <w:p w14:paraId="4BD9BF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0.82114t/a</w:t>
                  </w:r>
                </w:p>
              </w:tc>
              <w:tc>
                <w:tcPr>
                  <w:tcW w:w="786" w:type="dxa"/>
                  <w:tcBorders>
                    <w:tl2br w:val="nil"/>
                    <w:tr2bl w:val="nil"/>
                  </w:tcBorders>
                  <w:vAlign w:val="center"/>
                </w:tcPr>
                <w:p w14:paraId="627DE9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0.3t/a</w:t>
                  </w:r>
                </w:p>
              </w:tc>
              <w:tc>
                <w:tcPr>
                  <w:tcW w:w="1050" w:type="dxa"/>
                  <w:tcBorders>
                    <w:tl2br w:val="nil"/>
                    <w:tr2bl w:val="nil"/>
                  </w:tcBorders>
                  <w:vAlign w:val="center"/>
                </w:tcPr>
                <w:p w14:paraId="71230B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3E292B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1.12114</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w:t>
                  </w:r>
                </w:p>
              </w:tc>
              <w:tc>
                <w:tcPr>
                  <w:tcW w:w="960" w:type="dxa"/>
                  <w:tcBorders>
                    <w:tl2br w:val="nil"/>
                    <w:tr2bl w:val="nil"/>
                  </w:tcBorders>
                  <w:vAlign w:val="center"/>
                </w:tcPr>
                <w:p w14:paraId="6220A4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+0.3t/a</w:t>
                  </w:r>
                </w:p>
              </w:tc>
            </w:tr>
            <w:tr w14:paraId="577841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 w:hRule="atLeast"/>
                <w:jc w:val="center"/>
              </w:trPr>
              <w:tc>
                <w:tcPr>
                  <w:tcW w:w="584" w:type="dxa"/>
                  <w:vMerge w:val="restart"/>
                  <w:tcBorders>
                    <w:tl2br w:val="nil"/>
                    <w:tr2bl w:val="nil"/>
                  </w:tcBorders>
                  <w:vAlign w:val="center"/>
                </w:tcPr>
                <w:p w14:paraId="73F0E7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废水</w:t>
                  </w:r>
                </w:p>
              </w:tc>
              <w:tc>
                <w:tcPr>
                  <w:tcW w:w="690" w:type="dxa"/>
                  <w:vMerge w:val="restart"/>
                  <w:tcBorders>
                    <w:tl2br w:val="nil"/>
                    <w:tr2bl w:val="nil"/>
                  </w:tcBorders>
                  <w:vAlign w:val="center"/>
                </w:tcPr>
                <w:p w14:paraId="46720C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DW001</w:t>
                  </w:r>
                </w:p>
              </w:tc>
              <w:tc>
                <w:tcPr>
                  <w:tcW w:w="721" w:type="dxa"/>
                  <w:tcBorders>
                    <w:tl2br w:val="nil"/>
                    <w:tr2bl w:val="nil"/>
                  </w:tcBorders>
                  <w:vAlign w:val="center"/>
                </w:tcPr>
                <w:p w14:paraId="43B999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pH值</w:t>
                  </w:r>
                </w:p>
              </w:tc>
              <w:tc>
                <w:tcPr>
                  <w:tcW w:w="1613" w:type="dxa"/>
                  <w:tcBorders>
                    <w:tl2br w:val="nil"/>
                    <w:tr2bl w:val="nil"/>
                  </w:tcBorders>
                  <w:vAlign w:val="center"/>
                </w:tcPr>
                <w:p w14:paraId="731E6C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960" w:type="dxa"/>
                  <w:tcBorders>
                    <w:tl2br w:val="nil"/>
                    <w:tr2bl w:val="nil"/>
                  </w:tcBorders>
                  <w:shd w:val="clear" w:color="auto" w:fill="auto"/>
                  <w:vAlign w:val="center"/>
                </w:tcPr>
                <w:p w14:paraId="6B2227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w:t>
                  </w:r>
                </w:p>
              </w:tc>
              <w:tc>
                <w:tcPr>
                  <w:tcW w:w="786" w:type="dxa"/>
                  <w:tcBorders>
                    <w:tl2br w:val="nil"/>
                    <w:tr2bl w:val="nil"/>
                  </w:tcBorders>
                  <w:vAlign w:val="center"/>
                </w:tcPr>
                <w:p w14:paraId="3E244F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78934C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7EB69A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960" w:type="dxa"/>
                  <w:tcBorders>
                    <w:tl2br w:val="nil"/>
                    <w:tr2bl w:val="nil"/>
                  </w:tcBorders>
                  <w:vAlign w:val="center"/>
                </w:tcPr>
                <w:p w14:paraId="1AF89D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10511F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 w:hRule="atLeast"/>
                <w:jc w:val="center"/>
              </w:trPr>
              <w:tc>
                <w:tcPr>
                  <w:tcW w:w="584" w:type="dxa"/>
                  <w:vMerge w:val="continue"/>
                  <w:tcBorders>
                    <w:tl2br w:val="nil"/>
                    <w:tr2bl w:val="nil"/>
                  </w:tcBorders>
                  <w:vAlign w:val="center"/>
                </w:tcPr>
                <w:p w14:paraId="044DB5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14:textFill>
                        <w14:solidFill>
                          <w14:schemeClr w14:val="tx1"/>
                        </w14:solidFill>
                      </w14:textFill>
                    </w:rPr>
                  </w:pPr>
                </w:p>
              </w:tc>
              <w:tc>
                <w:tcPr>
                  <w:tcW w:w="690" w:type="dxa"/>
                  <w:vMerge w:val="continue"/>
                  <w:tcBorders>
                    <w:tl2br w:val="nil"/>
                    <w:tr2bl w:val="nil"/>
                  </w:tcBorders>
                  <w:vAlign w:val="center"/>
                </w:tcPr>
                <w:p w14:paraId="133A5A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14:textFill>
                        <w14:solidFill>
                          <w14:schemeClr w14:val="tx1"/>
                        </w14:solidFill>
                      </w14:textFill>
                    </w:rPr>
                  </w:pPr>
                </w:p>
              </w:tc>
              <w:tc>
                <w:tcPr>
                  <w:tcW w:w="721" w:type="dxa"/>
                  <w:tcBorders>
                    <w:tl2br w:val="nil"/>
                    <w:tr2bl w:val="nil"/>
                  </w:tcBorders>
                  <w:vAlign w:val="center"/>
                </w:tcPr>
                <w:p w14:paraId="63B86E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溶解性总固体</w:t>
                  </w:r>
                </w:p>
              </w:tc>
              <w:tc>
                <w:tcPr>
                  <w:tcW w:w="1613" w:type="dxa"/>
                  <w:tcBorders>
                    <w:tl2br w:val="nil"/>
                    <w:tr2bl w:val="nil"/>
                  </w:tcBorders>
                  <w:vAlign w:val="center"/>
                </w:tcPr>
                <w:p w14:paraId="45AD18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0.076009t/a</w:t>
                  </w:r>
                </w:p>
              </w:tc>
              <w:tc>
                <w:tcPr>
                  <w:tcW w:w="960" w:type="dxa"/>
                  <w:tcBorders>
                    <w:tl2br w:val="nil"/>
                    <w:tr2bl w:val="nil"/>
                  </w:tcBorders>
                  <w:shd w:val="clear" w:color="auto" w:fill="auto"/>
                  <w:vAlign w:val="center"/>
                </w:tcPr>
                <w:p w14:paraId="24B38E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360428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759116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0B52FE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0.076009t/a</w:t>
                  </w:r>
                </w:p>
              </w:tc>
              <w:tc>
                <w:tcPr>
                  <w:tcW w:w="960" w:type="dxa"/>
                  <w:tcBorders>
                    <w:tl2br w:val="nil"/>
                    <w:tr2bl w:val="nil"/>
                  </w:tcBorders>
                  <w:vAlign w:val="center"/>
                </w:tcPr>
                <w:p w14:paraId="0BC83B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3D9EC7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 w:hRule="atLeast"/>
                <w:jc w:val="center"/>
              </w:trPr>
              <w:tc>
                <w:tcPr>
                  <w:tcW w:w="584" w:type="dxa"/>
                  <w:vMerge w:val="continue"/>
                  <w:tcBorders>
                    <w:tl2br w:val="nil"/>
                    <w:tr2bl w:val="nil"/>
                  </w:tcBorders>
                  <w:vAlign w:val="center"/>
                </w:tcPr>
                <w:p w14:paraId="472EDA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690" w:type="dxa"/>
                  <w:vMerge w:val="continue"/>
                  <w:tcBorders>
                    <w:tl2br w:val="nil"/>
                    <w:tr2bl w:val="nil"/>
                  </w:tcBorders>
                  <w:vAlign w:val="center"/>
                </w:tcPr>
                <w:p w14:paraId="57C2CB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vAlign w:val="center"/>
                </w:tcPr>
                <w:p w14:paraId="523258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悬浮物</w:t>
                  </w:r>
                </w:p>
              </w:tc>
              <w:tc>
                <w:tcPr>
                  <w:tcW w:w="1613" w:type="dxa"/>
                  <w:tcBorders>
                    <w:tl2br w:val="nil"/>
                    <w:tr2bl w:val="nil"/>
                  </w:tcBorders>
                  <w:vAlign w:val="center"/>
                </w:tcPr>
                <w:p w14:paraId="09C913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0.000689t/a</w:t>
                  </w:r>
                </w:p>
              </w:tc>
              <w:tc>
                <w:tcPr>
                  <w:tcW w:w="960" w:type="dxa"/>
                  <w:tcBorders>
                    <w:tl2br w:val="nil"/>
                    <w:tr2bl w:val="nil"/>
                  </w:tcBorders>
                  <w:shd w:val="clear" w:color="auto" w:fill="auto"/>
                  <w:vAlign w:val="center"/>
                </w:tcPr>
                <w:p w14:paraId="052CEA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0C3E45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33C4F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10F907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0.000689t/a</w:t>
                  </w:r>
                </w:p>
              </w:tc>
              <w:tc>
                <w:tcPr>
                  <w:tcW w:w="960" w:type="dxa"/>
                  <w:tcBorders>
                    <w:tl2br w:val="nil"/>
                    <w:tr2bl w:val="nil"/>
                  </w:tcBorders>
                  <w:vAlign w:val="center"/>
                </w:tcPr>
                <w:p w14:paraId="6AA1D2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2F504F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 w:hRule="atLeast"/>
                <w:jc w:val="center"/>
              </w:trPr>
              <w:tc>
                <w:tcPr>
                  <w:tcW w:w="584" w:type="dxa"/>
                  <w:vMerge w:val="continue"/>
                  <w:tcBorders>
                    <w:tl2br w:val="nil"/>
                    <w:tr2bl w:val="nil"/>
                  </w:tcBorders>
                  <w:vAlign w:val="center"/>
                </w:tcPr>
                <w:p w14:paraId="4AFC9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690" w:type="dxa"/>
                  <w:vMerge w:val="continue"/>
                  <w:tcBorders>
                    <w:tl2br w:val="nil"/>
                    <w:tr2bl w:val="nil"/>
                  </w:tcBorders>
                  <w:vAlign w:val="center"/>
                </w:tcPr>
                <w:p w14:paraId="63E4FE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vAlign w:val="center"/>
                </w:tcPr>
                <w:p w14:paraId="3391A6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化学需氧量</w:t>
                  </w:r>
                </w:p>
              </w:tc>
              <w:tc>
                <w:tcPr>
                  <w:tcW w:w="1613" w:type="dxa"/>
                  <w:tcBorders>
                    <w:tl2br w:val="nil"/>
                    <w:tr2bl w:val="nil"/>
                  </w:tcBorders>
                  <w:vAlign w:val="center"/>
                </w:tcPr>
                <w:p w14:paraId="31FCD5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1.687t/a</w:t>
                  </w:r>
                </w:p>
              </w:tc>
              <w:tc>
                <w:tcPr>
                  <w:tcW w:w="960" w:type="dxa"/>
                  <w:tcBorders>
                    <w:tl2br w:val="nil"/>
                    <w:tr2bl w:val="nil"/>
                  </w:tcBorders>
                  <w:shd w:val="clear" w:color="auto" w:fill="auto"/>
                  <w:vAlign w:val="center"/>
                </w:tcPr>
                <w:p w14:paraId="19F89B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26.28t/a</w:t>
                  </w:r>
                </w:p>
              </w:tc>
              <w:tc>
                <w:tcPr>
                  <w:tcW w:w="786" w:type="dxa"/>
                  <w:tcBorders>
                    <w:tl2br w:val="nil"/>
                    <w:tr2bl w:val="nil"/>
                  </w:tcBorders>
                  <w:vAlign w:val="center"/>
                </w:tcPr>
                <w:p w14:paraId="2AFED6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4DBBBB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280799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1.687t/a</w:t>
                  </w:r>
                </w:p>
              </w:tc>
              <w:tc>
                <w:tcPr>
                  <w:tcW w:w="960" w:type="dxa"/>
                  <w:tcBorders>
                    <w:tl2br w:val="nil"/>
                    <w:tr2bl w:val="nil"/>
                  </w:tcBorders>
                  <w:vAlign w:val="center"/>
                </w:tcPr>
                <w:p w14:paraId="455763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0D48AE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 w:hRule="atLeast"/>
                <w:jc w:val="center"/>
              </w:trPr>
              <w:tc>
                <w:tcPr>
                  <w:tcW w:w="584" w:type="dxa"/>
                  <w:vMerge w:val="continue"/>
                  <w:tcBorders>
                    <w:tl2br w:val="nil"/>
                    <w:tr2bl w:val="nil"/>
                  </w:tcBorders>
                  <w:vAlign w:val="center"/>
                </w:tcPr>
                <w:p w14:paraId="203EEF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690" w:type="dxa"/>
                  <w:vMerge w:val="continue"/>
                  <w:tcBorders>
                    <w:tl2br w:val="nil"/>
                    <w:tr2bl w:val="nil"/>
                  </w:tcBorders>
                  <w:vAlign w:val="center"/>
                </w:tcPr>
                <w:p w14:paraId="257630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vAlign w:val="center"/>
                </w:tcPr>
                <w:p w14:paraId="39A480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总氮（以N计）</w:t>
                  </w:r>
                </w:p>
              </w:tc>
              <w:tc>
                <w:tcPr>
                  <w:tcW w:w="1613" w:type="dxa"/>
                  <w:tcBorders>
                    <w:tl2br w:val="nil"/>
                    <w:tr2bl w:val="nil"/>
                  </w:tcBorders>
                  <w:vAlign w:val="center"/>
                </w:tcPr>
                <w:p w14:paraId="3BBEA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3.72t/a</w:t>
                  </w:r>
                </w:p>
              </w:tc>
              <w:tc>
                <w:tcPr>
                  <w:tcW w:w="960" w:type="dxa"/>
                  <w:tcBorders>
                    <w:tl2br w:val="nil"/>
                    <w:tr2bl w:val="nil"/>
                  </w:tcBorders>
                  <w:shd w:val="clear" w:color="auto" w:fill="auto"/>
                  <w:vAlign w:val="center"/>
                </w:tcPr>
                <w:p w14:paraId="5B76E6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08178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070FAC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11B148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3.72t/a</w:t>
                  </w:r>
                </w:p>
              </w:tc>
              <w:tc>
                <w:tcPr>
                  <w:tcW w:w="960" w:type="dxa"/>
                  <w:tcBorders>
                    <w:tl2br w:val="nil"/>
                    <w:tr2bl w:val="nil"/>
                  </w:tcBorders>
                  <w:vAlign w:val="center"/>
                </w:tcPr>
                <w:p w14:paraId="0DFE26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35AAF5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 w:hRule="atLeast"/>
                <w:jc w:val="center"/>
              </w:trPr>
              <w:tc>
                <w:tcPr>
                  <w:tcW w:w="584" w:type="dxa"/>
                  <w:vMerge w:val="continue"/>
                  <w:tcBorders>
                    <w:tl2br w:val="nil"/>
                    <w:tr2bl w:val="nil"/>
                  </w:tcBorders>
                  <w:vAlign w:val="center"/>
                </w:tcPr>
                <w:p w14:paraId="77B39C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690" w:type="dxa"/>
                  <w:vMerge w:val="continue"/>
                  <w:tcBorders>
                    <w:tl2br w:val="nil"/>
                    <w:tr2bl w:val="nil"/>
                  </w:tcBorders>
                  <w:vAlign w:val="center"/>
                </w:tcPr>
                <w:p w14:paraId="0ABE9E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vAlign w:val="center"/>
                </w:tcPr>
                <w:p w14:paraId="08C311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氨氮（NH</w:t>
                  </w:r>
                  <w:r>
                    <w:rPr>
                      <w:rFonts w:hint="eastAsia" w:cs="Times New Roman"/>
                      <w:color w:val="000000" w:themeColor="text1"/>
                      <w:spacing w:val="0"/>
                      <w:sz w:val="21"/>
                      <w:szCs w:val="21"/>
                      <w:highlight w:val="none"/>
                      <w:vertAlign w:val="subscript"/>
                      <w:lang w:val="en-US" w:eastAsia="zh-CN"/>
                      <w14:textFill>
                        <w14:solidFill>
                          <w14:schemeClr w14:val="tx1"/>
                        </w14:solidFill>
                      </w14:textFill>
                    </w:rPr>
                    <w:t>3</w:t>
                  </w:r>
                  <w:r>
                    <w:rPr>
                      <w:rFonts w:hint="eastAsia" w:cs="Times New Roman"/>
                      <w:color w:val="000000" w:themeColor="text1"/>
                      <w:spacing w:val="0"/>
                      <w:sz w:val="21"/>
                      <w:szCs w:val="21"/>
                      <w:highlight w:val="none"/>
                      <w:lang w:val="en-US" w:eastAsia="zh-CN"/>
                      <w14:textFill>
                        <w14:solidFill>
                          <w14:schemeClr w14:val="tx1"/>
                        </w14:solidFill>
                      </w14:textFill>
                    </w:rPr>
                    <w:t>-N）</w:t>
                  </w:r>
                </w:p>
              </w:tc>
              <w:tc>
                <w:tcPr>
                  <w:tcW w:w="1613" w:type="dxa"/>
                  <w:tcBorders>
                    <w:tl2br w:val="nil"/>
                    <w:tr2bl w:val="nil"/>
                  </w:tcBorders>
                  <w:vAlign w:val="center"/>
                </w:tcPr>
                <w:p w14:paraId="71B1B7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0.73t/a</w:t>
                  </w:r>
                </w:p>
              </w:tc>
              <w:tc>
                <w:tcPr>
                  <w:tcW w:w="960" w:type="dxa"/>
                  <w:tcBorders>
                    <w:tl2br w:val="nil"/>
                    <w:tr2bl w:val="nil"/>
                  </w:tcBorders>
                  <w:shd w:val="clear" w:color="auto" w:fill="auto"/>
                  <w:vAlign w:val="center"/>
                </w:tcPr>
                <w:p w14:paraId="375E7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6.57t/a</w:t>
                  </w:r>
                </w:p>
              </w:tc>
              <w:tc>
                <w:tcPr>
                  <w:tcW w:w="786" w:type="dxa"/>
                  <w:tcBorders>
                    <w:tl2br w:val="nil"/>
                    <w:tr2bl w:val="nil"/>
                  </w:tcBorders>
                  <w:vAlign w:val="center"/>
                </w:tcPr>
                <w:p w14:paraId="4B7963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090D21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202192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0.73t/a</w:t>
                  </w:r>
                </w:p>
              </w:tc>
              <w:tc>
                <w:tcPr>
                  <w:tcW w:w="960" w:type="dxa"/>
                  <w:tcBorders>
                    <w:tl2br w:val="nil"/>
                    <w:tr2bl w:val="nil"/>
                  </w:tcBorders>
                  <w:vAlign w:val="center"/>
                </w:tcPr>
                <w:p w14:paraId="46F63A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3EF243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 w:hRule="atLeast"/>
                <w:jc w:val="center"/>
              </w:trPr>
              <w:tc>
                <w:tcPr>
                  <w:tcW w:w="584" w:type="dxa"/>
                  <w:vMerge w:val="continue"/>
                  <w:tcBorders>
                    <w:tl2br w:val="nil"/>
                    <w:tr2bl w:val="nil"/>
                  </w:tcBorders>
                  <w:vAlign w:val="center"/>
                </w:tcPr>
                <w:p w14:paraId="696352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690" w:type="dxa"/>
                  <w:vMerge w:val="continue"/>
                  <w:tcBorders>
                    <w:tl2br w:val="nil"/>
                    <w:tr2bl w:val="nil"/>
                  </w:tcBorders>
                  <w:vAlign w:val="center"/>
                </w:tcPr>
                <w:p w14:paraId="4D5B8C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vAlign w:val="center"/>
                </w:tcPr>
                <w:p w14:paraId="3AB51F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总磷（以P计）</w:t>
                  </w:r>
                </w:p>
              </w:tc>
              <w:tc>
                <w:tcPr>
                  <w:tcW w:w="1613" w:type="dxa"/>
                  <w:tcBorders>
                    <w:tl2br w:val="nil"/>
                    <w:tr2bl w:val="nil"/>
                  </w:tcBorders>
                  <w:vAlign w:val="center"/>
                </w:tcPr>
                <w:p w14:paraId="07A94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0.017t/a</w:t>
                  </w:r>
                </w:p>
              </w:tc>
              <w:tc>
                <w:tcPr>
                  <w:tcW w:w="960" w:type="dxa"/>
                  <w:tcBorders>
                    <w:tl2br w:val="nil"/>
                    <w:tr2bl w:val="nil"/>
                  </w:tcBorders>
                  <w:shd w:val="clear" w:color="auto" w:fill="auto"/>
                  <w:vAlign w:val="center"/>
                </w:tcPr>
                <w:p w14:paraId="183CD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15ECFE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277910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03195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0.017t/a</w:t>
                  </w:r>
                </w:p>
              </w:tc>
              <w:tc>
                <w:tcPr>
                  <w:tcW w:w="960" w:type="dxa"/>
                  <w:tcBorders>
                    <w:tl2br w:val="nil"/>
                    <w:tr2bl w:val="nil"/>
                  </w:tcBorders>
                  <w:vAlign w:val="center"/>
                </w:tcPr>
                <w:p w14:paraId="3E6CC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64543C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 w:hRule="atLeast"/>
                <w:jc w:val="center"/>
              </w:trPr>
              <w:tc>
                <w:tcPr>
                  <w:tcW w:w="584" w:type="dxa"/>
                  <w:vMerge w:val="continue"/>
                  <w:tcBorders>
                    <w:tl2br w:val="nil"/>
                    <w:tr2bl w:val="nil"/>
                  </w:tcBorders>
                  <w:vAlign w:val="center"/>
                </w:tcPr>
                <w:p w14:paraId="34B273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690" w:type="dxa"/>
                  <w:vMerge w:val="continue"/>
                  <w:tcBorders>
                    <w:tl2br w:val="nil"/>
                    <w:tr2bl w:val="nil"/>
                  </w:tcBorders>
                  <w:vAlign w:val="center"/>
                </w:tcPr>
                <w:p w14:paraId="3695AB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vAlign w:val="center"/>
                </w:tcPr>
                <w:p w14:paraId="4C2769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硫化物</w:t>
                  </w:r>
                </w:p>
              </w:tc>
              <w:tc>
                <w:tcPr>
                  <w:tcW w:w="1613" w:type="dxa"/>
                  <w:tcBorders>
                    <w:tl2br w:val="nil"/>
                    <w:tr2bl w:val="nil"/>
                  </w:tcBorders>
                  <w:vAlign w:val="center"/>
                </w:tcPr>
                <w:p w14:paraId="702CC0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960" w:type="dxa"/>
                  <w:tcBorders>
                    <w:tl2br w:val="nil"/>
                    <w:tr2bl w:val="nil"/>
                  </w:tcBorders>
                  <w:shd w:val="clear" w:color="auto" w:fill="auto"/>
                  <w:vAlign w:val="center"/>
                </w:tcPr>
                <w:p w14:paraId="70D45C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4FBBE9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78DBD5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2E5129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960" w:type="dxa"/>
                  <w:tcBorders>
                    <w:tl2br w:val="nil"/>
                    <w:tr2bl w:val="nil"/>
                  </w:tcBorders>
                  <w:vAlign w:val="center"/>
                </w:tcPr>
                <w:p w14:paraId="450BB5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421CAB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 w:hRule="atLeast"/>
                <w:jc w:val="center"/>
              </w:trPr>
              <w:tc>
                <w:tcPr>
                  <w:tcW w:w="584" w:type="dxa"/>
                  <w:vMerge w:val="continue"/>
                  <w:tcBorders>
                    <w:tl2br w:val="nil"/>
                    <w:tr2bl w:val="nil"/>
                  </w:tcBorders>
                  <w:vAlign w:val="center"/>
                </w:tcPr>
                <w:p w14:paraId="53AD33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690" w:type="dxa"/>
                  <w:vMerge w:val="continue"/>
                  <w:tcBorders>
                    <w:tl2br w:val="nil"/>
                    <w:tr2bl w:val="nil"/>
                  </w:tcBorders>
                  <w:vAlign w:val="center"/>
                </w:tcPr>
                <w:p w14:paraId="51E8A2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vAlign w:val="center"/>
                </w:tcPr>
                <w:p w14:paraId="62A47F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石油类</w:t>
                  </w:r>
                </w:p>
              </w:tc>
              <w:tc>
                <w:tcPr>
                  <w:tcW w:w="1613" w:type="dxa"/>
                  <w:tcBorders>
                    <w:tl2br w:val="nil"/>
                    <w:tr2bl w:val="nil"/>
                  </w:tcBorders>
                  <w:vAlign w:val="center"/>
                </w:tcPr>
                <w:p w14:paraId="746BDE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0.000027t/a</w:t>
                  </w:r>
                </w:p>
              </w:tc>
              <w:tc>
                <w:tcPr>
                  <w:tcW w:w="960" w:type="dxa"/>
                  <w:tcBorders>
                    <w:tl2br w:val="nil"/>
                    <w:tr2bl w:val="nil"/>
                  </w:tcBorders>
                  <w:shd w:val="clear" w:color="auto" w:fill="auto"/>
                  <w:vAlign w:val="center"/>
                </w:tcPr>
                <w:p w14:paraId="4FDB9B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1A1046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3D3B9A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11C671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0.000027t/a</w:t>
                  </w:r>
                </w:p>
              </w:tc>
              <w:tc>
                <w:tcPr>
                  <w:tcW w:w="960" w:type="dxa"/>
                  <w:tcBorders>
                    <w:tl2br w:val="nil"/>
                    <w:tr2bl w:val="nil"/>
                  </w:tcBorders>
                  <w:vAlign w:val="center"/>
                </w:tcPr>
                <w:p w14:paraId="1528A1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54B493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 w:hRule="atLeast"/>
                <w:jc w:val="center"/>
              </w:trPr>
              <w:tc>
                <w:tcPr>
                  <w:tcW w:w="584" w:type="dxa"/>
                  <w:vMerge w:val="continue"/>
                  <w:tcBorders>
                    <w:tl2br w:val="nil"/>
                    <w:tr2bl w:val="nil"/>
                  </w:tcBorders>
                  <w:vAlign w:val="center"/>
                </w:tcPr>
                <w:p w14:paraId="756561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690" w:type="dxa"/>
                  <w:vMerge w:val="continue"/>
                  <w:tcBorders>
                    <w:tl2br w:val="nil"/>
                    <w:tr2bl w:val="nil"/>
                  </w:tcBorders>
                  <w:vAlign w:val="center"/>
                </w:tcPr>
                <w:p w14:paraId="359D34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721" w:type="dxa"/>
                  <w:tcBorders>
                    <w:tl2br w:val="nil"/>
                    <w:tr2bl w:val="nil"/>
                  </w:tcBorders>
                  <w:vAlign w:val="center"/>
                </w:tcPr>
                <w:p w14:paraId="66992B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挥发酚</w:t>
                  </w:r>
                </w:p>
              </w:tc>
              <w:tc>
                <w:tcPr>
                  <w:tcW w:w="1613" w:type="dxa"/>
                  <w:tcBorders>
                    <w:tl2br w:val="nil"/>
                    <w:tr2bl w:val="nil"/>
                  </w:tcBorders>
                  <w:vAlign w:val="center"/>
                </w:tcPr>
                <w:p w14:paraId="3FB3E0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960" w:type="dxa"/>
                  <w:tcBorders>
                    <w:tl2br w:val="nil"/>
                    <w:tr2bl w:val="nil"/>
                  </w:tcBorders>
                  <w:shd w:val="clear" w:color="auto" w:fill="auto"/>
                  <w:vAlign w:val="center"/>
                </w:tcPr>
                <w:p w14:paraId="553BCC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vAlign w:val="center"/>
                </w:tcPr>
                <w:p w14:paraId="09EE57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vAlign w:val="center"/>
                </w:tcPr>
                <w:p w14:paraId="063E26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2AAD43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960" w:type="dxa"/>
                  <w:tcBorders>
                    <w:tl2br w:val="nil"/>
                    <w:tr2bl w:val="nil"/>
                  </w:tcBorders>
                  <w:vAlign w:val="center"/>
                </w:tcPr>
                <w:p w14:paraId="43891E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1B9AB8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584" w:type="dxa"/>
                  <w:vMerge w:val="restart"/>
                  <w:tcBorders>
                    <w:tl2br w:val="nil"/>
                    <w:tr2bl w:val="nil"/>
                  </w:tcBorders>
                  <w:vAlign w:val="center"/>
                </w:tcPr>
                <w:p w14:paraId="70900E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固体废物</w:t>
                  </w:r>
                </w:p>
              </w:tc>
              <w:tc>
                <w:tcPr>
                  <w:tcW w:w="1411" w:type="dxa"/>
                  <w:gridSpan w:val="2"/>
                  <w:tcBorders>
                    <w:tl2br w:val="nil"/>
                    <w:tr2bl w:val="nil"/>
                  </w:tcBorders>
                  <w:vAlign w:val="center"/>
                </w:tcPr>
                <w:p w14:paraId="173769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cs="Times New Roman"/>
                      <w:color w:val="000000" w:themeColor="text1"/>
                      <w:spacing w:val="0"/>
                      <w:sz w:val="21"/>
                      <w:szCs w:val="21"/>
                      <w:highlight w:val="none"/>
                      <w:lang w:eastAsia="zh-CN"/>
                      <w14:textFill>
                        <w14:solidFill>
                          <w14:schemeClr w14:val="tx1"/>
                        </w14:solidFill>
                      </w14:textFill>
                    </w:rPr>
                    <w:t>一般固废</w:t>
                  </w:r>
                </w:p>
              </w:tc>
              <w:tc>
                <w:tcPr>
                  <w:tcW w:w="1613" w:type="dxa"/>
                  <w:tcBorders>
                    <w:tl2br w:val="nil"/>
                    <w:tr2bl w:val="nil"/>
                  </w:tcBorders>
                  <w:shd w:val="clear" w:color="auto" w:fill="auto"/>
                  <w:vAlign w:val="center"/>
                </w:tcPr>
                <w:p w14:paraId="765846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107.655</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/a</w:t>
                  </w:r>
                </w:p>
              </w:tc>
              <w:tc>
                <w:tcPr>
                  <w:tcW w:w="960" w:type="dxa"/>
                  <w:tcBorders>
                    <w:tl2br w:val="nil"/>
                    <w:tr2bl w:val="nil"/>
                  </w:tcBorders>
                  <w:shd w:val="clear" w:color="auto" w:fill="auto"/>
                  <w:vAlign w:val="center"/>
                </w:tcPr>
                <w:p w14:paraId="13E807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shd w:val="clear" w:color="auto" w:fill="auto"/>
                  <w:vAlign w:val="center"/>
                </w:tcPr>
                <w:p w14:paraId="29BDE1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shd w:val="clear" w:color="auto" w:fill="auto"/>
                  <w:vAlign w:val="center"/>
                </w:tcPr>
                <w:p w14:paraId="3D90D8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7F65DA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107.655</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/a</w:t>
                  </w:r>
                </w:p>
              </w:tc>
              <w:tc>
                <w:tcPr>
                  <w:tcW w:w="960" w:type="dxa"/>
                  <w:tcBorders>
                    <w:tl2br w:val="nil"/>
                    <w:tr2bl w:val="nil"/>
                  </w:tcBorders>
                  <w:shd w:val="clear" w:color="auto" w:fill="auto"/>
                  <w:vAlign w:val="center"/>
                </w:tcPr>
                <w:p w14:paraId="219F77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561F4C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584" w:type="dxa"/>
                  <w:vMerge w:val="continue"/>
                  <w:tcBorders>
                    <w:tl2br w:val="nil"/>
                    <w:tr2bl w:val="nil"/>
                  </w:tcBorders>
                  <w:vAlign w:val="center"/>
                </w:tcPr>
                <w:p w14:paraId="20CDF0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11" w:type="dxa"/>
                  <w:gridSpan w:val="2"/>
                  <w:tcBorders>
                    <w:tl2br w:val="nil"/>
                    <w:tr2bl w:val="nil"/>
                  </w:tcBorders>
                  <w:shd w:val="clear" w:color="auto" w:fill="auto"/>
                  <w:vAlign w:val="center"/>
                </w:tcPr>
                <w:p w14:paraId="117E087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危险废物</w:t>
                  </w:r>
                </w:p>
              </w:tc>
              <w:tc>
                <w:tcPr>
                  <w:tcW w:w="1613" w:type="dxa"/>
                  <w:tcBorders>
                    <w:tl2br w:val="nil"/>
                    <w:tr2bl w:val="nil"/>
                  </w:tcBorders>
                  <w:shd w:val="clear" w:color="auto" w:fill="auto"/>
                  <w:vAlign w:val="center"/>
                </w:tcPr>
                <w:p w14:paraId="4A21E8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r>
                    <w:rPr>
                      <w:rFonts w:hint="eastAsia" w:cs="Times New Roman"/>
                      <w:color w:val="000000" w:themeColor="text1"/>
                      <w:spacing w:val="0"/>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/a</w:t>
                  </w:r>
                </w:p>
              </w:tc>
              <w:tc>
                <w:tcPr>
                  <w:tcW w:w="960" w:type="dxa"/>
                  <w:tcBorders>
                    <w:tl2br w:val="nil"/>
                    <w:tr2bl w:val="nil"/>
                  </w:tcBorders>
                  <w:shd w:val="clear" w:color="auto" w:fill="auto"/>
                  <w:vAlign w:val="center"/>
                </w:tcPr>
                <w:p w14:paraId="051C66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shd w:val="clear" w:color="auto" w:fill="auto"/>
                  <w:vAlign w:val="center"/>
                </w:tcPr>
                <w:p w14:paraId="4FC547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shd w:val="clear" w:color="auto" w:fill="auto"/>
                  <w:vAlign w:val="center"/>
                </w:tcPr>
                <w:p w14:paraId="70979B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6AB142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r>
                    <w:rPr>
                      <w:rFonts w:hint="eastAsia" w:cs="Times New Roman"/>
                      <w:color w:val="000000" w:themeColor="text1"/>
                      <w:spacing w:val="0"/>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/a</w:t>
                  </w:r>
                </w:p>
              </w:tc>
              <w:tc>
                <w:tcPr>
                  <w:tcW w:w="960" w:type="dxa"/>
                  <w:tcBorders>
                    <w:tl2br w:val="nil"/>
                    <w:tr2bl w:val="nil"/>
                  </w:tcBorders>
                  <w:shd w:val="clear" w:color="auto" w:fill="auto"/>
                  <w:vAlign w:val="center"/>
                </w:tcPr>
                <w:p w14:paraId="52AC4A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r w14:paraId="2B1E48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584" w:type="dxa"/>
                  <w:vMerge w:val="continue"/>
                  <w:tcBorders>
                    <w:tl2br w:val="nil"/>
                    <w:tr2bl w:val="nil"/>
                  </w:tcBorders>
                  <w:vAlign w:val="center"/>
                </w:tcPr>
                <w:p w14:paraId="25C35D2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color w:val="000000" w:themeColor="text1"/>
                      <w14:textFill>
                        <w14:solidFill>
                          <w14:schemeClr w14:val="tx1"/>
                        </w14:solidFill>
                      </w14:textFill>
                    </w:rPr>
                  </w:pPr>
                </w:p>
              </w:tc>
              <w:tc>
                <w:tcPr>
                  <w:tcW w:w="1411" w:type="dxa"/>
                  <w:gridSpan w:val="2"/>
                  <w:tcBorders>
                    <w:tl2br w:val="nil"/>
                    <w:tr2bl w:val="nil"/>
                  </w:tcBorders>
                  <w:shd w:val="clear" w:color="auto" w:fill="auto"/>
                  <w:vAlign w:val="center"/>
                </w:tcPr>
                <w:p w14:paraId="292CF3A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color w:val="000000" w:themeColor="text1"/>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生活垃圾</w:t>
                  </w:r>
                </w:p>
              </w:tc>
              <w:tc>
                <w:tcPr>
                  <w:tcW w:w="1613" w:type="dxa"/>
                  <w:tcBorders>
                    <w:tl2br w:val="nil"/>
                    <w:tr2bl w:val="nil"/>
                  </w:tcBorders>
                  <w:shd w:val="clear" w:color="auto" w:fill="auto"/>
                  <w:vAlign w:val="center"/>
                </w:tcPr>
                <w:p w14:paraId="7D0510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140t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/a</w:t>
                  </w:r>
                </w:p>
              </w:tc>
              <w:tc>
                <w:tcPr>
                  <w:tcW w:w="960" w:type="dxa"/>
                  <w:tcBorders>
                    <w:tl2br w:val="nil"/>
                    <w:tr2bl w:val="nil"/>
                  </w:tcBorders>
                  <w:shd w:val="clear" w:color="auto" w:fill="auto"/>
                  <w:vAlign w:val="center"/>
                </w:tcPr>
                <w:p w14:paraId="3272FD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c>
                <w:tcPr>
                  <w:tcW w:w="786" w:type="dxa"/>
                  <w:tcBorders>
                    <w:tl2br w:val="nil"/>
                    <w:tr2bl w:val="nil"/>
                  </w:tcBorders>
                  <w:shd w:val="clear" w:color="auto" w:fill="auto"/>
                  <w:vAlign w:val="center"/>
                </w:tcPr>
                <w:p w14:paraId="7EC865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50" w:type="dxa"/>
                  <w:tcBorders>
                    <w:tl2br w:val="nil"/>
                    <w:tr2bl w:val="nil"/>
                  </w:tcBorders>
                  <w:shd w:val="clear" w:color="auto" w:fill="auto"/>
                  <w:vAlign w:val="center"/>
                </w:tcPr>
                <w:p w14:paraId="5B38BC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c>
                <w:tcPr>
                  <w:tcW w:w="1044" w:type="dxa"/>
                  <w:tcBorders>
                    <w:tl2br w:val="nil"/>
                    <w:tr2bl w:val="nil"/>
                  </w:tcBorders>
                  <w:shd w:val="clear" w:color="auto" w:fill="auto"/>
                  <w:vAlign w:val="center"/>
                </w:tcPr>
                <w:p w14:paraId="44A649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140t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/a</w:t>
                  </w:r>
                </w:p>
              </w:tc>
              <w:tc>
                <w:tcPr>
                  <w:tcW w:w="960" w:type="dxa"/>
                  <w:tcBorders>
                    <w:tl2br w:val="nil"/>
                    <w:tr2bl w:val="nil"/>
                  </w:tcBorders>
                  <w:shd w:val="clear" w:color="auto" w:fill="auto"/>
                  <w:vAlign w:val="center"/>
                </w:tcPr>
                <w:p w14:paraId="11F1E5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w:t>
                  </w:r>
                </w:p>
              </w:tc>
            </w:tr>
          </w:tbl>
          <w:p w14:paraId="4D24208B">
            <w:pPr>
              <w:pStyle w:val="30"/>
              <w:keepNext w:val="0"/>
              <w:keepLines w:val="0"/>
              <w:pageBreakBefore w:val="0"/>
              <w:kinsoku/>
              <w:wordWrap/>
              <w:overflowPunct/>
              <w:topLinePunct w:val="0"/>
              <w:autoSpaceDE/>
              <w:autoSpaceDN/>
              <w:bidi w:val="0"/>
              <w:ind w:left="0" w:leftChars="0" w:firstLine="0" w:firstLineChars="0"/>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p>
          <w:p w14:paraId="692A2118">
            <w:pPr>
              <w:pStyle w:val="30"/>
              <w:keepNext w:val="0"/>
              <w:keepLines w:val="0"/>
              <w:pageBreakBefore w:val="0"/>
              <w:kinsoku/>
              <w:wordWrap/>
              <w:overflowPunct/>
              <w:topLinePunct w:val="0"/>
              <w:autoSpaceDE/>
              <w:autoSpaceDN/>
              <w:bidi w:val="0"/>
              <w:ind w:left="0" w:leftChars="0" w:firstLine="0" w:firstLineChars="0"/>
              <w:textAlignment w:val="auto"/>
              <w:rPr>
                <w:rFonts w:hint="default" w:ascii="Times New Roman" w:hAnsi="Times New Roman" w:eastAsia="宋体" w:cs="Times New Roman"/>
                <w:b/>
                <w:bCs/>
                <w:color w:val="000000"/>
                <w:kern w:val="0"/>
                <w:sz w:val="24"/>
                <w:szCs w:val="24"/>
                <w:lang w:val="en-US" w:eastAsia="zh-CN" w:bidi="ar"/>
              </w:rPr>
            </w:pPr>
          </w:p>
        </w:tc>
      </w:tr>
    </w:tbl>
    <w:p w14:paraId="50054E46">
      <w:r>
        <w:br w:type="page"/>
      </w:r>
    </w:p>
    <w:p w14:paraId="2DF9804E">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0000FF"/>
          <w:sz w:val="30"/>
          <w:szCs w:val="30"/>
        </w:rPr>
      </w:pPr>
      <w:bookmarkStart w:id="11" w:name="_Toc29367"/>
      <w:r>
        <w:rPr>
          <w:rFonts w:ascii="Times New Roman" w:hAnsi="Times New Roman" w:eastAsia="黑体"/>
          <w:snapToGrid w:val="0"/>
          <w:color w:val="0000FF"/>
          <w:sz w:val="30"/>
          <w:szCs w:val="30"/>
        </w:rPr>
        <w:t>五、</w:t>
      </w:r>
      <w:bookmarkStart w:id="12" w:name="_Hlk54167917"/>
      <w:r>
        <w:rPr>
          <w:rFonts w:ascii="Times New Roman" w:hAnsi="Times New Roman" w:eastAsia="黑体"/>
          <w:snapToGrid w:val="0"/>
          <w:color w:val="0000FF"/>
          <w:sz w:val="30"/>
          <w:szCs w:val="30"/>
        </w:rPr>
        <w:t>环境保护措施监督检查清单</w:t>
      </w:r>
      <w:bookmarkEnd w:id="11"/>
      <w:bookmarkEnd w:id="12"/>
    </w:p>
    <w:tbl>
      <w:tblPr>
        <w:tblStyle w:val="22"/>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094"/>
        <w:gridCol w:w="1251"/>
        <w:gridCol w:w="2123"/>
        <w:gridCol w:w="2859"/>
      </w:tblGrid>
      <w:tr w14:paraId="73638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9" w:type="pct"/>
            <w:tcBorders>
              <w:tl2br w:val="single" w:color="auto" w:sz="4" w:space="0"/>
            </w:tcBorders>
            <w:vAlign w:val="center"/>
          </w:tcPr>
          <w:p w14:paraId="3E388C8E">
            <w:pPr>
              <w:keepNext w:val="0"/>
              <w:keepLines w:val="0"/>
              <w:pageBreakBefore w:val="0"/>
              <w:kinsoku/>
              <w:wordWrap/>
              <w:topLinePunct w:val="0"/>
              <w:bidi w:val="0"/>
              <w:adjustRightInd w:val="0"/>
              <w:snapToGrid w:val="0"/>
              <w:ind w:firstLine="0" w:firstLineChars="0"/>
              <w:jc w:val="center"/>
              <w:textAlignment w:val="auto"/>
              <w:rPr>
                <w:color w:val="0000FF"/>
                <w:szCs w:val="21"/>
              </w:rPr>
            </w:pPr>
            <w:r>
              <w:rPr>
                <w:rFonts w:hint="eastAsia"/>
                <w:color w:val="0000FF"/>
                <w:szCs w:val="21"/>
                <w:lang w:val="en-US" w:eastAsia="zh-CN"/>
              </w:rPr>
              <w:t xml:space="preserve">   </w:t>
            </w:r>
            <w:r>
              <w:rPr>
                <w:color w:val="0000FF"/>
                <w:szCs w:val="21"/>
              </w:rPr>
              <w:t>内容</w:t>
            </w:r>
          </w:p>
          <w:p w14:paraId="0B1C4D95">
            <w:pPr>
              <w:keepNext w:val="0"/>
              <w:keepLines w:val="0"/>
              <w:pageBreakBefore w:val="0"/>
              <w:kinsoku/>
              <w:wordWrap/>
              <w:topLinePunct w:val="0"/>
              <w:bidi w:val="0"/>
              <w:adjustRightInd w:val="0"/>
              <w:snapToGrid w:val="0"/>
              <w:ind w:firstLine="0" w:firstLineChars="0"/>
              <w:textAlignment w:val="auto"/>
              <w:rPr>
                <w:color w:val="0000FF"/>
                <w:szCs w:val="21"/>
              </w:rPr>
            </w:pPr>
            <w:r>
              <w:rPr>
                <w:color w:val="0000FF"/>
                <w:szCs w:val="21"/>
              </w:rPr>
              <w:t>要素</w:t>
            </w:r>
          </w:p>
        </w:tc>
        <w:tc>
          <w:tcPr>
            <w:tcW w:w="642" w:type="pct"/>
            <w:vAlign w:val="center"/>
          </w:tcPr>
          <w:p w14:paraId="01C100A6">
            <w:pPr>
              <w:keepNext w:val="0"/>
              <w:keepLines w:val="0"/>
              <w:pageBreakBefore w:val="0"/>
              <w:kinsoku/>
              <w:wordWrap/>
              <w:topLinePunct w:val="0"/>
              <w:bidi w:val="0"/>
              <w:adjustRightInd w:val="0"/>
              <w:snapToGrid w:val="0"/>
              <w:ind w:firstLine="0" w:firstLineChars="0"/>
              <w:jc w:val="center"/>
              <w:textAlignment w:val="auto"/>
              <w:rPr>
                <w:color w:val="0000FF"/>
                <w:szCs w:val="21"/>
              </w:rPr>
            </w:pPr>
            <w:r>
              <w:rPr>
                <w:color w:val="0000FF"/>
                <w:szCs w:val="21"/>
              </w:rPr>
              <w:t>排放口（编号、名称）/污染源</w:t>
            </w:r>
          </w:p>
        </w:tc>
        <w:tc>
          <w:tcPr>
            <w:tcW w:w="734" w:type="pct"/>
            <w:vAlign w:val="center"/>
          </w:tcPr>
          <w:p w14:paraId="2DCAEC98">
            <w:pPr>
              <w:keepNext w:val="0"/>
              <w:keepLines w:val="0"/>
              <w:pageBreakBefore w:val="0"/>
              <w:kinsoku/>
              <w:wordWrap/>
              <w:topLinePunct w:val="0"/>
              <w:bidi w:val="0"/>
              <w:adjustRightInd w:val="0"/>
              <w:snapToGrid w:val="0"/>
              <w:ind w:firstLine="0" w:firstLineChars="0"/>
              <w:jc w:val="center"/>
              <w:textAlignment w:val="auto"/>
              <w:rPr>
                <w:color w:val="0000FF"/>
                <w:szCs w:val="21"/>
              </w:rPr>
            </w:pPr>
            <w:r>
              <w:rPr>
                <w:color w:val="0000FF"/>
                <w:szCs w:val="21"/>
              </w:rPr>
              <w:t>污染物项目</w:t>
            </w:r>
          </w:p>
        </w:tc>
        <w:tc>
          <w:tcPr>
            <w:tcW w:w="1246" w:type="pct"/>
            <w:vAlign w:val="center"/>
          </w:tcPr>
          <w:p w14:paraId="25F4A8CC">
            <w:pPr>
              <w:keepNext w:val="0"/>
              <w:keepLines w:val="0"/>
              <w:pageBreakBefore w:val="0"/>
              <w:kinsoku/>
              <w:wordWrap/>
              <w:topLinePunct w:val="0"/>
              <w:bidi w:val="0"/>
              <w:adjustRightInd w:val="0"/>
              <w:snapToGrid w:val="0"/>
              <w:ind w:firstLine="0" w:firstLineChars="0"/>
              <w:jc w:val="center"/>
              <w:textAlignment w:val="auto"/>
              <w:rPr>
                <w:color w:val="0000FF"/>
                <w:szCs w:val="21"/>
              </w:rPr>
            </w:pPr>
            <w:r>
              <w:rPr>
                <w:color w:val="0000FF"/>
                <w:szCs w:val="21"/>
              </w:rPr>
              <w:t>环境保护措施</w:t>
            </w:r>
          </w:p>
        </w:tc>
        <w:tc>
          <w:tcPr>
            <w:tcW w:w="1677" w:type="pct"/>
            <w:vAlign w:val="center"/>
          </w:tcPr>
          <w:p w14:paraId="0EF8D2AC">
            <w:pPr>
              <w:keepNext w:val="0"/>
              <w:keepLines w:val="0"/>
              <w:pageBreakBefore w:val="0"/>
              <w:kinsoku/>
              <w:wordWrap/>
              <w:topLinePunct w:val="0"/>
              <w:bidi w:val="0"/>
              <w:adjustRightInd w:val="0"/>
              <w:snapToGrid w:val="0"/>
              <w:ind w:firstLine="0" w:firstLineChars="0"/>
              <w:jc w:val="center"/>
              <w:textAlignment w:val="auto"/>
              <w:rPr>
                <w:color w:val="0000FF"/>
                <w:szCs w:val="21"/>
              </w:rPr>
            </w:pPr>
            <w:r>
              <w:rPr>
                <w:color w:val="0000FF"/>
                <w:szCs w:val="21"/>
              </w:rPr>
              <w:t>执行标准</w:t>
            </w:r>
          </w:p>
        </w:tc>
      </w:tr>
      <w:tr w14:paraId="3433D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99" w:type="pct"/>
            <w:vAlign w:val="center"/>
          </w:tcPr>
          <w:p w14:paraId="692A73D8">
            <w:pPr>
              <w:keepNext w:val="0"/>
              <w:keepLines w:val="0"/>
              <w:pageBreakBefore w:val="0"/>
              <w:kinsoku/>
              <w:wordWrap/>
              <w:topLinePunct w:val="0"/>
              <w:bidi w:val="0"/>
              <w:adjustRightInd w:val="0"/>
              <w:snapToGrid w:val="0"/>
              <w:ind w:firstLine="0" w:firstLineChars="0"/>
              <w:jc w:val="center"/>
              <w:textAlignment w:val="auto"/>
              <w:rPr>
                <w:color w:val="0000FF"/>
                <w:szCs w:val="21"/>
              </w:rPr>
            </w:pPr>
            <w:r>
              <w:rPr>
                <w:color w:val="0000FF"/>
                <w:szCs w:val="21"/>
              </w:rPr>
              <w:t>大气环境</w:t>
            </w:r>
          </w:p>
        </w:tc>
        <w:tc>
          <w:tcPr>
            <w:tcW w:w="642" w:type="pct"/>
            <w:vAlign w:val="center"/>
          </w:tcPr>
          <w:p w14:paraId="04C8D983">
            <w:pPr>
              <w:pStyle w:val="34"/>
              <w:keepNext w:val="0"/>
              <w:keepLines w:val="0"/>
              <w:pageBreakBefore w:val="0"/>
              <w:kinsoku/>
              <w:wordWrap/>
              <w:topLinePunct w:val="0"/>
              <w:bidi w:val="0"/>
              <w:ind w:firstLine="0" w:firstLineChars="0"/>
              <w:jc w:val="center"/>
              <w:textAlignment w:val="auto"/>
              <w:rPr>
                <w:color w:val="0000FF"/>
                <w:szCs w:val="21"/>
              </w:rPr>
            </w:pPr>
            <w:r>
              <w:rPr>
                <w:rFonts w:hint="eastAsia" w:ascii="Times New Roman" w:hAnsi="Times New Roman" w:cs="Times New Roman"/>
                <w:color w:val="0000FF"/>
                <w:szCs w:val="21"/>
                <w:lang w:val="en-US" w:eastAsia="zh-CN"/>
              </w:rPr>
              <w:t>无组织</w:t>
            </w:r>
          </w:p>
        </w:tc>
        <w:tc>
          <w:tcPr>
            <w:tcW w:w="734" w:type="pct"/>
            <w:vAlign w:val="center"/>
          </w:tcPr>
          <w:p w14:paraId="57671630">
            <w:pPr>
              <w:keepNext w:val="0"/>
              <w:keepLines w:val="0"/>
              <w:pageBreakBefore w:val="0"/>
              <w:kinsoku/>
              <w:wordWrap/>
              <w:overflowPunct w:val="0"/>
              <w:topLinePunct w:val="0"/>
              <w:autoSpaceDE w:val="0"/>
              <w:autoSpaceDN w:val="0"/>
              <w:bidi w:val="0"/>
              <w:adjustRightInd w:val="0"/>
              <w:snapToGrid w:val="0"/>
              <w:ind w:firstLine="0" w:firstLineChars="0"/>
              <w:jc w:val="center"/>
              <w:textAlignment w:val="auto"/>
              <w:rPr>
                <w:color w:val="0000FF"/>
                <w:szCs w:val="21"/>
              </w:rPr>
            </w:pPr>
            <w:r>
              <w:rPr>
                <w:rFonts w:hint="eastAsia" w:ascii="Times New Roman" w:hAnsi="Times New Roman" w:cs="Times New Roman"/>
                <w:color w:val="0000FF"/>
                <w:szCs w:val="21"/>
                <w:lang w:val="en-US" w:eastAsia="zh-CN"/>
              </w:rPr>
              <w:t>氮氧化物</w:t>
            </w:r>
          </w:p>
        </w:tc>
        <w:tc>
          <w:tcPr>
            <w:tcW w:w="1246" w:type="pct"/>
            <w:vAlign w:val="center"/>
          </w:tcPr>
          <w:p w14:paraId="479EE9E3">
            <w:pPr>
              <w:pStyle w:val="34"/>
              <w:keepNext w:val="0"/>
              <w:keepLines w:val="0"/>
              <w:pageBreakBefore w:val="0"/>
              <w:kinsoku/>
              <w:wordWrap/>
              <w:topLinePunct w:val="0"/>
              <w:bidi w:val="0"/>
              <w:ind w:firstLine="0" w:firstLineChars="0"/>
              <w:jc w:val="center"/>
              <w:textAlignment w:val="auto"/>
              <w:rPr>
                <w:rFonts w:ascii="Times New Roman" w:hAnsi="Times New Roman" w:cs="Times New Roman"/>
                <w:color w:val="0000FF"/>
                <w:szCs w:val="21"/>
                <w:lang w:val="en-US" w:bidi="ar-SA"/>
              </w:rPr>
            </w:pPr>
            <w:r>
              <w:rPr>
                <w:rFonts w:hint="eastAsia" w:ascii="Times New Roman" w:hAnsi="Times New Roman" w:cs="Times New Roman"/>
                <w:color w:val="0000FF"/>
                <w:szCs w:val="21"/>
                <w:lang w:val="en-US" w:bidi="ar-SA"/>
              </w:rPr>
              <w:t>立式储罐，锥形罐顶设计，储罐顶部设置呼吸阀，选用密封性良好的设备、管线、阀门、计量设备</w:t>
            </w:r>
          </w:p>
        </w:tc>
        <w:tc>
          <w:tcPr>
            <w:tcW w:w="1677" w:type="pct"/>
            <w:vAlign w:val="center"/>
          </w:tcPr>
          <w:p w14:paraId="60888A8E">
            <w:pPr>
              <w:keepNext w:val="0"/>
              <w:keepLines w:val="0"/>
              <w:pageBreakBefore w:val="0"/>
              <w:kinsoku/>
              <w:wordWrap/>
              <w:overflowPunct w:val="0"/>
              <w:topLinePunct w:val="0"/>
              <w:autoSpaceDE w:val="0"/>
              <w:autoSpaceDN w:val="0"/>
              <w:bidi w:val="0"/>
              <w:adjustRightInd w:val="0"/>
              <w:snapToGrid w:val="0"/>
              <w:ind w:firstLine="0" w:firstLineChars="0"/>
              <w:jc w:val="center"/>
              <w:textAlignment w:val="auto"/>
              <w:rPr>
                <w:rFonts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4"/>
                <w:szCs w:val="21"/>
                <w:highlight w:val="none"/>
                <w:lang w:val="en-US" w:eastAsia="zh-CN" w:bidi="ar-SA"/>
              </w:rPr>
              <w:t>《硝酸工业污染物排放标准》（GB26131-2010）表7</w:t>
            </w:r>
          </w:p>
        </w:tc>
      </w:tr>
      <w:tr w14:paraId="582D4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699" w:type="pct"/>
            <w:vAlign w:val="center"/>
          </w:tcPr>
          <w:p w14:paraId="5602615C">
            <w:pPr>
              <w:keepNext w:val="0"/>
              <w:keepLines w:val="0"/>
              <w:pageBreakBefore w:val="0"/>
              <w:kinsoku/>
              <w:wordWrap/>
              <w:topLinePunct w:val="0"/>
              <w:bidi w:val="0"/>
              <w:adjustRightInd w:val="0"/>
              <w:snapToGrid w:val="0"/>
              <w:ind w:firstLine="0" w:firstLineChars="0"/>
              <w:jc w:val="center"/>
              <w:textAlignment w:val="auto"/>
              <w:rPr>
                <w:color w:val="0000FF"/>
                <w:szCs w:val="21"/>
              </w:rPr>
            </w:pPr>
            <w:r>
              <w:rPr>
                <w:color w:val="0000FF"/>
                <w:szCs w:val="21"/>
              </w:rPr>
              <w:t>地表水环境</w:t>
            </w:r>
          </w:p>
        </w:tc>
        <w:tc>
          <w:tcPr>
            <w:tcW w:w="642" w:type="pct"/>
            <w:vAlign w:val="center"/>
          </w:tcPr>
          <w:p w14:paraId="57243583">
            <w:pPr>
              <w:keepNext w:val="0"/>
              <w:keepLines w:val="0"/>
              <w:pageBreakBefore w:val="0"/>
              <w:kinsoku/>
              <w:wordWrap/>
              <w:topLinePunct w:val="0"/>
              <w:bidi w:val="0"/>
              <w:ind w:firstLine="0" w:firstLineChars="0"/>
              <w:jc w:val="center"/>
              <w:textAlignment w:val="auto"/>
              <w:rPr>
                <w:rFonts w:hint="eastAsia" w:eastAsia="宋体"/>
                <w:bCs/>
                <w:color w:val="0000FF"/>
                <w:szCs w:val="21"/>
                <w:lang w:val="en-US" w:eastAsia="zh-CN"/>
              </w:rPr>
            </w:pPr>
            <w:r>
              <w:rPr>
                <w:rFonts w:hint="eastAsia"/>
                <w:bCs/>
                <w:color w:val="0000FF"/>
                <w:szCs w:val="21"/>
                <w:lang w:val="en-US" w:eastAsia="zh-CN"/>
              </w:rPr>
              <w:t>/</w:t>
            </w:r>
          </w:p>
        </w:tc>
        <w:tc>
          <w:tcPr>
            <w:tcW w:w="734" w:type="pct"/>
            <w:vAlign w:val="center"/>
          </w:tcPr>
          <w:p w14:paraId="1A03D6F3">
            <w:pPr>
              <w:keepNext w:val="0"/>
              <w:keepLines w:val="0"/>
              <w:pageBreakBefore w:val="0"/>
              <w:kinsoku/>
              <w:wordWrap/>
              <w:topLinePunct w:val="0"/>
              <w:bidi w:val="0"/>
              <w:ind w:firstLine="0" w:firstLineChars="0"/>
              <w:jc w:val="center"/>
              <w:textAlignment w:val="auto"/>
              <w:rPr>
                <w:rFonts w:hint="eastAsia" w:eastAsia="宋体"/>
                <w:bCs/>
                <w:color w:val="0000FF"/>
                <w:szCs w:val="21"/>
                <w:lang w:val="en-US" w:eastAsia="zh-CN"/>
              </w:rPr>
            </w:pPr>
            <w:r>
              <w:rPr>
                <w:rFonts w:hint="eastAsia"/>
                <w:bCs/>
                <w:color w:val="0000FF"/>
                <w:szCs w:val="21"/>
                <w:lang w:val="en-US" w:eastAsia="zh-CN"/>
              </w:rPr>
              <w:t>/</w:t>
            </w:r>
          </w:p>
        </w:tc>
        <w:tc>
          <w:tcPr>
            <w:tcW w:w="1246" w:type="pct"/>
            <w:vAlign w:val="center"/>
          </w:tcPr>
          <w:p w14:paraId="666FEE50">
            <w:pPr>
              <w:keepNext w:val="0"/>
              <w:keepLines w:val="0"/>
              <w:pageBreakBefore w:val="0"/>
              <w:kinsoku/>
              <w:wordWrap/>
              <w:topLinePunct w:val="0"/>
              <w:bidi w:val="0"/>
              <w:ind w:firstLine="0" w:firstLineChars="0"/>
              <w:jc w:val="center"/>
              <w:textAlignment w:val="auto"/>
              <w:rPr>
                <w:rFonts w:hint="eastAsia" w:eastAsia="宋体"/>
                <w:bCs/>
                <w:color w:val="0000FF"/>
                <w:szCs w:val="21"/>
                <w:lang w:eastAsia="zh-CN"/>
              </w:rPr>
            </w:pPr>
            <w:r>
              <w:rPr>
                <w:rFonts w:hint="eastAsia" w:eastAsia="宋体"/>
                <w:bCs/>
                <w:color w:val="0000FF"/>
                <w:szCs w:val="21"/>
                <w:lang w:eastAsia="zh-CN"/>
              </w:rPr>
              <w:t>罐区、装卸区进行地面硬化及防渗措施</w:t>
            </w:r>
          </w:p>
        </w:tc>
        <w:tc>
          <w:tcPr>
            <w:tcW w:w="1677" w:type="pct"/>
            <w:vAlign w:val="center"/>
          </w:tcPr>
          <w:p w14:paraId="357BDAE8">
            <w:pPr>
              <w:pStyle w:val="34"/>
              <w:keepNext w:val="0"/>
              <w:keepLines w:val="0"/>
              <w:pageBreakBefore w:val="0"/>
              <w:kinsoku/>
              <w:wordWrap/>
              <w:topLinePunct w:val="0"/>
              <w:bidi w:val="0"/>
              <w:ind w:firstLine="0" w:firstLineChars="0"/>
              <w:jc w:val="center"/>
              <w:textAlignment w:val="auto"/>
              <w:rPr>
                <w:rFonts w:hint="default" w:ascii="Times New Roman" w:hAnsi="Times New Roman" w:eastAsia="宋体" w:cs="Times New Roman"/>
                <w:color w:val="0000FF"/>
                <w:szCs w:val="21"/>
                <w:lang w:val="en-US" w:eastAsia="zh-CN" w:bidi="ar-SA"/>
              </w:rPr>
            </w:pPr>
            <w:r>
              <w:rPr>
                <w:rFonts w:hint="eastAsia" w:ascii="Times New Roman" w:hAnsi="Times New Roman" w:cs="Times New Roman"/>
                <w:color w:val="0000FF"/>
                <w:szCs w:val="21"/>
                <w:lang w:val="en-US" w:eastAsia="zh-CN" w:bidi="ar-SA"/>
              </w:rPr>
              <w:t>/</w:t>
            </w:r>
          </w:p>
        </w:tc>
      </w:tr>
      <w:tr w14:paraId="793B3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9" w:type="pct"/>
            <w:vAlign w:val="center"/>
          </w:tcPr>
          <w:p w14:paraId="22841C82">
            <w:pPr>
              <w:keepNext w:val="0"/>
              <w:keepLines w:val="0"/>
              <w:pageBreakBefore w:val="0"/>
              <w:kinsoku/>
              <w:wordWrap/>
              <w:topLinePunct w:val="0"/>
              <w:bidi w:val="0"/>
              <w:adjustRightInd w:val="0"/>
              <w:snapToGrid w:val="0"/>
              <w:ind w:firstLine="0" w:firstLineChars="0"/>
              <w:jc w:val="center"/>
              <w:textAlignment w:val="auto"/>
              <w:rPr>
                <w:color w:val="0000FF"/>
                <w:szCs w:val="21"/>
              </w:rPr>
            </w:pPr>
            <w:r>
              <w:rPr>
                <w:color w:val="0000FF"/>
                <w:szCs w:val="21"/>
              </w:rPr>
              <w:t>声环境</w:t>
            </w:r>
          </w:p>
        </w:tc>
        <w:tc>
          <w:tcPr>
            <w:tcW w:w="642" w:type="pct"/>
            <w:vAlign w:val="center"/>
          </w:tcPr>
          <w:p w14:paraId="0B1DDB5F">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Cs w:val="21"/>
              </w:rPr>
            </w:pPr>
            <w:r>
              <w:rPr>
                <w:rFonts w:ascii="Times New Roman" w:hAnsi="Times New Roman" w:cs="Times New Roman"/>
                <w:color w:val="0000FF"/>
                <w:szCs w:val="21"/>
              </w:rPr>
              <w:t>设备运行噪声</w:t>
            </w:r>
          </w:p>
        </w:tc>
        <w:tc>
          <w:tcPr>
            <w:tcW w:w="734" w:type="pct"/>
            <w:vAlign w:val="center"/>
          </w:tcPr>
          <w:p w14:paraId="1D7A40E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Cs w:val="21"/>
              </w:rPr>
            </w:pPr>
            <w:r>
              <w:rPr>
                <w:rFonts w:ascii="Times New Roman" w:hAnsi="Times New Roman" w:cs="Times New Roman"/>
                <w:color w:val="0000FF"/>
                <w:szCs w:val="21"/>
              </w:rPr>
              <w:t>等效A声级</w:t>
            </w:r>
          </w:p>
        </w:tc>
        <w:tc>
          <w:tcPr>
            <w:tcW w:w="1246" w:type="pct"/>
            <w:vAlign w:val="center"/>
          </w:tcPr>
          <w:p w14:paraId="302A8273">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Cs w:val="21"/>
              </w:rPr>
            </w:pPr>
            <w:r>
              <w:rPr>
                <w:rFonts w:hint="eastAsia" w:ascii="Times New Roman" w:hAnsi="Times New Roman" w:cs="Times New Roman"/>
                <w:color w:val="0000FF"/>
                <w:szCs w:val="21"/>
              </w:rPr>
              <w:t>选用环保低噪型设备、基础减震</w:t>
            </w:r>
          </w:p>
        </w:tc>
        <w:tc>
          <w:tcPr>
            <w:tcW w:w="1677" w:type="pct"/>
            <w:vAlign w:val="center"/>
          </w:tcPr>
          <w:p w14:paraId="66E29959">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Cs w:val="21"/>
                <w:lang w:val="en-US" w:bidi="ar-SA"/>
              </w:rPr>
            </w:pPr>
            <w:r>
              <w:rPr>
                <w:rFonts w:hint="eastAsia" w:ascii="Times New Roman" w:hAnsi="Times New Roman" w:eastAsia="宋体" w:cs="Times New Roman"/>
                <w:color w:val="0000FF"/>
                <w:kern w:val="2"/>
                <w:sz w:val="24"/>
                <w:szCs w:val="21"/>
                <w:highlight w:val="none"/>
                <w:lang w:val="en-US" w:eastAsia="zh-CN" w:bidi="ar-SA"/>
              </w:rPr>
              <w:t>《工业企业厂界环境噪声排放标准》（GB12348-2008）中3类标准</w:t>
            </w:r>
          </w:p>
        </w:tc>
      </w:tr>
      <w:tr w14:paraId="18969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9" w:type="pct"/>
            <w:vAlign w:val="center"/>
          </w:tcPr>
          <w:p w14:paraId="1D293A27">
            <w:pPr>
              <w:keepNext w:val="0"/>
              <w:keepLines w:val="0"/>
              <w:pageBreakBefore w:val="0"/>
              <w:kinsoku/>
              <w:wordWrap/>
              <w:topLinePunct w:val="0"/>
              <w:bidi w:val="0"/>
              <w:adjustRightInd w:val="0"/>
              <w:snapToGrid w:val="0"/>
              <w:ind w:firstLine="0" w:firstLineChars="0"/>
              <w:jc w:val="center"/>
              <w:textAlignment w:val="auto"/>
              <w:rPr>
                <w:color w:val="0000FF"/>
                <w:szCs w:val="21"/>
              </w:rPr>
            </w:pPr>
            <w:r>
              <w:rPr>
                <w:color w:val="0000FF"/>
                <w:szCs w:val="21"/>
              </w:rPr>
              <w:t>电磁辐射</w:t>
            </w:r>
          </w:p>
        </w:tc>
        <w:tc>
          <w:tcPr>
            <w:tcW w:w="4300" w:type="pct"/>
            <w:gridSpan w:val="4"/>
            <w:vAlign w:val="center"/>
          </w:tcPr>
          <w:p w14:paraId="4567D0B6">
            <w:pPr>
              <w:keepNext w:val="0"/>
              <w:keepLines w:val="0"/>
              <w:pageBreakBefore w:val="0"/>
              <w:kinsoku/>
              <w:wordWrap/>
              <w:topLinePunct w:val="0"/>
              <w:bidi w:val="0"/>
              <w:adjustRightInd w:val="0"/>
              <w:snapToGrid w:val="0"/>
              <w:ind w:firstLine="0" w:firstLineChars="0"/>
              <w:jc w:val="center"/>
              <w:textAlignment w:val="auto"/>
              <w:rPr>
                <w:color w:val="0000FF"/>
                <w:szCs w:val="21"/>
              </w:rPr>
            </w:pPr>
            <w:r>
              <w:rPr>
                <w:color w:val="0000FF"/>
                <w:szCs w:val="21"/>
              </w:rPr>
              <w:t>/</w:t>
            </w:r>
          </w:p>
        </w:tc>
      </w:tr>
      <w:tr w14:paraId="4E26C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99" w:type="pct"/>
            <w:vAlign w:val="center"/>
          </w:tcPr>
          <w:p w14:paraId="5FF49DB1">
            <w:pPr>
              <w:keepNext w:val="0"/>
              <w:keepLines w:val="0"/>
              <w:pageBreakBefore w:val="0"/>
              <w:kinsoku/>
              <w:wordWrap/>
              <w:topLinePunct w:val="0"/>
              <w:bidi w:val="0"/>
              <w:adjustRightInd w:val="0"/>
              <w:snapToGrid w:val="0"/>
              <w:ind w:firstLine="0" w:firstLineChars="0"/>
              <w:jc w:val="center"/>
              <w:textAlignment w:val="auto"/>
              <w:rPr>
                <w:color w:val="0000FF"/>
                <w:szCs w:val="21"/>
              </w:rPr>
            </w:pPr>
            <w:r>
              <w:rPr>
                <w:color w:val="0000FF"/>
                <w:szCs w:val="21"/>
              </w:rPr>
              <w:t>固体废物</w:t>
            </w:r>
          </w:p>
        </w:tc>
        <w:tc>
          <w:tcPr>
            <w:tcW w:w="4300" w:type="pct"/>
            <w:gridSpan w:val="4"/>
            <w:tcBorders>
              <w:right w:val="single" w:color="auto" w:sz="4" w:space="0"/>
            </w:tcBorders>
            <w:vAlign w:val="center"/>
          </w:tcPr>
          <w:p w14:paraId="50FC71EA">
            <w:pPr>
              <w:keepNext w:val="0"/>
              <w:keepLines w:val="0"/>
              <w:pageBreakBefore w:val="0"/>
              <w:kinsoku/>
              <w:wordWrap/>
              <w:overflowPunct/>
              <w:topLinePunct w:val="0"/>
              <w:bidi w:val="0"/>
              <w:ind w:firstLine="480" w:firstLineChars="200"/>
              <w:jc w:val="both"/>
              <w:textAlignment w:val="auto"/>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cs="Times New Roman"/>
                <w:color w:val="0000FF"/>
                <w:szCs w:val="21"/>
                <w:highlight w:val="none"/>
              </w:rPr>
              <w:t>本项目无新增劳动定员，因此不产生生活垃圾。本项目为储罐建设项目，运营期不产生生产固废。</w:t>
            </w:r>
          </w:p>
        </w:tc>
      </w:tr>
      <w:tr w14:paraId="270F2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99" w:type="pct"/>
            <w:vAlign w:val="center"/>
          </w:tcPr>
          <w:p w14:paraId="156DBFCC">
            <w:pPr>
              <w:keepNext w:val="0"/>
              <w:keepLines w:val="0"/>
              <w:pageBreakBefore w:val="0"/>
              <w:kinsoku/>
              <w:wordWrap/>
              <w:topLinePunct w:val="0"/>
              <w:bidi w:val="0"/>
              <w:adjustRightInd w:val="0"/>
              <w:snapToGrid w:val="0"/>
              <w:ind w:firstLine="0" w:firstLineChars="0"/>
              <w:jc w:val="center"/>
              <w:textAlignment w:val="auto"/>
              <w:rPr>
                <w:color w:val="0000FF"/>
                <w:szCs w:val="21"/>
              </w:rPr>
            </w:pPr>
            <w:r>
              <w:rPr>
                <w:color w:val="0000FF"/>
                <w:szCs w:val="21"/>
              </w:rPr>
              <w:t>土壤及地下水污染防治措施</w:t>
            </w:r>
          </w:p>
        </w:tc>
        <w:tc>
          <w:tcPr>
            <w:tcW w:w="4300" w:type="pct"/>
            <w:gridSpan w:val="4"/>
            <w:vAlign w:val="center"/>
          </w:tcPr>
          <w:p w14:paraId="6C732C6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color w:val="0000FF"/>
                <w:szCs w:val="21"/>
              </w:rPr>
            </w:pPr>
            <w:r>
              <w:rPr>
                <w:rFonts w:hint="eastAsia" w:cs="Times New Roman"/>
                <w:color w:val="0000FF"/>
                <w:szCs w:val="21"/>
                <w:highlight w:val="none"/>
                <w:lang w:val="en-US" w:eastAsia="zh-CN"/>
              </w:rPr>
              <w:t>罐区里面均建设为防酸区，进行了防酸腐蚀以及防渗处理；硝酸</w:t>
            </w:r>
            <w:r>
              <w:rPr>
                <w:rFonts w:hint="default" w:ascii="Times New Roman" w:hAnsi="Times New Roman" w:cs="Times New Roman"/>
                <w:color w:val="0000FF"/>
                <w:szCs w:val="21"/>
                <w:highlight w:val="none"/>
                <w:lang w:val="en-US" w:eastAsia="zh-CN"/>
              </w:rPr>
              <w:t>罐区设置围堰及防火堤，罐区</w:t>
            </w:r>
            <w:r>
              <w:rPr>
                <w:rFonts w:hint="default" w:ascii="Times New Roman" w:hAnsi="Times New Roman" w:cs="Times New Roman"/>
                <w:color w:val="0000FF"/>
                <w:szCs w:val="21"/>
                <w:highlight w:val="none"/>
              </w:rPr>
              <w:t>按照相关要求满足渗透系数。经采取以上措施后对项目区土壤环境及地下水环境产生的影响较小。</w:t>
            </w:r>
          </w:p>
        </w:tc>
      </w:tr>
      <w:tr w14:paraId="1F125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99" w:type="pct"/>
            <w:vAlign w:val="center"/>
          </w:tcPr>
          <w:p w14:paraId="0CFB76E5">
            <w:pPr>
              <w:keepNext w:val="0"/>
              <w:keepLines w:val="0"/>
              <w:pageBreakBefore w:val="0"/>
              <w:kinsoku/>
              <w:wordWrap/>
              <w:topLinePunct w:val="0"/>
              <w:bidi w:val="0"/>
              <w:adjustRightInd w:val="0"/>
              <w:snapToGrid w:val="0"/>
              <w:ind w:firstLine="0" w:firstLineChars="0"/>
              <w:jc w:val="center"/>
              <w:textAlignment w:val="auto"/>
              <w:rPr>
                <w:color w:val="0000FF"/>
                <w:szCs w:val="21"/>
              </w:rPr>
            </w:pPr>
            <w:r>
              <w:rPr>
                <w:color w:val="0000FF"/>
                <w:szCs w:val="21"/>
              </w:rPr>
              <w:t>生态保护措施</w:t>
            </w:r>
          </w:p>
        </w:tc>
        <w:tc>
          <w:tcPr>
            <w:tcW w:w="4300" w:type="pct"/>
            <w:gridSpan w:val="4"/>
            <w:vAlign w:val="center"/>
          </w:tcPr>
          <w:p w14:paraId="4EDBBE2C">
            <w:pPr>
              <w:keepNext w:val="0"/>
              <w:keepLines w:val="0"/>
              <w:pageBreakBefore w:val="0"/>
              <w:kinsoku/>
              <w:wordWrap/>
              <w:topLinePunct w:val="0"/>
              <w:bidi w:val="0"/>
              <w:adjustRightInd w:val="0"/>
              <w:snapToGrid w:val="0"/>
              <w:ind w:firstLine="0" w:firstLineChars="0"/>
              <w:jc w:val="center"/>
              <w:textAlignment w:val="auto"/>
              <w:rPr>
                <w:rFonts w:hint="eastAsia" w:eastAsia="宋体"/>
                <w:color w:val="0000FF"/>
                <w:sz w:val="21"/>
                <w:szCs w:val="21"/>
                <w:lang w:eastAsia="zh-CN"/>
              </w:rPr>
            </w:pPr>
            <w:r>
              <w:rPr>
                <w:rFonts w:hint="eastAsia" w:cs="Times New Roman"/>
                <w:color w:val="0000FF"/>
                <w:spacing w:val="0"/>
                <w:w w:val="100"/>
                <w:position w:val="0"/>
                <w:sz w:val="21"/>
                <w:szCs w:val="21"/>
                <w:highlight w:val="none"/>
                <w:lang w:val="en-US" w:eastAsia="zh-CN"/>
              </w:rPr>
              <w:t>无</w:t>
            </w:r>
          </w:p>
        </w:tc>
      </w:tr>
      <w:tr w14:paraId="482E1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699" w:type="pct"/>
            <w:vAlign w:val="center"/>
          </w:tcPr>
          <w:p w14:paraId="120CEAC9">
            <w:pPr>
              <w:keepNext w:val="0"/>
              <w:keepLines w:val="0"/>
              <w:pageBreakBefore w:val="0"/>
              <w:kinsoku/>
              <w:wordWrap/>
              <w:topLinePunct w:val="0"/>
              <w:bidi w:val="0"/>
              <w:adjustRightInd w:val="0"/>
              <w:snapToGrid w:val="0"/>
              <w:ind w:firstLine="0" w:firstLineChars="0"/>
              <w:jc w:val="center"/>
              <w:textAlignment w:val="auto"/>
              <w:rPr>
                <w:color w:val="0000FF"/>
                <w:spacing w:val="-8"/>
                <w:szCs w:val="21"/>
              </w:rPr>
            </w:pPr>
            <w:r>
              <w:rPr>
                <w:color w:val="0000FF"/>
                <w:spacing w:val="-8"/>
                <w:szCs w:val="21"/>
              </w:rPr>
              <w:t>环境风险防范措施</w:t>
            </w:r>
          </w:p>
        </w:tc>
        <w:tc>
          <w:tcPr>
            <w:tcW w:w="4300" w:type="pct"/>
            <w:gridSpan w:val="4"/>
            <w:vAlign w:val="center"/>
          </w:tcPr>
          <w:p w14:paraId="611156E6">
            <w:pPr>
              <w:pStyle w:val="3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color w:val="0000FF"/>
                <w:sz w:val="21"/>
                <w:szCs w:val="21"/>
              </w:rPr>
            </w:pPr>
            <w:r>
              <w:rPr>
                <w:rFonts w:hint="default" w:ascii="Times New Roman" w:hAnsi="Times New Roman" w:cs="Times New Roman"/>
                <w:color w:val="0000FF"/>
                <w:szCs w:val="21"/>
                <w:highlight w:val="none"/>
              </w:rPr>
              <w:t>事故状态下，事故废水通过管道进入事故池暂存，不会排放到外环境造成地表水或地下水的污染。厂区配有灭火系统，并配备灭火器、消防砂等设施，罐区设置储罐围堰、防火堤等。具体见</w:t>
            </w:r>
            <w:r>
              <w:rPr>
                <w:rFonts w:hint="eastAsia" w:ascii="Times New Roman" w:hAnsi="Times New Roman" w:cs="Times New Roman"/>
                <w:color w:val="0000FF"/>
                <w:szCs w:val="21"/>
                <w:highlight w:val="none"/>
                <w:lang w:eastAsia="zh-CN"/>
              </w:rPr>
              <w:t>“</w:t>
            </w:r>
            <w:r>
              <w:rPr>
                <w:rFonts w:hint="default" w:ascii="Times New Roman" w:hAnsi="Times New Roman" w:cs="Times New Roman"/>
                <w:color w:val="0000FF"/>
                <w:szCs w:val="21"/>
                <w:highlight w:val="none"/>
              </w:rPr>
              <w:t>环境风险专项评价</w:t>
            </w:r>
            <w:r>
              <w:rPr>
                <w:rFonts w:hint="eastAsia" w:ascii="Times New Roman" w:hAnsi="Times New Roman" w:cs="Times New Roman"/>
                <w:color w:val="0000FF"/>
                <w:szCs w:val="21"/>
                <w:highlight w:val="none"/>
                <w:lang w:eastAsia="zh-CN"/>
              </w:rPr>
              <w:t>”</w:t>
            </w:r>
            <w:r>
              <w:rPr>
                <w:rFonts w:hint="default" w:ascii="Times New Roman" w:hAnsi="Times New Roman" w:cs="Times New Roman"/>
                <w:color w:val="0000FF"/>
                <w:szCs w:val="21"/>
                <w:highlight w:val="none"/>
              </w:rPr>
              <w:t>。</w:t>
            </w:r>
          </w:p>
        </w:tc>
      </w:tr>
      <w:tr w14:paraId="79403D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699" w:type="pct"/>
            <w:vAlign w:val="center"/>
          </w:tcPr>
          <w:p w14:paraId="6F6F5CF6">
            <w:pPr>
              <w:keepNext w:val="0"/>
              <w:keepLines w:val="0"/>
              <w:pageBreakBefore w:val="0"/>
              <w:kinsoku/>
              <w:wordWrap/>
              <w:topLinePunct w:val="0"/>
              <w:bidi w:val="0"/>
              <w:adjustRightInd w:val="0"/>
              <w:snapToGrid w:val="0"/>
              <w:ind w:firstLine="0" w:firstLineChars="0"/>
              <w:jc w:val="center"/>
              <w:textAlignment w:val="auto"/>
              <w:rPr>
                <w:color w:val="0000FF"/>
                <w:spacing w:val="-8"/>
                <w:szCs w:val="21"/>
              </w:rPr>
            </w:pPr>
            <w:r>
              <w:rPr>
                <w:color w:val="0000FF"/>
                <w:spacing w:val="-8"/>
                <w:szCs w:val="21"/>
              </w:rPr>
              <w:t>其他环境管理要求</w:t>
            </w:r>
          </w:p>
        </w:tc>
        <w:tc>
          <w:tcPr>
            <w:tcW w:w="4300" w:type="pct"/>
            <w:gridSpan w:val="4"/>
            <w:vAlign w:val="center"/>
          </w:tcPr>
          <w:p w14:paraId="0A8F9663">
            <w:pPr>
              <w:pStyle w:val="3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eastAsia="宋体"/>
                <w:color w:val="0000FF"/>
                <w:sz w:val="21"/>
                <w:szCs w:val="21"/>
                <w:lang w:eastAsia="zh-CN"/>
              </w:rPr>
            </w:pPr>
            <w:r>
              <w:rPr>
                <w:rFonts w:hint="default" w:ascii="Times New Roman" w:hAnsi="Times New Roman" w:cs="Times New Roman"/>
                <w:color w:val="0000FF"/>
                <w:szCs w:val="21"/>
                <w:highlight w:val="none"/>
              </w:rPr>
              <w:t>本项目的施工期及运营期应做到环境管理要求，做好环境监测计划及实施，及时申领排污许可证并且污染源排放口设置规范化、合理化，施工期间防渗工程监理内容纳入竣工环境保护验收</w:t>
            </w:r>
            <w:r>
              <w:rPr>
                <w:rFonts w:hint="eastAsia" w:ascii="Times New Roman" w:hAnsi="Times New Roman" w:cs="Times New Roman"/>
                <w:color w:val="0000FF"/>
                <w:szCs w:val="21"/>
                <w:highlight w:val="none"/>
                <w:lang w:eastAsia="zh-CN"/>
              </w:rPr>
              <w:t>，</w:t>
            </w:r>
            <w:r>
              <w:rPr>
                <w:rFonts w:hint="default" w:ascii="Times New Roman" w:hAnsi="Times New Roman" w:cs="Times New Roman"/>
                <w:color w:val="0000FF"/>
                <w:szCs w:val="21"/>
                <w:highlight w:val="none"/>
              </w:rPr>
              <w:t>最终做到竣工环境保护验收要求</w:t>
            </w:r>
            <w:r>
              <w:rPr>
                <w:rFonts w:hint="eastAsia" w:ascii="Times New Roman" w:hAnsi="Times New Roman" w:cs="Times New Roman"/>
                <w:color w:val="0000FF"/>
                <w:szCs w:val="21"/>
                <w:highlight w:val="none"/>
                <w:lang w:eastAsia="zh-CN"/>
              </w:rPr>
              <w:t>，项目建成运营后，企业应根据实际情况修订原突发环境事件应急预案。</w:t>
            </w:r>
          </w:p>
        </w:tc>
      </w:tr>
    </w:tbl>
    <w:p w14:paraId="2BD4E4DD">
      <w:r>
        <w:br w:type="page"/>
      </w:r>
    </w:p>
    <w:p w14:paraId="2BB3C8A4">
      <w:pPr>
        <w:pStyle w:val="30"/>
        <w:ind w:left="0" w:leftChars="0" w:firstLine="0" w:firstLineChars="0"/>
        <w:jc w:val="center"/>
        <w:outlineLvl w:val="0"/>
      </w:pPr>
      <w:bookmarkStart w:id="13" w:name="_Toc17233"/>
      <w:r>
        <w:rPr>
          <w:rFonts w:ascii="Times New Roman" w:hAnsi="Times New Roman" w:eastAsia="黑体"/>
          <w:snapToGrid w:val="0"/>
          <w:color w:val="auto"/>
          <w:sz w:val="30"/>
          <w:szCs w:val="30"/>
        </w:rPr>
        <w:t>六、结论</w:t>
      </w:r>
      <w:bookmarkEnd w:id="13"/>
    </w:p>
    <w:tbl>
      <w:tblPr>
        <w:tblStyle w:val="22"/>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486A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C0C8F72">
            <w:pPr>
              <w:pStyle w:val="9"/>
              <w:spacing w:line="364" w:lineRule="auto"/>
              <w:ind w:left="97" w:right="96" w:firstLine="480"/>
              <w:jc w:val="left"/>
              <w:rPr>
                <w:rFonts w:ascii="Times New Roman" w:hAnsi="Times New Roman" w:cs="Times New Roman"/>
                <w:color w:val="auto"/>
              </w:rPr>
            </w:pPr>
            <w:r>
              <w:rPr>
                <w:rFonts w:hint="eastAsia" w:ascii="Times New Roman" w:hAnsi="Times New Roman" w:cs="Times New Roman"/>
                <w:color w:val="auto"/>
              </w:rPr>
              <w:t>本项目符合国家当前的产业政策，项目运营期的各项污染物，在认真落实本报告提出的各项污染防治措施治理后可达标排放，对周围环境影响较小。因此，从环保角度分析，该项目建设具备环境可行性。</w:t>
            </w:r>
          </w:p>
        </w:tc>
      </w:tr>
    </w:tbl>
    <w:p w14:paraId="1859E728">
      <w:p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br w:type="page"/>
      </w:r>
    </w:p>
    <w:p w14:paraId="4B112290">
      <w:pPr>
        <w:pStyle w:val="20"/>
        <w:adjustRightInd w:val="0"/>
        <w:snapToGrid w:val="0"/>
        <w:spacing w:before="0" w:beforeAutospacing="0" w:after="0" w:afterAutospacing="0" w:line="648" w:lineRule="auto"/>
        <w:outlineLvl w:val="0"/>
        <w:rPr>
          <w:rFonts w:ascii="Times New Roman" w:hAnsi="Times New Roman" w:eastAsia="黑体"/>
          <w:snapToGrid w:val="0"/>
          <w:color w:val="auto"/>
          <w:sz w:val="32"/>
          <w:szCs w:val="32"/>
        </w:rPr>
      </w:pPr>
      <w:bookmarkStart w:id="14" w:name="_Toc17094"/>
      <w:r>
        <w:rPr>
          <w:rFonts w:ascii="Times New Roman" w:hAnsi="Times New Roman" w:eastAsia="黑体"/>
          <w:snapToGrid w:val="0"/>
          <w:color w:val="auto"/>
          <w:sz w:val="32"/>
          <w:szCs w:val="32"/>
        </w:rPr>
        <w:t>附表</w:t>
      </w:r>
      <w:bookmarkEnd w:id="14"/>
    </w:p>
    <w:p w14:paraId="7EA46FFC">
      <w:pPr>
        <w:pStyle w:val="20"/>
        <w:adjustRightInd w:val="0"/>
        <w:snapToGrid w:val="0"/>
        <w:spacing w:before="0" w:beforeAutospacing="0" w:after="0" w:afterAutospacing="0" w:line="360" w:lineRule="auto"/>
        <w:jc w:val="center"/>
        <w:outlineLvl w:val="0"/>
        <w:rPr>
          <w:rFonts w:ascii="Times New Roman" w:hAnsi="Times New Roman" w:eastAsia="方正小标宋_GBK"/>
          <w:snapToGrid w:val="0"/>
          <w:color w:val="FF0000"/>
          <w:sz w:val="38"/>
          <w:szCs w:val="38"/>
        </w:rPr>
      </w:pPr>
      <w:bookmarkStart w:id="15" w:name="_Toc6801"/>
      <w:r>
        <w:rPr>
          <w:rFonts w:ascii="Times New Roman" w:hAnsi="Times New Roman" w:eastAsia="方正小标宋_GBK"/>
          <w:snapToGrid w:val="0"/>
          <w:color w:val="000000" w:themeColor="text1"/>
          <w:sz w:val="38"/>
          <w:szCs w:val="38"/>
          <w14:textFill>
            <w14:solidFill>
              <w14:schemeClr w14:val="tx1"/>
            </w14:solidFill>
          </w14:textFill>
        </w:rPr>
        <w:t>建设项目污染物排放量汇总表</w:t>
      </w:r>
      <w:bookmarkEnd w:id="15"/>
    </w:p>
    <w:tbl>
      <w:tblPr>
        <w:tblStyle w:val="22"/>
        <w:tblW w:w="507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292"/>
        <w:gridCol w:w="1767"/>
        <w:gridCol w:w="1228"/>
        <w:gridCol w:w="1764"/>
        <w:gridCol w:w="1645"/>
        <w:gridCol w:w="1540"/>
        <w:gridCol w:w="1907"/>
        <w:gridCol w:w="1421"/>
      </w:tblGrid>
      <w:tr w14:paraId="300727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4" w:type="pct"/>
            <w:tcBorders>
              <w:tl2br w:val="single" w:color="auto" w:sz="4" w:space="0"/>
            </w:tcBorders>
            <w:tcMar>
              <w:left w:w="28" w:type="dxa"/>
              <w:right w:w="28" w:type="dxa"/>
            </w:tcMar>
            <w:vAlign w:val="center"/>
          </w:tcPr>
          <w:p w14:paraId="394BCAB8">
            <w:pPr>
              <w:pStyle w:val="32"/>
              <w:keepNext w:val="0"/>
              <w:keepLines w:val="0"/>
              <w:pageBreakBefore w:val="0"/>
              <w:widowControl w:val="0"/>
              <w:kinsoku/>
              <w:wordWrap/>
              <w:overflowPunct/>
              <w:topLinePunct w:val="0"/>
              <w:bidi w:val="0"/>
              <w:snapToGrid/>
              <w:spacing w:line="240" w:lineRule="auto"/>
              <w:ind w:left="0" w:firstLine="0" w:firstLineChars="0"/>
              <w:jc w:val="center"/>
              <w:textAlignment w:val="auto"/>
              <w:rPr>
                <w:rFonts w:ascii="Times New Roman" w:hAnsi="Times New Roman" w:eastAsia="黑体"/>
                <w:snapToGrid w:val="0"/>
                <w:color w:val="000000" w:themeColor="text1"/>
                <w:spacing w:val="-6"/>
                <w:kern w:val="21"/>
                <w:sz w:val="21"/>
                <w:szCs w:val="21"/>
                <w14:textFill>
                  <w14:solidFill>
                    <w14:schemeClr w14:val="tx1"/>
                  </w14:solidFill>
                </w14:textFill>
              </w:rPr>
            </w:pPr>
            <w:r>
              <w:rPr>
                <w:rFonts w:ascii="Times New Roman" w:hAnsi="Times New Roman" w:eastAsia="黑体"/>
                <w:snapToGrid w:val="0"/>
                <w:color w:val="000000" w:themeColor="text1"/>
                <w:spacing w:val="-6"/>
                <w:kern w:val="21"/>
                <w:sz w:val="21"/>
                <w:szCs w:val="21"/>
                <w14:textFill>
                  <w14:solidFill>
                    <w14:schemeClr w14:val="tx1"/>
                  </w14:solidFill>
                </w14:textFill>
              </w:rPr>
              <w:t>项目</w:t>
            </w:r>
          </w:p>
          <w:p w14:paraId="13547844">
            <w:pPr>
              <w:keepNext w:val="0"/>
              <w:keepLines w:val="0"/>
              <w:pageBreakBefore w:val="0"/>
              <w:widowControl w:val="0"/>
              <w:kinsoku/>
              <w:wordWrap/>
              <w:overflowPunct/>
              <w:topLinePunct w:val="0"/>
              <w:bidi w:val="0"/>
              <w:spacing w:line="240" w:lineRule="auto"/>
              <w:textAlignment w:val="auto"/>
              <w:rPr>
                <w:color w:val="000000" w:themeColor="text1"/>
                <w14:textFill>
                  <w14:solidFill>
                    <w14:schemeClr w14:val="tx1"/>
                  </w14:solidFill>
                </w14:textFill>
              </w:rPr>
            </w:pPr>
          </w:p>
          <w:p w14:paraId="2013FC97">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eastAsia="黑体"/>
                <w:snapToGrid w:val="0"/>
                <w:color w:val="000000" w:themeColor="text1"/>
                <w:spacing w:val="-6"/>
                <w:kern w:val="21"/>
                <w:sz w:val="21"/>
                <w:szCs w:val="21"/>
                <w14:textFill>
                  <w14:solidFill>
                    <w14:schemeClr w14:val="tx1"/>
                  </w14:solidFill>
                </w14:textFill>
              </w:rPr>
            </w:pPr>
            <w:r>
              <w:rPr>
                <w:rFonts w:ascii="Times New Roman" w:hAnsi="Times New Roman" w:eastAsia="黑体"/>
                <w:snapToGrid w:val="0"/>
                <w:color w:val="000000" w:themeColor="text1"/>
                <w:spacing w:val="-6"/>
                <w:kern w:val="21"/>
                <w:sz w:val="21"/>
                <w:szCs w:val="21"/>
                <w14:textFill>
                  <w14:solidFill>
                    <w14:schemeClr w14:val="tx1"/>
                  </w14:solidFill>
                </w14:textFill>
              </w:rPr>
              <w:t>分类</w:t>
            </w:r>
          </w:p>
        </w:tc>
        <w:tc>
          <w:tcPr>
            <w:tcW w:w="471" w:type="pct"/>
            <w:tcMar>
              <w:left w:w="28" w:type="dxa"/>
              <w:right w:w="28" w:type="dxa"/>
            </w:tcMar>
            <w:vAlign w:val="center"/>
          </w:tcPr>
          <w:p w14:paraId="3378E0F6">
            <w:pPr>
              <w:pStyle w:val="32"/>
              <w:keepNext w:val="0"/>
              <w:keepLines w:val="0"/>
              <w:pageBreakBefore w:val="0"/>
              <w:widowControl w:val="0"/>
              <w:kinsoku/>
              <w:wordWrap/>
              <w:overflowPunct/>
              <w:topLinePunct w:val="0"/>
              <w:bidi w:val="0"/>
              <w:snapToGrid/>
              <w:spacing w:beforeAutospacing="0" w:after="0" w:afterAutospacing="0" w:line="240" w:lineRule="auto"/>
              <w:ind w:left="0" w:leftChars="0" w:firstLine="0" w:firstLineChars="0"/>
              <w:jc w:val="center"/>
              <w:textAlignment w:val="auto"/>
              <w:rPr>
                <w:rFonts w:ascii="Times New Roman" w:hAnsi="Times New Roman" w:eastAsia="黑体"/>
                <w:snapToGrid w:val="0"/>
                <w:color w:val="000000" w:themeColor="text1"/>
                <w:spacing w:val="-6"/>
                <w:kern w:val="21"/>
                <w:sz w:val="21"/>
                <w:szCs w:val="21"/>
                <w14:textFill>
                  <w14:solidFill>
                    <w14:schemeClr w14:val="tx1"/>
                  </w14:solidFill>
                </w14:textFill>
              </w:rPr>
            </w:pPr>
            <w:r>
              <w:rPr>
                <w:rFonts w:ascii="Times New Roman" w:hAnsi="Times New Roman" w:eastAsia="黑体"/>
                <w:snapToGrid w:val="0"/>
                <w:color w:val="000000" w:themeColor="text1"/>
                <w:spacing w:val="-6"/>
                <w:kern w:val="21"/>
                <w:sz w:val="21"/>
                <w:szCs w:val="21"/>
                <w14:textFill>
                  <w14:solidFill>
                    <w14:schemeClr w14:val="tx1"/>
                  </w14:solidFill>
                </w14:textFill>
              </w:rPr>
              <w:t>污染物名称</w:t>
            </w:r>
          </w:p>
        </w:tc>
        <w:tc>
          <w:tcPr>
            <w:tcW w:w="644" w:type="pct"/>
            <w:tcMar>
              <w:left w:w="28" w:type="dxa"/>
              <w:right w:w="28" w:type="dxa"/>
            </w:tcMar>
            <w:vAlign w:val="center"/>
          </w:tcPr>
          <w:p w14:paraId="50D5FB64">
            <w:pPr>
              <w:pStyle w:val="32"/>
              <w:keepNext w:val="0"/>
              <w:keepLines w:val="0"/>
              <w:pageBreakBefore w:val="0"/>
              <w:widowControl w:val="0"/>
              <w:kinsoku/>
              <w:wordWrap/>
              <w:overflowPunct/>
              <w:topLinePunct w:val="0"/>
              <w:bidi w:val="0"/>
              <w:snapToGrid/>
              <w:spacing w:beforeAutospacing="0" w:after="0" w:afterAutospacing="0" w:line="240" w:lineRule="auto"/>
              <w:ind w:left="0" w:leftChars="0" w:firstLine="0" w:firstLineChars="0"/>
              <w:jc w:val="center"/>
              <w:textAlignment w:val="auto"/>
              <w:rPr>
                <w:rFonts w:ascii="Times New Roman" w:hAnsi="Times New Roman" w:eastAsia="黑体"/>
                <w:snapToGrid w:val="0"/>
                <w:color w:val="000000" w:themeColor="text1"/>
                <w:spacing w:val="-6"/>
                <w:kern w:val="21"/>
                <w:sz w:val="21"/>
                <w:szCs w:val="21"/>
                <w14:textFill>
                  <w14:solidFill>
                    <w14:schemeClr w14:val="tx1"/>
                  </w14:solidFill>
                </w14:textFill>
              </w:rPr>
            </w:pPr>
            <w:r>
              <w:rPr>
                <w:rFonts w:ascii="Times New Roman" w:hAnsi="Times New Roman" w:eastAsia="黑体"/>
                <w:snapToGrid w:val="0"/>
                <w:color w:val="000000" w:themeColor="text1"/>
                <w:spacing w:val="-6"/>
                <w:kern w:val="21"/>
                <w:sz w:val="21"/>
                <w:szCs w:val="21"/>
                <w14:textFill>
                  <w14:solidFill>
                    <w14:schemeClr w14:val="tx1"/>
                  </w14:solidFill>
                </w14:textFill>
              </w:rPr>
              <w:t>现有工程排放量（固体废物产生量）</w: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hAnsi="Times New Roman" w:eastAsia="黑体"/>
                <w:snapToGrid w:val="0"/>
                <w:color w:val="000000" w:themeColor="text1"/>
                <w:spacing w:val="-6"/>
                <w:kern w:val="21"/>
                <w:sz w:val="21"/>
                <w:szCs w:val="21"/>
                <w14:textFill>
                  <w14:solidFill>
                    <w14:schemeClr w14:val="tx1"/>
                  </w14:solidFill>
                </w14:textFill>
              </w:rPr>
              <w:instrText xml:space="preserve"> = 1 \* GB3 \* MERGEFORMAT </w:instrTex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separate"/>
            </w:r>
            <w:r>
              <w:rPr>
                <w:rFonts w:ascii="Times New Roman" w:hAnsi="Times New Roman" w:eastAsia="黑体"/>
                <w:color w:val="000000" w:themeColor="text1"/>
                <w:kern w:val="2"/>
                <w:sz w:val="21"/>
                <w:szCs w:val="21"/>
                <w14:textFill>
                  <w14:solidFill>
                    <w14:schemeClr w14:val="tx1"/>
                  </w14:solidFill>
                </w14:textFill>
              </w:rPr>
              <w:t>①</w: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end"/>
            </w:r>
          </w:p>
        </w:tc>
        <w:tc>
          <w:tcPr>
            <w:tcW w:w="448" w:type="pct"/>
            <w:tcMar>
              <w:left w:w="28" w:type="dxa"/>
              <w:right w:w="28" w:type="dxa"/>
            </w:tcMar>
            <w:vAlign w:val="center"/>
          </w:tcPr>
          <w:p w14:paraId="026EBBFF">
            <w:pPr>
              <w:pStyle w:val="32"/>
              <w:keepNext w:val="0"/>
              <w:keepLines w:val="0"/>
              <w:pageBreakBefore w:val="0"/>
              <w:widowControl w:val="0"/>
              <w:kinsoku/>
              <w:wordWrap/>
              <w:overflowPunct/>
              <w:topLinePunct w:val="0"/>
              <w:bidi w:val="0"/>
              <w:snapToGrid/>
              <w:spacing w:beforeAutospacing="0" w:after="0" w:afterAutospacing="0" w:line="240" w:lineRule="auto"/>
              <w:ind w:left="0" w:leftChars="0" w:firstLine="0" w:firstLineChars="0"/>
              <w:jc w:val="center"/>
              <w:textAlignment w:val="auto"/>
              <w:rPr>
                <w:rFonts w:ascii="Times New Roman" w:hAnsi="Times New Roman" w:eastAsia="黑体"/>
                <w:snapToGrid w:val="0"/>
                <w:color w:val="000000" w:themeColor="text1"/>
                <w:spacing w:val="-6"/>
                <w:kern w:val="21"/>
                <w:sz w:val="21"/>
                <w:szCs w:val="21"/>
                <w14:textFill>
                  <w14:solidFill>
                    <w14:schemeClr w14:val="tx1"/>
                  </w14:solidFill>
                </w14:textFill>
              </w:rPr>
            </w:pPr>
            <w:r>
              <w:rPr>
                <w:rFonts w:ascii="Times New Roman" w:hAnsi="Times New Roman" w:eastAsia="黑体"/>
                <w:snapToGrid w:val="0"/>
                <w:color w:val="000000" w:themeColor="text1"/>
                <w:spacing w:val="-6"/>
                <w:kern w:val="21"/>
                <w:sz w:val="21"/>
                <w:szCs w:val="21"/>
                <w14:textFill>
                  <w14:solidFill>
                    <w14:schemeClr w14:val="tx1"/>
                  </w14:solidFill>
                </w14:textFill>
              </w:rPr>
              <w:t>现有工程许可排放量</w: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hAnsi="Times New Roman" w:eastAsia="黑体"/>
                <w:snapToGrid w:val="0"/>
                <w:color w:val="000000" w:themeColor="text1"/>
                <w:spacing w:val="-6"/>
                <w:kern w:val="21"/>
                <w:sz w:val="21"/>
                <w:szCs w:val="21"/>
                <w14:textFill>
                  <w14:solidFill>
                    <w14:schemeClr w14:val="tx1"/>
                  </w14:solidFill>
                </w14:textFill>
              </w:rPr>
              <w:instrText xml:space="preserve"> = 2 \* GB3 \* MERGEFORMAT </w:instrTex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separate"/>
            </w:r>
            <w:r>
              <w:rPr>
                <w:rFonts w:ascii="Times New Roman" w:hAnsi="Times New Roman" w:eastAsia="黑体"/>
                <w:snapToGrid w:val="0"/>
                <w:color w:val="000000" w:themeColor="text1"/>
                <w:spacing w:val="-6"/>
                <w:kern w:val="21"/>
                <w:sz w:val="21"/>
                <w:szCs w:val="21"/>
                <w14:textFill>
                  <w14:solidFill>
                    <w14:schemeClr w14:val="tx1"/>
                  </w14:solidFill>
                </w14:textFill>
              </w:rPr>
              <w:t>②</w: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end"/>
            </w:r>
          </w:p>
        </w:tc>
        <w:tc>
          <w:tcPr>
            <w:tcW w:w="643" w:type="pct"/>
            <w:tcMar>
              <w:left w:w="28" w:type="dxa"/>
              <w:right w:w="28" w:type="dxa"/>
            </w:tcMar>
            <w:vAlign w:val="center"/>
          </w:tcPr>
          <w:p w14:paraId="3FD355CD">
            <w:pPr>
              <w:pStyle w:val="32"/>
              <w:keepNext w:val="0"/>
              <w:keepLines w:val="0"/>
              <w:pageBreakBefore w:val="0"/>
              <w:widowControl w:val="0"/>
              <w:kinsoku/>
              <w:wordWrap/>
              <w:overflowPunct/>
              <w:topLinePunct w:val="0"/>
              <w:bidi w:val="0"/>
              <w:snapToGrid/>
              <w:spacing w:beforeAutospacing="0" w:after="0" w:afterAutospacing="0" w:line="240" w:lineRule="auto"/>
              <w:ind w:left="0" w:leftChars="0" w:firstLine="0" w:firstLineChars="0"/>
              <w:jc w:val="center"/>
              <w:textAlignment w:val="auto"/>
              <w:rPr>
                <w:rFonts w:ascii="Times New Roman" w:hAnsi="Times New Roman" w:eastAsia="黑体"/>
                <w:snapToGrid w:val="0"/>
                <w:color w:val="000000" w:themeColor="text1"/>
                <w:spacing w:val="-6"/>
                <w:kern w:val="21"/>
                <w:sz w:val="21"/>
                <w:szCs w:val="21"/>
                <w14:textFill>
                  <w14:solidFill>
                    <w14:schemeClr w14:val="tx1"/>
                  </w14:solidFill>
                </w14:textFill>
              </w:rPr>
            </w:pPr>
            <w:r>
              <w:rPr>
                <w:rFonts w:ascii="Times New Roman" w:hAnsi="Times New Roman" w:eastAsia="黑体"/>
                <w:snapToGrid w:val="0"/>
                <w:color w:val="000000" w:themeColor="text1"/>
                <w:spacing w:val="-6"/>
                <w:kern w:val="21"/>
                <w:sz w:val="21"/>
                <w:szCs w:val="21"/>
                <w14:textFill>
                  <w14:solidFill>
                    <w14:schemeClr w14:val="tx1"/>
                  </w14:solidFill>
                </w14:textFill>
              </w:rPr>
              <w:t>在建工程排放量（固体废物产生量）</w: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hAnsi="Times New Roman" w:eastAsia="黑体"/>
                <w:snapToGrid w:val="0"/>
                <w:color w:val="000000" w:themeColor="text1"/>
                <w:spacing w:val="-6"/>
                <w:kern w:val="21"/>
                <w:sz w:val="21"/>
                <w:szCs w:val="21"/>
                <w14:textFill>
                  <w14:solidFill>
                    <w14:schemeClr w14:val="tx1"/>
                  </w14:solidFill>
                </w14:textFill>
              </w:rPr>
              <w:instrText xml:space="preserve"> = 3 \* GB3 \* MERGEFORMAT </w:instrTex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separate"/>
            </w:r>
            <w:r>
              <w:rPr>
                <w:rFonts w:ascii="Times New Roman" w:hAnsi="Times New Roman" w:eastAsia="黑体"/>
                <w:color w:val="000000" w:themeColor="text1"/>
                <w:kern w:val="2"/>
                <w:sz w:val="21"/>
                <w:szCs w:val="21"/>
                <w14:textFill>
                  <w14:solidFill>
                    <w14:schemeClr w14:val="tx1"/>
                  </w14:solidFill>
                </w14:textFill>
              </w:rPr>
              <w:t>③</w: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end"/>
            </w:r>
          </w:p>
        </w:tc>
        <w:tc>
          <w:tcPr>
            <w:tcW w:w="600" w:type="pct"/>
            <w:tcMar>
              <w:left w:w="28" w:type="dxa"/>
              <w:right w:w="28" w:type="dxa"/>
            </w:tcMar>
            <w:vAlign w:val="center"/>
          </w:tcPr>
          <w:p w14:paraId="475B4530">
            <w:pPr>
              <w:pStyle w:val="32"/>
              <w:keepNext w:val="0"/>
              <w:keepLines w:val="0"/>
              <w:pageBreakBefore w:val="0"/>
              <w:widowControl w:val="0"/>
              <w:kinsoku/>
              <w:wordWrap/>
              <w:overflowPunct/>
              <w:topLinePunct w:val="0"/>
              <w:bidi w:val="0"/>
              <w:snapToGrid/>
              <w:spacing w:beforeAutospacing="0" w:after="0" w:afterAutospacing="0" w:line="240" w:lineRule="auto"/>
              <w:ind w:left="0" w:leftChars="0" w:firstLine="0" w:firstLineChars="0"/>
              <w:jc w:val="center"/>
              <w:textAlignment w:val="auto"/>
              <w:rPr>
                <w:rFonts w:ascii="Times New Roman" w:hAnsi="Times New Roman" w:eastAsia="黑体"/>
                <w:snapToGrid w:val="0"/>
                <w:color w:val="000000" w:themeColor="text1"/>
                <w:spacing w:val="-6"/>
                <w:kern w:val="21"/>
                <w:sz w:val="21"/>
                <w:szCs w:val="21"/>
                <w14:textFill>
                  <w14:solidFill>
                    <w14:schemeClr w14:val="tx1"/>
                  </w14:solidFill>
                </w14:textFill>
              </w:rPr>
            </w:pPr>
            <w:r>
              <w:rPr>
                <w:rFonts w:ascii="Times New Roman" w:hAnsi="Times New Roman" w:eastAsia="黑体"/>
                <w:snapToGrid w:val="0"/>
                <w:color w:val="000000" w:themeColor="text1"/>
                <w:spacing w:val="-6"/>
                <w:kern w:val="21"/>
                <w:sz w:val="21"/>
                <w:szCs w:val="21"/>
                <w14:textFill>
                  <w14:solidFill>
                    <w14:schemeClr w14:val="tx1"/>
                  </w14:solidFill>
                </w14:textFill>
              </w:rPr>
              <w:t>本项目排放量（固体废物产生量）</w: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hAnsi="Times New Roman" w:eastAsia="黑体"/>
                <w:snapToGrid w:val="0"/>
                <w:color w:val="000000" w:themeColor="text1"/>
                <w:spacing w:val="-6"/>
                <w:kern w:val="21"/>
                <w:sz w:val="21"/>
                <w:szCs w:val="21"/>
                <w14:textFill>
                  <w14:solidFill>
                    <w14:schemeClr w14:val="tx1"/>
                  </w14:solidFill>
                </w14:textFill>
              </w:rPr>
              <w:instrText xml:space="preserve"> = 4 \* GB3 \* MERGEFORMAT </w:instrTex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separate"/>
            </w:r>
            <w:r>
              <w:rPr>
                <w:rFonts w:ascii="Times New Roman" w:hAnsi="Times New Roman" w:eastAsia="黑体"/>
                <w:color w:val="000000" w:themeColor="text1"/>
                <w:kern w:val="2"/>
                <w:sz w:val="21"/>
                <w:szCs w:val="21"/>
                <w14:textFill>
                  <w14:solidFill>
                    <w14:schemeClr w14:val="tx1"/>
                  </w14:solidFill>
                </w14:textFill>
              </w:rPr>
              <w:t>④</w: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end"/>
            </w:r>
          </w:p>
        </w:tc>
        <w:tc>
          <w:tcPr>
            <w:tcW w:w="562" w:type="pct"/>
            <w:tcMar>
              <w:left w:w="28" w:type="dxa"/>
              <w:right w:w="28" w:type="dxa"/>
            </w:tcMar>
            <w:vAlign w:val="center"/>
          </w:tcPr>
          <w:p w14:paraId="0258E244">
            <w:pPr>
              <w:pStyle w:val="32"/>
              <w:keepNext w:val="0"/>
              <w:keepLines w:val="0"/>
              <w:pageBreakBefore w:val="0"/>
              <w:widowControl w:val="0"/>
              <w:kinsoku/>
              <w:wordWrap/>
              <w:overflowPunct/>
              <w:topLinePunct w:val="0"/>
              <w:bidi w:val="0"/>
              <w:snapToGrid/>
              <w:spacing w:beforeAutospacing="0" w:after="0" w:afterAutospacing="0" w:line="240" w:lineRule="auto"/>
              <w:ind w:left="0" w:leftChars="0" w:firstLine="0" w:firstLineChars="0"/>
              <w:jc w:val="center"/>
              <w:textAlignment w:val="auto"/>
              <w:rPr>
                <w:rFonts w:ascii="Times New Roman" w:hAnsi="Times New Roman" w:eastAsia="黑体"/>
                <w:snapToGrid w:val="0"/>
                <w:color w:val="000000" w:themeColor="text1"/>
                <w:spacing w:val="-16"/>
                <w:kern w:val="21"/>
                <w:sz w:val="21"/>
                <w:szCs w:val="21"/>
                <w14:textFill>
                  <w14:solidFill>
                    <w14:schemeClr w14:val="tx1"/>
                  </w14:solidFill>
                </w14:textFill>
              </w:rPr>
            </w:pPr>
            <w:r>
              <w:rPr>
                <w:rFonts w:ascii="Times New Roman" w:hAnsi="Times New Roman" w:eastAsia="黑体"/>
                <w:snapToGrid w:val="0"/>
                <w:color w:val="000000" w:themeColor="text1"/>
                <w:spacing w:val="-16"/>
                <w:kern w:val="21"/>
                <w:sz w:val="21"/>
                <w:szCs w:val="21"/>
                <w14:textFill>
                  <w14:solidFill>
                    <w14:schemeClr w14:val="tx1"/>
                  </w14:solidFill>
                </w14:textFill>
              </w:rPr>
              <w:t>以新带老削减量（新建项目不填）</w:t>
            </w:r>
            <w:r>
              <w:rPr>
                <w:rFonts w:ascii="Times New Roman" w:hAnsi="Times New Roman" w:eastAsia="黑体"/>
                <w:snapToGrid w:val="0"/>
                <w:color w:val="000000" w:themeColor="text1"/>
                <w:spacing w:val="-16"/>
                <w:kern w:val="21"/>
                <w:sz w:val="21"/>
                <w:szCs w:val="21"/>
                <w14:textFill>
                  <w14:solidFill>
                    <w14:schemeClr w14:val="tx1"/>
                  </w14:solidFill>
                </w14:textFill>
              </w:rPr>
              <w:fldChar w:fldCharType="begin"/>
            </w:r>
            <w:r>
              <w:rPr>
                <w:rFonts w:ascii="Times New Roman" w:hAnsi="Times New Roman" w:eastAsia="黑体"/>
                <w:snapToGrid w:val="0"/>
                <w:color w:val="000000" w:themeColor="text1"/>
                <w:spacing w:val="-16"/>
                <w:kern w:val="21"/>
                <w:sz w:val="21"/>
                <w:szCs w:val="21"/>
                <w14:textFill>
                  <w14:solidFill>
                    <w14:schemeClr w14:val="tx1"/>
                  </w14:solidFill>
                </w14:textFill>
              </w:rPr>
              <w:instrText xml:space="preserve"> = 5 \* GB3 \* MERGEFORMAT </w:instrText>
            </w:r>
            <w:r>
              <w:rPr>
                <w:rFonts w:ascii="Times New Roman" w:hAnsi="Times New Roman" w:eastAsia="黑体"/>
                <w:snapToGrid w:val="0"/>
                <w:color w:val="000000" w:themeColor="text1"/>
                <w:spacing w:val="-16"/>
                <w:kern w:val="21"/>
                <w:sz w:val="21"/>
                <w:szCs w:val="21"/>
                <w14:textFill>
                  <w14:solidFill>
                    <w14:schemeClr w14:val="tx1"/>
                  </w14:solidFill>
                </w14:textFill>
              </w:rPr>
              <w:fldChar w:fldCharType="separate"/>
            </w:r>
            <w:r>
              <w:rPr>
                <w:rFonts w:ascii="Times New Roman" w:hAnsi="Times New Roman" w:eastAsia="黑体"/>
                <w:color w:val="000000" w:themeColor="text1"/>
                <w:kern w:val="2"/>
                <w:sz w:val="21"/>
                <w:szCs w:val="21"/>
                <w14:textFill>
                  <w14:solidFill>
                    <w14:schemeClr w14:val="tx1"/>
                  </w14:solidFill>
                </w14:textFill>
              </w:rPr>
              <w:t>⑤</w:t>
            </w:r>
            <w:r>
              <w:rPr>
                <w:rFonts w:ascii="Times New Roman" w:hAnsi="Times New Roman" w:eastAsia="黑体"/>
                <w:snapToGrid w:val="0"/>
                <w:color w:val="000000" w:themeColor="text1"/>
                <w:spacing w:val="-16"/>
                <w:kern w:val="21"/>
                <w:sz w:val="21"/>
                <w:szCs w:val="21"/>
                <w14:textFill>
                  <w14:solidFill>
                    <w14:schemeClr w14:val="tx1"/>
                  </w14:solidFill>
                </w14:textFill>
              </w:rPr>
              <w:fldChar w:fldCharType="end"/>
            </w:r>
          </w:p>
        </w:tc>
        <w:tc>
          <w:tcPr>
            <w:tcW w:w="695" w:type="pct"/>
            <w:tcMar>
              <w:left w:w="28" w:type="dxa"/>
              <w:right w:w="28" w:type="dxa"/>
            </w:tcMar>
            <w:vAlign w:val="center"/>
          </w:tcPr>
          <w:p w14:paraId="3D07A16F">
            <w:pPr>
              <w:pStyle w:val="32"/>
              <w:keepNext w:val="0"/>
              <w:keepLines w:val="0"/>
              <w:pageBreakBefore w:val="0"/>
              <w:widowControl w:val="0"/>
              <w:kinsoku/>
              <w:wordWrap/>
              <w:overflowPunct/>
              <w:topLinePunct w:val="0"/>
              <w:bidi w:val="0"/>
              <w:snapToGrid/>
              <w:spacing w:beforeAutospacing="0" w:after="0" w:afterAutospacing="0" w:line="240" w:lineRule="auto"/>
              <w:ind w:left="0" w:leftChars="0" w:firstLine="0" w:firstLineChars="0"/>
              <w:jc w:val="center"/>
              <w:textAlignment w:val="auto"/>
              <w:rPr>
                <w:rFonts w:ascii="Times New Roman" w:hAnsi="Times New Roman" w:eastAsia="黑体"/>
                <w:snapToGrid w:val="0"/>
                <w:color w:val="000000" w:themeColor="text1"/>
                <w:spacing w:val="-16"/>
                <w:kern w:val="21"/>
                <w:sz w:val="21"/>
                <w:szCs w:val="21"/>
                <w14:textFill>
                  <w14:solidFill>
                    <w14:schemeClr w14:val="tx1"/>
                  </w14:solidFill>
                </w14:textFill>
              </w:rPr>
            </w:pPr>
            <w:r>
              <w:rPr>
                <w:rFonts w:ascii="Times New Roman" w:hAnsi="Times New Roman" w:eastAsia="黑体"/>
                <w:snapToGrid w:val="0"/>
                <w:color w:val="000000" w:themeColor="text1"/>
                <w:spacing w:val="-16"/>
                <w:kern w:val="21"/>
                <w:sz w:val="21"/>
                <w:szCs w:val="21"/>
                <w14:textFill>
                  <w14:solidFill>
                    <w14:schemeClr w14:val="tx1"/>
                  </w14:solidFill>
                </w14:textFill>
              </w:rPr>
              <w:t>本项目建成后全厂排放量（固体废物产生量）</w:t>
            </w:r>
            <w:r>
              <w:rPr>
                <w:rFonts w:ascii="Times New Roman" w:hAnsi="Times New Roman" w:eastAsia="黑体"/>
                <w:snapToGrid w:val="0"/>
                <w:color w:val="000000" w:themeColor="text1"/>
                <w:spacing w:val="-16"/>
                <w:kern w:val="21"/>
                <w:sz w:val="21"/>
                <w:szCs w:val="21"/>
                <w14:textFill>
                  <w14:solidFill>
                    <w14:schemeClr w14:val="tx1"/>
                  </w14:solidFill>
                </w14:textFill>
              </w:rPr>
              <w:fldChar w:fldCharType="begin"/>
            </w:r>
            <w:r>
              <w:rPr>
                <w:rFonts w:ascii="Times New Roman" w:hAnsi="Times New Roman" w:eastAsia="黑体"/>
                <w:snapToGrid w:val="0"/>
                <w:color w:val="000000" w:themeColor="text1"/>
                <w:spacing w:val="-16"/>
                <w:kern w:val="21"/>
                <w:sz w:val="21"/>
                <w:szCs w:val="21"/>
                <w14:textFill>
                  <w14:solidFill>
                    <w14:schemeClr w14:val="tx1"/>
                  </w14:solidFill>
                </w14:textFill>
              </w:rPr>
              <w:instrText xml:space="preserve"> = 6 \* GB3 \* MERGEFORMAT </w:instrText>
            </w:r>
            <w:r>
              <w:rPr>
                <w:rFonts w:ascii="Times New Roman" w:hAnsi="Times New Roman" w:eastAsia="黑体"/>
                <w:snapToGrid w:val="0"/>
                <w:color w:val="000000" w:themeColor="text1"/>
                <w:spacing w:val="-16"/>
                <w:kern w:val="21"/>
                <w:sz w:val="21"/>
                <w:szCs w:val="21"/>
                <w14:textFill>
                  <w14:solidFill>
                    <w14:schemeClr w14:val="tx1"/>
                  </w14:solidFill>
                </w14:textFill>
              </w:rPr>
              <w:fldChar w:fldCharType="separate"/>
            </w:r>
            <w:r>
              <w:rPr>
                <w:rFonts w:ascii="Times New Roman" w:hAnsi="Times New Roman" w:eastAsia="黑体"/>
                <w:color w:val="000000" w:themeColor="text1"/>
                <w:kern w:val="2"/>
                <w:sz w:val="21"/>
                <w:szCs w:val="21"/>
                <w14:textFill>
                  <w14:solidFill>
                    <w14:schemeClr w14:val="tx1"/>
                  </w14:solidFill>
                </w14:textFill>
              </w:rPr>
              <w:t>⑥</w:t>
            </w:r>
            <w:r>
              <w:rPr>
                <w:rFonts w:ascii="Times New Roman" w:hAnsi="Times New Roman" w:eastAsia="黑体"/>
                <w:snapToGrid w:val="0"/>
                <w:color w:val="000000" w:themeColor="text1"/>
                <w:spacing w:val="-16"/>
                <w:kern w:val="21"/>
                <w:sz w:val="21"/>
                <w:szCs w:val="21"/>
                <w14:textFill>
                  <w14:solidFill>
                    <w14:schemeClr w14:val="tx1"/>
                  </w14:solidFill>
                </w14:textFill>
              </w:rPr>
              <w:fldChar w:fldCharType="end"/>
            </w:r>
          </w:p>
        </w:tc>
        <w:tc>
          <w:tcPr>
            <w:tcW w:w="518" w:type="pct"/>
            <w:tcMar>
              <w:left w:w="28" w:type="dxa"/>
              <w:right w:w="28" w:type="dxa"/>
            </w:tcMar>
            <w:vAlign w:val="center"/>
          </w:tcPr>
          <w:p w14:paraId="389884E2">
            <w:pPr>
              <w:pStyle w:val="32"/>
              <w:keepNext w:val="0"/>
              <w:keepLines w:val="0"/>
              <w:pageBreakBefore w:val="0"/>
              <w:widowControl w:val="0"/>
              <w:kinsoku/>
              <w:wordWrap/>
              <w:overflowPunct/>
              <w:topLinePunct w:val="0"/>
              <w:bidi w:val="0"/>
              <w:snapToGrid/>
              <w:spacing w:beforeAutospacing="0" w:after="0" w:afterAutospacing="0" w:line="240" w:lineRule="auto"/>
              <w:ind w:left="0" w:leftChars="0" w:firstLine="0" w:firstLineChars="0"/>
              <w:jc w:val="center"/>
              <w:textAlignment w:val="auto"/>
              <w:rPr>
                <w:rFonts w:ascii="Times New Roman" w:hAnsi="Times New Roman" w:eastAsia="黑体"/>
                <w:snapToGrid w:val="0"/>
                <w:color w:val="000000" w:themeColor="text1"/>
                <w:spacing w:val="-6"/>
                <w:kern w:val="21"/>
                <w:sz w:val="21"/>
                <w:szCs w:val="21"/>
                <w14:textFill>
                  <w14:solidFill>
                    <w14:schemeClr w14:val="tx1"/>
                  </w14:solidFill>
                </w14:textFill>
              </w:rPr>
            </w:pPr>
            <w:r>
              <w:rPr>
                <w:rFonts w:ascii="Times New Roman" w:hAnsi="Times New Roman" w:eastAsia="黑体"/>
                <w:snapToGrid w:val="0"/>
                <w:color w:val="000000" w:themeColor="text1"/>
                <w:spacing w:val="-6"/>
                <w:kern w:val="21"/>
                <w:sz w:val="21"/>
                <w:szCs w:val="21"/>
                <w14:textFill>
                  <w14:solidFill>
                    <w14:schemeClr w14:val="tx1"/>
                  </w14:solidFill>
                </w14:textFill>
              </w:rPr>
              <w:t>变化量</w: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hAnsi="Times New Roman" w:eastAsia="黑体"/>
                <w:snapToGrid w:val="0"/>
                <w:color w:val="000000" w:themeColor="text1"/>
                <w:spacing w:val="-6"/>
                <w:kern w:val="21"/>
                <w:sz w:val="21"/>
                <w:szCs w:val="21"/>
                <w14:textFill>
                  <w14:solidFill>
                    <w14:schemeClr w14:val="tx1"/>
                  </w14:solidFill>
                </w14:textFill>
              </w:rPr>
              <w:instrText xml:space="preserve"> = 7 \* GB3 \* MERGEFORMAT </w:instrTex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separate"/>
            </w:r>
            <w:r>
              <w:rPr>
                <w:rFonts w:ascii="Times New Roman" w:hAnsi="Times New Roman" w:eastAsia="黑体"/>
                <w:color w:val="000000" w:themeColor="text1"/>
                <w:kern w:val="2"/>
                <w:sz w:val="21"/>
                <w:szCs w:val="21"/>
                <w14:textFill>
                  <w14:solidFill>
                    <w14:schemeClr w14:val="tx1"/>
                  </w14:solidFill>
                </w14:textFill>
              </w:rPr>
              <w:t>⑦</w:t>
            </w:r>
            <w:r>
              <w:rPr>
                <w:rFonts w:ascii="Times New Roman" w:hAnsi="Times New Roman" w:eastAsia="黑体"/>
                <w:snapToGrid w:val="0"/>
                <w:color w:val="000000" w:themeColor="text1"/>
                <w:spacing w:val="-6"/>
                <w:kern w:val="21"/>
                <w:sz w:val="21"/>
                <w:szCs w:val="21"/>
                <w14:textFill>
                  <w14:solidFill>
                    <w14:schemeClr w14:val="tx1"/>
                  </w14:solidFill>
                </w14:textFill>
              </w:rPr>
              <w:fldChar w:fldCharType="end"/>
            </w:r>
          </w:p>
        </w:tc>
      </w:tr>
      <w:tr w14:paraId="51FAB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14" w:type="pct"/>
            <w:vMerge w:val="restart"/>
            <w:vAlign w:val="center"/>
          </w:tcPr>
          <w:p w14:paraId="76DA05FC">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bCs/>
                <w:snapToGrid w:val="0"/>
                <w:color w:val="000000" w:themeColor="text1"/>
                <w:kern w:val="21"/>
                <w:sz w:val="21"/>
                <w:szCs w:val="21"/>
                <w14:textFill>
                  <w14:solidFill>
                    <w14:schemeClr w14:val="tx1"/>
                  </w14:solidFill>
                </w14:textFill>
              </w:rPr>
            </w:pPr>
            <w:r>
              <w:rPr>
                <w:rFonts w:ascii="Times New Roman" w:hAnsi="Times New Roman"/>
                <w:bCs/>
                <w:snapToGrid w:val="0"/>
                <w:color w:val="000000" w:themeColor="text1"/>
                <w:kern w:val="21"/>
                <w:sz w:val="21"/>
                <w:szCs w:val="21"/>
                <w14:textFill>
                  <w14:solidFill>
                    <w14:schemeClr w14:val="tx1"/>
                  </w14:solidFill>
                </w14:textFill>
              </w:rPr>
              <w:t>废气</w:t>
            </w:r>
          </w:p>
        </w:tc>
        <w:tc>
          <w:tcPr>
            <w:tcW w:w="471" w:type="pct"/>
            <w:vAlign w:val="center"/>
          </w:tcPr>
          <w:p w14:paraId="12018FE0">
            <w:pPr>
              <w:keepNext w:val="0"/>
              <w:keepLines w:val="0"/>
              <w:pageBreakBefore w:val="0"/>
              <w:widowControl w:val="0"/>
              <w:kinsoku/>
              <w:wordWrap/>
              <w:overflowPunct/>
              <w:topLinePunct w:val="0"/>
              <w:bidi w:val="0"/>
              <w:snapToGrid/>
              <w:spacing w:line="240" w:lineRule="auto"/>
              <w:ind w:left="0" w:firstLine="0" w:firstLineChars="0"/>
              <w:jc w:val="center"/>
              <w:textAlignment w:val="auto"/>
              <w:rPr>
                <w:rFonts w:hint="eastAsia" w:eastAsia="宋体"/>
                <w:bCs/>
                <w:snapToGrid w:val="0"/>
                <w:color w:val="000000" w:themeColor="text1"/>
                <w:kern w:val="21"/>
                <w:szCs w:val="21"/>
                <w:lang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氨气</w:t>
            </w:r>
          </w:p>
        </w:tc>
        <w:tc>
          <w:tcPr>
            <w:tcW w:w="644" w:type="pct"/>
            <w:shd w:val="clear" w:color="auto" w:fill="auto"/>
            <w:vAlign w:val="center"/>
          </w:tcPr>
          <w:p w14:paraId="7F85B97B">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64.292</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448" w:type="pct"/>
            <w:vAlign w:val="center"/>
          </w:tcPr>
          <w:p w14:paraId="5E306CDE">
            <w:pPr>
              <w:pStyle w:val="32"/>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43" w:type="pct"/>
            <w:vAlign w:val="center"/>
          </w:tcPr>
          <w:p w14:paraId="1F6FF6DF">
            <w:pPr>
              <w:pStyle w:val="32"/>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00" w:type="pct"/>
            <w:vAlign w:val="center"/>
          </w:tcPr>
          <w:p w14:paraId="74DE1B73">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default" w:eastAsia="宋体"/>
                <w:bCs/>
                <w:color w:val="000000" w:themeColor="text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62" w:type="pct"/>
            <w:vAlign w:val="center"/>
          </w:tcPr>
          <w:p w14:paraId="222D0307">
            <w:pPr>
              <w:pStyle w:val="32"/>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bCs/>
                <w:color w:val="000000" w:themeColor="text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1907" w:type="dxa"/>
            <w:vAlign w:val="center"/>
          </w:tcPr>
          <w:p w14:paraId="489488EC">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64.292</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18" w:type="pct"/>
            <w:vAlign w:val="center"/>
          </w:tcPr>
          <w:p w14:paraId="3D97174F">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r>
      <w:tr w14:paraId="385F70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14" w:type="pct"/>
            <w:vMerge w:val="continue"/>
            <w:vAlign w:val="center"/>
          </w:tcPr>
          <w:p w14:paraId="1C1BD8CF">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bCs/>
                <w:snapToGrid w:val="0"/>
                <w:color w:val="000000" w:themeColor="text1"/>
                <w:kern w:val="21"/>
                <w:sz w:val="21"/>
                <w:szCs w:val="21"/>
                <w14:textFill>
                  <w14:solidFill>
                    <w14:schemeClr w14:val="tx1"/>
                  </w14:solidFill>
                </w14:textFill>
              </w:rPr>
            </w:pPr>
          </w:p>
        </w:tc>
        <w:tc>
          <w:tcPr>
            <w:tcW w:w="471" w:type="pct"/>
            <w:vAlign w:val="center"/>
          </w:tcPr>
          <w:p w14:paraId="7B834943">
            <w:pPr>
              <w:keepNext w:val="0"/>
              <w:keepLines w:val="0"/>
              <w:pageBreakBefore w:val="0"/>
              <w:widowControl w:val="0"/>
              <w:kinsoku/>
              <w:wordWrap/>
              <w:overflowPunct/>
              <w:topLinePunct w:val="0"/>
              <w:bidi w:val="0"/>
              <w:snapToGrid/>
              <w:spacing w:line="240" w:lineRule="auto"/>
              <w:ind w:left="0" w:firstLine="0" w:firstLineChars="0"/>
              <w:jc w:val="center"/>
              <w:textAlignment w:val="auto"/>
              <w:rPr>
                <w:rFonts w:hint="eastAsia" w:eastAsia="宋体"/>
                <w:bCs/>
                <w:color w:val="0000FF"/>
                <w:szCs w:val="21"/>
                <w:lang w:eastAsia="zh-CN"/>
              </w:rPr>
            </w:pPr>
            <w:r>
              <w:rPr>
                <w:rFonts w:hint="eastAsia"/>
                <w:bCs/>
                <w:color w:val="0000FF"/>
                <w:szCs w:val="21"/>
                <w:lang w:eastAsia="zh-CN"/>
              </w:rPr>
              <w:t>氮氧化物</w:t>
            </w:r>
          </w:p>
        </w:tc>
        <w:tc>
          <w:tcPr>
            <w:tcW w:w="644" w:type="pct"/>
            <w:shd w:val="clear" w:color="auto" w:fill="auto"/>
            <w:vAlign w:val="center"/>
          </w:tcPr>
          <w:p w14:paraId="691AF51A">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67.886</w:t>
            </w:r>
            <w:r>
              <w:rPr>
                <w:rFonts w:hint="eastAsia" w:ascii="Times New Roman" w:hAnsi="Times New Roman" w:eastAsia="宋体" w:cs="Times New Roman"/>
                <w:color w:val="0000FF"/>
                <w:sz w:val="21"/>
                <w:szCs w:val="21"/>
                <w:highlight w:val="none"/>
              </w:rPr>
              <w:t>t/a</w:t>
            </w:r>
          </w:p>
        </w:tc>
        <w:tc>
          <w:tcPr>
            <w:tcW w:w="448" w:type="pct"/>
            <w:vAlign w:val="center"/>
          </w:tcPr>
          <w:p w14:paraId="79F7B63C">
            <w:pPr>
              <w:pStyle w:val="32"/>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snapToGrid w:val="0"/>
                <w:color w:val="0000FF"/>
                <w:kern w:val="21"/>
                <w:sz w:val="21"/>
                <w:szCs w:val="21"/>
                <w:lang w:val="en-US" w:eastAsia="zh-CN"/>
              </w:rPr>
            </w:pPr>
            <w:r>
              <w:rPr>
                <w:rFonts w:hint="eastAsia"/>
                <w:snapToGrid w:val="0"/>
                <w:color w:val="0000FF"/>
                <w:kern w:val="21"/>
                <w:sz w:val="21"/>
                <w:szCs w:val="21"/>
                <w:lang w:val="en-US" w:eastAsia="zh-CN"/>
              </w:rPr>
              <w:t>190.78</w:t>
            </w:r>
            <w:r>
              <w:rPr>
                <w:rFonts w:hint="eastAsia" w:ascii="Times New Roman" w:hAnsi="Times New Roman" w:eastAsia="宋体" w:cs="Times New Roman"/>
                <w:color w:val="0000FF"/>
                <w:sz w:val="21"/>
                <w:szCs w:val="21"/>
                <w:highlight w:val="none"/>
              </w:rPr>
              <w:t>t/a</w:t>
            </w:r>
          </w:p>
        </w:tc>
        <w:tc>
          <w:tcPr>
            <w:tcW w:w="643" w:type="pct"/>
            <w:vAlign w:val="center"/>
          </w:tcPr>
          <w:p w14:paraId="3F0BDF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snapToGrid w:val="0"/>
                <w:color w:val="0000FF"/>
                <w:kern w:val="21"/>
                <w:sz w:val="21"/>
                <w:szCs w:val="21"/>
              </w:rPr>
            </w:pPr>
            <w:r>
              <w:rPr>
                <w:rFonts w:ascii="Times New Roman" w:hAnsi="Times New Roman"/>
                <w:snapToGrid w:val="0"/>
                <w:color w:val="0000FF"/>
                <w:kern w:val="21"/>
                <w:sz w:val="21"/>
                <w:szCs w:val="21"/>
              </w:rPr>
              <w:t>/</w:t>
            </w:r>
          </w:p>
        </w:tc>
        <w:tc>
          <w:tcPr>
            <w:tcW w:w="600" w:type="pct"/>
            <w:vAlign w:val="center"/>
          </w:tcPr>
          <w:p w14:paraId="0C92FEF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s="Times New Roman"/>
                <w:color w:val="0000FF"/>
                <w:sz w:val="21"/>
                <w:szCs w:val="21"/>
                <w:highlight w:val="none"/>
                <w:lang w:val="en-US" w:eastAsia="zh-CN"/>
              </w:rPr>
            </w:pPr>
            <w:r>
              <w:rPr>
                <w:rFonts w:hint="eastAsia" w:cs="Times New Roman"/>
                <w:color w:val="0000FF"/>
                <w:sz w:val="21"/>
                <w:szCs w:val="21"/>
                <w:highlight w:val="none"/>
                <w:lang w:val="en-US" w:eastAsia="zh-CN"/>
              </w:rPr>
              <w:t>0</w:t>
            </w:r>
            <w:r>
              <w:rPr>
                <w:rFonts w:hint="eastAsia" w:ascii="Times New Roman" w:hAnsi="Times New Roman" w:eastAsia="宋体" w:cs="Times New Roman"/>
                <w:color w:val="0000FF"/>
                <w:sz w:val="21"/>
                <w:szCs w:val="21"/>
                <w:highlight w:val="none"/>
              </w:rPr>
              <w:t>t/a</w:t>
            </w:r>
          </w:p>
        </w:tc>
        <w:tc>
          <w:tcPr>
            <w:tcW w:w="562" w:type="pct"/>
            <w:vAlign w:val="center"/>
          </w:tcPr>
          <w:p w14:paraId="130CD1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snapToGrid w:val="0"/>
                <w:color w:val="0000FF"/>
                <w:kern w:val="21"/>
                <w:sz w:val="21"/>
                <w:szCs w:val="21"/>
              </w:rPr>
            </w:pPr>
            <w:r>
              <w:rPr>
                <w:rFonts w:ascii="Times New Roman" w:hAnsi="Times New Roman"/>
                <w:snapToGrid w:val="0"/>
                <w:color w:val="0000FF"/>
                <w:kern w:val="21"/>
                <w:sz w:val="21"/>
                <w:szCs w:val="21"/>
              </w:rPr>
              <w:t>/</w:t>
            </w:r>
          </w:p>
        </w:tc>
        <w:tc>
          <w:tcPr>
            <w:tcW w:w="1907" w:type="dxa"/>
            <w:vAlign w:val="center"/>
          </w:tcPr>
          <w:p w14:paraId="4625361E">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cs="Times New Roman"/>
                <w:color w:val="0000FF"/>
                <w:sz w:val="21"/>
                <w:szCs w:val="21"/>
                <w:highlight w:val="none"/>
                <w:lang w:val="en-US" w:eastAsia="zh-CN"/>
              </w:rPr>
            </w:pPr>
            <w:r>
              <w:rPr>
                <w:rFonts w:hint="eastAsia" w:cs="Times New Roman"/>
                <w:color w:val="0000FF"/>
                <w:sz w:val="21"/>
                <w:szCs w:val="21"/>
                <w:highlight w:val="none"/>
                <w:lang w:val="en-US" w:eastAsia="zh-CN"/>
              </w:rPr>
              <w:t>67.886</w:t>
            </w:r>
            <w:r>
              <w:rPr>
                <w:rFonts w:hint="eastAsia" w:ascii="Times New Roman" w:hAnsi="Times New Roman" w:eastAsia="宋体" w:cs="Times New Roman"/>
                <w:color w:val="0000FF"/>
                <w:sz w:val="21"/>
                <w:szCs w:val="21"/>
                <w:highlight w:val="none"/>
              </w:rPr>
              <w:t>t/a</w:t>
            </w:r>
          </w:p>
        </w:tc>
        <w:tc>
          <w:tcPr>
            <w:tcW w:w="518" w:type="pct"/>
            <w:vAlign w:val="center"/>
          </w:tcPr>
          <w:p w14:paraId="7E9A7C39">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cs="Times New Roman"/>
                <w:color w:val="0000FF"/>
                <w:sz w:val="21"/>
                <w:szCs w:val="21"/>
                <w:highlight w:val="none"/>
                <w:lang w:val="en-US" w:eastAsia="zh-CN"/>
              </w:rPr>
            </w:pPr>
            <w:r>
              <w:rPr>
                <w:rFonts w:hint="eastAsia" w:cs="Times New Roman"/>
                <w:color w:val="0000FF"/>
                <w:sz w:val="21"/>
                <w:szCs w:val="21"/>
                <w:highlight w:val="none"/>
                <w:lang w:val="en-US" w:eastAsia="zh-CN"/>
              </w:rPr>
              <w:t>0</w:t>
            </w:r>
            <w:r>
              <w:rPr>
                <w:rFonts w:hint="eastAsia" w:ascii="Times New Roman" w:hAnsi="Times New Roman" w:eastAsia="宋体" w:cs="Times New Roman"/>
                <w:color w:val="0000FF"/>
                <w:sz w:val="21"/>
                <w:szCs w:val="21"/>
                <w:highlight w:val="none"/>
              </w:rPr>
              <w:t>t/a</w:t>
            </w:r>
          </w:p>
        </w:tc>
      </w:tr>
      <w:tr w14:paraId="37900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14" w:type="pct"/>
            <w:vMerge w:val="continue"/>
            <w:vAlign w:val="center"/>
          </w:tcPr>
          <w:p w14:paraId="7279F8A9">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bCs/>
                <w:snapToGrid w:val="0"/>
                <w:color w:val="000000" w:themeColor="text1"/>
                <w:kern w:val="21"/>
                <w:sz w:val="21"/>
                <w:szCs w:val="21"/>
                <w14:textFill>
                  <w14:solidFill>
                    <w14:schemeClr w14:val="tx1"/>
                  </w14:solidFill>
                </w14:textFill>
              </w:rPr>
            </w:pPr>
          </w:p>
        </w:tc>
        <w:tc>
          <w:tcPr>
            <w:tcW w:w="471" w:type="pct"/>
            <w:vAlign w:val="center"/>
          </w:tcPr>
          <w:p w14:paraId="79321E75">
            <w:pPr>
              <w:keepNext w:val="0"/>
              <w:keepLines w:val="0"/>
              <w:pageBreakBefore w:val="0"/>
              <w:widowControl w:val="0"/>
              <w:kinsoku/>
              <w:wordWrap/>
              <w:overflowPunct/>
              <w:topLinePunct w:val="0"/>
              <w:bidi w:val="0"/>
              <w:snapToGrid/>
              <w:spacing w:line="240" w:lineRule="auto"/>
              <w:ind w:left="0" w:firstLine="0" w:firstLineChars="0"/>
              <w:jc w:val="center"/>
              <w:textAlignment w:val="auto"/>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二氧化硫</w:t>
            </w:r>
          </w:p>
        </w:tc>
        <w:tc>
          <w:tcPr>
            <w:tcW w:w="644" w:type="pct"/>
            <w:shd w:val="clear" w:color="auto" w:fill="auto"/>
            <w:vAlign w:val="center"/>
          </w:tcPr>
          <w:p w14:paraId="7396928C">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0.382</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448" w:type="pct"/>
            <w:vAlign w:val="center"/>
          </w:tcPr>
          <w:p w14:paraId="101CD4CF">
            <w:pPr>
              <w:pStyle w:val="32"/>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snapToGrid w:val="0"/>
                <w:color w:val="000000" w:themeColor="text1"/>
                <w:kern w:val="21"/>
                <w:sz w:val="21"/>
                <w:szCs w:val="21"/>
                <w:lang w:val="en-US" w:eastAsia="zh-CN"/>
                <w14:textFill>
                  <w14:solidFill>
                    <w14:schemeClr w14:val="tx1"/>
                  </w14:solidFill>
                </w14:textFill>
              </w:rPr>
            </w:pPr>
            <w:r>
              <w:rPr>
                <w:rFonts w:hint="eastAsia"/>
                <w:snapToGrid w:val="0"/>
                <w:color w:val="000000" w:themeColor="text1"/>
                <w:kern w:val="21"/>
                <w:sz w:val="21"/>
                <w:szCs w:val="21"/>
                <w:lang w:val="en-US" w:eastAsia="zh-CN"/>
                <w14:textFill>
                  <w14:solidFill>
                    <w14:schemeClr w14:val="tx1"/>
                  </w14:solidFill>
                </w14:textFill>
              </w:rPr>
              <w:t>1.08</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643" w:type="pct"/>
            <w:vAlign w:val="center"/>
          </w:tcPr>
          <w:p w14:paraId="283FEB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00" w:type="pct"/>
            <w:vAlign w:val="center"/>
          </w:tcPr>
          <w:p w14:paraId="0A2B25B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62" w:type="pct"/>
            <w:vAlign w:val="center"/>
          </w:tcPr>
          <w:p w14:paraId="725244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1907" w:type="dxa"/>
            <w:vAlign w:val="center"/>
          </w:tcPr>
          <w:p w14:paraId="1BAB50A5">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0.382</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18" w:type="pct"/>
            <w:vAlign w:val="center"/>
          </w:tcPr>
          <w:p w14:paraId="72F34C52">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r>
      <w:tr w14:paraId="5A9A7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14" w:type="pct"/>
            <w:vMerge w:val="continue"/>
            <w:vAlign w:val="center"/>
          </w:tcPr>
          <w:p w14:paraId="49BFA5F6">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bCs/>
                <w:snapToGrid w:val="0"/>
                <w:color w:val="000000" w:themeColor="text1"/>
                <w:kern w:val="21"/>
                <w:sz w:val="21"/>
                <w:szCs w:val="21"/>
                <w14:textFill>
                  <w14:solidFill>
                    <w14:schemeClr w14:val="tx1"/>
                  </w14:solidFill>
                </w14:textFill>
              </w:rPr>
            </w:pPr>
          </w:p>
        </w:tc>
        <w:tc>
          <w:tcPr>
            <w:tcW w:w="471" w:type="pct"/>
            <w:vAlign w:val="center"/>
          </w:tcPr>
          <w:p w14:paraId="0CA9CFBB">
            <w:pPr>
              <w:keepNext w:val="0"/>
              <w:keepLines w:val="0"/>
              <w:pageBreakBefore w:val="0"/>
              <w:widowControl w:val="0"/>
              <w:kinsoku/>
              <w:wordWrap/>
              <w:overflowPunct/>
              <w:topLinePunct w:val="0"/>
              <w:bidi w:val="0"/>
              <w:snapToGrid/>
              <w:spacing w:line="240" w:lineRule="auto"/>
              <w:ind w:left="0" w:firstLine="0" w:firstLineChars="0"/>
              <w:jc w:val="center"/>
              <w:textAlignment w:val="auto"/>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颗粒物</w:t>
            </w:r>
          </w:p>
        </w:tc>
        <w:tc>
          <w:tcPr>
            <w:tcW w:w="644" w:type="pct"/>
            <w:shd w:val="clear" w:color="auto" w:fill="auto"/>
            <w:vAlign w:val="center"/>
          </w:tcPr>
          <w:p w14:paraId="28BCAC26">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44.699</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448" w:type="pct"/>
            <w:vAlign w:val="center"/>
          </w:tcPr>
          <w:p w14:paraId="00EBDC4F">
            <w:pPr>
              <w:pStyle w:val="32"/>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snapToGrid w:val="0"/>
                <w:color w:val="000000" w:themeColor="text1"/>
                <w:kern w:val="21"/>
                <w:sz w:val="21"/>
                <w:szCs w:val="21"/>
                <w:lang w:val="en-US" w:eastAsia="zh-CN"/>
                <w14:textFill>
                  <w14:solidFill>
                    <w14:schemeClr w14:val="tx1"/>
                  </w14:solidFill>
                </w14:textFill>
              </w:rPr>
            </w:pPr>
            <w:r>
              <w:rPr>
                <w:rFonts w:hint="eastAsia"/>
                <w:snapToGrid w:val="0"/>
                <w:color w:val="000000" w:themeColor="text1"/>
                <w:kern w:val="21"/>
                <w:sz w:val="21"/>
                <w:szCs w:val="21"/>
                <w:lang w:val="en-US" w:eastAsia="zh-CN"/>
                <w14:textFill>
                  <w14:solidFill>
                    <w14:schemeClr w14:val="tx1"/>
                  </w14:solidFill>
                </w14:textFill>
              </w:rPr>
              <w:t>428.68</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643" w:type="pct"/>
            <w:vAlign w:val="center"/>
          </w:tcPr>
          <w:p w14:paraId="4BE965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00" w:type="pct"/>
            <w:vAlign w:val="center"/>
          </w:tcPr>
          <w:p w14:paraId="1861916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62" w:type="pct"/>
            <w:vAlign w:val="center"/>
          </w:tcPr>
          <w:p w14:paraId="26A647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1907" w:type="dxa"/>
            <w:vAlign w:val="center"/>
          </w:tcPr>
          <w:p w14:paraId="7262A4A5">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44.699</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18" w:type="pct"/>
            <w:vAlign w:val="center"/>
          </w:tcPr>
          <w:p w14:paraId="4BCF2CF2">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r>
      <w:tr w14:paraId="7FAA9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14" w:type="pct"/>
            <w:vMerge w:val="continue"/>
            <w:vAlign w:val="center"/>
          </w:tcPr>
          <w:p w14:paraId="7ABCCF96">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bCs/>
                <w:snapToGrid w:val="0"/>
                <w:color w:val="000000" w:themeColor="text1"/>
                <w:kern w:val="21"/>
                <w:sz w:val="21"/>
                <w:szCs w:val="21"/>
                <w14:textFill>
                  <w14:solidFill>
                    <w14:schemeClr w14:val="tx1"/>
                  </w14:solidFill>
                </w14:textFill>
              </w:rPr>
            </w:pPr>
          </w:p>
        </w:tc>
        <w:tc>
          <w:tcPr>
            <w:tcW w:w="471" w:type="pct"/>
            <w:vAlign w:val="center"/>
          </w:tcPr>
          <w:p w14:paraId="40FC59EB">
            <w:pPr>
              <w:keepNext w:val="0"/>
              <w:keepLines w:val="0"/>
              <w:pageBreakBefore w:val="0"/>
              <w:widowControl w:val="0"/>
              <w:kinsoku/>
              <w:wordWrap/>
              <w:overflowPunct/>
              <w:topLinePunct w:val="0"/>
              <w:bidi w:val="0"/>
              <w:snapToGrid/>
              <w:spacing w:line="240" w:lineRule="auto"/>
              <w:ind w:left="0" w:firstLine="0" w:firstLineChars="0"/>
              <w:jc w:val="center"/>
              <w:textAlignment w:val="auto"/>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VOCs</w:t>
            </w:r>
          </w:p>
        </w:tc>
        <w:tc>
          <w:tcPr>
            <w:tcW w:w="644" w:type="pct"/>
            <w:shd w:val="clear" w:color="auto" w:fill="auto"/>
            <w:vAlign w:val="center"/>
          </w:tcPr>
          <w:p w14:paraId="4E0ECBCB">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448" w:type="pct"/>
            <w:vAlign w:val="center"/>
          </w:tcPr>
          <w:p w14:paraId="3DD79207">
            <w:pPr>
              <w:pStyle w:val="32"/>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ascii="Times New Roman" w:hAnsi="Times New Roman" w:eastAsia="宋体"/>
                <w:snapToGrid w:val="0"/>
                <w:color w:val="000000" w:themeColor="text1"/>
                <w:kern w:val="21"/>
                <w:sz w:val="21"/>
                <w:szCs w:val="21"/>
                <w:lang w:val="en-US" w:eastAsia="zh-CN"/>
                <w14:textFill>
                  <w14:solidFill>
                    <w14:schemeClr w14:val="tx1"/>
                  </w14:solidFill>
                </w14:textFill>
              </w:rPr>
            </w:pPr>
            <w:r>
              <w:rPr>
                <w:rFonts w:hint="eastAsia"/>
                <w:snapToGrid w:val="0"/>
                <w:color w:val="000000" w:themeColor="text1"/>
                <w:kern w:val="21"/>
                <w:sz w:val="21"/>
                <w:szCs w:val="21"/>
                <w:lang w:val="en-US" w:eastAsia="zh-CN"/>
                <w14:textFill>
                  <w14:solidFill>
                    <w14:schemeClr w14:val="tx1"/>
                  </w14:solidFill>
                </w14:textFill>
              </w:rPr>
              <w:t>/</w:t>
            </w:r>
          </w:p>
        </w:tc>
        <w:tc>
          <w:tcPr>
            <w:tcW w:w="643" w:type="pct"/>
            <w:vAlign w:val="center"/>
          </w:tcPr>
          <w:p w14:paraId="4B59CE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00" w:type="pct"/>
            <w:vAlign w:val="center"/>
          </w:tcPr>
          <w:p w14:paraId="5F674CD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62" w:type="pct"/>
            <w:vAlign w:val="center"/>
          </w:tcPr>
          <w:p w14:paraId="2DB21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1907" w:type="dxa"/>
            <w:vAlign w:val="center"/>
          </w:tcPr>
          <w:p w14:paraId="08778EAB">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18" w:type="pct"/>
            <w:vAlign w:val="center"/>
          </w:tcPr>
          <w:p w14:paraId="7CB66003">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r>
      <w:tr w14:paraId="1E023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4" w:type="pct"/>
            <w:vMerge w:val="restart"/>
            <w:vAlign w:val="center"/>
          </w:tcPr>
          <w:p w14:paraId="74DC4372">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bCs/>
                <w:snapToGrid w:val="0"/>
                <w:color w:val="000000" w:themeColor="text1"/>
                <w:kern w:val="21"/>
                <w:sz w:val="21"/>
                <w:szCs w:val="21"/>
                <w14:textFill>
                  <w14:solidFill>
                    <w14:schemeClr w14:val="tx1"/>
                  </w14:solidFill>
                </w14:textFill>
              </w:rPr>
            </w:pPr>
            <w:r>
              <w:rPr>
                <w:rFonts w:ascii="Times New Roman" w:hAnsi="Times New Roman"/>
                <w:bCs/>
                <w:snapToGrid w:val="0"/>
                <w:color w:val="000000" w:themeColor="text1"/>
                <w:kern w:val="21"/>
                <w:sz w:val="21"/>
                <w:szCs w:val="21"/>
                <w14:textFill>
                  <w14:solidFill>
                    <w14:schemeClr w14:val="tx1"/>
                  </w14:solidFill>
                </w14:textFill>
              </w:rPr>
              <w:t>废水</w:t>
            </w:r>
          </w:p>
        </w:tc>
        <w:tc>
          <w:tcPr>
            <w:tcW w:w="471" w:type="pct"/>
            <w:vAlign w:val="center"/>
          </w:tcPr>
          <w:p w14:paraId="7B117E3D">
            <w:pPr>
              <w:keepNext w:val="0"/>
              <w:keepLines w:val="0"/>
              <w:pageBreakBefore w:val="0"/>
              <w:widowControl w:val="0"/>
              <w:kinsoku/>
              <w:wordWrap/>
              <w:overflowPunct/>
              <w:topLinePunct w:val="0"/>
              <w:bidi w:val="0"/>
              <w:snapToGrid/>
              <w:spacing w:line="240" w:lineRule="auto"/>
              <w:ind w:left="0" w:firstLine="0" w:firstLineChars="0"/>
              <w:jc w:val="center"/>
              <w:textAlignment w:val="auto"/>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ascii="Times New Roman" w:hAnsi="Times New Roman" w:eastAsia="宋体" w:cs="Times New Roman"/>
                <w:bCs/>
                <w:color w:val="000000" w:themeColor="text1"/>
                <w:szCs w:val="21"/>
                <w:lang w:eastAsia="zh-CN"/>
                <w14:textFill>
                  <w14:solidFill>
                    <w14:schemeClr w14:val="tx1"/>
                  </w14:solidFill>
                </w14:textFill>
              </w:rPr>
              <w:t>COD</w:t>
            </w:r>
          </w:p>
        </w:tc>
        <w:tc>
          <w:tcPr>
            <w:tcW w:w="644" w:type="pct"/>
            <w:shd w:val="clear" w:color="auto" w:fill="auto"/>
            <w:vAlign w:val="center"/>
          </w:tcPr>
          <w:p w14:paraId="20CFF91D">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1.687t/a</w:t>
            </w:r>
          </w:p>
        </w:tc>
        <w:tc>
          <w:tcPr>
            <w:tcW w:w="448" w:type="pct"/>
            <w:vAlign w:val="center"/>
          </w:tcPr>
          <w:p w14:paraId="043A8E69">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hint="eastAsia" w:ascii="Times New Roman" w:hAnsi="Times New Roman"/>
                <w:snapToGrid w:val="0"/>
                <w:color w:val="000000" w:themeColor="text1"/>
                <w:kern w:val="21"/>
                <w:sz w:val="21"/>
                <w:szCs w:val="21"/>
                <w14:textFill>
                  <w14:solidFill>
                    <w14:schemeClr w14:val="tx1"/>
                  </w14:solidFill>
                </w14:textFill>
              </w:rPr>
              <w:t>26.28t/a</w:t>
            </w:r>
          </w:p>
        </w:tc>
        <w:tc>
          <w:tcPr>
            <w:tcW w:w="643" w:type="pct"/>
            <w:vAlign w:val="center"/>
          </w:tcPr>
          <w:p w14:paraId="7F73DFFA">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00" w:type="pct"/>
            <w:vAlign w:val="center"/>
          </w:tcPr>
          <w:p w14:paraId="0ACAA40E">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62" w:type="pct"/>
            <w:vAlign w:val="center"/>
          </w:tcPr>
          <w:p w14:paraId="6DAAC5E7">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95" w:type="pct"/>
            <w:vAlign w:val="center"/>
          </w:tcPr>
          <w:p w14:paraId="226D4409">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1.687t/a</w:t>
            </w:r>
          </w:p>
        </w:tc>
        <w:tc>
          <w:tcPr>
            <w:tcW w:w="518" w:type="pct"/>
            <w:vAlign w:val="center"/>
          </w:tcPr>
          <w:p w14:paraId="110AF4F2">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r>
      <w:tr w14:paraId="6B0AE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4" w:type="pct"/>
            <w:vMerge w:val="continue"/>
            <w:vAlign w:val="center"/>
          </w:tcPr>
          <w:p w14:paraId="68A0B1D0">
            <w:pPr>
              <w:pStyle w:val="32"/>
              <w:keepNext w:val="0"/>
              <w:keepLines w:val="0"/>
              <w:pageBreakBefore w:val="0"/>
              <w:widowControl w:val="0"/>
              <w:kinsoku/>
              <w:wordWrap/>
              <w:overflowPunct/>
              <w:topLinePunct w:val="0"/>
              <w:bidi w:val="0"/>
              <w:snapToGrid/>
              <w:spacing w:line="240" w:lineRule="auto"/>
              <w:ind w:left="0" w:firstLine="0" w:firstLineChars="0"/>
              <w:jc w:val="center"/>
              <w:textAlignment w:val="auto"/>
              <w:rPr>
                <w:rFonts w:ascii="Times New Roman" w:hAnsi="Times New Roman"/>
                <w:bCs/>
                <w:snapToGrid w:val="0"/>
                <w:color w:val="000000" w:themeColor="text1"/>
                <w:kern w:val="21"/>
                <w:sz w:val="21"/>
                <w:szCs w:val="21"/>
                <w14:textFill>
                  <w14:solidFill>
                    <w14:schemeClr w14:val="tx1"/>
                  </w14:solidFill>
                </w14:textFill>
              </w:rPr>
            </w:pPr>
          </w:p>
        </w:tc>
        <w:tc>
          <w:tcPr>
            <w:tcW w:w="471" w:type="pct"/>
            <w:vAlign w:val="center"/>
          </w:tcPr>
          <w:p w14:paraId="19E808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总氮</w:t>
            </w:r>
          </w:p>
          <w:p w14:paraId="7AD2B1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（以N计）</w:t>
            </w:r>
          </w:p>
        </w:tc>
        <w:tc>
          <w:tcPr>
            <w:tcW w:w="644" w:type="pct"/>
            <w:shd w:val="clear" w:color="auto" w:fill="auto"/>
            <w:vAlign w:val="center"/>
          </w:tcPr>
          <w:p w14:paraId="650EAA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3.72t/a</w:t>
            </w:r>
          </w:p>
        </w:tc>
        <w:tc>
          <w:tcPr>
            <w:tcW w:w="448" w:type="pct"/>
            <w:vAlign w:val="center"/>
          </w:tcPr>
          <w:p w14:paraId="43A519E6">
            <w:pPr>
              <w:pStyle w:val="32"/>
              <w:keepNext w:val="0"/>
              <w:keepLines w:val="0"/>
              <w:pageBreakBefore w:val="0"/>
              <w:widowControl w:val="0"/>
              <w:kinsoku/>
              <w:wordWrap/>
              <w:overflowPunct/>
              <w:topLinePunct w:val="0"/>
              <w:bidi w:val="0"/>
              <w:snapToGrid/>
              <w:spacing w:beforeAutospacing="0" w:after="0" w:afterAutospacing="0"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43" w:type="pct"/>
            <w:vAlign w:val="center"/>
          </w:tcPr>
          <w:p w14:paraId="7793F062">
            <w:pPr>
              <w:pStyle w:val="32"/>
              <w:keepNext w:val="0"/>
              <w:keepLines w:val="0"/>
              <w:pageBreakBefore w:val="0"/>
              <w:widowControl w:val="0"/>
              <w:kinsoku/>
              <w:wordWrap/>
              <w:overflowPunct/>
              <w:topLinePunct w:val="0"/>
              <w:bidi w:val="0"/>
              <w:snapToGrid/>
              <w:spacing w:beforeAutospacing="0" w:after="0" w:afterAutospacing="0"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00" w:type="pct"/>
            <w:vAlign w:val="center"/>
          </w:tcPr>
          <w:p w14:paraId="1523FE82">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62" w:type="pct"/>
            <w:vAlign w:val="center"/>
          </w:tcPr>
          <w:p w14:paraId="4B137B1D">
            <w:pPr>
              <w:pStyle w:val="32"/>
              <w:keepNext w:val="0"/>
              <w:keepLines w:val="0"/>
              <w:pageBreakBefore w:val="0"/>
              <w:widowControl w:val="0"/>
              <w:kinsoku/>
              <w:wordWrap/>
              <w:overflowPunct/>
              <w:topLinePunct w:val="0"/>
              <w:bidi w:val="0"/>
              <w:snapToGrid/>
              <w:spacing w:beforeAutospacing="0" w:after="0" w:afterAutospacing="0" w:line="240" w:lineRule="auto"/>
              <w:ind w:left="0" w:leftChars="0" w:firstLine="0" w:firstLineChars="0"/>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95" w:type="pct"/>
            <w:vAlign w:val="center"/>
          </w:tcPr>
          <w:p w14:paraId="71E688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3.72t/a</w:t>
            </w:r>
          </w:p>
        </w:tc>
        <w:tc>
          <w:tcPr>
            <w:tcW w:w="518" w:type="pct"/>
            <w:vAlign w:val="center"/>
          </w:tcPr>
          <w:p w14:paraId="5D6380D8">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r>
      <w:tr w14:paraId="338F8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4" w:type="pct"/>
            <w:vMerge w:val="continue"/>
            <w:vAlign w:val="center"/>
          </w:tcPr>
          <w:p w14:paraId="34C4F721">
            <w:pPr>
              <w:pStyle w:val="32"/>
              <w:keepNext w:val="0"/>
              <w:keepLines w:val="0"/>
              <w:pageBreakBefore w:val="0"/>
              <w:widowControl w:val="0"/>
              <w:kinsoku/>
              <w:wordWrap/>
              <w:overflowPunct/>
              <w:topLinePunct w:val="0"/>
              <w:bidi w:val="0"/>
              <w:snapToGrid/>
              <w:spacing w:line="240" w:lineRule="auto"/>
              <w:ind w:left="0" w:firstLine="0" w:firstLineChars="0"/>
              <w:jc w:val="center"/>
              <w:textAlignment w:val="auto"/>
              <w:rPr>
                <w:rFonts w:ascii="Times New Roman" w:hAnsi="Times New Roman"/>
                <w:bCs/>
                <w:snapToGrid w:val="0"/>
                <w:color w:val="000000" w:themeColor="text1"/>
                <w:kern w:val="21"/>
                <w:sz w:val="21"/>
                <w:szCs w:val="21"/>
                <w14:textFill>
                  <w14:solidFill>
                    <w14:schemeClr w14:val="tx1"/>
                  </w14:solidFill>
                </w14:textFill>
              </w:rPr>
            </w:pPr>
          </w:p>
        </w:tc>
        <w:tc>
          <w:tcPr>
            <w:tcW w:w="471" w:type="pct"/>
            <w:vAlign w:val="center"/>
          </w:tcPr>
          <w:p w14:paraId="4409DD0A">
            <w:pPr>
              <w:keepNext w:val="0"/>
              <w:keepLines w:val="0"/>
              <w:pageBreakBefore w:val="0"/>
              <w:widowControl w:val="0"/>
              <w:kinsoku/>
              <w:wordWrap/>
              <w:overflowPunct/>
              <w:topLinePunct w:val="0"/>
              <w:bidi w:val="0"/>
              <w:snapToGrid/>
              <w:spacing w:line="240" w:lineRule="auto"/>
              <w:ind w:left="0" w:firstLine="0" w:firstLineChars="0"/>
              <w:jc w:val="center"/>
              <w:textAlignment w:val="auto"/>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ascii="Times New Roman" w:hAnsi="Times New Roman" w:eastAsia="宋体" w:cs="Times New Roman"/>
                <w:bCs/>
                <w:color w:val="000000" w:themeColor="text1"/>
                <w:szCs w:val="21"/>
                <w:lang w:eastAsia="zh-CN"/>
                <w14:textFill>
                  <w14:solidFill>
                    <w14:schemeClr w14:val="tx1"/>
                  </w14:solidFill>
                </w14:textFill>
              </w:rPr>
              <w:t>SS</w:t>
            </w:r>
          </w:p>
        </w:tc>
        <w:tc>
          <w:tcPr>
            <w:tcW w:w="644" w:type="pct"/>
            <w:shd w:val="clear" w:color="auto" w:fill="auto"/>
            <w:vAlign w:val="center"/>
          </w:tcPr>
          <w:p w14:paraId="50EE1230">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0.000689t/a</w:t>
            </w:r>
          </w:p>
        </w:tc>
        <w:tc>
          <w:tcPr>
            <w:tcW w:w="448" w:type="pct"/>
            <w:vAlign w:val="center"/>
          </w:tcPr>
          <w:p w14:paraId="1125B7DF">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43" w:type="pct"/>
            <w:vAlign w:val="center"/>
          </w:tcPr>
          <w:p w14:paraId="40402192">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00" w:type="pct"/>
            <w:vAlign w:val="center"/>
          </w:tcPr>
          <w:p w14:paraId="0ED724FC">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62" w:type="pct"/>
            <w:vAlign w:val="center"/>
          </w:tcPr>
          <w:p w14:paraId="06B8F1FB">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95" w:type="pct"/>
            <w:vAlign w:val="center"/>
          </w:tcPr>
          <w:p w14:paraId="538FC1C6">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0.000689t/a</w:t>
            </w:r>
          </w:p>
        </w:tc>
        <w:tc>
          <w:tcPr>
            <w:tcW w:w="518" w:type="pct"/>
            <w:vAlign w:val="center"/>
          </w:tcPr>
          <w:p w14:paraId="71D31EEE">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r>
      <w:tr w14:paraId="41BE3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4" w:type="pct"/>
            <w:vMerge w:val="continue"/>
            <w:vAlign w:val="center"/>
          </w:tcPr>
          <w:p w14:paraId="4C3A4837">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bCs/>
                <w:snapToGrid w:val="0"/>
                <w:color w:val="000000" w:themeColor="text1"/>
                <w:kern w:val="21"/>
                <w:sz w:val="21"/>
                <w:szCs w:val="21"/>
                <w14:textFill>
                  <w14:solidFill>
                    <w14:schemeClr w14:val="tx1"/>
                  </w14:solidFill>
                </w14:textFill>
              </w:rPr>
            </w:pPr>
          </w:p>
        </w:tc>
        <w:tc>
          <w:tcPr>
            <w:tcW w:w="471" w:type="pct"/>
            <w:vAlign w:val="center"/>
          </w:tcPr>
          <w:p w14:paraId="367AD46B">
            <w:pPr>
              <w:keepNext w:val="0"/>
              <w:keepLines w:val="0"/>
              <w:pageBreakBefore w:val="0"/>
              <w:widowControl w:val="0"/>
              <w:kinsoku/>
              <w:wordWrap/>
              <w:overflowPunct/>
              <w:topLinePunct w:val="0"/>
              <w:bidi w:val="0"/>
              <w:snapToGrid/>
              <w:spacing w:line="240" w:lineRule="auto"/>
              <w:ind w:left="0" w:firstLine="0" w:firstLineChars="0"/>
              <w:jc w:val="center"/>
              <w:textAlignment w:val="auto"/>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eastAsia="zh-CN"/>
                <w14:textFill>
                  <w14:solidFill>
                    <w14:schemeClr w14:val="tx1"/>
                  </w14:solidFill>
                </w14:textFill>
              </w:rPr>
              <w:t>氨氮</w:t>
            </w:r>
          </w:p>
        </w:tc>
        <w:tc>
          <w:tcPr>
            <w:tcW w:w="644" w:type="pct"/>
            <w:shd w:val="clear" w:color="auto" w:fill="auto"/>
            <w:vAlign w:val="center"/>
          </w:tcPr>
          <w:p w14:paraId="0C421DBE">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0.73t/a</w:t>
            </w:r>
          </w:p>
        </w:tc>
        <w:tc>
          <w:tcPr>
            <w:tcW w:w="448" w:type="pct"/>
            <w:vAlign w:val="center"/>
          </w:tcPr>
          <w:p w14:paraId="1FF93D3F">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6.57t/a</w:t>
            </w:r>
          </w:p>
        </w:tc>
        <w:tc>
          <w:tcPr>
            <w:tcW w:w="643" w:type="pct"/>
            <w:vAlign w:val="center"/>
          </w:tcPr>
          <w:p w14:paraId="3DEFFDC6">
            <w:pPr>
              <w:pStyle w:val="9"/>
              <w:keepNext w:val="0"/>
              <w:keepLines w:val="0"/>
              <w:pageBreakBefore w:val="0"/>
              <w:widowControl w:val="0"/>
              <w:kinsoku/>
              <w:wordWrap/>
              <w:overflowPunct/>
              <w:topLinePunct w:val="0"/>
              <w:bidi w:val="0"/>
              <w:snapToGrid/>
              <w:spacing w:before="0" w:line="240" w:lineRule="auto"/>
              <w:ind w:lef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600" w:type="pct"/>
            <w:vAlign w:val="center"/>
          </w:tcPr>
          <w:p w14:paraId="67F41E73">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62" w:type="pct"/>
            <w:vAlign w:val="center"/>
          </w:tcPr>
          <w:p w14:paraId="6A8646FD">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snapToGrid w:val="0"/>
                <w:color w:val="000000" w:themeColor="text1"/>
                <w:kern w:val="21"/>
                <w:sz w:val="21"/>
                <w:szCs w:val="21"/>
                <w:lang w:val="en-US" w:eastAsia="zh-CN"/>
                <w14:textFill>
                  <w14:solidFill>
                    <w14:schemeClr w14:val="tx1"/>
                  </w14:solidFill>
                </w14:textFill>
              </w:rPr>
              <w:t>/</w:t>
            </w:r>
          </w:p>
        </w:tc>
        <w:tc>
          <w:tcPr>
            <w:tcW w:w="695" w:type="pct"/>
            <w:vAlign w:val="center"/>
          </w:tcPr>
          <w:p w14:paraId="211F0EB0">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0.73t/a</w:t>
            </w:r>
          </w:p>
        </w:tc>
        <w:tc>
          <w:tcPr>
            <w:tcW w:w="518" w:type="pct"/>
            <w:vAlign w:val="center"/>
          </w:tcPr>
          <w:p w14:paraId="396E0822">
            <w:pPr>
              <w:keepNext w:val="0"/>
              <w:keepLines w:val="0"/>
              <w:pageBreakBefore w:val="0"/>
              <w:widowControl w:val="0"/>
              <w:kinsoku/>
              <w:wordWrap/>
              <w:overflowPunct/>
              <w:topLinePunct w:val="0"/>
              <w:autoSpaceDE/>
              <w:autoSpaceDN/>
              <w:bidi w:val="0"/>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r>
      <w:tr w14:paraId="61A814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14" w:type="pct"/>
            <w:vAlign w:val="center"/>
          </w:tcPr>
          <w:p w14:paraId="57CC6456">
            <w:pPr>
              <w:pStyle w:val="32"/>
              <w:keepNext w:val="0"/>
              <w:keepLines w:val="0"/>
              <w:pageBreakBefore w:val="0"/>
              <w:widowControl w:val="0"/>
              <w:kinsoku/>
              <w:wordWrap/>
              <w:overflowPunct/>
              <w:topLinePunct w:val="0"/>
              <w:bidi w:val="0"/>
              <w:snapToGrid/>
              <w:spacing w:line="240" w:lineRule="auto"/>
              <w:ind w:left="0" w:leftChars="0" w:firstLine="0" w:firstLineChars="0"/>
              <w:jc w:val="both"/>
              <w:textAlignment w:val="auto"/>
              <w:rPr>
                <w:rFonts w:ascii="Times New Roman" w:hAnsi="Times New Roman"/>
                <w:bCs/>
                <w:snapToGrid w:val="0"/>
                <w:color w:val="000000" w:themeColor="text1"/>
                <w:kern w:val="21"/>
                <w:sz w:val="21"/>
                <w:szCs w:val="21"/>
                <w14:textFill>
                  <w14:solidFill>
                    <w14:schemeClr w14:val="tx1"/>
                  </w14:solidFill>
                </w14:textFill>
              </w:rPr>
            </w:pPr>
            <w:r>
              <w:rPr>
                <w:rFonts w:hint="eastAsia" w:ascii="Times New Roman" w:hAnsi="Times New Roman"/>
                <w:bCs/>
                <w:snapToGrid w:val="0"/>
                <w:color w:val="000000" w:themeColor="text1"/>
                <w:kern w:val="21"/>
                <w:sz w:val="21"/>
                <w:szCs w:val="21"/>
                <w14:textFill>
                  <w14:solidFill>
                    <w14:schemeClr w14:val="tx1"/>
                  </w14:solidFill>
                </w14:textFill>
              </w:rPr>
              <w:t>一般工业固体废物</w:t>
            </w:r>
          </w:p>
        </w:tc>
        <w:tc>
          <w:tcPr>
            <w:tcW w:w="471" w:type="pct"/>
            <w:vAlign w:val="center"/>
          </w:tcPr>
          <w:p w14:paraId="236ED803">
            <w:pPr>
              <w:pStyle w:val="5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一般固废</w:t>
            </w:r>
          </w:p>
        </w:tc>
        <w:tc>
          <w:tcPr>
            <w:tcW w:w="644" w:type="pct"/>
            <w:shd w:val="clear" w:color="auto" w:fill="auto"/>
            <w:vAlign w:val="center"/>
          </w:tcPr>
          <w:p w14:paraId="4847AF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107.655</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/a</w:t>
            </w:r>
          </w:p>
        </w:tc>
        <w:tc>
          <w:tcPr>
            <w:tcW w:w="448" w:type="pct"/>
            <w:vAlign w:val="center"/>
          </w:tcPr>
          <w:p w14:paraId="52FDC93F">
            <w:pPr>
              <w:pStyle w:val="9"/>
              <w:keepNext w:val="0"/>
              <w:keepLines w:val="0"/>
              <w:pageBreakBefore w:val="0"/>
              <w:widowControl w:val="0"/>
              <w:kinsoku/>
              <w:wordWrap/>
              <w:overflowPunct/>
              <w:topLinePunct w:val="0"/>
              <w:bidi w:val="0"/>
              <w:snapToGrid/>
              <w:spacing w:before="0" w:line="240" w:lineRule="auto"/>
              <w:ind w:lef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643" w:type="pct"/>
            <w:vAlign w:val="center"/>
          </w:tcPr>
          <w:p w14:paraId="58899489">
            <w:pPr>
              <w:pStyle w:val="9"/>
              <w:keepNext w:val="0"/>
              <w:keepLines w:val="0"/>
              <w:pageBreakBefore w:val="0"/>
              <w:widowControl w:val="0"/>
              <w:kinsoku/>
              <w:wordWrap/>
              <w:overflowPunct/>
              <w:topLinePunct w:val="0"/>
              <w:bidi w:val="0"/>
              <w:snapToGrid/>
              <w:spacing w:before="0" w:line="240" w:lineRule="auto"/>
              <w:ind w:lef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600" w:type="pct"/>
            <w:vAlign w:val="center"/>
          </w:tcPr>
          <w:p w14:paraId="2AB6D792">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62" w:type="pct"/>
            <w:vAlign w:val="center"/>
          </w:tcPr>
          <w:p w14:paraId="18D5041E">
            <w:pPr>
              <w:pStyle w:val="9"/>
              <w:keepNext w:val="0"/>
              <w:keepLines w:val="0"/>
              <w:pageBreakBefore w:val="0"/>
              <w:widowControl w:val="0"/>
              <w:kinsoku/>
              <w:wordWrap/>
              <w:overflowPunct/>
              <w:topLinePunct w:val="0"/>
              <w:bidi w:val="0"/>
              <w:snapToGrid/>
              <w:spacing w:before="0" w:line="240" w:lineRule="auto"/>
              <w:ind w:left="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695" w:type="pct"/>
            <w:vAlign w:val="center"/>
          </w:tcPr>
          <w:p w14:paraId="1DF38A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107.655</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/a</w:t>
            </w:r>
          </w:p>
        </w:tc>
        <w:tc>
          <w:tcPr>
            <w:tcW w:w="518" w:type="pct"/>
            <w:vAlign w:val="center"/>
          </w:tcPr>
          <w:p w14:paraId="5EFAB606">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r>
      <w:tr w14:paraId="2B3C2B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14" w:type="pct"/>
            <w:vAlign w:val="center"/>
          </w:tcPr>
          <w:p w14:paraId="5D64950A">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bCs/>
                <w:snapToGrid w:val="0"/>
                <w:color w:val="000000" w:themeColor="text1"/>
                <w:kern w:val="21"/>
                <w:sz w:val="21"/>
                <w:szCs w:val="21"/>
                <w:lang w:eastAsia="zh-CN"/>
                <w14:textFill>
                  <w14:solidFill>
                    <w14:schemeClr w14:val="tx1"/>
                  </w14:solidFill>
                </w14:textFill>
              </w:rPr>
            </w:pPr>
            <w:r>
              <w:rPr>
                <w:rFonts w:hint="eastAsia" w:ascii="Times New Roman" w:hAnsi="Times New Roman"/>
                <w:bCs/>
                <w:snapToGrid w:val="0"/>
                <w:color w:val="000000" w:themeColor="text1"/>
                <w:kern w:val="21"/>
                <w:sz w:val="21"/>
                <w:szCs w:val="21"/>
                <w:lang w:eastAsia="zh-CN"/>
                <w14:textFill>
                  <w14:solidFill>
                    <w14:schemeClr w14:val="tx1"/>
                  </w14:solidFill>
                </w14:textFill>
              </w:rPr>
              <w:t>危险废物</w:t>
            </w:r>
          </w:p>
        </w:tc>
        <w:tc>
          <w:tcPr>
            <w:tcW w:w="471" w:type="pct"/>
            <w:vAlign w:val="center"/>
          </w:tcPr>
          <w:p w14:paraId="6FF94852">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bCs/>
                <w:snapToGrid w:val="0"/>
                <w:color w:val="000000" w:themeColor="text1"/>
                <w:kern w:val="21"/>
                <w:sz w:val="21"/>
                <w:szCs w:val="21"/>
                <w:lang w:eastAsia="zh-CN"/>
                <w14:textFill>
                  <w14:solidFill>
                    <w14:schemeClr w14:val="tx1"/>
                  </w14:solidFill>
                </w14:textFill>
              </w:rPr>
            </w:pPr>
            <w:r>
              <w:rPr>
                <w:rFonts w:hint="eastAsia"/>
                <w:bCs/>
                <w:snapToGrid w:val="0"/>
                <w:color w:val="000000" w:themeColor="text1"/>
                <w:kern w:val="21"/>
                <w:sz w:val="21"/>
                <w:szCs w:val="21"/>
                <w:lang w:eastAsia="zh-CN"/>
                <w14:textFill>
                  <w14:solidFill>
                    <w14:schemeClr w14:val="tx1"/>
                  </w14:solidFill>
                </w14:textFill>
              </w:rPr>
              <w:t>危废</w:t>
            </w:r>
          </w:p>
        </w:tc>
        <w:tc>
          <w:tcPr>
            <w:tcW w:w="644" w:type="pct"/>
            <w:shd w:val="clear" w:color="auto" w:fill="auto"/>
            <w:vAlign w:val="center"/>
          </w:tcPr>
          <w:p w14:paraId="4DC112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r>
              <w:rPr>
                <w:rFonts w:hint="eastAsia" w:cs="Times New Roman"/>
                <w:color w:val="000000" w:themeColor="text1"/>
                <w:spacing w:val="0"/>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/a</w:t>
            </w:r>
          </w:p>
        </w:tc>
        <w:tc>
          <w:tcPr>
            <w:tcW w:w="448" w:type="pct"/>
            <w:vAlign w:val="center"/>
          </w:tcPr>
          <w:p w14:paraId="40C7AD7D">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snapToGrid w:val="0"/>
                <w:color w:val="000000" w:themeColor="text1"/>
                <w:kern w:val="21"/>
                <w:sz w:val="21"/>
                <w:szCs w:val="21"/>
                <w:lang w:val="en-US" w:eastAsia="zh-CN"/>
                <w14:textFill>
                  <w14:solidFill>
                    <w14:schemeClr w14:val="tx1"/>
                  </w14:solidFill>
                </w14:textFill>
              </w:rPr>
              <w:t>/</w:t>
            </w:r>
          </w:p>
        </w:tc>
        <w:tc>
          <w:tcPr>
            <w:tcW w:w="643" w:type="pct"/>
            <w:vAlign w:val="center"/>
          </w:tcPr>
          <w:p w14:paraId="47EE048F">
            <w:pPr>
              <w:pStyle w:val="9"/>
              <w:keepNext w:val="0"/>
              <w:keepLines w:val="0"/>
              <w:pageBreakBefore w:val="0"/>
              <w:widowControl w:val="0"/>
              <w:kinsoku/>
              <w:wordWrap/>
              <w:overflowPunct/>
              <w:topLinePunct w:val="0"/>
              <w:bidi w:val="0"/>
              <w:snapToGrid/>
              <w:spacing w:before="0" w:line="240" w:lineRule="auto"/>
              <w:ind w:lef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600" w:type="pct"/>
            <w:vAlign w:val="center"/>
          </w:tcPr>
          <w:p w14:paraId="5BDCC042">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bCs/>
                <w:color w:val="000000" w:themeColor="text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62" w:type="pct"/>
            <w:vAlign w:val="center"/>
          </w:tcPr>
          <w:p w14:paraId="17EBFEC7">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snapToGrid w:val="0"/>
                <w:color w:val="000000" w:themeColor="text1"/>
                <w:kern w:val="21"/>
                <w:sz w:val="21"/>
                <w:szCs w:val="21"/>
                <w:lang w:val="en-US" w:eastAsia="zh-CN"/>
                <w14:textFill>
                  <w14:solidFill>
                    <w14:schemeClr w14:val="tx1"/>
                  </w14:solidFill>
                </w14:textFill>
              </w:rPr>
              <w:t>/</w:t>
            </w:r>
          </w:p>
        </w:tc>
        <w:tc>
          <w:tcPr>
            <w:tcW w:w="695" w:type="pct"/>
            <w:vAlign w:val="center"/>
          </w:tcPr>
          <w:p w14:paraId="744DC6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r>
              <w:rPr>
                <w:rFonts w:hint="eastAsia" w:cs="Times New Roman"/>
                <w:color w:val="000000" w:themeColor="text1"/>
                <w:spacing w:val="0"/>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/a</w:t>
            </w:r>
          </w:p>
        </w:tc>
        <w:tc>
          <w:tcPr>
            <w:tcW w:w="518" w:type="pct"/>
            <w:vAlign w:val="center"/>
          </w:tcPr>
          <w:p w14:paraId="4D417DFB">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r>
      <w:tr w14:paraId="44C1AA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4" w:type="pct"/>
            <w:vAlign w:val="center"/>
          </w:tcPr>
          <w:p w14:paraId="17B6802F">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bCs/>
                <w:snapToGrid w:val="0"/>
                <w:color w:val="000000" w:themeColor="text1"/>
                <w:kern w:val="21"/>
                <w:sz w:val="21"/>
                <w:szCs w:val="21"/>
                <w14:textFill>
                  <w14:solidFill>
                    <w14:schemeClr w14:val="tx1"/>
                  </w14:solidFill>
                </w14:textFill>
              </w:rPr>
            </w:pPr>
            <w:r>
              <w:rPr>
                <w:rFonts w:ascii="Times New Roman" w:hAnsi="Times New Roman"/>
                <w:bCs/>
                <w:snapToGrid w:val="0"/>
                <w:color w:val="000000" w:themeColor="text1"/>
                <w:kern w:val="21"/>
                <w:sz w:val="21"/>
                <w:szCs w:val="21"/>
                <w14:textFill>
                  <w14:solidFill>
                    <w14:schemeClr w14:val="tx1"/>
                  </w14:solidFill>
                </w14:textFill>
              </w:rPr>
              <w:t>生活垃圾</w:t>
            </w:r>
          </w:p>
        </w:tc>
        <w:tc>
          <w:tcPr>
            <w:tcW w:w="471" w:type="pct"/>
            <w:vAlign w:val="center"/>
          </w:tcPr>
          <w:p w14:paraId="33D4F5D7">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bCs/>
                <w:snapToGrid w:val="0"/>
                <w:color w:val="000000" w:themeColor="text1"/>
                <w:kern w:val="21"/>
                <w:sz w:val="21"/>
                <w:szCs w:val="21"/>
                <w14:textFill>
                  <w14:solidFill>
                    <w14:schemeClr w14:val="tx1"/>
                  </w14:solidFill>
                </w14:textFill>
              </w:rPr>
            </w:pPr>
            <w:r>
              <w:rPr>
                <w:rFonts w:ascii="Times New Roman" w:hAnsi="Times New Roman"/>
                <w:bCs/>
                <w:snapToGrid w:val="0"/>
                <w:color w:val="000000" w:themeColor="text1"/>
                <w:kern w:val="21"/>
                <w:sz w:val="21"/>
                <w:szCs w:val="21"/>
                <w14:textFill>
                  <w14:solidFill>
                    <w14:schemeClr w14:val="tx1"/>
                  </w14:solidFill>
                </w14:textFill>
              </w:rPr>
              <w:t>生活垃圾</w:t>
            </w:r>
          </w:p>
        </w:tc>
        <w:tc>
          <w:tcPr>
            <w:tcW w:w="644" w:type="pct"/>
            <w:shd w:val="clear" w:color="auto" w:fill="auto"/>
            <w:vAlign w:val="center"/>
          </w:tcPr>
          <w:p w14:paraId="4665AF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140t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/a</w:t>
            </w:r>
          </w:p>
        </w:tc>
        <w:tc>
          <w:tcPr>
            <w:tcW w:w="448" w:type="pct"/>
            <w:vAlign w:val="center"/>
          </w:tcPr>
          <w:p w14:paraId="36FF22F6">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ascii="Times New Roman" w:hAnsi="Times New Roman"/>
                <w:snapToGrid w:val="0"/>
                <w:color w:val="000000" w:themeColor="text1"/>
                <w:kern w:val="21"/>
                <w:sz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43" w:type="pct"/>
            <w:vAlign w:val="center"/>
          </w:tcPr>
          <w:p w14:paraId="21723BA8">
            <w:pPr>
              <w:pStyle w:val="9"/>
              <w:keepNext w:val="0"/>
              <w:keepLines w:val="0"/>
              <w:pageBreakBefore w:val="0"/>
              <w:widowControl w:val="0"/>
              <w:kinsoku/>
              <w:wordWrap/>
              <w:overflowPunct/>
              <w:topLinePunct w:val="0"/>
              <w:bidi w:val="0"/>
              <w:snapToGrid/>
              <w:spacing w:before="0" w:line="240" w:lineRule="auto"/>
              <w:ind w:left="0" w:firstLine="0" w:firstLineChars="0"/>
              <w:jc w:val="center"/>
              <w:textAlignment w:val="auto"/>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w:t>
            </w:r>
          </w:p>
        </w:tc>
        <w:tc>
          <w:tcPr>
            <w:tcW w:w="600" w:type="pct"/>
            <w:vAlign w:val="center"/>
          </w:tcPr>
          <w:p w14:paraId="135B8DA6">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eastAsia="宋体"/>
                <w:bCs/>
                <w:color w:val="000000" w:themeColor="text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562" w:type="pct"/>
            <w:vAlign w:val="center"/>
          </w:tcPr>
          <w:p w14:paraId="48048840">
            <w:pPr>
              <w:pStyle w:val="3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 w:val="21"/>
                <w:szCs w:val="21"/>
                <w14:textFill>
                  <w14:solidFill>
                    <w14:schemeClr w14:val="tx1"/>
                  </w14:solidFill>
                </w14:textFill>
              </w:rPr>
              <w:t>/</w:t>
            </w:r>
          </w:p>
        </w:tc>
        <w:tc>
          <w:tcPr>
            <w:tcW w:w="695" w:type="pct"/>
            <w:vAlign w:val="center"/>
          </w:tcPr>
          <w:p w14:paraId="70E27F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140t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/a</w:t>
            </w:r>
          </w:p>
        </w:tc>
        <w:tc>
          <w:tcPr>
            <w:tcW w:w="518" w:type="pct"/>
            <w:vAlign w:val="center"/>
          </w:tcPr>
          <w:p w14:paraId="063E19D7">
            <w:pPr>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eastAsia="宋体"/>
                <w:bCs/>
                <w:color w:val="000000" w:themeColor="text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r>
    </w:tbl>
    <w:p w14:paraId="73E28260">
      <w:pPr>
        <w:pStyle w:val="32"/>
        <w:spacing w:before="192" w:beforeLines="80" w:after="24"/>
        <w:jc w:val="left"/>
        <w:rPr>
          <w:rFonts w:ascii="Times New Roman" w:hAnsi="Times New Roman"/>
          <w:snapToGrid w:val="0"/>
          <w:color w:val="000000" w:themeColor="text1"/>
          <w:spacing w:val="-6"/>
          <w:kern w:val="21"/>
          <w:szCs w:val="21"/>
          <w14:textFill>
            <w14:solidFill>
              <w14:schemeClr w14:val="tx1"/>
            </w14:solidFill>
          </w14:textFill>
        </w:rPr>
        <w:sectPr>
          <w:footerReference r:id="rId6" w:type="default"/>
          <w:pgSz w:w="16838" w:h="11906" w:orient="landscape"/>
          <w:pgMar w:top="1531" w:right="1701" w:bottom="1531" w:left="1701" w:header="851" w:footer="850" w:gutter="0"/>
          <w:pgBorders>
            <w:top w:val="none" w:sz="0" w:space="0"/>
            <w:left w:val="none" w:sz="0" w:space="0"/>
            <w:bottom w:val="none" w:sz="0" w:space="0"/>
            <w:right w:val="none" w:sz="0" w:space="0"/>
          </w:pgBorders>
          <w:pgNumType w:fmt="decimal"/>
          <w:cols w:space="0" w:num="1"/>
          <w:docGrid w:linePitch="312" w:charSpace="0"/>
        </w:sectPr>
      </w:pPr>
      <w:r>
        <w:rPr>
          <w:rFonts w:ascii="Times New Roman" w:hAnsi="Times New Roman"/>
          <w:snapToGrid w:val="0"/>
          <w:color w:val="000000" w:themeColor="text1"/>
          <w:kern w:val="21"/>
          <w:szCs w:val="21"/>
          <w14:textFill>
            <w14:solidFill>
              <w14:schemeClr w14:val="tx1"/>
            </w14:solidFill>
          </w14:textFill>
        </w:rPr>
        <w:t>注：</w:t>
      </w:r>
      <w:r>
        <w:rPr>
          <w:rFonts w:ascii="Times New Roman" w:hAnsi="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hAnsi="Times New Roman"/>
          <w:snapToGrid w:val="0"/>
          <w:color w:val="000000" w:themeColor="text1"/>
          <w:spacing w:val="-1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⑥</w:t>
      </w:r>
      <w:r>
        <w:rPr>
          <w:rFonts w:ascii="Times New Roman" w:hAnsi="Times New Roman"/>
          <w:snapToGrid w:val="0"/>
          <w:color w:val="000000" w:themeColor="text1"/>
          <w:spacing w:val="-16"/>
          <w:kern w:val="21"/>
          <w:szCs w:val="21"/>
          <w14:textFill>
            <w14:solidFill>
              <w14:schemeClr w14:val="tx1"/>
            </w14:solidFill>
          </w14:textFill>
        </w:rPr>
        <w:fldChar w:fldCharType="end"/>
      </w:r>
      <w:r>
        <w:rPr>
          <w:rFonts w:ascii="Times New Roman" w:hAnsi="Times New Roman"/>
          <w:snapToGrid w:val="0"/>
          <w:color w:val="000000" w:themeColor="text1"/>
          <w:spacing w:val="-1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①</w:t>
      </w:r>
      <w:r>
        <w:rPr>
          <w:rFonts w:ascii="Times New Roman" w:hAnsi="Times New Roman"/>
          <w:snapToGrid w:val="0"/>
          <w:color w:val="000000" w:themeColor="text1"/>
          <w:spacing w:val="-6"/>
          <w:kern w:val="21"/>
          <w:szCs w:val="21"/>
          <w14:textFill>
            <w14:solidFill>
              <w14:schemeClr w14:val="tx1"/>
            </w14:solidFill>
          </w14:textFill>
        </w:rPr>
        <w:fldChar w:fldCharType="end"/>
      </w:r>
      <w:r>
        <w:rPr>
          <w:rFonts w:ascii="Times New Roman" w:hAnsi="Times New Roman"/>
          <w:snapToGrid w:val="0"/>
          <w:color w:val="000000" w:themeColor="text1"/>
          <w:spacing w:val="-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③</w:t>
      </w:r>
      <w:r>
        <w:rPr>
          <w:rFonts w:ascii="Times New Roman" w:hAnsi="Times New Roman"/>
          <w:snapToGrid w:val="0"/>
          <w:color w:val="000000" w:themeColor="text1"/>
          <w:spacing w:val="-6"/>
          <w:kern w:val="21"/>
          <w:szCs w:val="21"/>
          <w14:textFill>
            <w14:solidFill>
              <w14:schemeClr w14:val="tx1"/>
            </w14:solidFill>
          </w14:textFill>
        </w:rPr>
        <w:fldChar w:fldCharType="end"/>
      </w:r>
      <w:r>
        <w:rPr>
          <w:rFonts w:ascii="Times New Roman" w:hAnsi="Times New Roman"/>
          <w:snapToGrid w:val="0"/>
          <w:color w:val="000000" w:themeColor="text1"/>
          <w:spacing w:val="-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④</w:t>
      </w:r>
      <w:r>
        <w:rPr>
          <w:rFonts w:ascii="Times New Roman" w:hAnsi="Times New Roman"/>
          <w:snapToGrid w:val="0"/>
          <w:color w:val="000000" w:themeColor="text1"/>
          <w:spacing w:val="-6"/>
          <w:kern w:val="21"/>
          <w:szCs w:val="21"/>
          <w14:textFill>
            <w14:solidFill>
              <w14:schemeClr w14:val="tx1"/>
            </w14:solidFill>
          </w14:textFill>
        </w:rPr>
        <w:fldChar w:fldCharType="end"/>
      </w:r>
      <w:r>
        <w:rPr>
          <w:rFonts w:ascii="Times New Roman" w:hAnsi="Times New Roman"/>
          <w:snapToGrid w:val="0"/>
          <w:color w:val="000000" w:themeColor="text1"/>
          <w:spacing w:val="-6"/>
          <w:kern w:val="21"/>
          <w:szCs w:val="21"/>
          <w14:textFill>
            <w14:solidFill>
              <w14:schemeClr w14:val="tx1"/>
            </w14:solidFill>
          </w14:textFill>
        </w:rPr>
        <w:t>-</w:t>
      </w:r>
      <w:r>
        <w:rPr>
          <w:rFonts w:ascii="Times New Roman" w:hAnsi="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hAnsi="Times New Roman"/>
          <w:snapToGrid w:val="0"/>
          <w:color w:val="000000" w:themeColor="text1"/>
          <w:spacing w:val="-1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⑤</w:t>
      </w:r>
      <w:r>
        <w:rPr>
          <w:rFonts w:ascii="Times New Roman" w:hAnsi="Times New Roman"/>
          <w:snapToGrid w:val="0"/>
          <w:color w:val="000000" w:themeColor="text1"/>
          <w:spacing w:val="-16"/>
          <w:kern w:val="21"/>
          <w:szCs w:val="21"/>
          <w14:textFill>
            <w14:solidFill>
              <w14:schemeClr w14:val="tx1"/>
            </w14:solidFill>
          </w14:textFill>
        </w:rPr>
        <w:fldChar w:fldCharType="end"/>
      </w:r>
      <w:r>
        <w:rPr>
          <w:rFonts w:ascii="Times New Roman" w:hAnsi="Times New Roman"/>
          <w:snapToGrid w:val="0"/>
          <w:color w:val="000000" w:themeColor="text1"/>
          <w:spacing w:val="-1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⑦</w:t>
      </w:r>
      <w:r>
        <w:rPr>
          <w:rFonts w:ascii="Times New Roman" w:hAnsi="Times New Roman"/>
          <w:snapToGrid w:val="0"/>
          <w:color w:val="000000" w:themeColor="text1"/>
          <w:spacing w:val="-6"/>
          <w:kern w:val="21"/>
          <w:szCs w:val="21"/>
          <w14:textFill>
            <w14:solidFill>
              <w14:schemeClr w14:val="tx1"/>
            </w14:solidFill>
          </w14:textFill>
        </w:rPr>
        <w:fldChar w:fldCharType="end"/>
      </w:r>
      <w:r>
        <w:rPr>
          <w:rFonts w:ascii="Times New Roman" w:hAnsi="Times New Roman"/>
          <w:snapToGrid w:val="0"/>
          <w:color w:val="000000" w:themeColor="text1"/>
          <w:spacing w:val="-6"/>
          <w:kern w:val="21"/>
          <w:szCs w:val="21"/>
          <w14:textFill>
            <w14:solidFill>
              <w14:schemeClr w14:val="tx1"/>
            </w14:solidFill>
          </w14:textFill>
        </w:rPr>
        <w:t>=</w:t>
      </w:r>
      <w:r>
        <w:rPr>
          <w:rFonts w:ascii="Times New Roman" w:hAnsi="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hAnsi="Times New Roman"/>
          <w:snapToGrid w:val="0"/>
          <w:color w:val="000000" w:themeColor="text1"/>
          <w:spacing w:val="-1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⑥</w:t>
      </w:r>
      <w:r>
        <w:rPr>
          <w:rFonts w:ascii="Times New Roman" w:hAnsi="Times New Roman"/>
          <w:snapToGrid w:val="0"/>
          <w:color w:val="000000" w:themeColor="text1"/>
          <w:spacing w:val="-16"/>
          <w:kern w:val="21"/>
          <w:szCs w:val="21"/>
          <w14:textFill>
            <w14:solidFill>
              <w14:schemeClr w14:val="tx1"/>
            </w14:solidFill>
          </w14:textFill>
        </w:rPr>
        <w:fldChar w:fldCharType="end"/>
      </w:r>
      <w:r>
        <w:rPr>
          <w:rFonts w:ascii="Times New Roman" w:hAnsi="Times New Roman"/>
          <w:snapToGrid w:val="0"/>
          <w:color w:val="000000" w:themeColor="text1"/>
          <w:spacing w:val="-1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①</w:t>
      </w:r>
      <w:r>
        <w:rPr>
          <w:rFonts w:ascii="Times New Roman" w:hAnsi="Times New Roman"/>
          <w:snapToGrid w:val="0"/>
          <w:color w:val="000000" w:themeColor="text1"/>
          <w:spacing w:val="-6"/>
          <w:kern w:val="21"/>
          <w:szCs w:val="21"/>
          <w14:textFill>
            <w14:solidFill>
              <w14:schemeClr w14:val="tx1"/>
            </w14:solidFill>
          </w14:textFill>
        </w:rPr>
        <w:fldChar w:fldCharType="end"/>
      </w:r>
    </w:p>
    <w:p w14:paraId="269E7E74">
      <w:pPr>
        <w:ind w:left="0" w:leftChars="0" w:firstLine="0" w:firstLineChars="0"/>
        <w:jc w:val="center"/>
        <w:rPr>
          <w:rFonts w:hint="default" w:ascii="Times New Roman" w:hAnsi="Times New Roman" w:eastAsia="宋体" w:cs="Times New Roman"/>
          <w:b/>
          <w:bCs/>
          <w:color w:val="auto"/>
          <w:sz w:val="48"/>
          <w:szCs w:val="48"/>
          <w:highlight w:val="none"/>
          <w:lang w:val="en-US" w:eastAsia="zh-CN"/>
        </w:rPr>
      </w:pPr>
    </w:p>
    <w:p w14:paraId="325AEFB9">
      <w:pPr>
        <w:ind w:left="0" w:leftChars="0" w:firstLine="0" w:firstLineChars="0"/>
        <w:jc w:val="center"/>
        <w:rPr>
          <w:rFonts w:hint="default" w:ascii="Times New Roman" w:hAnsi="Times New Roman" w:eastAsia="宋体" w:cs="Times New Roman"/>
          <w:b/>
          <w:bCs/>
          <w:color w:val="auto"/>
          <w:sz w:val="48"/>
          <w:szCs w:val="48"/>
          <w:highlight w:val="none"/>
          <w:lang w:val="en-US" w:eastAsia="zh-CN"/>
        </w:rPr>
      </w:pPr>
    </w:p>
    <w:p w14:paraId="36BDC587">
      <w:pPr>
        <w:outlineLvl w:val="9"/>
        <w:rPr>
          <w:rFonts w:hint="default"/>
          <w:lang w:val="en-US" w:eastAsia="zh-CN"/>
        </w:rPr>
      </w:pPr>
    </w:p>
    <w:p w14:paraId="73892C65">
      <w:pPr>
        <w:ind w:left="0" w:leftChars="0" w:firstLine="0" w:firstLineChars="0"/>
        <w:jc w:val="center"/>
        <w:rPr>
          <w:rFonts w:hint="default" w:ascii="Times New Roman" w:hAnsi="Times New Roman" w:eastAsia="宋体" w:cs="Times New Roman"/>
          <w:b/>
          <w:bCs/>
          <w:color w:val="auto"/>
          <w:sz w:val="48"/>
          <w:szCs w:val="48"/>
          <w:highlight w:val="none"/>
          <w:lang w:val="en-US" w:eastAsia="zh-CN"/>
        </w:rPr>
      </w:pPr>
      <w:r>
        <w:rPr>
          <w:rFonts w:hint="default" w:ascii="Times New Roman" w:hAnsi="Times New Roman" w:eastAsia="宋体" w:cs="Times New Roman"/>
          <w:b/>
          <w:bCs/>
          <w:color w:val="auto"/>
          <w:sz w:val="48"/>
          <w:szCs w:val="48"/>
          <w:highlight w:val="none"/>
          <w:lang w:val="en-US" w:eastAsia="zh-CN"/>
        </w:rPr>
        <w:t>新疆金象赛瑞化工科技有限公司</w:t>
      </w:r>
    </w:p>
    <w:p w14:paraId="12B7F91A">
      <w:pPr>
        <w:numPr>
          <w:ilvl w:val="0"/>
          <w:numId w:val="1"/>
        </w:numPr>
        <w:ind w:left="0" w:leftChars="0" w:firstLine="0" w:firstLineChars="0"/>
        <w:jc w:val="center"/>
        <w:rPr>
          <w:rFonts w:hint="default" w:ascii="Times New Roman" w:hAnsi="Times New Roman" w:eastAsia="宋体" w:cs="Times New Roman"/>
          <w:b/>
          <w:bCs/>
          <w:color w:val="auto"/>
          <w:sz w:val="48"/>
          <w:szCs w:val="48"/>
          <w:highlight w:val="none"/>
          <w:lang w:val="en-US" w:eastAsia="zh-CN"/>
        </w:rPr>
      </w:pPr>
      <w:r>
        <w:rPr>
          <w:rFonts w:hint="default" w:ascii="Times New Roman" w:hAnsi="Times New Roman" w:eastAsia="宋体" w:cs="Times New Roman"/>
          <w:b/>
          <w:bCs/>
          <w:color w:val="auto"/>
          <w:sz w:val="48"/>
          <w:szCs w:val="48"/>
          <w:highlight w:val="none"/>
          <w:lang w:val="en-US" w:eastAsia="zh-CN"/>
        </w:rPr>
        <w:t>D硝酸储罐建设项目</w:t>
      </w:r>
    </w:p>
    <w:p w14:paraId="736EE46B">
      <w:pPr>
        <w:outlineLvl w:val="9"/>
        <w:rPr>
          <w:rFonts w:hint="default" w:ascii="Times New Roman" w:hAnsi="Times New Roman" w:eastAsia="宋体" w:cs="Times New Roman"/>
          <w:b/>
          <w:bCs/>
          <w:color w:val="auto"/>
          <w:sz w:val="48"/>
          <w:szCs w:val="48"/>
          <w:highlight w:val="none"/>
          <w:lang w:val="en-US" w:eastAsia="zh-CN"/>
        </w:rPr>
      </w:pPr>
    </w:p>
    <w:p w14:paraId="27F35172">
      <w:pPr>
        <w:keepNext/>
        <w:keepLines/>
        <w:widowControl w:val="0"/>
        <w:numPr>
          <w:ilvl w:val="0"/>
          <w:numId w:val="0"/>
        </w:numPr>
        <w:spacing w:line="374" w:lineRule="auto"/>
        <w:jc w:val="both"/>
        <w:outlineLvl w:val="9"/>
      </w:pPr>
    </w:p>
    <w:p w14:paraId="1EB5BAA6">
      <w:pPr>
        <w:outlineLvl w:val="0"/>
        <w:rPr>
          <w:rFonts w:hint="default" w:ascii="Times New Roman" w:hAnsi="Times New Roman" w:eastAsia="宋体" w:cs="Times New Roman"/>
          <w:b/>
          <w:bCs/>
          <w:color w:val="auto"/>
          <w:kern w:val="2"/>
          <w:sz w:val="72"/>
          <w:szCs w:val="72"/>
          <w:highlight w:val="none"/>
          <w:lang w:val="en-US" w:eastAsia="zh-CN" w:bidi="ar"/>
        </w:rPr>
      </w:pPr>
      <w:bookmarkStart w:id="16" w:name="_Toc21214"/>
      <w:r>
        <w:rPr>
          <w:rFonts w:hint="default" w:ascii="Times New Roman" w:hAnsi="Times New Roman" w:eastAsia="宋体" w:cs="Times New Roman"/>
          <w:b/>
          <w:bCs/>
          <w:color w:val="auto"/>
          <w:kern w:val="2"/>
          <w:sz w:val="72"/>
          <w:szCs w:val="72"/>
          <w:highlight w:val="none"/>
          <w:lang w:val="en-US" w:eastAsia="zh-CN" w:bidi="ar"/>
        </w:rPr>
        <w:t>环境风险专项评价</w:t>
      </w:r>
      <w:bookmarkEnd w:id="16"/>
    </w:p>
    <w:p w14:paraId="12A9443B">
      <w:pPr>
        <w:outlineLvl w:val="9"/>
        <w:rPr>
          <w:rFonts w:hint="default" w:ascii="Times New Roman" w:hAnsi="Times New Roman" w:eastAsia="宋体" w:cs="Times New Roman"/>
          <w:b/>
          <w:bCs/>
          <w:color w:val="auto"/>
          <w:kern w:val="2"/>
          <w:sz w:val="72"/>
          <w:szCs w:val="72"/>
          <w:highlight w:val="none"/>
          <w:lang w:val="en-US" w:eastAsia="zh-CN" w:bidi="ar"/>
        </w:rPr>
      </w:pPr>
    </w:p>
    <w:p w14:paraId="094072C7">
      <w:pPr>
        <w:ind w:left="0" w:leftChars="0" w:firstLine="0" w:firstLineChars="0"/>
        <w:rPr>
          <w:rFonts w:hint="default" w:ascii="Times New Roman" w:hAnsi="Times New Roman" w:eastAsia="宋体" w:cs="Times New Roman"/>
          <w:b/>
          <w:bCs/>
          <w:color w:val="auto"/>
          <w:kern w:val="2"/>
          <w:sz w:val="72"/>
          <w:szCs w:val="72"/>
          <w:highlight w:val="none"/>
          <w:lang w:val="en-US" w:eastAsia="zh-CN" w:bidi="ar"/>
        </w:rPr>
      </w:pPr>
    </w:p>
    <w:p w14:paraId="7C76A562">
      <w:pPr>
        <w:outlineLvl w:val="9"/>
        <w:rPr>
          <w:rFonts w:hint="default" w:ascii="Times New Roman" w:hAnsi="Times New Roman" w:eastAsia="宋体" w:cs="Times New Roman"/>
          <w:b/>
          <w:bCs/>
          <w:color w:val="auto"/>
          <w:kern w:val="2"/>
          <w:sz w:val="72"/>
          <w:szCs w:val="72"/>
          <w:highlight w:val="none"/>
          <w:lang w:val="en-US" w:eastAsia="zh-CN" w:bidi="ar"/>
        </w:rPr>
      </w:pPr>
    </w:p>
    <w:p w14:paraId="21334D19">
      <w:pPr>
        <w:rPr>
          <w:rFonts w:hint="default"/>
          <w:lang w:val="en-US" w:eastAsia="zh-CN"/>
        </w:rPr>
      </w:pPr>
    </w:p>
    <w:p w14:paraId="3B648D76">
      <w:pPr>
        <w:ind w:left="0" w:leftChars="0" w:firstLine="0" w:firstLineChars="0"/>
        <w:jc w:val="center"/>
        <w:rPr>
          <w:rFonts w:hint="eastAsia" w:cs="Times New Roman"/>
          <w:b/>
          <w:bCs/>
          <w:color w:val="auto"/>
          <w:kern w:val="2"/>
          <w:sz w:val="36"/>
          <w:szCs w:val="36"/>
          <w:highlight w:val="none"/>
          <w:lang w:val="en-US" w:eastAsia="zh-CN" w:bidi="ar"/>
        </w:rPr>
      </w:pPr>
      <w:r>
        <w:rPr>
          <w:rFonts w:hint="eastAsia" w:ascii="Times New Roman" w:hAnsi="Times New Roman" w:eastAsia="宋体" w:cs="Times New Roman"/>
          <w:b/>
          <w:bCs/>
          <w:color w:val="auto"/>
          <w:kern w:val="2"/>
          <w:sz w:val="36"/>
          <w:szCs w:val="36"/>
          <w:highlight w:val="none"/>
          <w:lang w:val="en-US" w:eastAsia="zh-CN" w:bidi="ar"/>
        </w:rPr>
        <w:t>2025年</w:t>
      </w:r>
      <w:r>
        <w:rPr>
          <w:rFonts w:hint="eastAsia" w:cs="Times New Roman"/>
          <w:b/>
          <w:bCs/>
          <w:color w:val="auto"/>
          <w:kern w:val="2"/>
          <w:sz w:val="36"/>
          <w:szCs w:val="36"/>
          <w:highlight w:val="none"/>
          <w:lang w:val="en-US" w:eastAsia="zh-CN" w:bidi="ar"/>
        </w:rPr>
        <w:t>7月</w:t>
      </w:r>
    </w:p>
    <w:p w14:paraId="0C3CDA36">
      <w:pPr>
        <w:rPr>
          <w:rFonts w:hint="eastAsia" w:cs="Times New Roman"/>
          <w:b/>
          <w:bCs/>
          <w:color w:val="auto"/>
          <w:kern w:val="2"/>
          <w:sz w:val="36"/>
          <w:szCs w:val="36"/>
          <w:highlight w:val="none"/>
          <w:lang w:val="en-US" w:eastAsia="zh-CN" w:bidi="ar"/>
        </w:rPr>
      </w:pPr>
      <w:r>
        <w:rPr>
          <w:rFonts w:hint="eastAsia" w:cs="Times New Roman"/>
          <w:b/>
          <w:bCs/>
          <w:color w:val="auto"/>
          <w:kern w:val="2"/>
          <w:sz w:val="36"/>
          <w:szCs w:val="36"/>
          <w:highlight w:val="none"/>
          <w:lang w:val="en-US" w:eastAsia="zh-CN" w:bidi="ar"/>
        </w:rPr>
        <w:br w:type="page"/>
      </w:r>
    </w:p>
    <w:p w14:paraId="06F263E0">
      <w:pPr>
        <w:rPr>
          <w:rFonts w:hint="default" w:cs="Times New Roman"/>
          <w:b/>
          <w:bCs/>
          <w:color w:val="auto"/>
          <w:kern w:val="2"/>
          <w:sz w:val="36"/>
          <w:szCs w:val="36"/>
          <w:highlight w:val="none"/>
          <w:lang w:val="en-US" w:eastAsia="zh-CN" w:bidi="ar"/>
        </w:rPr>
      </w:pPr>
      <w:r>
        <w:rPr>
          <w:rFonts w:hint="default" w:cs="Times New Roman"/>
          <w:b/>
          <w:bCs/>
          <w:color w:val="auto"/>
          <w:kern w:val="2"/>
          <w:sz w:val="36"/>
          <w:szCs w:val="36"/>
          <w:highlight w:val="none"/>
          <w:lang w:val="en-US" w:eastAsia="zh-CN" w:bidi="ar"/>
        </w:rPr>
        <w:br w:type="page"/>
      </w:r>
    </w:p>
    <w:p w14:paraId="132E85A8">
      <w:pPr>
        <w:ind w:left="0" w:leftChars="0" w:firstLine="0" w:firstLineChars="0"/>
        <w:jc w:val="center"/>
        <w:rPr>
          <w:rFonts w:hint="default" w:cs="Times New Roman"/>
          <w:b/>
          <w:bCs/>
          <w:color w:val="auto"/>
          <w:kern w:val="2"/>
          <w:sz w:val="36"/>
          <w:szCs w:val="36"/>
          <w:highlight w:val="none"/>
          <w:lang w:val="en-US" w:eastAsia="zh-CN" w:bidi="ar"/>
        </w:rPr>
        <w:sectPr>
          <w:footerReference r:id="rId7" w:type="default"/>
          <w:pgSz w:w="11906" w:h="16838"/>
          <w:pgMar w:top="1701" w:right="1531" w:bottom="1701" w:left="153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sdt>
      <w:sdtPr>
        <w:rPr>
          <w:rFonts w:ascii="宋体" w:hAnsi="宋体" w:eastAsia="宋体" w:cs="Times New Roman"/>
          <w:kern w:val="2"/>
          <w:sz w:val="32"/>
          <w:szCs w:val="32"/>
          <w:lang w:val="en-US" w:eastAsia="zh-CN" w:bidi="ar-SA"/>
        </w:rPr>
        <w:id w:val="147465405"/>
        <w15:color w:val="DBDBDB"/>
        <w:docPartObj>
          <w:docPartGallery w:val="Table of Contents"/>
          <w:docPartUnique/>
        </w:docPartObj>
      </w:sdtPr>
      <w:sdtEndPr>
        <w:rPr>
          <w:rFonts w:ascii="宋体" w:hAnsi="宋体" w:eastAsia="宋体" w:cs="Times New Roman"/>
          <w:kern w:val="2"/>
          <w:sz w:val="32"/>
          <w:szCs w:val="32"/>
          <w:lang w:val="en-US" w:eastAsia="zh-CN" w:bidi="ar-SA"/>
        </w:rPr>
      </w:sdtEndPr>
      <w:sdtContent>
        <w:p w14:paraId="264A9A3A">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目录</w:t>
          </w:r>
        </w:p>
        <w:p w14:paraId="187D7338">
          <w:pPr>
            <w:pStyle w:val="15"/>
            <w:tabs>
              <w:tab w:val="right" w:leader="dot" w:pos="8844"/>
            </w:tabs>
          </w:pPr>
          <w:r>
            <w:fldChar w:fldCharType="begin"/>
          </w:r>
          <w:r>
            <w:instrText xml:space="preserve">TOC \o "1-2" \h \u </w:instrText>
          </w:r>
          <w:r>
            <w:fldChar w:fldCharType="separate"/>
          </w:r>
        </w:p>
        <w:p w14:paraId="0DE977AA">
          <w:pPr>
            <w:pStyle w:val="15"/>
            <w:tabs>
              <w:tab w:val="right" w:leader="dot" w:pos="8844"/>
            </w:tabs>
          </w:pPr>
        </w:p>
        <w:p w14:paraId="5185A2A9">
          <w:pPr>
            <w:pStyle w:val="15"/>
            <w:tabs>
              <w:tab w:val="right" w:leader="dot" w:pos="8844"/>
            </w:tabs>
            <w:rPr>
              <w:sz w:val="28"/>
              <w:szCs w:val="28"/>
            </w:rPr>
          </w:pPr>
          <w:r>
            <w:rPr>
              <w:sz w:val="28"/>
              <w:szCs w:val="28"/>
            </w:rPr>
            <w:fldChar w:fldCharType="begin"/>
          </w:r>
          <w:r>
            <w:rPr>
              <w:sz w:val="28"/>
              <w:szCs w:val="28"/>
            </w:rPr>
            <w:instrText xml:space="preserve"> HYPERLINK \l _Toc25688 </w:instrText>
          </w:r>
          <w:r>
            <w:rPr>
              <w:sz w:val="28"/>
              <w:szCs w:val="28"/>
            </w:rPr>
            <w:fldChar w:fldCharType="separate"/>
          </w:r>
          <w:r>
            <w:rPr>
              <w:rFonts w:hint="default" w:ascii="Times New Roman" w:hAnsi="Times New Roman" w:eastAsia="宋体" w:cs="Times New Roman"/>
              <w:bCs/>
              <w:sz w:val="28"/>
              <w:szCs w:val="28"/>
            </w:rPr>
            <w:t>1</w:t>
          </w:r>
          <w:r>
            <w:rPr>
              <w:rFonts w:hint="default" w:ascii="Times New Roman" w:hAnsi="Times New Roman" w:eastAsia="宋体" w:cs="Times New Roman"/>
              <w:bCs/>
              <w:sz w:val="28"/>
              <w:szCs w:val="28"/>
              <w:lang w:val="en-US" w:eastAsia="zh-CN"/>
            </w:rPr>
            <w:t>.</w:t>
          </w:r>
          <w:r>
            <w:rPr>
              <w:rFonts w:hint="default" w:ascii="Times New Roman" w:hAnsi="Times New Roman" w:eastAsia="宋体" w:cs="Times New Roman"/>
              <w:bCs/>
              <w:sz w:val="28"/>
              <w:szCs w:val="28"/>
            </w:rPr>
            <w:t>总</w:t>
          </w:r>
          <w:r>
            <w:rPr>
              <w:rFonts w:ascii="宋体" w:hAnsi="宋体" w:eastAsia="宋体" w:cs="宋体"/>
              <w:bCs/>
              <w:sz w:val="28"/>
              <w:szCs w:val="28"/>
            </w:rPr>
            <w:t>论</w:t>
          </w:r>
          <w:r>
            <w:rPr>
              <w:sz w:val="28"/>
              <w:szCs w:val="28"/>
            </w:rPr>
            <w:tab/>
          </w:r>
          <w:r>
            <w:rPr>
              <w:sz w:val="28"/>
              <w:szCs w:val="28"/>
            </w:rPr>
            <w:fldChar w:fldCharType="begin"/>
          </w:r>
          <w:r>
            <w:rPr>
              <w:sz w:val="28"/>
              <w:szCs w:val="28"/>
            </w:rPr>
            <w:instrText xml:space="preserve"> PAGEREF _Toc25688 \h </w:instrText>
          </w:r>
          <w:r>
            <w:rPr>
              <w:sz w:val="28"/>
              <w:szCs w:val="28"/>
            </w:rPr>
            <w:fldChar w:fldCharType="separate"/>
          </w:r>
          <w:r>
            <w:rPr>
              <w:sz w:val="28"/>
              <w:szCs w:val="28"/>
            </w:rPr>
            <w:t>2</w:t>
          </w:r>
          <w:r>
            <w:rPr>
              <w:sz w:val="28"/>
              <w:szCs w:val="28"/>
            </w:rPr>
            <w:fldChar w:fldCharType="end"/>
          </w:r>
          <w:r>
            <w:rPr>
              <w:sz w:val="28"/>
              <w:szCs w:val="28"/>
            </w:rPr>
            <w:fldChar w:fldCharType="end"/>
          </w:r>
        </w:p>
        <w:p w14:paraId="7D9EC59E">
          <w:pPr>
            <w:pStyle w:val="19"/>
            <w:tabs>
              <w:tab w:val="right" w:leader="dot" w:pos="8844"/>
            </w:tabs>
            <w:rPr>
              <w:sz w:val="28"/>
              <w:szCs w:val="28"/>
            </w:rPr>
          </w:pPr>
          <w:r>
            <w:rPr>
              <w:sz w:val="28"/>
              <w:szCs w:val="28"/>
            </w:rPr>
            <w:fldChar w:fldCharType="begin"/>
          </w:r>
          <w:r>
            <w:rPr>
              <w:sz w:val="28"/>
              <w:szCs w:val="28"/>
            </w:rPr>
            <w:instrText xml:space="preserve"> HYPERLINK \l _Toc21622 </w:instrText>
          </w:r>
          <w:r>
            <w:rPr>
              <w:sz w:val="28"/>
              <w:szCs w:val="28"/>
            </w:rPr>
            <w:fldChar w:fldCharType="separate"/>
          </w:r>
          <w:r>
            <w:rPr>
              <w:rFonts w:hint="default" w:ascii="Times New Roman" w:hAnsi="Times New Roman" w:cs="Times New Roman"/>
              <w:bCs/>
              <w:sz w:val="28"/>
              <w:szCs w:val="28"/>
              <w:lang w:val="en-US" w:eastAsia="zh-CN"/>
            </w:rPr>
            <w:t>1.</w:t>
          </w:r>
          <w:r>
            <w:rPr>
              <w:rFonts w:hint="default" w:ascii="Times New Roman" w:hAnsi="Times New Roman" w:eastAsia="宋体" w:cs="Times New Roman"/>
              <w:bCs/>
              <w:sz w:val="28"/>
              <w:szCs w:val="28"/>
              <w:lang w:val="en-US" w:eastAsia="zh-CN"/>
            </w:rPr>
            <w:t>1评价依据</w:t>
          </w:r>
          <w:r>
            <w:rPr>
              <w:sz w:val="28"/>
              <w:szCs w:val="28"/>
            </w:rPr>
            <w:tab/>
          </w:r>
          <w:r>
            <w:rPr>
              <w:sz w:val="28"/>
              <w:szCs w:val="28"/>
            </w:rPr>
            <w:fldChar w:fldCharType="begin"/>
          </w:r>
          <w:r>
            <w:rPr>
              <w:sz w:val="28"/>
              <w:szCs w:val="28"/>
            </w:rPr>
            <w:instrText xml:space="preserve"> PAGEREF _Toc21622 \h </w:instrText>
          </w:r>
          <w:r>
            <w:rPr>
              <w:sz w:val="28"/>
              <w:szCs w:val="28"/>
            </w:rPr>
            <w:fldChar w:fldCharType="separate"/>
          </w:r>
          <w:r>
            <w:rPr>
              <w:sz w:val="28"/>
              <w:szCs w:val="28"/>
            </w:rPr>
            <w:t>2</w:t>
          </w:r>
          <w:r>
            <w:rPr>
              <w:sz w:val="28"/>
              <w:szCs w:val="28"/>
            </w:rPr>
            <w:fldChar w:fldCharType="end"/>
          </w:r>
          <w:r>
            <w:rPr>
              <w:sz w:val="28"/>
              <w:szCs w:val="28"/>
            </w:rPr>
            <w:fldChar w:fldCharType="end"/>
          </w:r>
        </w:p>
        <w:p w14:paraId="3DE4618A">
          <w:pPr>
            <w:pStyle w:val="19"/>
            <w:tabs>
              <w:tab w:val="right" w:leader="dot" w:pos="8844"/>
            </w:tabs>
            <w:rPr>
              <w:sz w:val="28"/>
              <w:szCs w:val="28"/>
            </w:rPr>
          </w:pPr>
          <w:r>
            <w:rPr>
              <w:sz w:val="28"/>
              <w:szCs w:val="28"/>
            </w:rPr>
            <w:fldChar w:fldCharType="begin"/>
          </w:r>
          <w:r>
            <w:rPr>
              <w:sz w:val="28"/>
              <w:szCs w:val="28"/>
            </w:rPr>
            <w:instrText xml:space="preserve"> HYPERLINK \l _Toc23400 </w:instrText>
          </w:r>
          <w:r>
            <w:rPr>
              <w:sz w:val="28"/>
              <w:szCs w:val="28"/>
            </w:rPr>
            <w:fldChar w:fldCharType="separate"/>
          </w:r>
          <w:r>
            <w:rPr>
              <w:rFonts w:hint="eastAsia" w:ascii="Times New Roman" w:hAnsi="Times New Roman" w:eastAsia="宋体" w:cs="Times New Roman"/>
              <w:bCs/>
              <w:kern w:val="2"/>
              <w:sz w:val="28"/>
              <w:szCs w:val="28"/>
              <w:lang w:val="en-US" w:eastAsia="zh-CN" w:bidi="ar-SA"/>
            </w:rPr>
            <w:t xml:space="preserve">1.2 </w:t>
          </w:r>
          <w:r>
            <w:rPr>
              <w:rFonts w:hint="eastAsia" w:cs="Times New Roman"/>
              <w:bCs/>
              <w:kern w:val="2"/>
              <w:sz w:val="28"/>
              <w:szCs w:val="28"/>
              <w:lang w:val="en-US" w:eastAsia="zh-CN" w:bidi="ar-SA"/>
            </w:rPr>
            <w:t>评价的目的</w:t>
          </w:r>
          <w:r>
            <w:rPr>
              <w:sz w:val="28"/>
              <w:szCs w:val="28"/>
            </w:rPr>
            <w:tab/>
          </w:r>
          <w:r>
            <w:rPr>
              <w:sz w:val="28"/>
              <w:szCs w:val="28"/>
            </w:rPr>
            <w:fldChar w:fldCharType="begin"/>
          </w:r>
          <w:r>
            <w:rPr>
              <w:sz w:val="28"/>
              <w:szCs w:val="28"/>
            </w:rPr>
            <w:instrText xml:space="preserve"> PAGEREF _Toc23400 \h </w:instrText>
          </w:r>
          <w:r>
            <w:rPr>
              <w:sz w:val="28"/>
              <w:szCs w:val="28"/>
            </w:rPr>
            <w:fldChar w:fldCharType="separate"/>
          </w:r>
          <w:r>
            <w:rPr>
              <w:sz w:val="28"/>
              <w:szCs w:val="28"/>
            </w:rPr>
            <w:t>2</w:t>
          </w:r>
          <w:r>
            <w:rPr>
              <w:sz w:val="28"/>
              <w:szCs w:val="28"/>
            </w:rPr>
            <w:fldChar w:fldCharType="end"/>
          </w:r>
          <w:r>
            <w:rPr>
              <w:sz w:val="28"/>
              <w:szCs w:val="28"/>
            </w:rPr>
            <w:fldChar w:fldCharType="end"/>
          </w:r>
        </w:p>
        <w:p w14:paraId="5576093B">
          <w:pPr>
            <w:pStyle w:val="19"/>
            <w:tabs>
              <w:tab w:val="right" w:leader="dot" w:pos="8844"/>
            </w:tabs>
            <w:rPr>
              <w:sz w:val="28"/>
              <w:szCs w:val="28"/>
            </w:rPr>
          </w:pPr>
          <w:r>
            <w:rPr>
              <w:sz w:val="28"/>
              <w:szCs w:val="28"/>
            </w:rPr>
            <w:fldChar w:fldCharType="begin"/>
          </w:r>
          <w:r>
            <w:rPr>
              <w:sz w:val="28"/>
              <w:szCs w:val="28"/>
            </w:rPr>
            <w:instrText xml:space="preserve"> HYPERLINK \l _Toc12769 </w:instrText>
          </w:r>
          <w:r>
            <w:rPr>
              <w:sz w:val="28"/>
              <w:szCs w:val="28"/>
            </w:rPr>
            <w:fldChar w:fldCharType="separate"/>
          </w:r>
          <w:r>
            <w:rPr>
              <w:rFonts w:hint="eastAsia" w:cs="Times New Roman"/>
              <w:bCs/>
              <w:kern w:val="2"/>
              <w:sz w:val="28"/>
              <w:szCs w:val="28"/>
              <w:lang w:val="en-US" w:eastAsia="zh-CN" w:bidi="ar-SA"/>
            </w:rPr>
            <w:t>1.3</w:t>
          </w:r>
          <w:r>
            <w:rPr>
              <w:rFonts w:hint="eastAsia" w:ascii="Times New Roman" w:hAnsi="Times New Roman" w:eastAsia="宋体" w:cs="Times New Roman"/>
              <w:bCs/>
              <w:kern w:val="2"/>
              <w:sz w:val="28"/>
              <w:szCs w:val="28"/>
              <w:lang w:val="en-US" w:eastAsia="zh-CN" w:bidi="ar-SA"/>
            </w:rPr>
            <w:t>环境风险评价的工作流程</w:t>
          </w:r>
          <w:r>
            <w:rPr>
              <w:sz w:val="28"/>
              <w:szCs w:val="28"/>
            </w:rPr>
            <w:tab/>
          </w:r>
          <w:r>
            <w:rPr>
              <w:sz w:val="28"/>
              <w:szCs w:val="28"/>
            </w:rPr>
            <w:fldChar w:fldCharType="begin"/>
          </w:r>
          <w:r>
            <w:rPr>
              <w:sz w:val="28"/>
              <w:szCs w:val="28"/>
            </w:rPr>
            <w:instrText xml:space="preserve"> PAGEREF _Toc12769 \h </w:instrText>
          </w:r>
          <w:r>
            <w:rPr>
              <w:sz w:val="28"/>
              <w:szCs w:val="28"/>
            </w:rPr>
            <w:fldChar w:fldCharType="separate"/>
          </w:r>
          <w:r>
            <w:rPr>
              <w:sz w:val="28"/>
              <w:szCs w:val="28"/>
            </w:rPr>
            <w:t>2</w:t>
          </w:r>
          <w:r>
            <w:rPr>
              <w:sz w:val="28"/>
              <w:szCs w:val="28"/>
            </w:rPr>
            <w:fldChar w:fldCharType="end"/>
          </w:r>
          <w:r>
            <w:rPr>
              <w:sz w:val="28"/>
              <w:szCs w:val="28"/>
            </w:rPr>
            <w:fldChar w:fldCharType="end"/>
          </w:r>
        </w:p>
        <w:p w14:paraId="3C9CD453">
          <w:pPr>
            <w:pStyle w:val="15"/>
            <w:tabs>
              <w:tab w:val="right" w:leader="dot" w:pos="8844"/>
            </w:tabs>
            <w:rPr>
              <w:sz w:val="28"/>
              <w:szCs w:val="28"/>
            </w:rPr>
          </w:pPr>
          <w:r>
            <w:rPr>
              <w:sz w:val="28"/>
              <w:szCs w:val="28"/>
            </w:rPr>
            <w:fldChar w:fldCharType="begin"/>
          </w:r>
          <w:r>
            <w:rPr>
              <w:sz w:val="28"/>
              <w:szCs w:val="28"/>
            </w:rPr>
            <w:instrText xml:space="preserve"> HYPERLINK \l _Toc22774 </w:instrText>
          </w:r>
          <w:r>
            <w:rPr>
              <w:sz w:val="28"/>
              <w:szCs w:val="28"/>
            </w:rPr>
            <w:fldChar w:fldCharType="separate"/>
          </w:r>
          <w:r>
            <w:rPr>
              <w:rFonts w:hint="eastAsia" w:ascii="Times New Roman" w:hAnsi="Times New Roman" w:eastAsia="宋体" w:cs="Times New Roman"/>
              <w:bCs/>
              <w:sz w:val="28"/>
              <w:szCs w:val="28"/>
              <w:lang w:val="en-US" w:eastAsia="zh-CN"/>
            </w:rPr>
            <w:t>2.项目现状</w:t>
          </w:r>
          <w:r>
            <w:rPr>
              <w:sz w:val="28"/>
              <w:szCs w:val="28"/>
            </w:rPr>
            <w:tab/>
          </w:r>
          <w:r>
            <w:rPr>
              <w:sz w:val="28"/>
              <w:szCs w:val="28"/>
            </w:rPr>
            <w:fldChar w:fldCharType="begin"/>
          </w:r>
          <w:r>
            <w:rPr>
              <w:sz w:val="28"/>
              <w:szCs w:val="28"/>
            </w:rPr>
            <w:instrText xml:space="preserve"> PAGEREF _Toc22774 \h </w:instrText>
          </w:r>
          <w:r>
            <w:rPr>
              <w:sz w:val="28"/>
              <w:szCs w:val="28"/>
            </w:rPr>
            <w:fldChar w:fldCharType="separate"/>
          </w:r>
          <w:r>
            <w:rPr>
              <w:sz w:val="28"/>
              <w:szCs w:val="28"/>
            </w:rPr>
            <w:t>4</w:t>
          </w:r>
          <w:r>
            <w:rPr>
              <w:sz w:val="28"/>
              <w:szCs w:val="28"/>
            </w:rPr>
            <w:fldChar w:fldCharType="end"/>
          </w:r>
          <w:r>
            <w:rPr>
              <w:sz w:val="28"/>
              <w:szCs w:val="28"/>
            </w:rPr>
            <w:fldChar w:fldCharType="end"/>
          </w:r>
        </w:p>
        <w:p w14:paraId="3C07FC9B">
          <w:pPr>
            <w:pStyle w:val="15"/>
            <w:tabs>
              <w:tab w:val="right" w:leader="dot" w:pos="8844"/>
            </w:tabs>
            <w:rPr>
              <w:sz w:val="28"/>
              <w:szCs w:val="28"/>
            </w:rPr>
          </w:pPr>
          <w:r>
            <w:rPr>
              <w:sz w:val="28"/>
              <w:szCs w:val="28"/>
            </w:rPr>
            <w:fldChar w:fldCharType="begin"/>
          </w:r>
          <w:r>
            <w:rPr>
              <w:sz w:val="28"/>
              <w:szCs w:val="28"/>
            </w:rPr>
            <w:instrText xml:space="preserve"> HYPERLINK \l _Toc24300 </w:instrText>
          </w:r>
          <w:r>
            <w:rPr>
              <w:sz w:val="28"/>
              <w:szCs w:val="28"/>
            </w:rPr>
            <w:fldChar w:fldCharType="separate"/>
          </w:r>
          <w:r>
            <w:rPr>
              <w:rFonts w:hint="eastAsia" w:ascii="Times New Roman" w:hAnsi="Times New Roman" w:eastAsia="宋体" w:cs="Times New Roman"/>
              <w:bCs/>
              <w:sz w:val="28"/>
              <w:szCs w:val="28"/>
              <w:lang w:val="en-US" w:eastAsia="zh-CN"/>
            </w:rPr>
            <w:t>3.风险调查</w:t>
          </w:r>
          <w:r>
            <w:rPr>
              <w:sz w:val="28"/>
              <w:szCs w:val="28"/>
            </w:rPr>
            <w:tab/>
          </w:r>
          <w:r>
            <w:rPr>
              <w:sz w:val="28"/>
              <w:szCs w:val="28"/>
            </w:rPr>
            <w:fldChar w:fldCharType="begin"/>
          </w:r>
          <w:r>
            <w:rPr>
              <w:sz w:val="28"/>
              <w:szCs w:val="28"/>
            </w:rPr>
            <w:instrText xml:space="preserve"> PAGEREF _Toc24300 \h </w:instrText>
          </w:r>
          <w:r>
            <w:rPr>
              <w:sz w:val="28"/>
              <w:szCs w:val="28"/>
            </w:rPr>
            <w:fldChar w:fldCharType="separate"/>
          </w:r>
          <w:r>
            <w:rPr>
              <w:sz w:val="28"/>
              <w:szCs w:val="28"/>
            </w:rPr>
            <w:t>5</w:t>
          </w:r>
          <w:r>
            <w:rPr>
              <w:sz w:val="28"/>
              <w:szCs w:val="28"/>
            </w:rPr>
            <w:fldChar w:fldCharType="end"/>
          </w:r>
          <w:r>
            <w:rPr>
              <w:sz w:val="28"/>
              <w:szCs w:val="28"/>
            </w:rPr>
            <w:fldChar w:fldCharType="end"/>
          </w:r>
        </w:p>
        <w:p w14:paraId="0767B852">
          <w:pPr>
            <w:pStyle w:val="19"/>
            <w:tabs>
              <w:tab w:val="right" w:leader="dot" w:pos="8844"/>
            </w:tabs>
            <w:rPr>
              <w:sz w:val="28"/>
              <w:szCs w:val="28"/>
            </w:rPr>
          </w:pPr>
          <w:r>
            <w:rPr>
              <w:sz w:val="28"/>
              <w:szCs w:val="28"/>
            </w:rPr>
            <w:fldChar w:fldCharType="begin"/>
          </w:r>
          <w:r>
            <w:rPr>
              <w:sz w:val="28"/>
              <w:szCs w:val="28"/>
            </w:rPr>
            <w:instrText xml:space="preserve"> HYPERLINK \l _Toc11103 </w:instrText>
          </w:r>
          <w:r>
            <w:rPr>
              <w:sz w:val="28"/>
              <w:szCs w:val="28"/>
            </w:rPr>
            <w:fldChar w:fldCharType="separate"/>
          </w:r>
          <w:r>
            <w:rPr>
              <w:rFonts w:hint="eastAsia" w:ascii="Times New Roman" w:hAnsi="Times New Roman" w:eastAsia="宋体" w:cs="Times New Roman"/>
              <w:bCs/>
              <w:sz w:val="28"/>
              <w:szCs w:val="28"/>
              <w:lang w:val="en-US" w:eastAsia="zh-CN"/>
            </w:rPr>
            <w:t>3.1项目风险源调查</w:t>
          </w:r>
          <w:r>
            <w:rPr>
              <w:sz w:val="28"/>
              <w:szCs w:val="28"/>
            </w:rPr>
            <w:tab/>
          </w:r>
          <w:r>
            <w:rPr>
              <w:sz w:val="28"/>
              <w:szCs w:val="28"/>
            </w:rPr>
            <w:fldChar w:fldCharType="begin"/>
          </w:r>
          <w:r>
            <w:rPr>
              <w:sz w:val="28"/>
              <w:szCs w:val="28"/>
            </w:rPr>
            <w:instrText xml:space="preserve"> PAGEREF _Toc11103 \h </w:instrText>
          </w:r>
          <w:r>
            <w:rPr>
              <w:sz w:val="28"/>
              <w:szCs w:val="28"/>
            </w:rPr>
            <w:fldChar w:fldCharType="separate"/>
          </w:r>
          <w:r>
            <w:rPr>
              <w:sz w:val="28"/>
              <w:szCs w:val="28"/>
            </w:rPr>
            <w:t>5</w:t>
          </w:r>
          <w:r>
            <w:rPr>
              <w:sz w:val="28"/>
              <w:szCs w:val="28"/>
            </w:rPr>
            <w:fldChar w:fldCharType="end"/>
          </w:r>
          <w:r>
            <w:rPr>
              <w:sz w:val="28"/>
              <w:szCs w:val="28"/>
            </w:rPr>
            <w:fldChar w:fldCharType="end"/>
          </w:r>
        </w:p>
        <w:p w14:paraId="45499E7B">
          <w:pPr>
            <w:pStyle w:val="19"/>
            <w:tabs>
              <w:tab w:val="right" w:leader="dot" w:pos="8844"/>
            </w:tabs>
            <w:rPr>
              <w:sz w:val="28"/>
              <w:szCs w:val="28"/>
            </w:rPr>
          </w:pPr>
          <w:r>
            <w:rPr>
              <w:sz w:val="28"/>
              <w:szCs w:val="28"/>
            </w:rPr>
            <w:fldChar w:fldCharType="begin"/>
          </w:r>
          <w:r>
            <w:rPr>
              <w:sz w:val="28"/>
              <w:szCs w:val="28"/>
            </w:rPr>
            <w:instrText xml:space="preserve"> HYPERLINK \l _Toc31537 </w:instrText>
          </w:r>
          <w:r>
            <w:rPr>
              <w:sz w:val="28"/>
              <w:szCs w:val="28"/>
            </w:rPr>
            <w:fldChar w:fldCharType="separate"/>
          </w:r>
          <w:r>
            <w:rPr>
              <w:rFonts w:hint="eastAsia" w:ascii="Times New Roman" w:hAnsi="Times New Roman" w:eastAsia="宋体" w:cs="Times New Roman"/>
              <w:bCs/>
              <w:sz w:val="28"/>
              <w:szCs w:val="28"/>
              <w:lang w:val="en-US" w:eastAsia="zh-CN"/>
            </w:rPr>
            <w:t>3.2环境敏感目标调查</w:t>
          </w:r>
          <w:r>
            <w:rPr>
              <w:sz w:val="28"/>
              <w:szCs w:val="28"/>
            </w:rPr>
            <w:tab/>
          </w:r>
          <w:r>
            <w:rPr>
              <w:sz w:val="28"/>
              <w:szCs w:val="28"/>
            </w:rPr>
            <w:fldChar w:fldCharType="begin"/>
          </w:r>
          <w:r>
            <w:rPr>
              <w:sz w:val="28"/>
              <w:szCs w:val="28"/>
            </w:rPr>
            <w:instrText xml:space="preserve"> PAGEREF _Toc31537 \h </w:instrText>
          </w:r>
          <w:r>
            <w:rPr>
              <w:sz w:val="28"/>
              <w:szCs w:val="28"/>
            </w:rPr>
            <w:fldChar w:fldCharType="separate"/>
          </w:r>
          <w:r>
            <w:rPr>
              <w:sz w:val="28"/>
              <w:szCs w:val="28"/>
            </w:rPr>
            <w:t>5</w:t>
          </w:r>
          <w:r>
            <w:rPr>
              <w:sz w:val="28"/>
              <w:szCs w:val="28"/>
            </w:rPr>
            <w:fldChar w:fldCharType="end"/>
          </w:r>
          <w:r>
            <w:rPr>
              <w:sz w:val="28"/>
              <w:szCs w:val="28"/>
            </w:rPr>
            <w:fldChar w:fldCharType="end"/>
          </w:r>
        </w:p>
        <w:p w14:paraId="72149F22">
          <w:pPr>
            <w:pStyle w:val="15"/>
            <w:tabs>
              <w:tab w:val="right" w:leader="dot" w:pos="8844"/>
            </w:tabs>
            <w:rPr>
              <w:sz w:val="28"/>
              <w:szCs w:val="28"/>
            </w:rPr>
          </w:pPr>
          <w:r>
            <w:rPr>
              <w:sz w:val="28"/>
              <w:szCs w:val="28"/>
            </w:rPr>
            <w:fldChar w:fldCharType="begin"/>
          </w:r>
          <w:r>
            <w:rPr>
              <w:sz w:val="28"/>
              <w:szCs w:val="28"/>
            </w:rPr>
            <w:instrText xml:space="preserve"> HYPERLINK \l _Toc15269 </w:instrText>
          </w:r>
          <w:r>
            <w:rPr>
              <w:sz w:val="28"/>
              <w:szCs w:val="28"/>
            </w:rPr>
            <w:fldChar w:fldCharType="separate"/>
          </w:r>
          <w:r>
            <w:rPr>
              <w:rFonts w:hint="eastAsia" w:ascii="Times New Roman" w:hAnsi="Times New Roman" w:eastAsia="宋体" w:cs="Times New Roman"/>
              <w:bCs/>
              <w:sz w:val="28"/>
              <w:szCs w:val="28"/>
              <w:lang w:val="en-US" w:eastAsia="zh-CN"/>
            </w:rPr>
            <w:t>4.环境风险潜势初判</w:t>
          </w:r>
          <w:r>
            <w:rPr>
              <w:sz w:val="28"/>
              <w:szCs w:val="28"/>
            </w:rPr>
            <w:tab/>
          </w:r>
          <w:r>
            <w:rPr>
              <w:sz w:val="28"/>
              <w:szCs w:val="28"/>
            </w:rPr>
            <w:fldChar w:fldCharType="begin"/>
          </w:r>
          <w:r>
            <w:rPr>
              <w:sz w:val="28"/>
              <w:szCs w:val="28"/>
            </w:rPr>
            <w:instrText xml:space="preserve"> PAGEREF _Toc15269 \h </w:instrText>
          </w:r>
          <w:r>
            <w:rPr>
              <w:sz w:val="28"/>
              <w:szCs w:val="28"/>
            </w:rPr>
            <w:fldChar w:fldCharType="separate"/>
          </w:r>
          <w:r>
            <w:rPr>
              <w:sz w:val="28"/>
              <w:szCs w:val="28"/>
            </w:rPr>
            <w:t>7</w:t>
          </w:r>
          <w:r>
            <w:rPr>
              <w:sz w:val="28"/>
              <w:szCs w:val="28"/>
            </w:rPr>
            <w:fldChar w:fldCharType="end"/>
          </w:r>
          <w:r>
            <w:rPr>
              <w:sz w:val="28"/>
              <w:szCs w:val="28"/>
            </w:rPr>
            <w:fldChar w:fldCharType="end"/>
          </w:r>
        </w:p>
        <w:p w14:paraId="43909147">
          <w:pPr>
            <w:pStyle w:val="19"/>
            <w:tabs>
              <w:tab w:val="right" w:leader="dot" w:pos="8844"/>
            </w:tabs>
            <w:rPr>
              <w:sz w:val="28"/>
              <w:szCs w:val="28"/>
            </w:rPr>
          </w:pPr>
          <w:r>
            <w:rPr>
              <w:sz w:val="28"/>
              <w:szCs w:val="28"/>
            </w:rPr>
            <w:fldChar w:fldCharType="begin"/>
          </w:r>
          <w:r>
            <w:rPr>
              <w:sz w:val="28"/>
              <w:szCs w:val="28"/>
            </w:rPr>
            <w:instrText xml:space="preserve"> HYPERLINK \l _Toc15424 </w:instrText>
          </w:r>
          <w:r>
            <w:rPr>
              <w:sz w:val="28"/>
              <w:szCs w:val="28"/>
            </w:rPr>
            <w:fldChar w:fldCharType="separate"/>
          </w:r>
          <w:r>
            <w:rPr>
              <w:rFonts w:hint="default" w:ascii="Times New Roman" w:hAnsi="Times New Roman" w:eastAsia="宋体" w:cs="Times New Roman"/>
              <w:bCs/>
              <w:sz w:val="28"/>
              <w:szCs w:val="28"/>
              <w:lang w:val="en-US" w:eastAsia="zh-CN"/>
            </w:rPr>
            <w:t>4.</w:t>
          </w:r>
          <w:r>
            <w:rPr>
              <w:rFonts w:hint="eastAsia" w:ascii="Times New Roman" w:hAnsi="Times New Roman" w:eastAsia="宋体" w:cs="Times New Roman"/>
              <w:bCs/>
              <w:sz w:val="28"/>
              <w:szCs w:val="28"/>
              <w:lang w:val="en-US" w:eastAsia="zh-CN"/>
            </w:rPr>
            <w:t>1</w:t>
          </w:r>
          <w:r>
            <w:rPr>
              <w:rFonts w:hint="eastAsia" w:cs="Times New Roman"/>
              <w:bCs/>
              <w:kern w:val="2"/>
              <w:sz w:val="28"/>
              <w:szCs w:val="28"/>
              <w:highlight w:val="none"/>
              <w:lang w:val="en-US" w:eastAsia="zh-CN" w:bidi="ar-SA"/>
            </w:rPr>
            <w:t>环境风险潜势划分</w:t>
          </w:r>
          <w:r>
            <w:rPr>
              <w:sz w:val="28"/>
              <w:szCs w:val="28"/>
            </w:rPr>
            <w:tab/>
          </w:r>
          <w:r>
            <w:rPr>
              <w:sz w:val="28"/>
              <w:szCs w:val="28"/>
            </w:rPr>
            <w:fldChar w:fldCharType="begin"/>
          </w:r>
          <w:r>
            <w:rPr>
              <w:sz w:val="28"/>
              <w:szCs w:val="28"/>
            </w:rPr>
            <w:instrText xml:space="preserve"> PAGEREF _Toc15424 \h </w:instrText>
          </w:r>
          <w:r>
            <w:rPr>
              <w:sz w:val="28"/>
              <w:szCs w:val="28"/>
            </w:rPr>
            <w:fldChar w:fldCharType="separate"/>
          </w:r>
          <w:r>
            <w:rPr>
              <w:sz w:val="28"/>
              <w:szCs w:val="28"/>
            </w:rPr>
            <w:t>7</w:t>
          </w:r>
          <w:r>
            <w:rPr>
              <w:sz w:val="28"/>
              <w:szCs w:val="28"/>
            </w:rPr>
            <w:fldChar w:fldCharType="end"/>
          </w:r>
          <w:r>
            <w:rPr>
              <w:sz w:val="28"/>
              <w:szCs w:val="28"/>
            </w:rPr>
            <w:fldChar w:fldCharType="end"/>
          </w:r>
        </w:p>
        <w:p w14:paraId="7C1CC665">
          <w:pPr>
            <w:pStyle w:val="19"/>
            <w:tabs>
              <w:tab w:val="right" w:leader="dot" w:pos="8844"/>
            </w:tabs>
            <w:rPr>
              <w:sz w:val="28"/>
              <w:szCs w:val="28"/>
            </w:rPr>
          </w:pPr>
          <w:r>
            <w:rPr>
              <w:sz w:val="28"/>
              <w:szCs w:val="28"/>
            </w:rPr>
            <w:fldChar w:fldCharType="begin"/>
          </w:r>
          <w:r>
            <w:rPr>
              <w:sz w:val="28"/>
              <w:szCs w:val="28"/>
            </w:rPr>
            <w:instrText xml:space="preserve"> HYPERLINK \l _Toc16253 </w:instrText>
          </w:r>
          <w:r>
            <w:rPr>
              <w:sz w:val="28"/>
              <w:szCs w:val="28"/>
            </w:rPr>
            <w:fldChar w:fldCharType="separate"/>
          </w:r>
          <w:r>
            <w:rPr>
              <w:rFonts w:hint="default" w:ascii="Times New Roman" w:hAnsi="Times New Roman" w:eastAsia="宋体" w:cs="Times New Roman"/>
              <w:bCs/>
              <w:kern w:val="2"/>
              <w:sz w:val="28"/>
              <w:szCs w:val="28"/>
              <w:highlight w:val="none"/>
              <w:lang w:val="en-US" w:eastAsia="zh-CN" w:bidi="ar-SA"/>
            </w:rPr>
            <w:t>4.</w:t>
          </w:r>
          <w:r>
            <w:rPr>
              <w:rFonts w:hint="eastAsia" w:ascii="Times New Roman" w:hAnsi="Times New Roman" w:eastAsia="宋体" w:cs="Times New Roman"/>
              <w:bCs/>
              <w:kern w:val="2"/>
              <w:sz w:val="28"/>
              <w:szCs w:val="28"/>
              <w:highlight w:val="none"/>
              <w:lang w:val="en-US" w:eastAsia="zh-CN" w:bidi="ar-SA"/>
            </w:rPr>
            <w:t>2危险物质及工艺系统危险性（P）分级</w:t>
          </w:r>
          <w:r>
            <w:rPr>
              <w:sz w:val="28"/>
              <w:szCs w:val="28"/>
            </w:rPr>
            <w:tab/>
          </w:r>
          <w:r>
            <w:rPr>
              <w:rFonts w:hint="eastAsia"/>
              <w:sz w:val="28"/>
              <w:szCs w:val="28"/>
              <w:lang w:val="en-US" w:eastAsia="zh-CN"/>
            </w:rPr>
            <w:t>7</w:t>
          </w:r>
          <w:r>
            <w:rPr>
              <w:sz w:val="28"/>
              <w:szCs w:val="28"/>
            </w:rPr>
            <w:fldChar w:fldCharType="end"/>
          </w:r>
        </w:p>
        <w:p w14:paraId="498700CF">
          <w:pPr>
            <w:pStyle w:val="19"/>
            <w:tabs>
              <w:tab w:val="right" w:leader="dot" w:pos="8844"/>
            </w:tabs>
            <w:rPr>
              <w:rFonts w:hint="eastAsia" w:eastAsia="宋体"/>
              <w:sz w:val="28"/>
              <w:szCs w:val="28"/>
              <w:lang w:val="en-US" w:eastAsia="zh-CN"/>
            </w:rPr>
          </w:pPr>
          <w:r>
            <w:rPr>
              <w:sz w:val="28"/>
              <w:szCs w:val="28"/>
            </w:rPr>
            <w:fldChar w:fldCharType="begin"/>
          </w:r>
          <w:r>
            <w:rPr>
              <w:sz w:val="28"/>
              <w:szCs w:val="28"/>
            </w:rPr>
            <w:instrText xml:space="preserve"> HYPERLINK \l _Toc1483 </w:instrText>
          </w:r>
          <w:r>
            <w:rPr>
              <w:sz w:val="28"/>
              <w:szCs w:val="28"/>
            </w:rPr>
            <w:fldChar w:fldCharType="separate"/>
          </w:r>
          <w:r>
            <w:rPr>
              <w:rFonts w:hint="default" w:ascii="Times New Roman" w:hAnsi="Times New Roman" w:eastAsia="宋体" w:cs="Times New Roman"/>
              <w:bCs/>
              <w:sz w:val="28"/>
              <w:szCs w:val="28"/>
              <w:lang w:val="en-US" w:eastAsia="zh-CN"/>
            </w:rPr>
            <w:t>4.</w:t>
          </w:r>
          <w:r>
            <w:rPr>
              <w:rFonts w:hint="eastAsia" w:ascii="Times New Roman" w:hAnsi="Times New Roman" w:eastAsia="宋体" w:cs="Times New Roman"/>
              <w:bCs/>
              <w:sz w:val="28"/>
              <w:szCs w:val="28"/>
              <w:lang w:val="en-US" w:eastAsia="zh-CN"/>
            </w:rPr>
            <w:t>3</w:t>
          </w:r>
          <w:r>
            <w:rPr>
              <w:rFonts w:hint="default" w:ascii="Times New Roman" w:hAnsi="Times New Roman" w:eastAsia="宋体" w:cs="Times New Roman"/>
              <w:bCs/>
              <w:kern w:val="2"/>
              <w:sz w:val="28"/>
              <w:szCs w:val="28"/>
              <w:highlight w:val="none"/>
              <w:lang w:val="en-US" w:eastAsia="zh-CN" w:bidi="ar-SA"/>
            </w:rPr>
            <w:t>环境敏感程度（E）的分级</w:t>
          </w:r>
          <w:r>
            <w:rPr>
              <w:sz w:val="28"/>
              <w:szCs w:val="28"/>
            </w:rPr>
            <w:tab/>
          </w:r>
          <w:r>
            <w:rPr>
              <w:sz w:val="28"/>
              <w:szCs w:val="28"/>
            </w:rPr>
            <w:fldChar w:fldCharType="end"/>
          </w:r>
          <w:r>
            <w:rPr>
              <w:rFonts w:hint="eastAsia"/>
              <w:sz w:val="28"/>
              <w:szCs w:val="28"/>
              <w:lang w:val="en-US" w:eastAsia="zh-CN"/>
            </w:rPr>
            <w:t>9</w:t>
          </w:r>
        </w:p>
        <w:p w14:paraId="326C9C65">
          <w:pPr>
            <w:pStyle w:val="19"/>
            <w:tabs>
              <w:tab w:val="right" w:leader="dot" w:pos="8844"/>
            </w:tabs>
            <w:rPr>
              <w:rFonts w:hint="default" w:ascii="Times New Roman" w:hAnsi="Times New Roman" w:eastAsia="宋体" w:cs="Times New Roman"/>
              <w:bCs/>
              <w:sz w:val="28"/>
              <w:szCs w:val="28"/>
              <w:lang w:val="en-US" w:eastAsia="zh-CN"/>
            </w:rPr>
          </w:pPr>
          <w:r>
            <w:rPr>
              <w:sz w:val="28"/>
              <w:szCs w:val="28"/>
            </w:rPr>
            <w:fldChar w:fldCharType="begin"/>
          </w:r>
          <w:r>
            <w:rPr>
              <w:sz w:val="28"/>
              <w:szCs w:val="28"/>
            </w:rPr>
            <w:instrText xml:space="preserve"> HYPERLINK \l _Toc25919 </w:instrText>
          </w:r>
          <w:r>
            <w:rPr>
              <w:sz w:val="28"/>
              <w:szCs w:val="28"/>
            </w:rPr>
            <w:fldChar w:fldCharType="separate"/>
          </w:r>
          <w:r>
            <w:rPr>
              <w:rFonts w:hint="default" w:ascii="Times New Roman" w:hAnsi="Times New Roman" w:eastAsia="宋体" w:cs="Times New Roman"/>
              <w:bCs/>
              <w:sz w:val="28"/>
              <w:szCs w:val="28"/>
              <w:lang w:val="en-US" w:eastAsia="zh-CN"/>
            </w:rPr>
            <w:t>4.</w:t>
          </w:r>
          <w:r>
            <w:rPr>
              <w:rFonts w:hint="eastAsia" w:ascii="Times New Roman" w:hAnsi="Times New Roman" w:eastAsia="宋体" w:cs="Times New Roman"/>
              <w:bCs/>
              <w:sz w:val="28"/>
              <w:szCs w:val="28"/>
              <w:lang w:val="en-US" w:eastAsia="zh-CN"/>
            </w:rPr>
            <w:t>4</w:t>
          </w:r>
          <w:r>
            <w:rPr>
              <w:rFonts w:hint="eastAsia" w:cs="Times New Roman"/>
              <w:bCs/>
              <w:sz w:val="28"/>
              <w:szCs w:val="28"/>
              <w:lang w:val="en-US" w:eastAsia="zh-CN"/>
            </w:rPr>
            <w:t>建设项目环境风险潜势判断</w:t>
          </w:r>
          <w:r>
            <w:rPr>
              <w:sz w:val="28"/>
              <w:szCs w:val="28"/>
            </w:rPr>
            <w:tab/>
          </w:r>
          <w:r>
            <w:rPr>
              <w:rFonts w:hint="eastAsia"/>
              <w:sz w:val="28"/>
              <w:szCs w:val="28"/>
              <w:lang w:val="en-US" w:eastAsia="zh-CN"/>
            </w:rPr>
            <w:t>12</w:t>
          </w:r>
        </w:p>
        <w:p w14:paraId="7848D2B7">
          <w:pPr>
            <w:pStyle w:val="19"/>
            <w:tabs>
              <w:tab w:val="right" w:leader="dot" w:pos="8844"/>
            </w:tabs>
            <w:rPr>
              <w:sz w:val="28"/>
              <w:szCs w:val="28"/>
            </w:rPr>
          </w:pPr>
          <w:r>
            <w:rPr>
              <w:rFonts w:hint="eastAsia" w:cs="Times New Roman"/>
              <w:bCs/>
              <w:sz w:val="28"/>
              <w:szCs w:val="28"/>
              <w:lang w:val="en-US" w:eastAsia="zh-CN"/>
            </w:rPr>
            <w:t>4.5</w:t>
          </w:r>
          <w:r>
            <w:rPr>
              <w:rFonts w:hint="default" w:ascii="Times New Roman" w:hAnsi="Times New Roman" w:eastAsia="宋体" w:cs="Times New Roman"/>
              <w:bCs/>
              <w:spacing w:val="0"/>
              <w:kern w:val="2"/>
              <w:sz w:val="28"/>
              <w:szCs w:val="28"/>
              <w:highlight w:val="none"/>
              <w:lang w:val="en-US" w:eastAsia="zh-CN" w:bidi="ar-SA"/>
            </w:rPr>
            <w:t>环境风险评价等级</w:t>
          </w:r>
          <w:r>
            <w:rPr>
              <w:sz w:val="28"/>
              <w:szCs w:val="28"/>
            </w:rPr>
            <w:tab/>
          </w:r>
          <w:r>
            <w:rPr>
              <w:sz w:val="28"/>
              <w:szCs w:val="28"/>
            </w:rPr>
            <w:fldChar w:fldCharType="begin"/>
          </w:r>
          <w:r>
            <w:rPr>
              <w:sz w:val="28"/>
              <w:szCs w:val="28"/>
            </w:rPr>
            <w:instrText xml:space="preserve"> PAGEREF _Toc25919 \h </w:instrText>
          </w:r>
          <w:r>
            <w:rPr>
              <w:sz w:val="28"/>
              <w:szCs w:val="28"/>
            </w:rPr>
            <w:fldChar w:fldCharType="separate"/>
          </w:r>
          <w:r>
            <w:rPr>
              <w:sz w:val="28"/>
              <w:szCs w:val="28"/>
            </w:rPr>
            <w:t>13</w:t>
          </w:r>
          <w:r>
            <w:rPr>
              <w:sz w:val="28"/>
              <w:szCs w:val="28"/>
            </w:rPr>
            <w:fldChar w:fldCharType="end"/>
          </w:r>
          <w:r>
            <w:rPr>
              <w:sz w:val="28"/>
              <w:szCs w:val="28"/>
            </w:rPr>
            <w:fldChar w:fldCharType="end"/>
          </w:r>
        </w:p>
        <w:p w14:paraId="23F739B6">
          <w:pPr>
            <w:pStyle w:val="15"/>
            <w:tabs>
              <w:tab w:val="right" w:leader="dot" w:pos="8844"/>
            </w:tabs>
            <w:rPr>
              <w:sz w:val="28"/>
              <w:szCs w:val="28"/>
            </w:rPr>
          </w:pPr>
          <w:r>
            <w:rPr>
              <w:sz w:val="28"/>
              <w:szCs w:val="28"/>
            </w:rPr>
            <w:fldChar w:fldCharType="begin"/>
          </w:r>
          <w:r>
            <w:rPr>
              <w:sz w:val="28"/>
              <w:szCs w:val="28"/>
            </w:rPr>
            <w:instrText xml:space="preserve"> HYPERLINK \l _Toc2169 </w:instrText>
          </w:r>
          <w:r>
            <w:rPr>
              <w:sz w:val="28"/>
              <w:szCs w:val="28"/>
            </w:rPr>
            <w:fldChar w:fldCharType="separate"/>
          </w:r>
          <w:r>
            <w:rPr>
              <w:rFonts w:hint="eastAsia" w:ascii="Times New Roman" w:hAnsi="Times New Roman" w:eastAsia="宋体" w:cs="Times New Roman"/>
              <w:bCs/>
              <w:sz w:val="28"/>
              <w:szCs w:val="28"/>
              <w:lang w:val="en-US" w:eastAsia="zh-CN"/>
            </w:rPr>
            <w:t>5.环境风险识别</w:t>
          </w:r>
          <w:r>
            <w:rPr>
              <w:sz w:val="28"/>
              <w:szCs w:val="28"/>
            </w:rPr>
            <w:tab/>
          </w:r>
          <w:r>
            <w:rPr>
              <w:sz w:val="28"/>
              <w:szCs w:val="28"/>
            </w:rPr>
            <w:fldChar w:fldCharType="begin"/>
          </w:r>
          <w:r>
            <w:rPr>
              <w:sz w:val="28"/>
              <w:szCs w:val="28"/>
            </w:rPr>
            <w:instrText xml:space="preserve"> PAGEREF _Toc2169 \h </w:instrText>
          </w:r>
          <w:r>
            <w:rPr>
              <w:sz w:val="28"/>
              <w:szCs w:val="28"/>
            </w:rPr>
            <w:fldChar w:fldCharType="separate"/>
          </w:r>
          <w:r>
            <w:rPr>
              <w:sz w:val="28"/>
              <w:szCs w:val="28"/>
            </w:rPr>
            <w:t>14</w:t>
          </w:r>
          <w:r>
            <w:rPr>
              <w:sz w:val="28"/>
              <w:szCs w:val="28"/>
            </w:rPr>
            <w:fldChar w:fldCharType="end"/>
          </w:r>
          <w:r>
            <w:rPr>
              <w:sz w:val="28"/>
              <w:szCs w:val="28"/>
            </w:rPr>
            <w:fldChar w:fldCharType="end"/>
          </w:r>
        </w:p>
        <w:p w14:paraId="5043D40C">
          <w:pPr>
            <w:pStyle w:val="19"/>
            <w:tabs>
              <w:tab w:val="right" w:leader="dot" w:pos="8844"/>
            </w:tabs>
            <w:rPr>
              <w:sz w:val="28"/>
              <w:szCs w:val="28"/>
            </w:rPr>
          </w:pPr>
          <w:r>
            <w:rPr>
              <w:sz w:val="28"/>
              <w:szCs w:val="28"/>
            </w:rPr>
            <w:fldChar w:fldCharType="begin"/>
          </w:r>
          <w:r>
            <w:rPr>
              <w:sz w:val="28"/>
              <w:szCs w:val="28"/>
            </w:rPr>
            <w:instrText xml:space="preserve"> HYPERLINK \l _Toc4092 </w:instrText>
          </w:r>
          <w:r>
            <w:rPr>
              <w:sz w:val="28"/>
              <w:szCs w:val="28"/>
            </w:rPr>
            <w:fldChar w:fldCharType="separate"/>
          </w:r>
          <w:r>
            <w:rPr>
              <w:rFonts w:hint="default" w:ascii="Times New Roman" w:hAnsi="Times New Roman" w:eastAsia="宋体" w:cs="Times New Roman"/>
              <w:bCs/>
              <w:spacing w:val="0"/>
              <w:kern w:val="2"/>
              <w:sz w:val="28"/>
              <w:szCs w:val="28"/>
              <w:highlight w:val="none"/>
              <w:lang w:val="en-US" w:eastAsia="zh-CN" w:bidi="ar-SA"/>
            </w:rPr>
            <w:t>5.1物质风险识别</w:t>
          </w:r>
          <w:r>
            <w:rPr>
              <w:sz w:val="28"/>
              <w:szCs w:val="28"/>
            </w:rPr>
            <w:tab/>
          </w:r>
          <w:r>
            <w:rPr>
              <w:sz w:val="28"/>
              <w:szCs w:val="28"/>
            </w:rPr>
            <w:fldChar w:fldCharType="begin"/>
          </w:r>
          <w:r>
            <w:rPr>
              <w:sz w:val="28"/>
              <w:szCs w:val="28"/>
            </w:rPr>
            <w:instrText xml:space="preserve"> PAGEREF _Toc4092 \h </w:instrText>
          </w:r>
          <w:r>
            <w:rPr>
              <w:sz w:val="28"/>
              <w:szCs w:val="28"/>
            </w:rPr>
            <w:fldChar w:fldCharType="separate"/>
          </w:r>
          <w:r>
            <w:rPr>
              <w:sz w:val="28"/>
              <w:szCs w:val="28"/>
            </w:rPr>
            <w:t>14</w:t>
          </w:r>
          <w:r>
            <w:rPr>
              <w:sz w:val="28"/>
              <w:szCs w:val="28"/>
            </w:rPr>
            <w:fldChar w:fldCharType="end"/>
          </w:r>
          <w:r>
            <w:rPr>
              <w:sz w:val="28"/>
              <w:szCs w:val="28"/>
            </w:rPr>
            <w:fldChar w:fldCharType="end"/>
          </w:r>
        </w:p>
        <w:p w14:paraId="36451E6D">
          <w:pPr>
            <w:pStyle w:val="19"/>
            <w:tabs>
              <w:tab w:val="right" w:leader="dot" w:pos="8844"/>
            </w:tabs>
            <w:rPr>
              <w:sz w:val="28"/>
              <w:szCs w:val="28"/>
            </w:rPr>
          </w:pPr>
          <w:r>
            <w:rPr>
              <w:sz w:val="28"/>
              <w:szCs w:val="28"/>
            </w:rPr>
            <w:fldChar w:fldCharType="begin"/>
          </w:r>
          <w:r>
            <w:rPr>
              <w:sz w:val="28"/>
              <w:szCs w:val="28"/>
            </w:rPr>
            <w:instrText xml:space="preserve"> HYPERLINK \l _Toc17421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5.2事故伴生次生污染分析</w:t>
          </w:r>
          <w:r>
            <w:rPr>
              <w:sz w:val="28"/>
              <w:szCs w:val="28"/>
            </w:rPr>
            <w:tab/>
          </w:r>
          <w:r>
            <w:rPr>
              <w:sz w:val="28"/>
              <w:szCs w:val="28"/>
            </w:rPr>
            <w:fldChar w:fldCharType="begin"/>
          </w:r>
          <w:r>
            <w:rPr>
              <w:sz w:val="28"/>
              <w:szCs w:val="28"/>
            </w:rPr>
            <w:instrText xml:space="preserve"> PAGEREF _Toc17421 \h </w:instrText>
          </w:r>
          <w:r>
            <w:rPr>
              <w:sz w:val="28"/>
              <w:szCs w:val="28"/>
            </w:rPr>
            <w:fldChar w:fldCharType="separate"/>
          </w:r>
          <w:r>
            <w:rPr>
              <w:sz w:val="28"/>
              <w:szCs w:val="28"/>
            </w:rPr>
            <w:t>15</w:t>
          </w:r>
          <w:r>
            <w:rPr>
              <w:sz w:val="28"/>
              <w:szCs w:val="28"/>
            </w:rPr>
            <w:fldChar w:fldCharType="end"/>
          </w:r>
          <w:r>
            <w:rPr>
              <w:sz w:val="28"/>
              <w:szCs w:val="28"/>
            </w:rPr>
            <w:fldChar w:fldCharType="end"/>
          </w:r>
        </w:p>
        <w:p w14:paraId="2EC457D2">
          <w:pPr>
            <w:pStyle w:val="19"/>
            <w:tabs>
              <w:tab w:val="right" w:leader="dot" w:pos="8844"/>
            </w:tabs>
            <w:rPr>
              <w:sz w:val="28"/>
              <w:szCs w:val="28"/>
            </w:rPr>
          </w:pPr>
          <w:r>
            <w:rPr>
              <w:sz w:val="28"/>
              <w:szCs w:val="28"/>
            </w:rPr>
            <w:fldChar w:fldCharType="begin"/>
          </w:r>
          <w:r>
            <w:rPr>
              <w:sz w:val="28"/>
              <w:szCs w:val="28"/>
            </w:rPr>
            <w:instrText xml:space="preserve"> HYPERLINK \l _Toc11643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5.3扩散途径识别</w:t>
          </w:r>
          <w:r>
            <w:rPr>
              <w:sz w:val="28"/>
              <w:szCs w:val="28"/>
            </w:rPr>
            <w:tab/>
          </w:r>
          <w:r>
            <w:rPr>
              <w:sz w:val="28"/>
              <w:szCs w:val="28"/>
            </w:rPr>
            <w:fldChar w:fldCharType="begin"/>
          </w:r>
          <w:r>
            <w:rPr>
              <w:sz w:val="28"/>
              <w:szCs w:val="28"/>
            </w:rPr>
            <w:instrText xml:space="preserve"> PAGEREF _Toc11643 \h </w:instrText>
          </w:r>
          <w:r>
            <w:rPr>
              <w:sz w:val="28"/>
              <w:szCs w:val="28"/>
            </w:rPr>
            <w:fldChar w:fldCharType="separate"/>
          </w:r>
          <w:r>
            <w:rPr>
              <w:sz w:val="28"/>
              <w:szCs w:val="28"/>
            </w:rPr>
            <w:t>15</w:t>
          </w:r>
          <w:r>
            <w:rPr>
              <w:sz w:val="28"/>
              <w:szCs w:val="28"/>
            </w:rPr>
            <w:fldChar w:fldCharType="end"/>
          </w:r>
          <w:r>
            <w:rPr>
              <w:sz w:val="28"/>
              <w:szCs w:val="28"/>
            </w:rPr>
            <w:fldChar w:fldCharType="end"/>
          </w:r>
        </w:p>
        <w:p w14:paraId="5F9CCF47">
          <w:pPr>
            <w:pStyle w:val="19"/>
            <w:tabs>
              <w:tab w:val="right" w:leader="dot" w:pos="8844"/>
            </w:tabs>
            <w:rPr>
              <w:sz w:val="28"/>
              <w:szCs w:val="28"/>
            </w:rPr>
          </w:pPr>
          <w:r>
            <w:rPr>
              <w:sz w:val="28"/>
              <w:szCs w:val="28"/>
            </w:rPr>
            <w:fldChar w:fldCharType="begin"/>
          </w:r>
          <w:r>
            <w:rPr>
              <w:sz w:val="28"/>
              <w:szCs w:val="28"/>
            </w:rPr>
            <w:instrText xml:space="preserve"> HYPERLINK \l _Toc28672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5.4环境风险识别结果</w:t>
          </w:r>
          <w:r>
            <w:rPr>
              <w:sz w:val="28"/>
              <w:szCs w:val="28"/>
            </w:rPr>
            <w:tab/>
          </w:r>
          <w:r>
            <w:rPr>
              <w:sz w:val="28"/>
              <w:szCs w:val="28"/>
            </w:rPr>
            <w:fldChar w:fldCharType="begin"/>
          </w:r>
          <w:r>
            <w:rPr>
              <w:sz w:val="28"/>
              <w:szCs w:val="28"/>
            </w:rPr>
            <w:instrText xml:space="preserve"> PAGEREF _Toc28672 \h </w:instrText>
          </w:r>
          <w:r>
            <w:rPr>
              <w:sz w:val="28"/>
              <w:szCs w:val="28"/>
            </w:rPr>
            <w:fldChar w:fldCharType="separate"/>
          </w:r>
          <w:r>
            <w:rPr>
              <w:sz w:val="28"/>
              <w:szCs w:val="28"/>
            </w:rPr>
            <w:t>16</w:t>
          </w:r>
          <w:r>
            <w:rPr>
              <w:sz w:val="28"/>
              <w:szCs w:val="28"/>
            </w:rPr>
            <w:fldChar w:fldCharType="end"/>
          </w:r>
          <w:r>
            <w:rPr>
              <w:sz w:val="28"/>
              <w:szCs w:val="28"/>
            </w:rPr>
            <w:fldChar w:fldCharType="end"/>
          </w:r>
        </w:p>
        <w:p w14:paraId="17576321">
          <w:pPr>
            <w:pStyle w:val="15"/>
            <w:tabs>
              <w:tab w:val="right" w:leader="dot" w:pos="8844"/>
            </w:tabs>
            <w:rPr>
              <w:sz w:val="28"/>
              <w:szCs w:val="28"/>
            </w:rPr>
          </w:pPr>
          <w:r>
            <w:rPr>
              <w:sz w:val="28"/>
              <w:szCs w:val="28"/>
            </w:rPr>
            <w:fldChar w:fldCharType="begin"/>
          </w:r>
          <w:r>
            <w:rPr>
              <w:sz w:val="28"/>
              <w:szCs w:val="28"/>
            </w:rPr>
            <w:instrText xml:space="preserve"> HYPERLINK \l _Toc15602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6.风险事故情形设定</w:t>
          </w:r>
          <w:r>
            <w:rPr>
              <w:sz w:val="28"/>
              <w:szCs w:val="28"/>
            </w:rPr>
            <w:tab/>
          </w:r>
          <w:r>
            <w:rPr>
              <w:sz w:val="28"/>
              <w:szCs w:val="28"/>
            </w:rPr>
            <w:fldChar w:fldCharType="begin"/>
          </w:r>
          <w:r>
            <w:rPr>
              <w:sz w:val="28"/>
              <w:szCs w:val="28"/>
            </w:rPr>
            <w:instrText xml:space="preserve"> PAGEREF _Toc15602 \h </w:instrText>
          </w:r>
          <w:r>
            <w:rPr>
              <w:sz w:val="28"/>
              <w:szCs w:val="28"/>
            </w:rPr>
            <w:fldChar w:fldCharType="separate"/>
          </w:r>
          <w:r>
            <w:rPr>
              <w:sz w:val="28"/>
              <w:szCs w:val="28"/>
            </w:rPr>
            <w:t>17</w:t>
          </w:r>
          <w:r>
            <w:rPr>
              <w:sz w:val="28"/>
              <w:szCs w:val="28"/>
            </w:rPr>
            <w:fldChar w:fldCharType="end"/>
          </w:r>
          <w:r>
            <w:rPr>
              <w:sz w:val="28"/>
              <w:szCs w:val="28"/>
            </w:rPr>
            <w:fldChar w:fldCharType="end"/>
          </w:r>
        </w:p>
        <w:p w14:paraId="76F8911C">
          <w:pPr>
            <w:pStyle w:val="19"/>
            <w:tabs>
              <w:tab w:val="right" w:leader="dot" w:pos="8844"/>
            </w:tabs>
            <w:rPr>
              <w:sz w:val="28"/>
              <w:szCs w:val="28"/>
            </w:rPr>
          </w:pPr>
          <w:r>
            <w:rPr>
              <w:sz w:val="28"/>
              <w:szCs w:val="28"/>
            </w:rPr>
            <w:fldChar w:fldCharType="begin"/>
          </w:r>
          <w:r>
            <w:rPr>
              <w:sz w:val="28"/>
              <w:szCs w:val="28"/>
            </w:rPr>
            <w:instrText xml:space="preserve"> HYPERLINK \l _Toc9672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6.1风险事故类型</w:t>
          </w:r>
          <w:r>
            <w:rPr>
              <w:sz w:val="28"/>
              <w:szCs w:val="28"/>
            </w:rPr>
            <w:tab/>
          </w:r>
          <w:r>
            <w:rPr>
              <w:sz w:val="28"/>
              <w:szCs w:val="28"/>
            </w:rPr>
            <w:fldChar w:fldCharType="begin"/>
          </w:r>
          <w:r>
            <w:rPr>
              <w:sz w:val="28"/>
              <w:szCs w:val="28"/>
            </w:rPr>
            <w:instrText xml:space="preserve"> PAGEREF _Toc9672 \h </w:instrText>
          </w:r>
          <w:r>
            <w:rPr>
              <w:sz w:val="28"/>
              <w:szCs w:val="28"/>
            </w:rPr>
            <w:fldChar w:fldCharType="separate"/>
          </w:r>
          <w:r>
            <w:rPr>
              <w:sz w:val="28"/>
              <w:szCs w:val="28"/>
            </w:rPr>
            <w:t>17</w:t>
          </w:r>
          <w:r>
            <w:rPr>
              <w:sz w:val="28"/>
              <w:szCs w:val="28"/>
            </w:rPr>
            <w:fldChar w:fldCharType="end"/>
          </w:r>
          <w:r>
            <w:rPr>
              <w:sz w:val="28"/>
              <w:szCs w:val="28"/>
            </w:rPr>
            <w:fldChar w:fldCharType="end"/>
          </w:r>
        </w:p>
        <w:p w14:paraId="7A4B9DB9">
          <w:pPr>
            <w:pStyle w:val="19"/>
            <w:tabs>
              <w:tab w:val="right" w:leader="dot" w:pos="8844"/>
            </w:tabs>
            <w:rPr>
              <w:sz w:val="28"/>
              <w:szCs w:val="28"/>
            </w:rPr>
          </w:pPr>
          <w:r>
            <w:rPr>
              <w:sz w:val="28"/>
              <w:szCs w:val="28"/>
            </w:rPr>
            <w:fldChar w:fldCharType="begin"/>
          </w:r>
          <w:r>
            <w:rPr>
              <w:sz w:val="28"/>
              <w:szCs w:val="28"/>
            </w:rPr>
            <w:instrText xml:space="preserve"> HYPERLINK \l _Toc5300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6.2事故树（ETA）分析</w:t>
          </w:r>
          <w:r>
            <w:rPr>
              <w:sz w:val="28"/>
              <w:szCs w:val="28"/>
            </w:rPr>
            <w:tab/>
          </w:r>
          <w:r>
            <w:rPr>
              <w:sz w:val="28"/>
              <w:szCs w:val="28"/>
            </w:rPr>
            <w:fldChar w:fldCharType="begin"/>
          </w:r>
          <w:r>
            <w:rPr>
              <w:sz w:val="28"/>
              <w:szCs w:val="28"/>
            </w:rPr>
            <w:instrText xml:space="preserve"> PAGEREF _Toc5300 \h </w:instrText>
          </w:r>
          <w:r>
            <w:rPr>
              <w:sz w:val="28"/>
              <w:szCs w:val="28"/>
            </w:rPr>
            <w:fldChar w:fldCharType="separate"/>
          </w:r>
          <w:r>
            <w:rPr>
              <w:sz w:val="28"/>
              <w:szCs w:val="28"/>
            </w:rPr>
            <w:t>17</w:t>
          </w:r>
          <w:r>
            <w:rPr>
              <w:sz w:val="28"/>
              <w:szCs w:val="28"/>
            </w:rPr>
            <w:fldChar w:fldCharType="end"/>
          </w:r>
          <w:r>
            <w:rPr>
              <w:sz w:val="28"/>
              <w:szCs w:val="28"/>
            </w:rPr>
            <w:fldChar w:fldCharType="end"/>
          </w:r>
        </w:p>
        <w:p w14:paraId="435523A3">
          <w:pPr>
            <w:pStyle w:val="19"/>
            <w:tabs>
              <w:tab w:val="right" w:leader="dot" w:pos="8844"/>
            </w:tabs>
            <w:rPr>
              <w:sz w:val="28"/>
              <w:szCs w:val="28"/>
            </w:rPr>
          </w:pPr>
          <w:r>
            <w:rPr>
              <w:sz w:val="28"/>
              <w:szCs w:val="28"/>
            </w:rPr>
            <w:fldChar w:fldCharType="begin"/>
          </w:r>
          <w:r>
            <w:rPr>
              <w:sz w:val="28"/>
              <w:szCs w:val="28"/>
            </w:rPr>
            <w:instrText xml:space="preserve"> HYPERLINK \l _Toc16981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6.3最大可信事故确定</w:t>
          </w:r>
          <w:r>
            <w:rPr>
              <w:sz w:val="28"/>
              <w:szCs w:val="28"/>
            </w:rPr>
            <w:tab/>
          </w:r>
          <w:r>
            <w:rPr>
              <w:sz w:val="28"/>
              <w:szCs w:val="28"/>
            </w:rPr>
            <w:fldChar w:fldCharType="begin"/>
          </w:r>
          <w:r>
            <w:rPr>
              <w:sz w:val="28"/>
              <w:szCs w:val="28"/>
            </w:rPr>
            <w:instrText xml:space="preserve"> PAGEREF _Toc16981 \h </w:instrText>
          </w:r>
          <w:r>
            <w:rPr>
              <w:sz w:val="28"/>
              <w:szCs w:val="28"/>
            </w:rPr>
            <w:fldChar w:fldCharType="separate"/>
          </w:r>
          <w:r>
            <w:rPr>
              <w:sz w:val="28"/>
              <w:szCs w:val="28"/>
            </w:rPr>
            <w:t>18</w:t>
          </w:r>
          <w:r>
            <w:rPr>
              <w:sz w:val="28"/>
              <w:szCs w:val="28"/>
            </w:rPr>
            <w:fldChar w:fldCharType="end"/>
          </w:r>
          <w:r>
            <w:rPr>
              <w:sz w:val="28"/>
              <w:szCs w:val="28"/>
            </w:rPr>
            <w:fldChar w:fldCharType="end"/>
          </w:r>
        </w:p>
        <w:p w14:paraId="1F9F52D9">
          <w:pPr>
            <w:pStyle w:val="15"/>
            <w:tabs>
              <w:tab w:val="right" w:leader="dot" w:pos="8844"/>
            </w:tabs>
            <w:rPr>
              <w:sz w:val="28"/>
              <w:szCs w:val="28"/>
            </w:rPr>
          </w:pPr>
          <w:r>
            <w:rPr>
              <w:sz w:val="28"/>
              <w:szCs w:val="28"/>
            </w:rPr>
            <w:fldChar w:fldCharType="begin"/>
          </w:r>
          <w:r>
            <w:rPr>
              <w:sz w:val="28"/>
              <w:szCs w:val="28"/>
            </w:rPr>
            <w:instrText xml:space="preserve"> HYPERLINK \l _Toc9777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7.风险事故源项分析</w:t>
          </w:r>
          <w:r>
            <w:rPr>
              <w:sz w:val="28"/>
              <w:szCs w:val="28"/>
            </w:rPr>
            <w:tab/>
          </w:r>
          <w:r>
            <w:rPr>
              <w:sz w:val="28"/>
              <w:szCs w:val="28"/>
            </w:rPr>
            <w:fldChar w:fldCharType="begin"/>
          </w:r>
          <w:r>
            <w:rPr>
              <w:sz w:val="28"/>
              <w:szCs w:val="28"/>
            </w:rPr>
            <w:instrText xml:space="preserve"> PAGEREF _Toc9777 \h </w:instrText>
          </w:r>
          <w:r>
            <w:rPr>
              <w:sz w:val="28"/>
              <w:szCs w:val="28"/>
            </w:rPr>
            <w:fldChar w:fldCharType="separate"/>
          </w:r>
          <w:r>
            <w:rPr>
              <w:sz w:val="28"/>
              <w:szCs w:val="28"/>
            </w:rPr>
            <w:t>20</w:t>
          </w:r>
          <w:r>
            <w:rPr>
              <w:sz w:val="28"/>
              <w:szCs w:val="28"/>
            </w:rPr>
            <w:fldChar w:fldCharType="end"/>
          </w:r>
          <w:r>
            <w:rPr>
              <w:sz w:val="28"/>
              <w:szCs w:val="28"/>
            </w:rPr>
            <w:fldChar w:fldCharType="end"/>
          </w:r>
        </w:p>
        <w:p w14:paraId="5AF82071">
          <w:pPr>
            <w:pStyle w:val="19"/>
            <w:tabs>
              <w:tab w:val="right" w:leader="dot" w:pos="8844"/>
            </w:tabs>
            <w:rPr>
              <w:sz w:val="28"/>
              <w:szCs w:val="28"/>
            </w:rPr>
          </w:pPr>
          <w:r>
            <w:rPr>
              <w:sz w:val="28"/>
              <w:szCs w:val="28"/>
            </w:rPr>
            <w:fldChar w:fldCharType="begin"/>
          </w:r>
          <w:r>
            <w:rPr>
              <w:sz w:val="28"/>
              <w:szCs w:val="28"/>
            </w:rPr>
            <w:instrText xml:space="preserve"> HYPERLINK \l _Toc24726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7.1储存参数</w:t>
          </w:r>
          <w:r>
            <w:rPr>
              <w:sz w:val="28"/>
              <w:szCs w:val="28"/>
            </w:rPr>
            <w:tab/>
          </w:r>
          <w:r>
            <w:rPr>
              <w:sz w:val="28"/>
              <w:szCs w:val="28"/>
            </w:rPr>
            <w:fldChar w:fldCharType="begin"/>
          </w:r>
          <w:r>
            <w:rPr>
              <w:sz w:val="28"/>
              <w:szCs w:val="28"/>
            </w:rPr>
            <w:instrText xml:space="preserve"> PAGEREF _Toc24726 \h </w:instrText>
          </w:r>
          <w:r>
            <w:rPr>
              <w:sz w:val="28"/>
              <w:szCs w:val="28"/>
            </w:rPr>
            <w:fldChar w:fldCharType="separate"/>
          </w:r>
          <w:r>
            <w:rPr>
              <w:sz w:val="28"/>
              <w:szCs w:val="28"/>
            </w:rPr>
            <w:t>20</w:t>
          </w:r>
          <w:r>
            <w:rPr>
              <w:sz w:val="28"/>
              <w:szCs w:val="28"/>
            </w:rPr>
            <w:fldChar w:fldCharType="end"/>
          </w:r>
          <w:r>
            <w:rPr>
              <w:sz w:val="28"/>
              <w:szCs w:val="28"/>
            </w:rPr>
            <w:fldChar w:fldCharType="end"/>
          </w:r>
        </w:p>
        <w:p w14:paraId="3563C56E">
          <w:pPr>
            <w:pStyle w:val="19"/>
            <w:tabs>
              <w:tab w:val="right" w:leader="dot" w:pos="8844"/>
            </w:tabs>
            <w:rPr>
              <w:sz w:val="28"/>
              <w:szCs w:val="28"/>
            </w:rPr>
          </w:pPr>
          <w:r>
            <w:rPr>
              <w:sz w:val="28"/>
              <w:szCs w:val="28"/>
            </w:rPr>
            <w:fldChar w:fldCharType="begin"/>
          </w:r>
          <w:r>
            <w:rPr>
              <w:sz w:val="28"/>
              <w:szCs w:val="28"/>
            </w:rPr>
            <w:instrText xml:space="preserve"> HYPERLINK \l _Toc15085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7.2</w:t>
          </w:r>
          <w:r>
            <w:rPr>
              <w:rFonts w:hint="eastAsia" w:cs="Times New Roman"/>
              <w:bCs/>
              <w:spacing w:val="0"/>
              <w:kern w:val="2"/>
              <w:sz w:val="28"/>
              <w:szCs w:val="28"/>
              <w:highlight w:val="none"/>
              <w:lang w:val="en-US" w:eastAsia="zh-CN" w:bidi="ar-SA"/>
            </w:rPr>
            <w:t>液体泄露源强计算</w:t>
          </w:r>
          <w:r>
            <w:rPr>
              <w:sz w:val="28"/>
              <w:szCs w:val="28"/>
            </w:rPr>
            <w:tab/>
          </w:r>
          <w:r>
            <w:rPr>
              <w:sz w:val="28"/>
              <w:szCs w:val="28"/>
            </w:rPr>
            <w:fldChar w:fldCharType="begin"/>
          </w:r>
          <w:r>
            <w:rPr>
              <w:sz w:val="28"/>
              <w:szCs w:val="28"/>
            </w:rPr>
            <w:instrText xml:space="preserve"> PAGEREF _Toc15085 \h </w:instrText>
          </w:r>
          <w:r>
            <w:rPr>
              <w:sz w:val="28"/>
              <w:szCs w:val="28"/>
            </w:rPr>
            <w:fldChar w:fldCharType="separate"/>
          </w:r>
          <w:r>
            <w:rPr>
              <w:sz w:val="28"/>
              <w:szCs w:val="28"/>
            </w:rPr>
            <w:t>20</w:t>
          </w:r>
          <w:r>
            <w:rPr>
              <w:sz w:val="28"/>
              <w:szCs w:val="28"/>
            </w:rPr>
            <w:fldChar w:fldCharType="end"/>
          </w:r>
          <w:r>
            <w:rPr>
              <w:sz w:val="28"/>
              <w:szCs w:val="28"/>
            </w:rPr>
            <w:fldChar w:fldCharType="end"/>
          </w:r>
        </w:p>
        <w:p w14:paraId="201E8EF6">
          <w:pPr>
            <w:pStyle w:val="19"/>
            <w:tabs>
              <w:tab w:val="right" w:leader="dot" w:pos="8844"/>
            </w:tabs>
            <w:rPr>
              <w:sz w:val="28"/>
              <w:szCs w:val="28"/>
            </w:rPr>
          </w:pPr>
          <w:r>
            <w:rPr>
              <w:sz w:val="28"/>
              <w:szCs w:val="28"/>
            </w:rPr>
            <w:fldChar w:fldCharType="begin"/>
          </w:r>
          <w:r>
            <w:rPr>
              <w:sz w:val="28"/>
              <w:szCs w:val="28"/>
            </w:rPr>
            <w:instrText xml:space="preserve"> HYPERLINK \l _Toc7425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7.3泄露液体蒸发量</w:t>
          </w:r>
          <w:r>
            <w:rPr>
              <w:sz w:val="28"/>
              <w:szCs w:val="28"/>
            </w:rPr>
            <w:tab/>
          </w:r>
          <w:r>
            <w:rPr>
              <w:sz w:val="28"/>
              <w:szCs w:val="28"/>
            </w:rPr>
            <w:fldChar w:fldCharType="begin"/>
          </w:r>
          <w:r>
            <w:rPr>
              <w:sz w:val="28"/>
              <w:szCs w:val="28"/>
            </w:rPr>
            <w:instrText xml:space="preserve"> PAGEREF _Toc7425 \h </w:instrText>
          </w:r>
          <w:r>
            <w:rPr>
              <w:sz w:val="28"/>
              <w:szCs w:val="28"/>
            </w:rPr>
            <w:fldChar w:fldCharType="separate"/>
          </w:r>
          <w:r>
            <w:rPr>
              <w:sz w:val="28"/>
              <w:szCs w:val="28"/>
            </w:rPr>
            <w:t>21</w:t>
          </w:r>
          <w:r>
            <w:rPr>
              <w:sz w:val="28"/>
              <w:szCs w:val="28"/>
            </w:rPr>
            <w:fldChar w:fldCharType="end"/>
          </w:r>
          <w:r>
            <w:rPr>
              <w:sz w:val="28"/>
              <w:szCs w:val="28"/>
            </w:rPr>
            <w:fldChar w:fldCharType="end"/>
          </w:r>
        </w:p>
        <w:p w14:paraId="1C62F0A3">
          <w:pPr>
            <w:pStyle w:val="15"/>
            <w:tabs>
              <w:tab w:val="right" w:leader="dot" w:pos="8844"/>
            </w:tabs>
            <w:rPr>
              <w:sz w:val="28"/>
              <w:szCs w:val="28"/>
            </w:rPr>
          </w:pPr>
          <w:r>
            <w:rPr>
              <w:sz w:val="28"/>
              <w:szCs w:val="28"/>
            </w:rPr>
            <w:fldChar w:fldCharType="begin"/>
          </w:r>
          <w:r>
            <w:rPr>
              <w:sz w:val="28"/>
              <w:szCs w:val="28"/>
            </w:rPr>
            <w:instrText xml:space="preserve"> HYPERLINK \l _Toc14955 </w:instrText>
          </w:r>
          <w:r>
            <w:rPr>
              <w:sz w:val="28"/>
              <w:szCs w:val="28"/>
            </w:rPr>
            <w:fldChar w:fldCharType="separate"/>
          </w:r>
          <w:r>
            <w:rPr>
              <w:rFonts w:hint="eastAsia" w:ascii="Times New Roman" w:cs="Times New Roman"/>
              <w:bCs/>
              <w:spacing w:val="0"/>
              <w:kern w:val="2"/>
              <w:sz w:val="28"/>
              <w:szCs w:val="28"/>
              <w:highlight w:val="none"/>
              <w:lang w:val="en-US" w:eastAsia="zh-CN" w:bidi="ar-SA"/>
            </w:rPr>
            <w:t>8.风险预测与分析</w:t>
          </w:r>
          <w:r>
            <w:rPr>
              <w:sz w:val="28"/>
              <w:szCs w:val="28"/>
            </w:rPr>
            <w:tab/>
          </w:r>
          <w:r>
            <w:rPr>
              <w:sz w:val="28"/>
              <w:szCs w:val="28"/>
            </w:rPr>
            <w:fldChar w:fldCharType="begin"/>
          </w:r>
          <w:r>
            <w:rPr>
              <w:sz w:val="28"/>
              <w:szCs w:val="28"/>
            </w:rPr>
            <w:instrText xml:space="preserve"> PAGEREF _Toc14955 \h </w:instrText>
          </w:r>
          <w:r>
            <w:rPr>
              <w:sz w:val="28"/>
              <w:szCs w:val="28"/>
            </w:rPr>
            <w:fldChar w:fldCharType="separate"/>
          </w:r>
          <w:r>
            <w:rPr>
              <w:sz w:val="28"/>
              <w:szCs w:val="28"/>
            </w:rPr>
            <w:t>22</w:t>
          </w:r>
          <w:r>
            <w:rPr>
              <w:sz w:val="28"/>
              <w:szCs w:val="28"/>
            </w:rPr>
            <w:fldChar w:fldCharType="end"/>
          </w:r>
          <w:r>
            <w:rPr>
              <w:sz w:val="28"/>
              <w:szCs w:val="28"/>
            </w:rPr>
            <w:fldChar w:fldCharType="end"/>
          </w:r>
        </w:p>
        <w:p w14:paraId="6B0983D1">
          <w:pPr>
            <w:pStyle w:val="19"/>
            <w:tabs>
              <w:tab w:val="right" w:leader="dot" w:pos="8844"/>
            </w:tabs>
            <w:rPr>
              <w:sz w:val="28"/>
              <w:szCs w:val="28"/>
            </w:rPr>
          </w:pPr>
          <w:r>
            <w:rPr>
              <w:sz w:val="28"/>
              <w:szCs w:val="28"/>
            </w:rPr>
            <w:fldChar w:fldCharType="begin"/>
          </w:r>
          <w:r>
            <w:rPr>
              <w:sz w:val="28"/>
              <w:szCs w:val="28"/>
            </w:rPr>
            <w:instrText xml:space="preserve"> HYPERLINK \l _Toc4718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8.1</w:t>
          </w:r>
          <w:r>
            <w:rPr>
              <w:rFonts w:hint="eastAsia" w:cs="Times New Roman"/>
              <w:bCs/>
              <w:spacing w:val="0"/>
              <w:kern w:val="2"/>
              <w:sz w:val="28"/>
              <w:szCs w:val="28"/>
              <w:highlight w:val="none"/>
              <w:lang w:val="en-US" w:eastAsia="zh-CN" w:bidi="ar-SA"/>
            </w:rPr>
            <w:t>大气环境风险影响分析</w:t>
          </w:r>
          <w:r>
            <w:rPr>
              <w:sz w:val="28"/>
              <w:szCs w:val="28"/>
            </w:rPr>
            <w:tab/>
          </w:r>
          <w:r>
            <w:rPr>
              <w:sz w:val="28"/>
              <w:szCs w:val="28"/>
            </w:rPr>
            <w:fldChar w:fldCharType="begin"/>
          </w:r>
          <w:r>
            <w:rPr>
              <w:sz w:val="28"/>
              <w:szCs w:val="28"/>
            </w:rPr>
            <w:instrText xml:space="preserve"> PAGEREF _Toc4718 \h </w:instrText>
          </w:r>
          <w:r>
            <w:rPr>
              <w:sz w:val="28"/>
              <w:szCs w:val="28"/>
            </w:rPr>
            <w:fldChar w:fldCharType="separate"/>
          </w:r>
          <w:r>
            <w:rPr>
              <w:sz w:val="28"/>
              <w:szCs w:val="28"/>
            </w:rPr>
            <w:t>22</w:t>
          </w:r>
          <w:r>
            <w:rPr>
              <w:sz w:val="28"/>
              <w:szCs w:val="28"/>
            </w:rPr>
            <w:fldChar w:fldCharType="end"/>
          </w:r>
          <w:r>
            <w:rPr>
              <w:sz w:val="28"/>
              <w:szCs w:val="28"/>
            </w:rPr>
            <w:fldChar w:fldCharType="end"/>
          </w:r>
        </w:p>
        <w:p w14:paraId="3DCE7F81">
          <w:pPr>
            <w:pStyle w:val="19"/>
            <w:tabs>
              <w:tab w:val="right" w:leader="dot" w:pos="8844"/>
            </w:tabs>
            <w:rPr>
              <w:sz w:val="28"/>
              <w:szCs w:val="28"/>
            </w:rPr>
          </w:pPr>
          <w:r>
            <w:rPr>
              <w:sz w:val="28"/>
              <w:szCs w:val="28"/>
            </w:rPr>
            <w:fldChar w:fldCharType="begin"/>
          </w:r>
          <w:r>
            <w:rPr>
              <w:sz w:val="28"/>
              <w:szCs w:val="28"/>
            </w:rPr>
            <w:instrText xml:space="preserve"> HYPERLINK \l _Toc18451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8.2</w:t>
          </w:r>
          <w:r>
            <w:rPr>
              <w:rFonts w:hint="eastAsia" w:ascii="Times New Roman" w:cs="Times New Roman"/>
              <w:bCs/>
              <w:spacing w:val="0"/>
              <w:kern w:val="2"/>
              <w:sz w:val="28"/>
              <w:szCs w:val="28"/>
              <w:highlight w:val="none"/>
              <w:lang w:val="en-US" w:eastAsia="zh-CN" w:bidi="ar-SA"/>
            </w:rPr>
            <w:t>地表水环境风险影响分析</w:t>
          </w:r>
          <w:r>
            <w:rPr>
              <w:sz w:val="28"/>
              <w:szCs w:val="28"/>
            </w:rPr>
            <w:tab/>
          </w:r>
          <w:r>
            <w:rPr>
              <w:sz w:val="28"/>
              <w:szCs w:val="28"/>
            </w:rPr>
            <w:fldChar w:fldCharType="begin"/>
          </w:r>
          <w:r>
            <w:rPr>
              <w:sz w:val="28"/>
              <w:szCs w:val="28"/>
            </w:rPr>
            <w:instrText xml:space="preserve"> PAGEREF _Toc18451 \h </w:instrText>
          </w:r>
          <w:r>
            <w:rPr>
              <w:sz w:val="28"/>
              <w:szCs w:val="28"/>
            </w:rPr>
            <w:fldChar w:fldCharType="separate"/>
          </w:r>
          <w:r>
            <w:rPr>
              <w:sz w:val="28"/>
              <w:szCs w:val="28"/>
            </w:rPr>
            <w:t>25</w:t>
          </w:r>
          <w:r>
            <w:rPr>
              <w:sz w:val="28"/>
              <w:szCs w:val="28"/>
            </w:rPr>
            <w:fldChar w:fldCharType="end"/>
          </w:r>
          <w:r>
            <w:rPr>
              <w:sz w:val="28"/>
              <w:szCs w:val="28"/>
            </w:rPr>
            <w:fldChar w:fldCharType="end"/>
          </w:r>
        </w:p>
        <w:p w14:paraId="61DC0D59">
          <w:pPr>
            <w:pStyle w:val="19"/>
            <w:tabs>
              <w:tab w:val="right" w:leader="dot" w:pos="8844"/>
            </w:tabs>
            <w:rPr>
              <w:sz w:val="28"/>
              <w:szCs w:val="28"/>
            </w:rPr>
          </w:pPr>
          <w:r>
            <w:rPr>
              <w:sz w:val="28"/>
              <w:szCs w:val="28"/>
            </w:rPr>
            <w:fldChar w:fldCharType="begin"/>
          </w:r>
          <w:r>
            <w:rPr>
              <w:sz w:val="28"/>
              <w:szCs w:val="28"/>
            </w:rPr>
            <w:instrText xml:space="preserve"> HYPERLINK \l _Toc17100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8.</w:t>
          </w:r>
          <w:r>
            <w:rPr>
              <w:rFonts w:hint="eastAsia" w:ascii="Times New Roman" w:cs="Times New Roman"/>
              <w:bCs/>
              <w:spacing w:val="0"/>
              <w:kern w:val="2"/>
              <w:sz w:val="28"/>
              <w:szCs w:val="28"/>
              <w:highlight w:val="none"/>
              <w:lang w:val="en-US" w:eastAsia="zh-CN" w:bidi="ar-SA"/>
            </w:rPr>
            <w:t>3地下水环境风险影响分析</w:t>
          </w:r>
          <w:r>
            <w:rPr>
              <w:sz w:val="28"/>
              <w:szCs w:val="28"/>
            </w:rPr>
            <w:tab/>
          </w:r>
          <w:r>
            <w:rPr>
              <w:sz w:val="28"/>
              <w:szCs w:val="28"/>
            </w:rPr>
            <w:fldChar w:fldCharType="begin"/>
          </w:r>
          <w:r>
            <w:rPr>
              <w:sz w:val="28"/>
              <w:szCs w:val="28"/>
            </w:rPr>
            <w:instrText xml:space="preserve"> PAGEREF _Toc17100 \h </w:instrText>
          </w:r>
          <w:r>
            <w:rPr>
              <w:sz w:val="28"/>
              <w:szCs w:val="28"/>
            </w:rPr>
            <w:fldChar w:fldCharType="separate"/>
          </w:r>
          <w:r>
            <w:rPr>
              <w:sz w:val="28"/>
              <w:szCs w:val="28"/>
            </w:rPr>
            <w:t>26</w:t>
          </w:r>
          <w:r>
            <w:rPr>
              <w:sz w:val="28"/>
              <w:szCs w:val="28"/>
            </w:rPr>
            <w:fldChar w:fldCharType="end"/>
          </w:r>
          <w:r>
            <w:rPr>
              <w:sz w:val="28"/>
              <w:szCs w:val="28"/>
            </w:rPr>
            <w:fldChar w:fldCharType="end"/>
          </w:r>
        </w:p>
        <w:p w14:paraId="40F968B0">
          <w:pPr>
            <w:pStyle w:val="15"/>
            <w:tabs>
              <w:tab w:val="right" w:leader="dot" w:pos="8844"/>
            </w:tabs>
            <w:rPr>
              <w:sz w:val="28"/>
              <w:szCs w:val="28"/>
            </w:rPr>
          </w:pPr>
          <w:r>
            <w:rPr>
              <w:sz w:val="28"/>
              <w:szCs w:val="28"/>
            </w:rPr>
            <w:fldChar w:fldCharType="begin"/>
          </w:r>
          <w:r>
            <w:rPr>
              <w:sz w:val="28"/>
              <w:szCs w:val="28"/>
            </w:rPr>
            <w:instrText xml:space="preserve"> HYPERLINK \l _Toc16794 </w:instrText>
          </w:r>
          <w:r>
            <w:rPr>
              <w:sz w:val="28"/>
              <w:szCs w:val="28"/>
            </w:rPr>
            <w:fldChar w:fldCharType="separate"/>
          </w:r>
          <w:r>
            <w:rPr>
              <w:rFonts w:hint="eastAsia" w:cs="Times New Roman"/>
              <w:bCs/>
              <w:spacing w:val="0"/>
              <w:kern w:val="2"/>
              <w:sz w:val="28"/>
              <w:szCs w:val="28"/>
              <w:highlight w:val="none"/>
              <w:lang w:val="en-US" w:eastAsia="zh-CN" w:bidi="ar-SA"/>
            </w:rPr>
            <w:t>9.环境风险管理</w:t>
          </w:r>
          <w:r>
            <w:rPr>
              <w:sz w:val="28"/>
              <w:szCs w:val="28"/>
            </w:rPr>
            <w:tab/>
          </w:r>
          <w:r>
            <w:rPr>
              <w:sz w:val="28"/>
              <w:szCs w:val="28"/>
            </w:rPr>
            <w:fldChar w:fldCharType="begin"/>
          </w:r>
          <w:r>
            <w:rPr>
              <w:sz w:val="28"/>
              <w:szCs w:val="28"/>
            </w:rPr>
            <w:instrText xml:space="preserve"> PAGEREF _Toc16794 \h </w:instrText>
          </w:r>
          <w:r>
            <w:rPr>
              <w:sz w:val="28"/>
              <w:szCs w:val="28"/>
            </w:rPr>
            <w:fldChar w:fldCharType="separate"/>
          </w:r>
          <w:r>
            <w:rPr>
              <w:sz w:val="28"/>
              <w:szCs w:val="28"/>
            </w:rPr>
            <w:t>28</w:t>
          </w:r>
          <w:r>
            <w:rPr>
              <w:sz w:val="28"/>
              <w:szCs w:val="28"/>
            </w:rPr>
            <w:fldChar w:fldCharType="end"/>
          </w:r>
          <w:r>
            <w:rPr>
              <w:sz w:val="28"/>
              <w:szCs w:val="28"/>
            </w:rPr>
            <w:fldChar w:fldCharType="end"/>
          </w:r>
        </w:p>
        <w:p w14:paraId="646FB5E6">
          <w:pPr>
            <w:pStyle w:val="19"/>
            <w:tabs>
              <w:tab w:val="right" w:leader="dot" w:pos="8844"/>
            </w:tabs>
            <w:rPr>
              <w:sz w:val="28"/>
              <w:szCs w:val="28"/>
            </w:rPr>
          </w:pPr>
          <w:r>
            <w:rPr>
              <w:sz w:val="28"/>
              <w:szCs w:val="28"/>
            </w:rPr>
            <w:fldChar w:fldCharType="begin"/>
          </w:r>
          <w:r>
            <w:rPr>
              <w:sz w:val="28"/>
              <w:szCs w:val="28"/>
            </w:rPr>
            <w:instrText xml:space="preserve"> HYPERLINK \l _Toc29301 </w:instrText>
          </w:r>
          <w:r>
            <w:rPr>
              <w:sz w:val="28"/>
              <w:szCs w:val="28"/>
            </w:rPr>
            <w:fldChar w:fldCharType="separate"/>
          </w:r>
          <w:r>
            <w:rPr>
              <w:rFonts w:hint="eastAsia" w:cs="Times New Roman"/>
              <w:bCs/>
              <w:spacing w:val="0"/>
              <w:kern w:val="2"/>
              <w:sz w:val="28"/>
              <w:szCs w:val="28"/>
              <w:highlight w:val="none"/>
              <w:lang w:val="en-US" w:eastAsia="zh-CN" w:bidi="ar-SA"/>
            </w:rPr>
            <w:t>9.1环境风险防范措施</w:t>
          </w:r>
          <w:r>
            <w:rPr>
              <w:sz w:val="28"/>
              <w:szCs w:val="28"/>
            </w:rPr>
            <w:tab/>
          </w:r>
          <w:r>
            <w:rPr>
              <w:sz w:val="28"/>
              <w:szCs w:val="28"/>
            </w:rPr>
            <w:fldChar w:fldCharType="begin"/>
          </w:r>
          <w:r>
            <w:rPr>
              <w:sz w:val="28"/>
              <w:szCs w:val="28"/>
            </w:rPr>
            <w:instrText xml:space="preserve"> PAGEREF _Toc29301 \h </w:instrText>
          </w:r>
          <w:r>
            <w:rPr>
              <w:sz w:val="28"/>
              <w:szCs w:val="28"/>
            </w:rPr>
            <w:fldChar w:fldCharType="separate"/>
          </w:r>
          <w:r>
            <w:rPr>
              <w:sz w:val="28"/>
              <w:szCs w:val="28"/>
            </w:rPr>
            <w:t>28</w:t>
          </w:r>
          <w:r>
            <w:rPr>
              <w:sz w:val="28"/>
              <w:szCs w:val="28"/>
            </w:rPr>
            <w:fldChar w:fldCharType="end"/>
          </w:r>
          <w:r>
            <w:rPr>
              <w:sz w:val="28"/>
              <w:szCs w:val="28"/>
            </w:rPr>
            <w:fldChar w:fldCharType="end"/>
          </w:r>
        </w:p>
        <w:p w14:paraId="20A84E3A">
          <w:pPr>
            <w:pStyle w:val="19"/>
            <w:tabs>
              <w:tab w:val="right" w:leader="dot" w:pos="8844"/>
            </w:tabs>
            <w:rPr>
              <w:sz w:val="28"/>
              <w:szCs w:val="28"/>
            </w:rPr>
          </w:pPr>
          <w:r>
            <w:rPr>
              <w:sz w:val="28"/>
              <w:szCs w:val="28"/>
            </w:rPr>
            <w:fldChar w:fldCharType="begin"/>
          </w:r>
          <w:r>
            <w:rPr>
              <w:sz w:val="28"/>
              <w:szCs w:val="28"/>
            </w:rPr>
            <w:instrText xml:space="preserve"> HYPERLINK \l _Toc10625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9.2风险事故应急预案</w:t>
          </w:r>
          <w:r>
            <w:rPr>
              <w:sz w:val="28"/>
              <w:szCs w:val="28"/>
            </w:rPr>
            <w:tab/>
          </w:r>
          <w:r>
            <w:rPr>
              <w:sz w:val="28"/>
              <w:szCs w:val="28"/>
            </w:rPr>
            <w:fldChar w:fldCharType="begin"/>
          </w:r>
          <w:r>
            <w:rPr>
              <w:sz w:val="28"/>
              <w:szCs w:val="28"/>
            </w:rPr>
            <w:instrText xml:space="preserve"> PAGEREF _Toc10625 \h </w:instrText>
          </w:r>
          <w:r>
            <w:rPr>
              <w:sz w:val="28"/>
              <w:szCs w:val="28"/>
            </w:rPr>
            <w:fldChar w:fldCharType="separate"/>
          </w:r>
          <w:r>
            <w:rPr>
              <w:sz w:val="28"/>
              <w:szCs w:val="28"/>
            </w:rPr>
            <w:t>34</w:t>
          </w:r>
          <w:r>
            <w:rPr>
              <w:sz w:val="28"/>
              <w:szCs w:val="28"/>
            </w:rPr>
            <w:fldChar w:fldCharType="end"/>
          </w:r>
          <w:r>
            <w:rPr>
              <w:sz w:val="28"/>
              <w:szCs w:val="28"/>
            </w:rPr>
            <w:fldChar w:fldCharType="end"/>
          </w:r>
        </w:p>
        <w:p w14:paraId="738D2E83">
          <w:pPr>
            <w:pStyle w:val="15"/>
            <w:tabs>
              <w:tab w:val="right" w:leader="dot" w:pos="8844"/>
            </w:tabs>
          </w:pPr>
          <w:r>
            <w:rPr>
              <w:sz w:val="28"/>
              <w:szCs w:val="28"/>
            </w:rPr>
            <w:fldChar w:fldCharType="begin"/>
          </w:r>
          <w:r>
            <w:rPr>
              <w:sz w:val="28"/>
              <w:szCs w:val="28"/>
            </w:rPr>
            <w:instrText xml:space="preserve"> HYPERLINK \l _Toc29487 </w:instrText>
          </w:r>
          <w:r>
            <w:rPr>
              <w:sz w:val="28"/>
              <w:szCs w:val="28"/>
            </w:rPr>
            <w:fldChar w:fldCharType="separate"/>
          </w:r>
          <w:r>
            <w:rPr>
              <w:rFonts w:hint="eastAsia" w:ascii="Times New Roman" w:hAnsi="Times New Roman" w:eastAsia="宋体" w:cs="Times New Roman"/>
              <w:bCs/>
              <w:spacing w:val="0"/>
              <w:kern w:val="2"/>
              <w:sz w:val="28"/>
              <w:szCs w:val="28"/>
              <w:highlight w:val="none"/>
              <w:lang w:val="en-US" w:eastAsia="zh-CN" w:bidi="ar-SA"/>
            </w:rPr>
            <w:t>10.环境风险评价结论及建议</w:t>
          </w:r>
          <w:r>
            <w:rPr>
              <w:sz w:val="28"/>
              <w:szCs w:val="28"/>
            </w:rPr>
            <w:tab/>
          </w:r>
          <w:r>
            <w:rPr>
              <w:sz w:val="28"/>
              <w:szCs w:val="28"/>
            </w:rPr>
            <w:fldChar w:fldCharType="begin"/>
          </w:r>
          <w:r>
            <w:rPr>
              <w:sz w:val="28"/>
              <w:szCs w:val="28"/>
            </w:rPr>
            <w:instrText xml:space="preserve"> PAGEREF _Toc29487 \h </w:instrText>
          </w:r>
          <w:r>
            <w:rPr>
              <w:sz w:val="28"/>
              <w:szCs w:val="28"/>
            </w:rPr>
            <w:fldChar w:fldCharType="separate"/>
          </w:r>
          <w:r>
            <w:rPr>
              <w:sz w:val="28"/>
              <w:szCs w:val="28"/>
            </w:rPr>
            <w:t>35</w:t>
          </w:r>
          <w:r>
            <w:rPr>
              <w:sz w:val="28"/>
              <w:szCs w:val="28"/>
            </w:rPr>
            <w:fldChar w:fldCharType="end"/>
          </w:r>
          <w:r>
            <w:rPr>
              <w:sz w:val="28"/>
              <w:szCs w:val="28"/>
            </w:rPr>
            <w:fldChar w:fldCharType="end"/>
          </w:r>
        </w:p>
        <w:p w14:paraId="347A7DBA">
          <w:r>
            <w:fldChar w:fldCharType="end"/>
          </w:r>
        </w:p>
      </w:sdtContent>
    </w:sdt>
    <w:p w14:paraId="49A65762"/>
    <w:p w14:paraId="31AD8A95">
      <w:pPr>
        <w:widowControl/>
        <w:spacing w:line="360" w:lineRule="auto"/>
        <w:ind w:left="0" w:leftChars="0" w:firstLine="560" w:firstLineChars="200"/>
        <w:jc w:val="left"/>
        <w:rPr>
          <w:rFonts w:hint="eastAsia" w:ascii="宋体" w:hAnsi="宋体" w:eastAsia="宋体" w:cs="宋体"/>
          <w:color w:val="000000"/>
          <w:kern w:val="0"/>
          <w:sz w:val="28"/>
          <w:szCs w:val="28"/>
          <w:lang w:val="en-US" w:eastAsia="zh-CN" w:bidi="ar"/>
        </w:rPr>
        <w:sectPr>
          <w:pgSz w:w="11906" w:h="16838"/>
          <w:pgMar w:top="1701" w:right="1531" w:bottom="1701" w:left="1531" w:header="851" w:footer="850" w:gutter="0"/>
          <w:pgBorders>
            <w:top w:val="none" w:sz="0" w:space="0"/>
            <w:left w:val="none" w:sz="0" w:space="0"/>
            <w:bottom w:val="none" w:sz="0" w:space="0"/>
            <w:right w:val="none" w:sz="0" w:space="0"/>
          </w:pgBorders>
          <w:pgNumType w:fmt="decimal"/>
          <w:cols w:space="0" w:num="1"/>
          <w:rtlGutter w:val="0"/>
          <w:docGrid w:linePitch="332" w:charSpace="0"/>
        </w:sectPr>
      </w:pPr>
    </w:p>
    <w:p w14:paraId="501D0077">
      <w:pPr>
        <w:widowControl/>
        <w:spacing w:line="360" w:lineRule="auto"/>
        <w:ind w:left="0" w:leftChars="0"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本项目所储存的硝酸具有一定的危险特性，为最大限度降低环境风险，保护周围环境及群众生命财产安全，评价将根据《建设项目环境风险评价技术导则》（HJ169-2018）的相关要求和本项目的特点，对本工程可能存在的风险因素进行分析，并提出风险防范措施、事故应急措施和环境风险应急预案。</w:t>
      </w:r>
    </w:p>
    <w:p w14:paraId="09F37599">
      <w:pPr>
        <w:rPr>
          <w:rFonts w:hint="default" w:ascii="Times New Roman" w:hAnsi="Times New Roman" w:eastAsia="宋体" w:cs="Times New Roman"/>
          <w:b/>
          <w:bCs/>
          <w:sz w:val="28"/>
          <w:szCs w:val="28"/>
        </w:rPr>
      </w:pPr>
      <w:bookmarkStart w:id="17" w:name="_Toc25688"/>
      <w:r>
        <w:rPr>
          <w:rFonts w:hint="default" w:ascii="Times New Roman" w:hAnsi="Times New Roman" w:eastAsia="宋体" w:cs="Times New Roman"/>
          <w:b/>
          <w:bCs/>
          <w:sz w:val="28"/>
          <w:szCs w:val="28"/>
        </w:rPr>
        <w:br w:type="page"/>
      </w:r>
    </w:p>
    <w:p w14:paraId="1542C6EB">
      <w:pPr>
        <w:ind w:left="0" w:leftChars="0" w:firstLine="0" w:firstLineChars="0"/>
        <w:jc w:val="center"/>
        <w:outlineLvl w:val="0"/>
        <w:rPr>
          <w:rFonts w:ascii="宋体" w:hAnsi="宋体" w:eastAsia="宋体" w:cs="宋体"/>
          <w:b/>
          <w:bCs/>
          <w:sz w:val="28"/>
          <w:szCs w:val="28"/>
        </w:rPr>
      </w:pPr>
      <w:r>
        <w:rPr>
          <w:rFonts w:hint="default" w:ascii="Times New Roman" w:hAnsi="Times New Roman" w:eastAsia="宋体" w:cs="Times New Roman"/>
          <w:b/>
          <w:bCs/>
          <w:sz w:val="28"/>
          <w:szCs w:val="28"/>
        </w:rPr>
        <w:t>1</w:t>
      </w:r>
      <w:r>
        <w:rPr>
          <w:rFonts w:hint="default" w:ascii="Times New Roman" w:hAnsi="Times New Roman" w:eastAsia="宋体" w:cs="Times New Roman"/>
          <w:b/>
          <w:bCs/>
          <w:sz w:val="28"/>
          <w:szCs w:val="28"/>
          <w:lang w:val="en-US" w:eastAsia="zh-CN"/>
        </w:rPr>
        <w:t>.</w:t>
      </w:r>
      <w:r>
        <w:rPr>
          <w:rFonts w:hint="default" w:ascii="Times New Roman" w:hAnsi="Times New Roman" w:eastAsia="宋体" w:cs="Times New Roman"/>
          <w:b/>
          <w:bCs/>
          <w:sz w:val="28"/>
          <w:szCs w:val="28"/>
        </w:rPr>
        <w:t>总</w:t>
      </w:r>
      <w:r>
        <w:rPr>
          <w:rFonts w:ascii="宋体" w:hAnsi="宋体" w:eastAsia="宋体" w:cs="宋体"/>
          <w:b/>
          <w:bCs/>
          <w:sz w:val="28"/>
          <w:szCs w:val="28"/>
        </w:rPr>
        <w:t>论</w:t>
      </w:r>
      <w:bookmarkEnd w:id="17"/>
    </w:p>
    <w:p w14:paraId="457DDA14">
      <w:pPr>
        <w:pStyle w:val="3"/>
        <w:outlineLvl w:val="1"/>
        <w:rPr>
          <w:rFonts w:hint="default" w:ascii="Times New Roman" w:hAnsi="Times New Roman" w:eastAsia="黑体" w:cs="Times New Roman"/>
          <w:b/>
          <w:bCs/>
          <w:lang w:val="en-US" w:eastAsia="zh-CN"/>
        </w:rPr>
      </w:pPr>
      <w:bookmarkStart w:id="18" w:name="_Toc21622"/>
      <w:r>
        <w:rPr>
          <w:rFonts w:hint="default" w:ascii="Times New Roman" w:hAnsi="Times New Roman" w:cs="Times New Roman"/>
          <w:b/>
          <w:bCs/>
          <w:lang w:val="en-US" w:eastAsia="zh-CN"/>
        </w:rPr>
        <w:t>1.</w:t>
      </w:r>
      <w:r>
        <w:rPr>
          <w:rFonts w:hint="default" w:ascii="Times New Roman" w:hAnsi="Times New Roman" w:eastAsia="宋体" w:cs="Times New Roman"/>
          <w:b/>
          <w:bCs/>
          <w:lang w:val="en-US" w:eastAsia="zh-CN"/>
        </w:rPr>
        <w:t>1评价依据</w:t>
      </w:r>
      <w:bookmarkEnd w:id="18"/>
    </w:p>
    <w:p w14:paraId="08015220">
      <w:pPr>
        <w:pStyle w:val="30"/>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本项目为新疆金象赛瑞化工科技有限公司硝酸储罐A、D建设项目。根据《建设项目环境影响报告表编制技术指南（污染影响类）（试行）》专项评价设置原则表，“有毒有害和易燃易爆危险物质存储量超过临界量的建设项目”需开展环境风险专项评价，本项目涉及新增2座1350m</w:t>
      </w:r>
      <w:r>
        <w:rPr>
          <w:rFonts w:hint="eastAsia" w:ascii="宋体" w:hAnsi="宋体" w:eastAsia="宋体" w:cs="宋体"/>
          <w:color w:val="000000"/>
          <w:kern w:val="0"/>
          <w:sz w:val="28"/>
          <w:szCs w:val="28"/>
          <w:vertAlign w:val="superscript"/>
          <w:lang w:val="en-US" w:eastAsia="zh-CN" w:bidi="ar"/>
        </w:rPr>
        <w:t>3</w:t>
      </w:r>
      <w:r>
        <w:rPr>
          <w:rFonts w:hint="eastAsia" w:ascii="宋体" w:hAnsi="宋体" w:eastAsia="宋体" w:cs="宋体"/>
          <w:color w:val="000000"/>
          <w:kern w:val="0"/>
          <w:sz w:val="28"/>
          <w:szCs w:val="28"/>
          <w:lang w:val="en-US" w:eastAsia="zh-CN" w:bidi="ar"/>
        </w:rPr>
        <w:t>硝酸储罐和原有的2座1350m</w:t>
      </w:r>
      <w:r>
        <w:rPr>
          <w:rFonts w:hint="eastAsia" w:ascii="宋体" w:hAnsi="宋体" w:eastAsia="宋体" w:cs="宋体"/>
          <w:color w:val="000000"/>
          <w:kern w:val="0"/>
          <w:sz w:val="28"/>
          <w:szCs w:val="28"/>
          <w:vertAlign w:val="superscript"/>
          <w:lang w:val="en-US" w:eastAsia="zh-CN" w:bidi="ar"/>
        </w:rPr>
        <w:t>3</w:t>
      </w:r>
      <w:r>
        <w:rPr>
          <w:rFonts w:hint="eastAsia" w:ascii="宋体" w:hAnsi="宋体" w:eastAsia="宋体" w:cs="宋体"/>
          <w:color w:val="000000"/>
          <w:kern w:val="0"/>
          <w:sz w:val="28"/>
          <w:szCs w:val="28"/>
          <w:lang w:val="en-US" w:eastAsia="zh-CN" w:bidi="ar"/>
        </w:rPr>
        <w:t>硝酸储罐，最大储存量为6152t，超过了《建设项目环境风险评价技术导则》（HJ 169-2018）附录 B 表 B.1 中硝酸临界量7.5t限值，因此本项目需开展环境风险专项评价。</w:t>
      </w:r>
    </w:p>
    <w:p w14:paraId="18C332B9">
      <w:pPr>
        <w:ind w:left="0" w:leftChars="0" w:firstLine="562" w:firstLineChars="200"/>
        <w:outlineLvl w:val="1"/>
        <w:rPr>
          <w:rFonts w:hint="eastAsia" w:cs="Times New Roman"/>
          <w:b/>
          <w:bCs/>
          <w:kern w:val="2"/>
          <w:sz w:val="28"/>
          <w:szCs w:val="24"/>
          <w:lang w:val="en-US" w:eastAsia="zh-CN" w:bidi="ar-SA"/>
        </w:rPr>
      </w:pPr>
      <w:bookmarkStart w:id="19" w:name="_Toc23400"/>
      <w:r>
        <w:rPr>
          <w:rFonts w:hint="eastAsia" w:ascii="Times New Roman" w:hAnsi="Times New Roman" w:eastAsia="宋体" w:cs="Times New Roman"/>
          <w:b/>
          <w:bCs/>
          <w:kern w:val="2"/>
          <w:sz w:val="28"/>
          <w:szCs w:val="24"/>
          <w:lang w:val="en-US" w:eastAsia="zh-CN" w:bidi="ar-SA"/>
        </w:rPr>
        <w:t xml:space="preserve">1.2 </w:t>
      </w:r>
      <w:r>
        <w:rPr>
          <w:rFonts w:hint="eastAsia" w:cs="Times New Roman"/>
          <w:b/>
          <w:bCs/>
          <w:kern w:val="2"/>
          <w:sz w:val="28"/>
          <w:szCs w:val="24"/>
          <w:lang w:val="en-US" w:eastAsia="zh-CN" w:bidi="ar-SA"/>
        </w:rPr>
        <w:t>评价的目的</w:t>
      </w:r>
      <w:bookmarkEnd w:id="19"/>
    </w:p>
    <w:p w14:paraId="29906712">
      <w:pPr>
        <w:keepNext w:val="0"/>
        <w:keepLines w:val="0"/>
        <w:widowControl/>
        <w:suppressLineNumbers w:val="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环境风险评价的目的是分析和预测建设项目存在的潜在危险、有害因素，建设项目建设和运行期间可能发生的突发事件和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79004024">
      <w:pPr>
        <w:ind w:left="0" w:leftChars="0" w:firstLine="562" w:firstLineChars="200"/>
        <w:outlineLvl w:val="1"/>
        <w:rPr>
          <w:rFonts w:hint="default" w:ascii="Times New Roman" w:hAnsi="Times New Roman" w:eastAsia="宋体" w:cs="Times New Roman"/>
          <w:b/>
          <w:bCs/>
          <w:kern w:val="2"/>
          <w:sz w:val="28"/>
          <w:szCs w:val="24"/>
          <w:lang w:val="en-US" w:eastAsia="zh-CN" w:bidi="ar-SA"/>
        </w:rPr>
      </w:pPr>
      <w:bookmarkStart w:id="20" w:name="_Toc12769"/>
      <w:r>
        <w:rPr>
          <w:rFonts w:hint="eastAsia" w:cs="Times New Roman"/>
          <w:b/>
          <w:bCs/>
          <w:kern w:val="2"/>
          <w:sz w:val="28"/>
          <w:szCs w:val="24"/>
          <w:lang w:val="en-US" w:eastAsia="zh-CN" w:bidi="ar-SA"/>
        </w:rPr>
        <w:t>1.3</w:t>
      </w:r>
      <w:r>
        <w:rPr>
          <w:rFonts w:hint="eastAsia" w:ascii="Times New Roman" w:hAnsi="Times New Roman" w:eastAsia="宋体" w:cs="Times New Roman"/>
          <w:b/>
          <w:bCs/>
          <w:kern w:val="2"/>
          <w:sz w:val="28"/>
          <w:szCs w:val="24"/>
          <w:lang w:val="en-US" w:eastAsia="zh-CN" w:bidi="ar-SA"/>
        </w:rPr>
        <w:t>环境风险评价的工作流程</w:t>
      </w:r>
      <w:bookmarkEnd w:id="20"/>
    </w:p>
    <w:p w14:paraId="57E827F6">
      <w:pPr>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本次评价以《建设项目环境风险评价技术导则》（HJ 169-2018）的相关要求为依据，以期通过风险评价，识别本项目的风险程度、危害后果，从而提高风险管理的意识，采取必要的防范措施。</w:t>
      </w:r>
    </w:p>
    <w:p w14:paraId="4CD4335C">
      <w:pPr>
        <w:tabs>
          <w:tab w:val="left" w:pos="381"/>
        </w:tabs>
        <w:ind w:left="0" w:leftChars="0" w:firstLine="0" w:firstLineChars="0"/>
        <w:jc w:val="center"/>
      </w:pPr>
      <w:r>
        <w:drawing>
          <wp:inline distT="0" distB="0" distL="114300" distR="114300">
            <wp:extent cx="4914900" cy="50101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2"/>
                    <a:stretch>
                      <a:fillRect/>
                    </a:stretch>
                  </pic:blipFill>
                  <pic:spPr>
                    <a:xfrm>
                      <a:off x="0" y="0"/>
                      <a:ext cx="4914900" cy="5010150"/>
                    </a:xfrm>
                    <a:prstGeom prst="rect">
                      <a:avLst/>
                    </a:prstGeom>
                    <a:noFill/>
                    <a:ln>
                      <a:noFill/>
                    </a:ln>
                  </pic:spPr>
                </pic:pic>
              </a:graphicData>
            </a:graphic>
          </wp:inline>
        </w:drawing>
      </w:r>
    </w:p>
    <w:p w14:paraId="49B14E52">
      <w:pPr>
        <w:ind w:left="0" w:leftChars="0" w:firstLine="0" w:firstLineChars="0"/>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图1   环境风险评价流程图</w:t>
      </w:r>
    </w:p>
    <w:p w14:paraId="73D8F9B1">
      <w:pPr>
        <w:rPr>
          <w:rFonts w:hint="eastAsia" w:ascii="Times New Roman" w:hAnsi="Times New Roman" w:eastAsia="宋体" w:cs="Times New Roman"/>
          <w:b/>
          <w:bCs/>
          <w:sz w:val="28"/>
          <w:szCs w:val="28"/>
          <w:lang w:val="en-US" w:eastAsia="zh-CN"/>
        </w:rPr>
      </w:pPr>
      <w:bookmarkStart w:id="21" w:name="_Toc22774"/>
      <w:r>
        <w:rPr>
          <w:rFonts w:hint="eastAsia" w:ascii="Times New Roman" w:hAnsi="Times New Roman" w:eastAsia="宋体" w:cs="Times New Roman"/>
          <w:b/>
          <w:bCs/>
          <w:sz w:val="28"/>
          <w:szCs w:val="28"/>
          <w:lang w:val="en-US" w:eastAsia="zh-CN"/>
        </w:rPr>
        <w:br w:type="page"/>
      </w:r>
    </w:p>
    <w:p w14:paraId="2C3F8C4A">
      <w:pPr>
        <w:ind w:left="0" w:leftChars="0" w:firstLine="0" w:firstLineChars="0"/>
        <w:jc w:val="center"/>
        <w:outlineLvl w:val="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2.项目现状</w:t>
      </w:r>
      <w:bookmarkEnd w:id="21"/>
    </w:p>
    <w:p w14:paraId="75A5646D">
      <w:pPr>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根据调查，新疆金象赛瑞化工科技有限公司自投产至今，运营过程中未发生过硝酸泄漏等事故，未对周围环境产生危害。硝酸储罐区位于厂区中部生产装置区左侧，现有工程为2座容积分别为1350m</w:t>
      </w:r>
      <w:r>
        <w:rPr>
          <w:rFonts w:hint="eastAsia" w:ascii="宋体" w:hAnsi="宋体" w:eastAsia="宋体" w:cs="宋体"/>
          <w:color w:val="000000"/>
          <w:kern w:val="0"/>
          <w:sz w:val="28"/>
          <w:szCs w:val="28"/>
          <w:vertAlign w:val="superscript"/>
          <w:lang w:val="en-US" w:eastAsia="zh-CN" w:bidi="ar"/>
        </w:rPr>
        <w:t>3</w:t>
      </w:r>
      <w:r>
        <w:rPr>
          <w:rFonts w:hint="eastAsia" w:ascii="宋体" w:hAnsi="宋体" w:eastAsia="宋体" w:cs="宋体"/>
          <w:color w:val="000000"/>
          <w:kern w:val="0"/>
          <w:sz w:val="28"/>
          <w:szCs w:val="28"/>
          <w:lang w:val="en-US" w:eastAsia="zh-CN" w:bidi="ar"/>
        </w:rPr>
        <w:t>的304L不锈钢立式锥顶硝酸常压储罐及装卸区域，本次扩建新增2座容积分别为1350m</w:t>
      </w:r>
      <w:r>
        <w:rPr>
          <w:rFonts w:hint="eastAsia" w:ascii="宋体" w:hAnsi="宋体" w:eastAsia="宋体" w:cs="宋体"/>
          <w:color w:val="000000"/>
          <w:kern w:val="0"/>
          <w:sz w:val="28"/>
          <w:szCs w:val="28"/>
          <w:vertAlign w:val="superscript"/>
          <w:lang w:val="en-US" w:eastAsia="zh-CN" w:bidi="ar"/>
        </w:rPr>
        <w:t>3</w:t>
      </w:r>
      <w:r>
        <w:rPr>
          <w:rFonts w:hint="eastAsia" w:ascii="宋体" w:hAnsi="宋体" w:eastAsia="宋体" w:cs="宋体"/>
          <w:color w:val="000000"/>
          <w:kern w:val="0"/>
          <w:sz w:val="28"/>
          <w:szCs w:val="28"/>
          <w:lang w:val="en-US" w:eastAsia="zh-CN" w:bidi="ar"/>
        </w:rPr>
        <w:t>的304L不锈钢立式锥顶硝酸常压储罐</w:t>
      </w:r>
      <w:r>
        <w:rPr>
          <w:rFonts w:hint="eastAsia" w:ascii="宋体" w:hAnsi="宋体" w:cs="宋体"/>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为了使新疆金象赛瑞化工科技有限公司在今后继续生产过程中的环境风险发生的可能性和环境危害性降低到最小程度，本评价对储罐在存储过程中存在的各种事故风险因素进行识别；针对可能发生的主要事故分析有毒、易燃、易爆、腐蚀性物质泄漏到环境中所导致的后果（包括自然环境和社会环境），以及应采取的减缓措施；有针对性地提出切实可行的事故应急处理计划和预案，及现场监控报警系统。</w:t>
      </w:r>
    </w:p>
    <w:p w14:paraId="19AB2E97">
      <w:pPr>
        <w:rPr>
          <w:rFonts w:hint="eastAsia" w:ascii="Times New Roman" w:hAnsi="Times New Roman" w:eastAsia="宋体" w:cs="Times New Roman"/>
          <w:b/>
          <w:bCs/>
          <w:sz w:val="28"/>
          <w:szCs w:val="28"/>
          <w:lang w:val="en-US" w:eastAsia="zh-CN"/>
        </w:rPr>
      </w:pPr>
      <w:bookmarkStart w:id="22" w:name="_Toc24300"/>
      <w:r>
        <w:rPr>
          <w:rFonts w:hint="eastAsia" w:ascii="Times New Roman" w:hAnsi="Times New Roman" w:eastAsia="宋体" w:cs="Times New Roman"/>
          <w:b/>
          <w:bCs/>
          <w:sz w:val="28"/>
          <w:szCs w:val="28"/>
          <w:lang w:val="en-US" w:eastAsia="zh-CN"/>
        </w:rPr>
        <w:br w:type="page"/>
      </w:r>
    </w:p>
    <w:p w14:paraId="7769B403">
      <w:pPr>
        <w:ind w:left="0" w:leftChars="0" w:firstLine="0" w:firstLineChars="0"/>
        <w:jc w:val="center"/>
        <w:outlineLvl w:val="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3.风险调查</w:t>
      </w:r>
      <w:bookmarkEnd w:id="22"/>
    </w:p>
    <w:p w14:paraId="6FF49369">
      <w:pPr>
        <w:ind w:left="0" w:leftChars="0" w:firstLine="0" w:firstLineChars="0"/>
        <w:jc w:val="both"/>
        <w:outlineLvl w:val="1"/>
        <w:rPr>
          <w:rFonts w:hint="eastAsia" w:ascii="Times New Roman" w:hAnsi="Times New Roman" w:eastAsia="宋体" w:cs="Times New Roman"/>
          <w:b/>
          <w:bCs/>
          <w:sz w:val="28"/>
          <w:szCs w:val="28"/>
          <w:lang w:val="en-US" w:eastAsia="zh-CN"/>
        </w:rPr>
      </w:pPr>
      <w:bookmarkStart w:id="23" w:name="_Toc11103"/>
      <w:r>
        <w:rPr>
          <w:rFonts w:hint="eastAsia" w:ascii="Times New Roman" w:hAnsi="Times New Roman" w:eastAsia="宋体" w:cs="Times New Roman"/>
          <w:b/>
          <w:bCs/>
          <w:sz w:val="28"/>
          <w:szCs w:val="28"/>
          <w:lang w:val="en-US" w:eastAsia="zh-CN"/>
        </w:rPr>
        <w:t>3.1项目风险源调查</w:t>
      </w:r>
      <w:bookmarkEnd w:id="23"/>
    </w:p>
    <w:p w14:paraId="167EB362">
      <w:pPr>
        <w:ind w:left="0" w:leftChars="0" w:firstLine="560" w:firstLineChars="200"/>
        <w:jc w:val="both"/>
        <w:outlineLvl w:val="9"/>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本项目涉及的储存物料主要为硝酸。</w:t>
      </w:r>
    </w:p>
    <w:p w14:paraId="76EE1E9C">
      <w:pPr>
        <w:ind w:left="0" w:leftChars="0" w:firstLine="0" w:firstLineChars="0"/>
        <w:jc w:val="both"/>
        <w:outlineLvl w:val="1"/>
        <w:rPr>
          <w:rFonts w:hint="default" w:ascii="Times New Roman" w:hAnsi="Times New Roman" w:eastAsia="宋体" w:cs="Times New Roman"/>
          <w:b/>
          <w:bCs/>
          <w:sz w:val="28"/>
          <w:szCs w:val="28"/>
          <w:lang w:val="en-US" w:eastAsia="zh-CN"/>
        </w:rPr>
      </w:pPr>
      <w:bookmarkStart w:id="24" w:name="_Toc31537"/>
      <w:r>
        <w:rPr>
          <w:rFonts w:hint="eastAsia" w:ascii="Times New Roman" w:hAnsi="Times New Roman" w:eastAsia="宋体" w:cs="Times New Roman"/>
          <w:b/>
          <w:bCs/>
          <w:sz w:val="28"/>
          <w:szCs w:val="28"/>
          <w:lang w:val="en-US" w:eastAsia="zh-CN"/>
        </w:rPr>
        <w:t>3.2环境敏感目标调查</w:t>
      </w:r>
      <w:bookmarkEnd w:id="24"/>
    </w:p>
    <w:p w14:paraId="666E3FF0">
      <w:pPr>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新疆金象赛瑞化工科技有限公司</w:t>
      </w:r>
      <w:r>
        <w:rPr>
          <w:rFonts w:hint="eastAsia" w:ascii="宋体" w:hAnsi="宋体" w:eastAsia="宋体" w:cs="宋体"/>
          <w:color w:val="000000"/>
          <w:kern w:val="0"/>
          <w:sz w:val="28"/>
          <w:szCs w:val="28"/>
          <w:lang w:val="en-US" w:eastAsia="en-US" w:bidi="ar"/>
        </w:rPr>
        <w:t>位于</w:t>
      </w:r>
      <w:r>
        <w:rPr>
          <w:rFonts w:hint="eastAsia" w:ascii="宋体" w:hAnsi="宋体" w:eastAsia="宋体" w:cs="宋体"/>
          <w:color w:val="000000"/>
          <w:kern w:val="0"/>
          <w:sz w:val="28"/>
          <w:szCs w:val="28"/>
          <w:lang w:val="en-US" w:eastAsia="zh-CN" w:bidi="ar"/>
        </w:rPr>
        <w:t>新疆维吾尔自治区阜康市上户沟乡境内，厂区以西距阜康市城区直线距离约26km、以北约3km处为农六师土墩子农场，以南偏东方向约6km处为甘河子镇；拟选厂址四周均为产业园西区规划的未开发利用的工业用地，厂址北侧紧邻乌准铁路、南侧距吐乌大高速公路最近处直线距离约1km。评价范围内环境敏感目标见下表。</w:t>
      </w:r>
    </w:p>
    <w:p w14:paraId="26B7B56C">
      <w:pPr>
        <w:autoSpaceDE w:val="0"/>
        <w:autoSpaceDN w:val="0"/>
        <w:adjustRightInd w:val="0"/>
        <w:snapToGrid w:val="0"/>
        <w:ind w:firstLine="482"/>
        <w:jc w:val="center"/>
        <w:rPr>
          <w:rFonts w:hint="eastAsia" w:cs="Times New Roman"/>
          <w:b/>
          <w:bCs/>
          <w:color w:val="0000FF"/>
          <w:sz w:val="21"/>
          <w:szCs w:val="21"/>
          <w:lang w:eastAsia="zh-CN"/>
        </w:rPr>
      </w:pPr>
      <w:r>
        <w:rPr>
          <w:rFonts w:hint="eastAsia" w:ascii="Times New Roman" w:hAnsi="Times New Roman" w:eastAsia="宋体" w:cs="Times New Roman"/>
          <w:b/>
          <w:bCs/>
          <w:color w:val="0000FF"/>
          <w:sz w:val="21"/>
          <w:szCs w:val="21"/>
        </w:rPr>
        <w:t xml:space="preserve">表 </w:t>
      </w:r>
      <w:r>
        <w:rPr>
          <w:rFonts w:hint="eastAsia" w:ascii="Times New Roman" w:hAnsi="Times New Roman" w:cs="Times New Roman"/>
          <w:b/>
          <w:bCs/>
          <w:color w:val="0000FF"/>
          <w:sz w:val="21"/>
          <w:szCs w:val="21"/>
          <w:lang w:val="en-US" w:eastAsia="zh-CN"/>
        </w:rPr>
        <w:t>3-1</w:t>
      </w:r>
      <w:r>
        <w:rPr>
          <w:rFonts w:hint="eastAsia" w:ascii="Times New Roman" w:hAnsi="Times New Roman" w:eastAsia="宋体" w:cs="Times New Roman"/>
          <w:b/>
          <w:bCs/>
          <w:color w:val="0000FF"/>
          <w:sz w:val="21"/>
          <w:szCs w:val="21"/>
          <w:lang w:val="en-US" w:eastAsia="zh-CN"/>
        </w:rPr>
        <w:t xml:space="preserve">   </w:t>
      </w:r>
      <w:r>
        <w:rPr>
          <w:rFonts w:hint="eastAsia" w:cs="Times New Roman"/>
          <w:b/>
          <w:bCs/>
          <w:color w:val="0000FF"/>
          <w:sz w:val="21"/>
          <w:szCs w:val="21"/>
          <w:lang w:eastAsia="zh-CN"/>
        </w:rPr>
        <w:t>建设项目环境敏感特征表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709"/>
        <w:gridCol w:w="1745"/>
        <w:gridCol w:w="1350"/>
        <w:gridCol w:w="136"/>
        <w:gridCol w:w="246"/>
        <w:gridCol w:w="68"/>
        <w:gridCol w:w="832"/>
        <w:gridCol w:w="368"/>
        <w:gridCol w:w="900"/>
        <w:gridCol w:w="232"/>
        <w:gridCol w:w="259"/>
        <w:gridCol w:w="368"/>
        <w:gridCol w:w="1169"/>
      </w:tblGrid>
      <w:tr w14:paraId="2502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Align w:val="center"/>
          </w:tcPr>
          <w:p w14:paraId="7B9A0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类别</w:t>
            </w:r>
          </w:p>
        </w:tc>
        <w:tc>
          <w:tcPr>
            <w:tcW w:w="8382" w:type="dxa"/>
            <w:gridSpan w:val="13"/>
            <w:vAlign w:val="center"/>
          </w:tcPr>
          <w:p w14:paraId="7FA4E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环境敏感特征</w:t>
            </w:r>
          </w:p>
        </w:tc>
      </w:tr>
      <w:tr w14:paraId="451B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restart"/>
            <w:vAlign w:val="center"/>
          </w:tcPr>
          <w:p w14:paraId="3E7BC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环</w:t>
            </w:r>
          </w:p>
          <w:p w14:paraId="4100F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境</w:t>
            </w:r>
          </w:p>
          <w:p w14:paraId="74D4F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空</w:t>
            </w:r>
          </w:p>
          <w:p w14:paraId="4A3790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气</w:t>
            </w:r>
          </w:p>
        </w:tc>
        <w:tc>
          <w:tcPr>
            <w:tcW w:w="8382" w:type="dxa"/>
            <w:gridSpan w:val="13"/>
            <w:vAlign w:val="center"/>
          </w:tcPr>
          <w:p w14:paraId="4CF962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厂址周边5km范围内</w:t>
            </w:r>
          </w:p>
        </w:tc>
      </w:tr>
      <w:tr w14:paraId="768D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202799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09" w:type="dxa"/>
            <w:vAlign w:val="center"/>
          </w:tcPr>
          <w:p w14:paraId="747F6C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序号</w:t>
            </w:r>
          </w:p>
        </w:tc>
        <w:tc>
          <w:tcPr>
            <w:tcW w:w="3545" w:type="dxa"/>
            <w:gridSpan w:val="5"/>
            <w:vAlign w:val="center"/>
          </w:tcPr>
          <w:p w14:paraId="7927DB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敏感目标名称</w:t>
            </w:r>
          </w:p>
        </w:tc>
        <w:tc>
          <w:tcPr>
            <w:tcW w:w="1200" w:type="dxa"/>
            <w:gridSpan w:val="2"/>
            <w:vAlign w:val="center"/>
          </w:tcPr>
          <w:p w14:paraId="2C56B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相对方位</w:t>
            </w:r>
          </w:p>
        </w:tc>
        <w:tc>
          <w:tcPr>
            <w:tcW w:w="900" w:type="dxa"/>
            <w:vAlign w:val="center"/>
          </w:tcPr>
          <w:p w14:paraId="63A637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距离/m</w:t>
            </w:r>
          </w:p>
        </w:tc>
        <w:tc>
          <w:tcPr>
            <w:tcW w:w="859" w:type="dxa"/>
            <w:gridSpan w:val="3"/>
            <w:vAlign w:val="center"/>
          </w:tcPr>
          <w:p w14:paraId="5C2283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属性</w:t>
            </w:r>
          </w:p>
        </w:tc>
        <w:tc>
          <w:tcPr>
            <w:tcW w:w="1169" w:type="dxa"/>
            <w:vAlign w:val="center"/>
          </w:tcPr>
          <w:p w14:paraId="4E323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人口数</w:t>
            </w:r>
          </w:p>
        </w:tc>
      </w:tr>
      <w:tr w14:paraId="6777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660822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09" w:type="dxa"/>
            <w:vAlign w:val="center"/>
          </w:tcPr>
          <w:p w14:paraId="71CBB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w:t>
            </w:r>
          </w:p>
        </w:tc>
        <w:tc>
          <w:tcPr>
            <w:tcW w:w="3545" w:type="dxa"/>
            <w:gridSpan w:val="5"/>
            <w:vAlign w:val="center"/>
          </w:tcPr>
          <w:p w14:paraId="43FBFF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color w:val="0000FF"/>
                <w:spacing w:val="8"/>
                <w:sz w:val="21"/>
                <w:szCs w:val="21"/>
                <w:highlight w:val="none"/>
              </w:rPr>
              <w:t>土墩子农</w:t>
            </w:r>
            <w:r>
              <w:rPr>
                <w:rFonts w:hint="default" w:ascii="Times New Roman" w:hAnsi="Times New Roman" w:eastAsia="宋体" w:cs="Times New Roman"/>
                <w:color w:val="0000FF"/>
                <w:spacing w:val="7"/>
                <w:sz w:val="21"/>
                <w:szCs w:val="21"/>
                <w:highlight w:val="none"/>
              </w:rPr>
              <w:t>场</w:t>
            </w:r>
          </w:p>
        </w:tc>
        <w:tc>
          <w:tcPr>
            <w:tcW w:w="1200" w:type="dxa"/>
            <w:gridSpan w:val="2"/>
            <w:vAlign w:val="center"/>
          </w:tcPr>
          <w:p w14:paraId="095053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color w:val="0000FF"/>
                <w:spacing w:val="-2"/>
                <w:sz w:val="21"/>
                <w:szCs w:val="21"/>
                <w:highlight w:val="none"/>
              </w:rPr>
              <w:t>北侧</w:t>
            </w:r>
          </w:p>
        </w:tc>
        <w:tc>
          <w:tcPr>
            <w:tcW w:w="900" w:type="dxa"/>
            <w:vAlign w:val="center"/>
          </w:tcPr>
          <w:p w14:paraId="574F9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color w:val="0000FF"/>
                <w:spacing w:val="-2"/>
                <w:sz w:val="21"/>
                <w:szCs w:val="21"/>
                <w:highlight w:val="none"/>
              </w:rPr>
              <w:t>4000</w:t>
            </w:r>
          </w:p>
        </w:tc>
        <w:tc>
          <w:tcPr>
            <w:tcW w:w="859" w:type="dxa"/>
            <w:gridSpan w:val="3"/>
            <w:vAlign w:val="center"/>
          </w:tcPr>
          <w:p w14:paraId="1EE80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1169" w:type="dxa"/>
            <w:vAlign w:val="center"/>
          </w:tcPr>
          <w:p w14:paraId="23699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color w:val="0000FF"/>
                <w:spacing w:val="5"/>
                <w:sz w:val="21"/>
                <w:szCs w:val="21"/>
                <w:highlight w:val="none"/>
              </w:rPr>
              <w:t>2</w:t>
            </w:r>
            <w:r>
              <w:rPr>
                <w:rFonts w:hint="default" w:ascii="Times New Roman" w:hAnsi="Times New Roman" w:eastAsia="宋体" w:cs="Times New Roman"/>
                <w:color w:val="0000FF"/>
                <w:spacing w:val="4"/>
                <w:sz w:val="21"/>
                <w:szCs w:val="21"/>
                <w:highlight w:val="none"/>
              </w:rPr>
              <w:t>100人</w:t>
            </w:r>
          </w:p>
        </w:tc>
      </w:tr>
      <w:tr w14:paraId="47BA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4612C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09" w:type="dxa"/>
            <w:vAlign w:val="center"/>
          </w:tcPr>
          <w:p w14:paraId="27E9F6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w:t>
            </w:r>
          </w:p>
        </w:tc>
        <w:tc>
          <w:tcPr>
            <w:tcW w:w="3545" w:type="dxa"/>
            <w:gridSpan w:val="5"/>
            <w:vAlign w:val="center"/>
          </w:tcPr>
          <w:p w14:paraId="4C16E4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cs="Times New Roman"/>
                <w:color w:val="0000FF"/>
                <w:spacing w:val="11"/>
                <w:sz w:val="21"/>
                <w:szCs w:val="21"/>
              </w:rPr>
              <w:t>企</w:t>
            </w:r>
            <w:r>
              <w:rPr>
                <w:rFonts w:hint="default" w:ascii="Times New Roman" w:hAnsi="Times New Roman" w:cs="Times New Roman"/>
                <w:color w:val="0000FF"/>
                <w:spacing w:val="7"/>
                <w:sz w:val="21"/>
                <w:szCs w:val="21"/>
              </w:rPr>
              <w:t>业职工宿舍</w:t>
            </w:r>
          </w:p>
        </w:tc>
        <w:tc>
          <w:tcPr>
            <w:tcW w:w="1200" w:type="dxa"/>
            <w:gridSpan w:val="2"/>
            <w:vAlign w:val="center"/>
          </w:tcPr>
          <w:p w14:paraId="438490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cs="Times New Roman"/>
                <w:color w:val="0000FF"/>
                <w:spacing w:val="-4"/>
                <w:sz w:val="21"/>
                <w:szCs w:val="21"/>
              </w:rPr>
              <w:t>西侧</w:t>
            </w:r>
          </w:p>
        </w:tc>
        <w:tc>
          <w:tcPr>
            <w:tcW w:w="900" w:type="dxa"/>
            <w:vAlign w:val="center"/>
          </w:tcPr>
          <w:p w14:paraId="76A84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cs="Times New Roman"/>
                <w:color w:val="0000FF"/>
                <w:spacing w:val="-2"/>
                <w:sz w:val="21"/>
                <w:szCs w:val="21"/>
                <w:lang w:val="en-US" w:eastAsia="zh-CN"/>
              </w:rPr>
              <w:t>2</w:t>
            </w:r>
            <w:r>
              <w:rPr>
                <w:rFonts w:hint="default" w:ascii="Times New Roman" w:hAnsi="Times New Roman" w:cs="Times New Roman"/>
                <w:color w:val="0000FF"/>
                <w:spacing w:val="-2"/>
                <w:sz w:val="21"/>
                <w:szCs w:val="21"/>
              </w:rPr>
              <w:t>00</w:t>
            </w:r>
          </w:p>
        </w:tc>
        <w:tc>
          <w:tcPr>
            <w:tcW w:w="859" w:type="dxa"/>
            <w:gridSpan w:val="3"/>
            <w:vAlign w:val="center"/>
          </w:tcPr>
          <w:p w14:paraId="3F92B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1169" w:type="dxa"/>
            <w:vAlign w:val="center"/>
          </w:tcPr>
          <w:p w14:paraId="70D38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467人</w:t>
            </w:r>
          </w:p>
        </w:tc>
      </w:tr>
      <w:tr w14:paraId="691C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6FC77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09" w:type="dxa"/>
            <w:vAlign w:val="center"/>
          </w:tcPr>
          <w:p w14:paraId="0104F5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3</w:t>
            </w:r>
          </w:p>
        </w:tc>
        <w:tc>
          <w:tcPr>
            <w:tcW w:w="3545" w:type="dxa"/>
            <w:gridSpan w:val="5"/>
            <w:vAlign w:val="center"/>
          </w:tcPr>
          <w:p w14:paraId="2999AA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color w:val="0000FF"/>
                <w:spacing w:val="11"/>
                <w:sz w:val="21"/>
                <w:szCs w:val="21"/>
                <w:highlight w:val="none"/>
                <w:lang w:val="en-US" w:eastAsia="zh-CN"/>
              </w:rPr>
              <w:t>阜康市恒鑫亿建材有限责任公司</w:t>
            </w:r>
          </w:p>
        </w:tc>
        <w:tc>
          <w:tcPr>
            <w:tcW w:w="1200" w:type="dxa"/>
            <w:gridSpan w:val="2"/>
            <w:vAlign w:val="center"/>
          </w:tcPr>
          <w:p w14:paraId="58AAA2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color w:val="0000FF"/>
                <w:spacing w:val="-4"/>
                <w:sz w:val="21"/>
                <w:szCs w:val="21"/>
                <w:highlight w:val="none"/>
                <w:lang w:val="en-US" w:eastAsia="zh-CN"/>
              </w:rPr>
              <w:t>西侧</w:t>
            </w:r>
          </w:p>
        </w:tc>
        <w:tc>
          <w:tcPr>
            <w:tcW w:w="900" w:type="dxa"/>
            <w:vAlign w:val="center"/>
          </w:tcPr>
          <w:p w14:paraId="001D7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cs="Times New Roman"/>
                <w:color w:val="0000FF"/>
                <w:spacing w:val="-4"/>
                <w:sz w:val="21"/>
                <w:szCs w:val="21"/>
                <w:highlight w:val="none"/>
                <w:lang w:val="en-US" w:eastAsia="zh-CN"/>
              </w:rPr>
              <w:t>148</w:t>
            </w:r>
          </w:p>
        </w:tc>
        <w:tc>
          <w:tcPr>
            <w:tcW w:w="859" w:type="dxa"/>
            <w:gridSpan w:val="3"/>
            <w:vAlign w:val="center"/>
          </w:tcPr>
          <w:p w14:paraId="0977B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1169" w:type="dxa"/>
            <w:vAlign w:val="center"/>
          </w:tcPr>
          <w:p w14:paraId="1D701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8人</w:t>
            </w:r>
          </w:p>
        </w:tc>
      </w:tr>
      <w:tr w14:paraId="7D26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27B32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09" w:type="dxa"/>
            <w:vAlign w:val="center"/>
          </w:tcPr>
          <w:p w14:paraId="720918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4</w:t>
            </w:r>
          </w:p>
        </w:tc>
        <w:tc>
          <w:tcPr>
            <w:tcW w:w="3545" w:type="dxa"/>
            <w:gridSpan w:val="5"/>
            <w:vAlign w:val="center"/>
          </w:tcPr>
          <w:p w14:paraId="0BA7C8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宋体" w:hAnsi="宋体" w:eastAsia="宋体" w:cs="宋体"/>
                <w:color w:val="0000FF"/>
                <w:spacing w:val="11"/>
                <w:sz w:val="21"/>
                <w:szCs w:val="21"/>
                <w:highlight w:val="none"/>
                <w:lang w:val="en-US" w:eastAsia="zh-CN"/>
              </w:rPr>
              <w:t>新疆润禾节水科技有限公司</w:t>
            </w:r>
          </w:p>
        </w:tc>
        <w:tc>
          <w:tcPr>
            <w:tcW w:w="1200" w:type="dxa"/>
            <w:gridSpan w:val="2"/>
            <w:vAlign w:val="center"/>
          </w:tcPr>
          <w:p w14:paraId="409EB9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宋体" w:hAnsi="宋体" w:eastAsia="宋体" w:cs="宋体"/>
                <w:color w:val="0000FF"/>
                <w:spacing w:val="-4"/>
                <w:sz w:val="21"/>
                <w:szCs w:val="21"/>
                <w:highlight w:val="none"/>
                <w:lang w:val="en-US" w:eastAsia="zh-CN"/>
              </w:rPr>
              <w:t>东北侧</w:t>
            </w:r>
          </w:p>
        </w:tc>
        <w:tc>
          <w:tcPr>
            <w:tcW w:w="900" w:type="dxa"/>
            <w:vAlign w:val="center"/>
          </w:tcPr>
          <w:p w14:paraId="75D506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color w:val="0000FF"/>
                <w:spacing w:val="-4"/>
                <w:sz w:val="21"/>
                <w:szCs w:val="21"/>
                <w:highlight w:val="none"/>
                <w:lang w:val="en-US" w:eastAsia="zh-CN"/>
              </w:rPr>
              <w:t>889</w:t>
            </w:r>
          </w:p>
        </w:tc>
        <w:tc>
          <w:tcPr>
            <w:tcW w:w="859" w:type="dxa"/>
            <w:gridSpan w:val="3"/>
            <w:vAlign w:val="center"/>
          </w:tcPr>
          <w:p w14:paraId="2EDB86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c>
          <w:tcPr>
            <w:tcW w:w="1169" w:type="dxa"/>
            <w:vAlign w:val="center"/>
          </w:tcPr>
          <w:p w14:paraId="68FD13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15人</w:t>
            </w:r>
          </w:p>
        </w:tc>
      </w:tr>
      <w:tr w14:paraId="3DC3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0932B6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09" w:type="dxa"/>
            <w:vAlign w:val="center"/>
          </w:tcPr>
          <w:p w14:paraId="29FEA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5</w:t>
            </w:r>
          </w:p>
        </w:tc>
        <w:tc>
          <w:tcPr>
            <w:tcW w:w="3545" w:type="dxa"/>
            <w:gridSpan w:val="5"/>
            <w:vAlign w:val="center"/>
          </w:tcPr>
          <w:p w14:paraId="6AB71E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宋体" w:hAnsi="宋体" w:eastAsia="宋体" w:cs="宋体"/>
                <w:color w:val="0000FF"/>
                <w:spacing w:val="11"/>
                <w:sz w:val="21"/>
                <w:szCs w:val="21"/>
                <w:highlight w:val="none"/>
                <w:lang w:val="en-US" w:eastAsia="zh-CN"/>
              </w:rPr>
              <w:t>阜康雪峰科技有限公司</w:t>
            </w:r>
          </w:p>
        </w:tc>
        <w:tc>
          <w:tcPr>
            <w:tcW w:w="1200" w:type="dxa"/>
            <w:gridSpan w:val="2"/>
            <w:vAlign w:val="center"/>
          </w:tcPr>
          <w:p w14:paraId="0819CE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宋体" w:hAnsi="宋体" w:eastAsia="宋体" w:cs="宋体"/>
                <w:color w:val="0000FF"/>
                <w:spacing w:val="-4"/>
                <w:sz w:val="21"/>
                <w:szCs w:val="21"/>
                <w:highlight w:val="none"/>
                <w:lang w:val="en-US" w:eastAsia="zh-CN"/>
              </w:rPr>
              <w:t>东</w:t>
            </w:r>
            <w:r>
              <w:rPr>
                <w:rFonts w:hint="eastAsia" w:ascii="宋体" w:hAnsi="宋体" w:cs="宋体"/>
                <w:color w:val="0000FF"/>
                <w:spacing w:val="-4"/>
                <w:sz w:val="21"/>
                <w:szCs w:val="21"/>
                <w:highlight w:val="none"/>
                <w:lang w:val="en-US" w:eastAsia="zh-CN"/>
              </w:rPr>
              <w:t>南</w:t>
            </w:r>
            <w:r>
              <w:rPr>
                <w:rFonts w:hint="eastAsia" w:ascii="宋体" w:hAnsi="宋体" w:eastAsia="宋体" w:cs="宋体"/>
                <w:color w:val="0000FF"/>
                <w:spacing w:val="-4"/>
                <w:sz w:val="21"/>
                <w:szCs w:val="21"/>
                <w:highlight w:val="none"/>
                <w:lang w:val="en-US" w:eastAsia="zh-CN"/>
              </w:rPr>
              <w:t>侧</w:t>
            </w:r>
          </w:p>
        </w:tc>
        <w:tc>
          <w:tcPr>
            <w:tcW w:w="900" w:type="dxa"/>
            <w:vAlign w:val="center"/>
          </w:tcPr>
          <w:p w14:paraId="4FF07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800</w:t>
            </w:r>
          </w:p>
        </w:tc>
        <w:tc>
          <w:tcPr>
            <w:tcW w:w="859" w:type="dxa"/>
            <w:gridSpan w:val="3"/>
            <w:vAlign w:val="center"/>
          </w:tcPr>
          <w:p w14:paraId="17692E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c>
          <w:tcPr>
            <w:tcW w:w="1169" w:type="dxa"/>
            <w:vAlign w:val="center"/>
          </w:tcPr>
          <w:p w14:paraId="5E538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9人</w:t>
            </w:r>
          </w:p>
        </w:tc>
      </w:tr>
      <w:tr w14:paraId="222F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5D3CD9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213" w:type="dxa"/>
            <w:gridSpan w:val="12"/>
            <w:vAlign w:val="center"/>
          </w:tcPr>
          <w:p w14:paraId="7725D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厂址周边500m范围内人口数小计</w:t>
            </w:r>
          </w:p>
        </w:tc>
        <w:tc>
          <w:tcPr>
            <w:tcW w:w="1169" w:type="dxa"/>
            <w:vAlign w:val="center"/>
          </w:tcPr>
          <w:p w14:paraId="1DAB23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475人</w:t>
            </w:r>
          </w:p>
        </w:tc>
      </w:tr>
      <w:tr w14:paraId="3E51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4CDF4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213" w:type="dxa"/>
            <w:gridSpan w:val="12"/>
            <w:vAlign w:val="center"/>
          </w:tcPr>
          <w:p w14:paraId="2542DF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厂址周边5km范围内人口数小计</w:t>
            </w:r>
          </w:p>
        </w:tc>
        <w:tc>
          <w:tcPr>
            <w:tcW w:w="1169" w:type="dxa"/>
            <w:vAlign w:val="center"/>
          </w:tcPr>
          <w:p w14:paraId="404004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2599人</w:t>
            </w:r>
          </w:p>
        </w:tc>
      </w:tr>
      <w:tr w14:paraId="6B2B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10BA1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8382" w:type="dxa"/>
            <w:gridSpan w:val="13"/>
            <w:vAlign w:val="center"/>
          </w:tcPr>
          <w:p w14:paraId="680DD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u w:val="single"/>
                <w:vertAlign w:val="baseline"/>
                <w:lang w:val="en-US" w:eastAsia="zh-CN"/>
              </w:rPr>
            </w:pPr>
            <w:r>
              <w:rPr>
                <w:rFonts w:hint="eastAsia" w:ascii="Times New Roman" w:hAnsi="Times New Roman" w:eastAsia="宋体" w:cs="Times New Roman"/>
                <w:b w:val="0"/>
                <w:bCs w:val="0"/>
                <w:color w:val="0000FF"/>
                <w:sz w:val="21"/>
                <w:szCs w:val="21"/>
                <w:u w:val="single"/>
                <w:vertAlign w:val="baseline"/>
                <w:lang w:val="en-US" w:eastAsia="zh-CN"/>
              </w:rPr>
              <w:t xml:space="preserve">       </w:t>
            </w:r>
            <w:r>
              <w:rPr>
                <w:rFonts w:hint="eastAsia" w:ascii="Times New Roman" w:hAnsi="Times New Roman" w:eastAsia="宋体" w:cs="Times New Roman"/>
                <w:b w:val="0"/>
                <w:bCs w:val="0"/>
                <w:color w:val="0000FF"/>
                <w:sz w:val="21"/>
                <w:szCs w:val="21"/>
                <w:u w:val="none"/>
                <w:vertAlign w:val="baseline"/>
                <w:lang w:val="en-US" w:eastAsia="zh-CN"/>
              </w:rPr>
              <w:t>管段周边200m范围内</w:t>
            </w:r>
          </w:p>
        </w:tc>
      </w:tr>
      <w:tr w14:paraId="2C52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7F274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09" w:type="dxa"/>
            <w:shd w:val="clear" w:color="auto" w:fill="auto"/>
            <w:vAlign w:val="center"/>
          </w:tcPr>
          <w:p w14:paraId="548D8D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kern w:val="2"/>
                <w:sz w:val="21"/>
                <w:szCs w:val="21"/>
                <w:vertAlign w:val="baseline"/>
                <w:lang w:val="en-US" w:eastAsia="zh-CN" w:bidi="ar-SA"/>
              </w:rPr>
            </w:pPr>
            <w:r>
              <w:rPr>
                <w:rFonts w:hint="default" w:ascii="Times New Roman" w:hAnsi="Times New Roman" w:eastAsia="宋体" w:cs="Times New Roman"/>
                <w:b w:val="0"/>
                <w:bCs w:val="0"/>
                <w:color w:val="0000FF"/>
                <w:sz w:val="21"/>
                <w:szCs w:val="21"/>
                <w:vertAlign w:val="baseline"/>
                <w:lang w:val="en-US" w:eastAsia="zh-CN"/>
              </w:rPr>
              <w:t>序号</w:t>
            </w:r>
          </w:p>
        </w:tc>
        <w:tc>
          <w:tcPr>
            <w:tcW w:w="3545" w:type="dxa"/>
            <w:gridSpan w:val="5"/>
            <w:shd w:val="clear" w:color="auto" w:fill="auto"/>
            <w:vAlign w:val="center"/>
          </w:tcPr>
          <w:p w14:paraId="58F7E8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kern w:val="2"/>
                <w:sz w:val="21"/>
                <w:szCs w:val="21"/>
                <w:vertAlign w:val="baseline"/>
                <w:lang w:val="en-US" w:eastAsia="zh-CN" w:bidi="ar-SA"/>
              </w:rPr>
            </w:pPr>
            <w:r>
              <w:rPr>
                <w:rFonts w:hint="default" w:ascii="Times New Roman" w:hAnsi="Times New Roman" w:eastAsia="宋体" w:cs="Times New Roman"/>
                <w:b w:val="0"/>
                <w:bCs w:val="0"/>
                <w:color w:val="0000FF"/>
                <w:sz w:val="21"/>
                <w:szCs w:val="21"/>
                <w:vertAlign w:val="baseline"/>
                <w:lang w:val="en-US" w:eastAsia="zh-CN"/>
              </w:rPr>
              <w:t>敏感目标名称</w:t>
            </w:r>
          </w:p>
        </w:tc>
        <w:tc>
          <w:tcPr>
            <w:tcW w:w="1200" w:type="dxa"/>
            <w:gridSpan w:val="2"/>
            <w:shd w:val="clear" w:color="auto" w:fill="auto"/>
            <w:vAlign w:val="center"/>
          </w:tcPr>
          <w:p w14:paraId="456B2A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kern w:val="2"/>
                <w:sz w:val="21"/>
                <w:szCs w:val="21"/>
                <w:vertAlign w:val="baseline"/>
                <w:lang w:val="en-US" w:eastAsia="zh-CN" w:bidi="ar-SA"/>
              </w:rPr>
            </w:pPr>
            <w:r>
              <w:rPr>
                <w:rFonts w:hint="default" w:ascii="Times New Roman" w:hAnsi="Times New Roman" w:eastAsia="宋体" w:cs="Times New Roman"/>
                <w:b w:val="0"/>
                <w:bCs w:val="0"/>
                <w:color w:val="0000FF"/>
                <w:sz w:val="21"/>
                <w:szCs w:val="21"/>
                <w:vertAlign w:val="baseline"/>
                <w:lang w:val="en-US" w:eastAsia="zh-CN"/>
              </w:rPr>
              <w:t>相对方位</w:t>
            </w:r>
          </w:p>
        </w:tc>
        <w:tc>
          <w:tcPr>
            <w:tcW w:w="900" w:type="dxa"/>
            <w:shd w:val="clear" w:color="auto" w:fill="auto"/>
            <w:vAlign w:val="center"/>
          </w:tcPr>
          <w:p w14:paraId="5959A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kern w:val="2"/>
                <w:sz w:val="21"/>
                <w:szCs w:val="21"/>
                <w:vertAlign w:val="baseline"/>
                <w:lang w:val="en-US" w:eastAsia="zh-CN" w:bidi="ar-SA"/>
              </w:rPr>
            </w:pPr>
            <w:r>
              <w:rPr>
                <w:rFonts w:hint="default" w:ascii="Times New Roman" w:hAnsi="Times New Roman" w:eastAsia="宋体" w:cs="Times New Roman"/>
                <w:b w:val="0"/>
                <w:bCs w:val="0"/>
                <w:color w:val="0000FF"/>
                <w:sz w:val="21"/>
                <w:szCs w:val="21"/>
                <w:vertAlign w:val="baseline"/>
                <w:lang w:val="en-US" w:eastAsia="zh-CN"/>
              </w:rPr>
              <w:t>距离/m</w:t>
            </w:r>
          </w:p>
        </w:tc>
        <w:tc>
          <w:tcPr>
            <w:tcW w:w="859" w:type="dxa"/>
            <w:gridSpan w:val="3"/>
            <w:shd w:val="clear" w:color="auto" w:fill="auto"/>
            <w:vAlign w:val="center"/>
          </w:tcPr>
          <w:p w14:paraId="7E423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kern w:val="2"/>
                <w:sz w:val="21"/>
                <w:szCs w:val="21"/>
                <w:vertAlign w:val="baseline"/>
                <w:lang w:val="en-US" w:eastAsia="zh-CN" w:bidi="ar-SA"/>
              </w:rPr>
            </w:pPr>
            <w:r>
              <w:rPr>
                <w:rFonts w:hint="default" w:ascii="Times New Roman" w:hAnsi="Times New Roman" w:eastAsia="宋体" w:cs="Times New Roman"/>
                <w:b w:val="0"/>
                <w:bCs w:val="0"/>
                <w:color w:val="0000FF"/>
                <w:sz w:val="21"/>
                <w:szCs w:val="21"/>
                <w:vertAlign w:val="baseline"/>
                <w:lang w:val="en-US" w:eastAsia="zh-CN"/>
              </w:rPr>
              <w:t>属性</w:t>
            </w:r>
          </w:p>
        </w:tc>
        <w:tc>
          <w:tcPr>
            <w:tcW w:w="1169" w:type="dxa"/>
            <w:shd w:val="clear" w:color="auto" w:fill="auto"/>
            <w:vAlign w:val="center"/>
          </w:tcPr>
          <w:p w14:paraId="451DD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kern w:val="2"/>
                <w:sz w:val="21"/>
                <w:szCs w:val="21"/>
                <w:vertAlign w:val="baseline"/>
                <w:lang w:val="en-US" w:eastAsia="zh-CN" w:bidi="ar-SA"/>
              </w:rPr>
            </w:pPr>
            <w:r>
              <w:rPr>
                <w:rFonts w:hint="default" w:ascii="Times New Roman" w:hAnsi="Times New Roman" w:eastAsia="宋体" w:cs="Times New Roman"/>
                <w:b w:val="0"/>
                <w:bCs w:val="0"/>
                <w:color w:val="0000FF"/>
                <w:sz w:val="21"/>
                <w:szCs w:val="21"/>
                <w:vertAlign w:val="baseline"/>
                <w:lang w:val="en-US" w:eastAsia="zh-CN"/>
              </w:rPr>
              <w:t>人口数</w:t>
            </w:r>
          </w:p>
        </w:tc>
      </w:tr>
      <w:tr w14:paraId="48B3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3ED30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09" w:type="dxa"/>
            <w:vAlign w:val="center"/>
          </w:tcPr>
          <w:p w14:paraId="09CA3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c>
          <w:tcPr>
            <w:tcW w:w="3545" w:type="dxa"/>
            <w:gridSpan w:val="5"/>
            <w:vAlign w:val="center"/>
          </w:tcPr>
          <w:p w14:paraId="11A14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宋体" w:hAnsi="宋体" w:eastAsia="宋体" w:cs="宋体"/>
                <w:color w:val="0000FF"/>
                <w:spacing w:val="11"/>
                <w:sz w:val="21"/>
                <w:szCs w:val="21"/>
                <w:highlight w:val="none"/>
                <w:lang w:val="en-US" w:eastAsia="zh-CN"/>
              </w:rPr>
            </w:pPr>
            <w:r>
              <w:rPr>
                <w:rFonts w:hint="eastAsia" w:ascii="宋体" w:hAnsi="宋体" w:eastAsia="宋体" w:cs="宋体"/>
                <w:color w:val="0000FF"/>
                <w:spacing w:val="11"/>
                <w:sz w:val="21"/>
                <w:szCs w:val="21"/>
                <w:highlight w:val="none"/>
                <w:lang w:val="en-US" w:eastAsia="zh-CN"/>
              </w:rPr>
              <w:t>/</w:t>
            </w:r>
          </w:p>
        </w:tc>
        <w:tc>
          <w:tcPr>
            <w:tcW w:w="1200" w:type="dxa"/>
            <w:gridSpan w:val="2"/>
            <w:vAlign w:val="center"/>
          </w:tcPr>
          <w:p w14:paraId="0B38A9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宋体" w:hAnsi="宋体" w:eastAsia="宋体" w:cs="宋体"/>
                <w:color w:val="0000FF"/>
                <w:spacing w:val="-4"/>
                <w:sz w:val="21"/>
                <w:szCs w:val="21"/>
                <w:highlight w:val="none"/>
                <w:lang w:val="en-US" w:eastAsia="zh-CN"/>
              </w:rPr>
            </w:pPr>
            <w:r>
              <w:rPr>
                <w:rFonts w:hint="eastAsia" w:ascii="宋体" w:hAnsi="宋体" w:eastAsia="宋体" w:cs="宋体"/>
                <w:color w:val="0000FF"/>
                <w:spacing w:val="-4"/>
                <w:sz w:val="21"/>
                <w:szCs w:val="21"/>
                <w:highlight w:val="none"/>
                <w:lang w:val="en-US" w:eastAsia="zh-CN"/>
              </w:rPr>
              <w:t>/</w:t>
            </w:r>
          </w:p>
        </w:tc>
        <w:tc>
          <w:tcPr>
            <w:tcW w:w="900" w:type="dxa"/>
            <w:vAlign w:val="center"/>
          </w:tcPr>
          <w:p w14:paraId="26662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c>
          <w:tcPr>
            <w:tcW w:w="859" w:type="dxa"/>
            <w:gridSpan w:val="3"/>
            <w:vAlign w:val="center"/>
          </w:tcPr>
          <w:p w14:paraId="5E1F35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c>
          <w:tcPr>
            <w:tcW w:w="1169" w:type="dxa"/>
            <w:vAlign w:val="center"/>
          </w:tcPr>
          <w:p w14:paraId="52A5C5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r>
      <w:tr w14:paraId="4F99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376ED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213" w:type="dxa"/>
            <w:gridSpan w:val="12"/>
            <w:vAlign w:val="center"/>
          </w:tcPr>
          <w:p w14:paraId="44F210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每公里管段人口数（最大）</w:t>
            </w:r>
          </w:p>
        </w:tc>
        <w:tc>
          <w:tcPr>
            <w:tcW w:w="1169" w:type="dxa"/>
            <w:vAlign w:val="center"/>
          </w:tcPr>
          <w:p w14:paraId="588A54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p>
        </w:tc>
      </w:tr>
      <w:tr w14:paraId="6E7A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04D3A7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213" w:type="dxa"/>
            <w:gridSpan w:val="12"/>
            <w:vAlign w:val="center"/>
          </w:tcPr>
          <w:p w14:paraId="27FC8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大气环境敏感程度E值</w:t>
            </w:r>
          </w:p>
        </w:tc>
        <w:tc>
          <w:tcPr>
            <w:tcW w:w="1169" w:type="dxa"/>
            <w:vAlign w:val="center"/>
          </w:tcPr>
          <w:p w14:paraId="0FD35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E3</w:t>
            </w:r>
          </w:p>
        </w:tc>
      </w:tr>
      <w:tr w14:paraId="6D5E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restart"/>
            <w:vAlign w:val="center"/>
          </w:tcPr>
          <w:p w14:paraId="4C8C6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地</w:t>
            </w:r>
          </w:p>
          <w:p w14:paraId="6B6D51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表</w:t>
            </w:r>
          </w:p>
          <w:p w14:paraId="344E2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水</w:t>
            </w:r>
          </w:p>
        </w:tc>
        <w:tc>
          <w:tcPr>
            <w:tcW w:w="8382" w:type="dxa"/>
            <w:gridSpan w:val="13"/>
            <w:vAlign w:val="center"/>
          </w:tcPr>
          <w:p w14:paraId="39D11E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受纳水体</w:t>
            </w:r>
          </w:p>
        </w:tc>
      </w:tr>
      <w:tr w14:paraId="0BC1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06E2C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09" w:type="dxa"/>
            <w:vAlign w:val="center"/>
          </w:tcPr>
          <w:p w14:paraId="7C2EC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序号</w:t>
            </w:r>
          </w:p>
        </w:tc>
        <w:tc>
          <w:tcPr>
            <w:tcW w:w="3095" w:type="dxa"/>
            <w:gridSpan w:val="2"/>
            <w:vAlign w:val="center"/>
          </w:tcPr>
          <w:p w14:paraId="52EEA8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宋体" w:hAnsi="宋体" w:eastAsia="宋体" w:cs="宋体"/>
                <w:color w:val="0000FF"/>
                <w:spacing w:val="11"/>
                <w:sz w:val="21"/>
                <w:szCs w:val="21"/>
                <w:highlight w:val="none"/>
                <w:lang w:val="en-US" w:eastAsia="zh-CN"/>
              </w:rPr>
            </w:pPr>
            <w:r>
              <w:rPr>
                <w:rFonts w:hint="eastAsia" w:ascii="宋体" w:hAnsi="宋体" w:eastAsia="宋体" w:cs="宋体"/>
                <w:color w:val="0000FF"/>
                <w:spacing w:val="11"/>
                <w:sz w:val="21"/>
                <w:szCs w:val="21"/>
                <w:highlight w:val="none"/>
                <w:lang w:val="en-US" w:eastAsia="zh-CN"/>
              </w:rPr>
              <w:t>受纳水体名称</w:t>
            </w:r>
          </w:p>
        </w:tc>
        <w:tc>
          <w:tcPr>
            <w:tcW w:w="2550" w:type="dxa"/>
            <w:gridSpan w:val="6"/>
            <w:vAlign w:val="center"/>
          </w:tcPr>
          <w:p w14:paraId="6E246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排放点水域环境功能</w:t>
            </w:r>
          </w:p>
        </w:tc>
        <w:tc>
          <w:tcPr>
            <w:tcW w:w="2028" w:type="dxa"/>
            <w:gridSpan w:val="4"/>
            <w:vAlign w:val="center"/>
          </w:tcPr>
          <w:p w14:paraId="1CB46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24h内流经范围/km</w:t>
            </w:r>
          </w:p>
        </w:tc>
      </w:tr>
      <w:tr w14:paraId="7E29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12C2D6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09" w:type="dxa"/>
            <w:vAlign w:val="center"/>
          </w:tcPr>
          <w:p w14:paraId="196A3B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c>
          <w:tcPr>
            <w:tcW w:w="3095" w:type="dxa"/>
            <w:gridSpan w:val="2"/>
            <w:vAlign w:val="center"/>
          </w:tcPr>
          <w:p w14:paraId="4E107C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c>
          <w:tcPr>
            <w:tcW w:w="2550" w:type="dxa"/>
            <w:gridSpan w:val="6"/>
            <w:vAlign w:val="center"/>
          </w:tcPr>
          <w:p w14:paraId="5FFC05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c>
          <w:tcPr>
            <w:tcW w:w="2028" w:type="dxa"/>
            <w:gridSpan w:val="4"/>
            <w:vAlign w:val="center"/>
          </w:tcPr>
          <w:p w14:paraId="0297C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r>
      <w:tr w14:paraId="5120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2923AE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8382" w:type="dxa"/>
            <w:gridSpan w:val="13"/>
            <w:vAlign w:val="center"/>
          </w:tcPr>
          <w:p w14:paraId="201F2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内陆水体排放点下游10km（近岸海域一个潮周期最大水平距离两倍）范围内敏感目标</w:t>
            </w:r>
          </w:p>
        </w:tc>
      </w:tr>
      <w:tr w14:paraId="2FF5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5D3ED3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09" w:type="dxa"/>
            <w:vAlign w:val="center"/>
          </w:tcPr>
          <w:p w14:paraId="699FF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序号</w:t>
            </w:r>
          </w:p>
        </w:tc>
        <w:tc>
          <w:tcPr>
            <w:tcW w:w="1745" w:type="dxa"/>
            <w:vAlign w:val="center"/>
          </w:tcPr>
          <w:p w14:paraId="00DCA0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敏感目标名称</w:t>
            </w:r>
          </w:p>
        </w:tc>
        <w:tc>
          <w:tcPr>
            <w:tcW w:w="1732" w:type="dxa"/>
            <w:gridSpan w:val="3"/>
            <w:vAlign w:val="center"/>
          </w:tcPr>
          <w:p w14:paraId="4CE72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环境敏感特征</w:t>
            </w:r>
          </w:p>
        </w:tc>
        <w:tc>
          <w:tcPr>
            <w:tcW w:w="2400" w:type="dxa"/>
            <w:gridSpan w:val="5"/>
            <w:vAlign w:val="center"/>
          </w:tcPr>
          <w:p w14:paraId="06C47A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水质目标</w:t>
            </w:r>
          </w:p>
        </w:tc>
        <w:tc>
          <w:tcPr>
            <w:tcW w:w="1796" w:type="dxa"/>
            <w:gridSpan w:val="3"/>
            <w:vAlign w:val="center"/>
          </w:tcPr>
          <w:p w14:paraId="726B80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与排放点距离/m</w:t>
            </w:r>
          </w:p>
        </w:tc>
      </w:tr>
      <w:tr w14:paraId="681F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1B82DB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09" w:type="dxa"/>
            <w:vAlign w:val="center"/>
          </w:tcPr>
          <w:p w14:paraId="3FF389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c>
          <w:tcPr>
            <w:tcW w:w="1745" w:type="dxa"/>
            <w:vAlign w:val="center"/>
          </w:tcPr>
          <w:p w14:paraId="154CBF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c>
          <w:tcPr>
            <w:tcW w:w="1732" w:type="dxa"/>
            <w:gridSpan w:val="3"/>
            <w:vAlign w:val="center"/>
          </w:tcPr>
          <w:p w14:paraId="2114D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c>
          <w:tcPr>
            <w:tcW w:w="2400" w:type="dxa"/>
            <w:gridSpan w:val="5"/>
            <w:vAlign w:val="center"/>
          </w:tcPr>
          <w:p w14:paraId="32B738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c>
          <w:tcPr>
            <w:tcW w:w="1796" w:type="dxa"/>
            <w:gridSpan w:val="3"/>
            <w:vAlign w:val="center"/>
          </w:tcPr>
          <w:p w14:paraId="34573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w:t>
            </w:r>
          </w:p>
        </w:tc>
      </w:tr>
      <w:tr w14:paraId="08F78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4894C7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6586" w:type="dxa"/>
            <w:gridSpan w:val="10"/>
            <w:vAlign w:val="center"/>
          </w:tcPr>
          <w:p w14:paraId="30E9F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地表水环境敏感程度E值</w:t>
            </w:r>
          </w:p>
        </w:tc>
        <w:tc>
          <w:tcPr>
            <w:tcW w:w="1796" w:type="dxa"/>
            <w:gridSpan w:val="3"/>
            <w:vAlign w:val="center"/>
          </w:tcPr>
          <w:p w14:paraId="173855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E3</w:t>
            </w:r>
          </w:p>
        </w:tc>
      </w:tr>
      <w:tr w14:paraId="0339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restart"/>
            <w:vAlign w:val="center"/>
          </w:tcPr>
          <w:p w14:paraId="7489E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地</w:t>
            </w:r>
          </w:p>
          <w:p w14:paraId="35BF0E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下</w:t>
            </w:r>
          </w:p>
          <w:p w14:paraId="024A50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水</w:t>
            </w:r>
          </w:p>
        </w:tc>
        <w:tc>
          <w:tcPr>
            <w:tcW w:w="709" w:type="dxa"/>
            <w:vAlign w:val="center"/>
          </w:tcPr>
          <w:p w14:paraId="1EB0F9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序号</w:t>
            </w:r>
          </w:p>
        </w:tc>
        <w:tc>
          <w:tcPr>
            <w:tcW w:w="1745" w:type="dxa"/>
            <w:vAlign w:val="center"/>
          </w:tcPr>
          <w:p w14:paraId="71A99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环境敏感区名称</w:t>
            </w:r>
          </w:p>
        </w:tc>
        <w:tc>
          <w:tcPr>
            <w:tcW w:w="1486" w:type="dxa"/>
            <w:gridSpan w:val="2"/>
            <w:vAlign w:val="center"/>
          </w:tcPr>
          <w:p w14:paraId="670FE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环境敏感特征</w:t>
            </w:r>
          </w:p>
        </w:tc>
        <w:tc>
          <w:tcPr>
            <w:tcW w:w="1146" w:type="dxa"/>
            <w:gridSpan w:val="3"/>
            <w:vAlign w:val="center"/>
          </w:tcPr>
          <w:p w14:paraId="265FE9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水质目标</w:t>
            </w:r>
          </w:p>
        </w:tc>
        <w:tc>
          <w:tcPr>
            <w:tcW w:w="1759" w:type="dxa"/>
            <w:gridSpan w:val="4"/>
            <w:vAlign w:val="center"/>
          </w:tcPr>
          <w:p w14:paraId="6B641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包气带防污性能</w:t>
            </w:r>
          </w:p>
        </w:tc>
        <w:tc>
          <w:tcPr>
            <w:tcW w:w="1537" w:type="dxa"/>
            <w:gridSpan w:val="2"/>
            <w:vAlign w:val="center"/>
          </w:tcPr>
          <w:p w14:paraId="3F1C3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与下游厂界距离/m</w:t>
            </w:r>
          </w:p>
        </w:tc>
      </w:tr>
      <w:tr w14:paraId="5DF5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350B35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709" w:type="dxa"/>
            <w:vAlign w:val="center"/>
          </w:tcPr>
          <w:p w14:paraId="2B0027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1</w:t>
            </w:r>
          </w:p>
        </w:tc>
        <w:tc>
          <w:tcPr>
            <w:tcW w:w="1745" w:type="dxa"/>
            <w:vAlign w:val="center"/>
          </w:tcPr>
          <w:p w14:paraId="56759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宋体" w:hAnsi="宋体" w:eastAsia="宋体" w:cs="宋体"/>
                <w:color w:val="0000FF"/>
                <w:spacing w:val="7"/>
                <w:sz w:val="21"/>
                <w:szCs w:val="21"/>
                <w:highlight w:val="none"/>
              </w:rPr>
              <w:t>公司范围</w:t>
            </w:r>
            <w:r>
              <w:rPr>
                <w:rFonts w:hint="eastAsia" w:ascii="宋体" w:hAnsi="宋体" w:eastAsia="宋体" w:cs="宋体"/>
                <w:color w:val="0000FF"/>
                <w:spacing w:val="6"/>
                <w:sz w:val="21"/>
                <w:szCs w:val="21"/>
                <w:highlight w:val="none"/>
              </w:rPr>
              <w:t>内</w:t>
            </w:r>
          </w:p>
        </w:tc>
        <w:tc>
          <w:tcPr>
            <w:tcW w:w="1486" w:type="dxa"/>
            <w:gridSpan w:val="2"/>
            <w:vAlign w:val="center"/>
          </w:tcPr>
          <w:p w14:paraId="69237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cs="Times New Roman"/>
                <w:b w:val="0"/>
                <w:bCs w:val="0"/>
                <w:color w:val="0000FF"/>
                <w:sz w:val="21"/>
                <w:szCs w:val="21"/>
                <w:vertAlign w:val="baseline"/>
                <w:lang w:val="en-US" w:eastAsia="zh-CN"/>
              </w:rPr>
              <w:t>G3</w:t>
            </w:r>
          </w:p>
        </w:tc>
        <w:tc>
          <w:tcPr>
            <w:tcW w:w="1146" w:type="dxa"/>
            <w:gridSpan w:val="3"/>
            <w:vAlign w:val="center"/>
          </w:tcPr>
          <w:p w14:paraId="024F17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cs="Times New Roman"/>
                <w:b w:val="0"/>
                <w:bCs w:val="0"/>
                <w:color w:val="0000FF"/>
                <w:sz w:val="21"/>
                <w:szCs w:val="21"/>
                <w:vertAlign w:val="baseline"/>
                <w:lang w:val="en-US" w:eastAsia="zh-CN"/>
              </w:rPr>
              <w:t>/</w:t>
            </w:r>
          </w:p>
        </w:tc>
        <w:tc>
          <w:tcPr>
            <w:tcW w:w="1759" w:type="dxa"/>
            <w:gridSpan w:val="4"/>
            <w:vAlign w:val="center"/>
          </w:tcPr>
          <w:p w14:paraId="2F2634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cs="Times New Roman"/>
                <w:b w:val="0"/>
                <w:bCs w:val="0"/>
                <w:color w:val="0000FF"/>
                <w:sz w:val="21"/>
                <w:szCs w:val="21"/>
                <w:vertAlign w:val="baseline"/>
                <w:lang w:val="en-US" w:eastAsia="zh-CN"/>
              </w:rPr>
              <w:t>D2</w:t>
            </w:r>
          </w:p>
        </w:tc>
        <w:tc>
          <w:tcPr>
            <w:tcW w:w="1537" w:type="dxa"/>
            <w:gridSpan w:val="2"/>
            <w:vAlign w:val="center"/>
          </w:tcPr>
          <w:p w14:paraId="5B00D2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r>
              <w:rPr>
                <w:rFonts w:hint="eastAsia" w:cs="Times New Roman"/>
                <w:b w:val="0"/>
                <w:bCs w:val="0"/>
                <w:color w:val="0000FF"/>
                <w:sz w:val="21"/>
                <w:szCs w:val="21"/>
                <w:vertAlign w:val="baseline"/>
                <w:lang w:val="en-US" w:eastAsia="zh-CN"/>
              </w:rPr>
              <w:t>/</w:t>
            </w:r>
          </w:p>
        </w:tc>
      </w:tr>
      <w:tr w14:paraId="38ED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14:paraId="15B2C6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default" w:ascii="Times New Roman" w:hAnsi="Times New Roman" w:eastAsia="宋体" w:cs="Times New Roman"/>
                <w:b w:val="0"/>
                <w:bCs w:val="0"/>
                <w:color w:val="0000FF"/>
                <w:sz w:val="21"/>
                <w:szCs w:val="21"/>
                <w:vertAlign w:val="baseline"/>
                <w:lang w:val="en-US" w:eastAsia="zh-CN"/>
              </w:rPr>
            </w:pPr>
          </w:p>
        </w:tc>
        <w:tc>
          <w:tcPr>
            <w:tcW w:w="6845" w:type="dxa"/>
            <w:gridSpan w:val="11"/>
            <w:vAlign w:val="center"/>
          </w:tcPr>
          <w:p w14:paraId="0AD134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地下水环境敏感程度E值</w:t>
            </w:r>
          </w:p>
        </w:tc>
        <w:tc>
          <w:tcPr>
            <w:tcW w:w="1537" w:type="dxa"/>
            <w:gridSpan w:val="2"/>
            <w:vAlign w:val="center"/>
          </w:tcPr>
          <w:p w14:paraId="3566D9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0"/>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E3</w:t>
            </w:r>
          </w:p>
        </w:tc>
      </w:tr>
    </w:tbl>
    <w:p w14:paraId="12607078">
      <w:pPr>
        <w:pStyle w:val="21"/>
        <w:rPr>
          <w:rFonts w:hint="eastAsia" w:cs="Times New Roman"/>
          <w:b/>
          <w:bCs/>
          <w:color w:val="auto"/>
          <w:sz w:val="21"/>
          <w:szCs w:val="21"/>
          <w:lang w:eastAsia="zh-CN"/>
        </w:rPr>
      </w:pPr>
    </w:p>
    <w:p w14:paraId="569B7277">
      <w:pPr>
        <w:pStyle w:val="21"/>
        <w:rPr>
          <w:rFonts w:hint="eastAsia" w:cs="Times New Roman"/>
          <w:b/>
          <w:bCs/>
          <w:color w:val="auto"/>
          <w:sz w:val="21"/>
          <w:szCs w:val="21"/>
          <w:lang w:eastAsia="zh-CN"/>
        </w:rPr>
      </w:pPr>
    </w:p>
    <w:p w14:paraId="4AA90F27">
      <w:pPr>
        <w:pStyle w:val="21"/>
        <w:rPr>
          <w:rFonts w:hint="eastAsia" w:cs="Times New Roman"/>
          <w:b/>
          <w:bCs/>
          <w:color w:val="auto"/>
          <w:sz w:val="21"/>
          <w:szCs w:val="21"/>
          <w:lang w:eastAsia="zh-CN"/>
        </w:rPr>
      </w:pPr>
    </w:p>
    <w:p w14:paraId="66C87FF3">
      <w:pPr>
        <w:rPr>
          <w:rFonts w:hint="eastAsia" w:ascii="Times New Roman" w:hAnsi="Times New Roman" w:eastAsia="宋体" w:cs="Times New Roman"/>
          <w:b/>
          <w:bCs/>
          <w:sz w:val="28"/>
          <w:szCs w:val="28"/>
          <w:lang w:val="en-US" w:eastAsia="zh-CN"/>
        </w:rPr>
      </w:pPr>
      <w:bookmarkStart w:id="25" w:name="_Toc15269"/>
      <w:r>
        <w:rPr>
          <w:rFonts w:hint="eastAsia" w:ascii="Times New Roman" w:hAnsi="Times New Roman" w:eastAsia="宋体" w:cs="Times New Roman"/>
          <w:b/>
          <w:bCs/>
          <w:sz w:val="28"/>
          <w:szCs w:val="28"/>
          <w:lang w:val="en-US" w:eastAsia="zh-CN"/>
        </w:rPr>
        <w:br w:type="page"/>
      </w:r>
    </w:p>
    <w:p w14:paraId="56EA3347">
      <w:pPr>
        <w:ind w:left="0" w:leftChars="0" w:firstLine="0" w:firstLineChars="0"/>
        <w:jc w:val="center"/>
        <w:outlineLvl w:val="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4.</w:t>
      </w:r>
      <w:bookmarkEnd w:id="25"/>
      <w:r>
        <w:rPr>
          <w:rFonts w:hint="eastAsia" w:ascii="Times New Roman" w:hAnsi="Times New Roman" w:eastAsia="宋体" w:cs="Times New Roman"/>
          <w:b/>
          <w:bCs/>
          <w:sz w:val="28"/>
          <w:szCs w:val="28"/>
          <w:lang w:val="en-US" w:eastAsia="zh-CN"/>
        </w:rPr>
        <w:t>环境风险潜势初判</w:t>
      </w:r>
    </w:p>
    <w:p w14:paraId="59874DA1">
      <w:pPr>
        <w:pStyle w:val="9"/>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outlineLvl w:val="1"/>
        <w:rPr>
          <w:rFonts w:hint="eastAsia" w:ascii="Times New Roman" w:hAnsi="Times New Roman" w:eastAsia="宋体" w:cs="Times New Roman"/>
          <w:b/>
          <w:bCs/>
          <w:color w:val="0000FF"/>
          <w:sz w:val="28"/>
          <w:szCs w:val="28"/>
          <w:lang w:val="en-US" w:eastAsia="zh-CN"/>
        </w:rPr>
      </w:pPr>
      <w:bookmarkStart w:id="26" w:name="_Toc15424"/>
      <w:r>
        <w:rPr>
          <w:rFonts w:hint="default" w:ascii="Times New Roman" w:hAnsi="Times New Roman" w:eastAsia="宋体" w:cs="Times New Roman"/>
          <w:b/>
          <w:bCs/>
          <w:color w:val="0000FF"/>
          <w:sz w:val="28"/>
          <w:szCs w:val="28"/>
          <w:lang w:val="en-US" w:eastAsia="zh-CN"/>
        </w:rPr>
        <w:t>4.</w:t>
      </w:r>
      <w:bookmarkEnd w:id="26"/>
      <w:r>
        <w:rPr>
          <w:rFonts w:hint="eastAsia" w:ascii="Times New Roman" w:hAnsi="Times New Roman" w:cs="Times New Roman"/>
          <w:b/>
          <w:bCs/>
          <w:color w:val="0000FF"/>
          <w:sz w:val="28"/>
          <w:szCs w:val="28"/>
          <w:lang w:val="en-US" w:eastAsia="zh-CN"/>
        </w:rPr>
        <w:t xml:space="preserve">1 </w:t>
      </w:r>
      <w:r>
        <w:rPr>
          <w:rFonts w:hint="eastAsia" w:ascii="Times New Roman" w:hAnsi="Times New Roman" w:eastAsia="宋体" w:cs="Times New Roman"/>
          <w:b/>
          <w:bCs/>
          <w:color w:val="0000FF"/>
          <w:sz w:val="28"/>
          <w:szCs w:val="28"/>
          <w:lang w:val="en-US" w:eastAsia="zh-CN"/>
        </w:rPr>
        <w:t>环境风险潜势划分</w:t>
      </w:r>
    </w:p>
    <w:p w14:paraId="498D5CB3">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default" w:ascii="Times New Roman" w:hAnsi="Times New Roman" w:eastAsia="仿宋" w:cs="Times New Roman"/>
          <w:color w:val="0000FF"/>
          <w:kern w:val="2"/>
          <w:sz w:val="28"/>
          <w:szCs w:val="28"/>
          <w:highlight w:val="none"/>
          <w:lang w:val="en-US" w:eastAsia="zh-CN" w:bidi="ar-SA"/>
        </w:rPr>
      </w:pPr>
      <w:r>
        <w:rPr>
          <w:rFonts w:hint="default" w:ascii="Times New Roman" w:hAnsi="Times New Roman" w:eastAsia="宋体" w:cs="Times New Roman"/>
          <w:color w:val="0000FF"/>
          <w:kern w:val="0"/>
          <w:sz w:val="28"/>
          <w:szCs w:val="28"/>
          <w:lang w:val="en-US" w:eastAsia="zh-CN" w:bidi="ar"/>
        </w:rPr>
        <w:t>建设项目环境风险潜势划分为Ⅰ、Ⅱ、Ⅲ、IV/IV+级。根据建设项目涉及的物质和工艺系统危险性其所在地环境敏感程度，根据建设项目涉及的物质和工艺系统危险性其所在地环境敏感程度，结合事故情形下影响途径，对建设项目潜在环境危害程度进行概化分析，按照表4-</w:t>
      </w:r>
      <w:r>
        <w:rPr>
          <w:rFonts w:hint="eastAsia" w:ascii="Times New Roman" w:hAnsi="Times New Roman" w:eastAsia="宋体" w:cs="Times New Roman"/>
          <w:color w:val="0000FF"/>
          <w:kern w:val="0"/>
          <w:sz w:val="28"/>
          <w:szCs w:val="28"/>
          <w:lang w:val="en-US" w:eastAsia="zh-CN" w:bidi="ar"/>
        </w:rPr>
        <w:t>1</w:t>
      </w:r>
      <w:r>
        <w:rPr>
          <w:rFonts w:hint="default" w:ascii="Times New Roman" w:hAnsi="Times New Roman" w:eastAsia="宋体" w:cs="Times New Roman"/>
          <w:color w:val="0000FF"/>
          <w:kern w:val="0"/>
          <w:sz w:val="28"/>
          <w:szCs w:val="28"/>
          <w:lang w:val="en-US" w:eastAsia="zh-CN" w:bidi="ar"/>
        </w:rPr>
        <w:t>确定环境风险潜势。</w:t>
      </w:r>
    </w:p>
    <w:p w14:paraId="575D5089">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snapToGrid/>
          <w:color w:val="0000FF"/>
          <w:kern w:val="0"/>
          <w:sz w:val="21"/>
          <w:szCs w:val="21"/>
          <w:highlight w:val="none"/>
          <w:lang w:val="en-US" w:eastAsia="zh-CN" w:bidi="ar-SA"/>
        </w:rPr>
      </w:pPr>
      <w:r>
        <w:rPr>
          <w:rFonts w:hint="default" w:ascii="Times New Roman" w:hAnsi="Times New Roman" w:eastAsia="宋体" w:cs="Times New Roman"/>
          <w:b/>
          <w:snapToGrid/>
          <w:color w:val="0000FF"/>
          <w:kern w:val="0"/>
          <w:sz w:val="21"/>
          <w:szCs w:val="21"/>
          <w:highlight w:val="none"/>
          <w:lang w:val="en-US" w:eastAsia="zh-CN" w:bidi="ar-SA"/>
        </w:rPr>
        <w:t>表4-</w:t>
      </w:r>
      <w:r>
        <w:rPr>
          <w:rFonts w:hint="eastAsia" w:ascii="Times New Roman" w:hAnsi="Times New Roman" w:eastAsia="宋体" w:cs="Times New Roman"/>
          <w:b/>
          <w:snapToGrid/>
          <w:color w:val="0000FF"/>
          <w:kern w:val="0"/>
          <w:sz w:val="21"/>
          <w:szCs w:val="21"/>
          <w:highlight w:val="none"/>
          <w:lang w:val="en-US" w:eastAsia="zh-CN" w:bidi="ar-SA"/>
        </w:rPr>
        <w:t>1</w:t>
      </w:r>
      <w:r>
        <w:rPr>
          <w:rFonts w:hint="default" w:ascii="Times New Roman" w:hAnsi="Times New Roman" w:eastAsia="宋体" w:cs="Times New Roman"/>
          <w:b/>
          <w:snapToGrid/>
          <w:color w:val="0000FF"/>
          <w:kern w:val="0"/>
          <w:sz w:val="21"/>
          <w:szCs w:val="21"/>
          <w:highlight w:val="none"/>
          <w:lang w:val="en-US" w:eastAsia="zh-CN" w:bidi="ar-SA"/>
        </w:rPr>
        <w:t xml:space="preserve">    建设项目环境风险潜势划分依据</w:t>
      </w:r>
    </w:p>
    <w:tbl>
      <w:tblPr>
        <w:tblStyle w:val="22"/>
        <w:tblW w:w="822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987"/>
        <w:gridCol w:w="1558"/>
        <w:gridCol w:w="1560"/>
        <w:gridCol w:w="1558"/>
        <w:gridCol w:w="1561"/>
      </w:tblGrid>
      <w:tr w14:paraId="6240B8F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87" w:type="dxa"/>
            <w:vMerge w:val="restart"/>
            <w:tcBorders>
              <w:bottom w:val="single" w:color="000000" w:sz="4" w:space="0"/>
              <w:right w:val="single" w:color="000000" w:sz="4" w:space="0"/>
            </w:tcBorders>
            <w:noWrap w:val="0"/>
            <w:vAlign w:val="center"/>
          </w:tcPr>
          <w:p w14:paraId="3DE6E3D9">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lang w:val="en-US" w:eastAsia="zh-CN" w:bidi="ar"/>
              </w:rPr>
              <w:t>环境敏感程度（E）</w:t>
            </w:r>
          </w:p>
        </w:tc>
        <w:tc>
          <w:tcPr>
            <w:tcW w:w="6237" w:type="dxa"/>
            <w:gridSpan w:val="4"/>
            <w:tcBorders>
              <w:left w:val="single" w:color="000000" w:sz="4" w:space="0"/>
              <w:bottom w:val="single" w:color="000000" w:sz="4" w:space="0"/>
            </w:tcBorders>
            <w:noWrap w:val="0"/>
            <w:vAlign w:val="center"/>
          </w:tcPr>
          <w:p w14:paraId="44FCFCBA">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lang w:val="en-US" w:eastAsia="zh-CN" w:bidi="ar"/>
              </w:rPr>
              <w:t>危险物质及工艺系统危险性（P）</w:t>
            </w:r>
          </w:p>
        </w:tc>
      </w:tr>
      <w:tr w14:paraId="64FD6C6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87" w:type="dxa"/>
            <w:vMerge w:val="continue"/>
            <w:tcBorders>
              <w:top w:val="single" w:color="000000" w:sz="12" w:space="0"/>
              <w:bottom w:val="single" w:color="000000" w:sz="4" w:space="0"/>
              <w:right w:val="single" w:color="000000" w:sz="4" w:space="0"/>
            </w:tcBorders>
            <w:noWrap w:val="0"/>
            <w:vAlign w:val="center"/>
          </w:tcPr>
          <w:p w14:paraId="019242DA">
            <w:pPr>
              <w:keepNext w:val="0"/>
              <w:keepLines w:val="0"/>
              <w:pageBreakBefore w:val="0"/>
              <w:widowControl w:val="0"/>
              <w:kinsoku/>
              <w:wordWrap/>
              <w:overflowPunct/>
              <w:topLinePunct w:val="0"/>
              <w:bidi w:val="0"/>
              <w:ind w:firstLine="0" w:firstLineChars="0"/>
              <w:textAlignment w:val="auto"/>
              <w:rPr>
                <w:rFonts w:hint="default" w:ascii="Times New Roman" w:hAnsi="Times New Roman" w:eastAsia="宋体" w:cs="Times New Roman"/>
                <w:color w:val="0000FF"/>
                <w:sz w:val="20"/>
                <w:szCs w:val="20"/>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6E5FB83D">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极高危害（P1）</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654F523A">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高度危害（P2）</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0B6DE125">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中毒危害（P3）</w:t>
            </w:r>
          </w:p>
        </w:tc>
        <w:tc>
          <w:tcPr>
            <w:tcW w:w="1561" w:type="dxa"/>
            <w:tcBorders>
              <w:top w:val="single" w:color="000000" w:sz="4" w:space="0"/>
              <w:left w:val="single" w:color="000000" w:sz="4" w:space="0"/>
              <w:bottom w:val="single" w:color="000000" w:sz="4" w:space="0"/>
            </w:tcBorders>
            <w:noWrap w:val="0"/>
            <w:vAlign w:val="center"/>
          </w:tcPr>
          <w:p w14:paraId="2A0DE08C">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轻度危害（P4）</w:t>
            </w:r>
          </w:p>
        </w:tc>
      </w:tr>
      <w:tr w14:paraId="753E290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87" w:type="dxa"/>
            <w:tcBorders>
              <w:top w:val="single" w:color="000000" w:sz="4" w:space="0"/>
              <w:bottom w:val="single" w:color="000000" w:sz="4" w:space="0"/>
              <w:right w:val="single" w:color="000000" w:sz="4" w:space="0"/>
            </w:tcBorders>
            <w:noWrap w:val="0"/>
            <w:vAlign w:val="center"/>
          </w:tcPr>
          <w:p w14:paraId="14123A77">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环境高敏感区（E1）</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144F3FDC">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Ⅳ</w:t>
            </w:r>
            <w:r>
              <w:rPr>
                <w:rFonts w:hint="default" w:ascii="Times New Roman" w:hAnsi="Times New Roman" w:eastAsia="宋体" w:cs="Times New Roman"/>
                <w:color w:val="0000FF"/>
                <w:kern w:val="0"/>
                <w:sz w:val="21"/>
                <w:szCs w:val="21"/>
                <w:vertAlign w:val="superscript"/>
                <w:lang w:val="en-US" w:eastAsia="zh-CN" w:bidi="ar"/>
              </w:rPr>
              <w:t>+</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196BD372">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Ⅳ</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680A1A91">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Ⅲ</w:t>
            </w:r>
          </w:p>
        </w:tc>
        <w:tc>
          <w:tcPr>
            <w:tcW w:w="1561" w:type="dxa"/>
            <w:tcBorders>
              <w:top w:val="single" w:color="000000" w:sz="4" w:space="0"/>
              <w:left w:val="single" w:color="000000" w:sz="4" w:space="0"/>
              <w:bottom w:val="single" w:color="000000" w:sz="4" w:space="0"/>
            </w:tcBorders>
            <w:noWrap w:val="0"/>
            <w:vAlign w:val="center"/>
          </w:tcPr>
          <w:p w14:paraId="30A85020">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Ⅲ</w:t>
            </w:r>
          </w:p>
        </w:tc>
      </w:tr>
      <w:tr w14:paraId="31C5D12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87" w:type="dxa"/>
            <w:tcBorders>
              <w:top w:val="single" w:color="000000" w:sz="4" w:space="0"/>
              <w:bottom w:val="single" w:color="000000" w:sz="4" w:space="0"/>
              <w:right w:val="single" w:color="000000" w:sz="4" w:space="0"/>
            </w:tcBorders>
            <w:noWrap w:val="0"/>
            <w:vAlign w:val="center"/>
          </w:tcPr>
          <w:p w14:paraId="2B0B7424">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环境高敏感区（E2）</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56D29FB8">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Ⅳ</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357F7C91">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Ⅲ</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1BB43D9E">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Ⅲ</w:t>
            </w:r>
          </w:p>
        </w:tc>
        <w:tc>
          <w:tcPr>
            <w:tcW w:w="1561" w:type="dxa"/>
            <w:tcBorders>
              <w:top w:val="single" w:color="000000" w:sz="4" w:space="0"/>
              <w:left w:val="single" w:color="000000" w:sz="4" w:space="0"/>
              <w:bottom w:val="single" w:color="000000" w:sz="4" w:space="0"/>
            </w:tcBorders>
            <w:noWrap w:val="0"/>
            <w:vAlign w:val="center"/>
          </w:tcPr>
          <w:p w14:paraId="44325162">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Ⅱ</w:t>
            </w:r>
          </w:p>
        </w:tc>
      </w:tr>
      <w:tr w14:paraId="5F89E40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87" w:type="dxa"/>
            <w:tcBorders>
              <w:top w:val="single" w:color="000000" w:sz="4" w:space="0"/>
              <w:bottom w:val="single" w:color="000000" w:sz="4" w:space="0"/>
              <w:right w:val="single" w:color="000000" w:sz="4" w:space="0"/>
            </w:tcBorders>
            <w:noWrap w:val="0"/>
            <w:vAlign w:val="center"/>
          </w:tcPr>
          <w:p w14:paraId="524D768E">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环境高敏感区（E3）</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1E471C74">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Ⅲ</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35AEEBB6">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Ⅲ</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57B15BE3">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Ⅱ</w:t>
            </w:r>
          </w:p>
        </w:tc>
        <w:tc>
          <w:tcPr>
            <w:tcW w:w="1561" w:type="dxa"/>
            <w:tcBorders>
              <w:top w:val="single" w:color="000000" w:sz="4" w:space="0"/>
              <w:left w:val="single" w:color="000000" w:sz="4" w:space="0"/>
              <w:bottom w:val="single" w:color="000000" w:sz="4" w:space="0"/>
            </w:tcBorders>
            <w:noWrap w:val="0"/>
            <w:vAlign w:val="center"/>
          </w:tcPr>
          <w:p w14:paraId="44246BEF">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Ⅰ</w:t>
            </w:r>
          </w:p>
        </w:tc>
      </w:tr>
      <w:tr w14:paraId="7CEEF30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224" w:type="dxa"/>
            <w:gridSpan w:val="5"/>
            <w:tcBorders>
              <w:top w:val="single" w:color="000000" w:sz="4" w:space="0"/>
            </w:tcBorders>
            <w:noWrap w:val="0"/>
            <w:vAlign w:val="center"/>
          </w:tcPr>
          <w:p w14:paraId="5DA311BF">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ind w:left="0" w:right="0" w:firstLine="0" w:firstLineChars="0"/>
              <w:jc w:val="left"/>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lang w:val="en-US" w:eastAsia="zh-CN" w:bidi="ar"/>
              </w:rPr>
              <w:t>注：Ⅳ</w:t>
            </w:r>
            <w:r>
              <w:rPr>
                <w:rFonts w:hint="default" w:ascii="Times New Roman" w:hAnsi="Times New Roman" w:eastAsia="宋体" w:cs="Times New Roman"/>
                <w:color w:val="0000FF"/>
                <w:kern w:val="0"/>
                <w:sz w:val="21"/>
                <w:szCs w:val="21"/>
                <w:vertAlign w:val="superscript"/>
                <w:lang w:val="en-US" w:eastAsia="zh-CN" w:bidi="ar"/>
              </w:rPr>
              <w:t>+</w:t>
            </w:r>
            <w:r>
              <w:rPr>
                <w:rFonts w:hint="default" w:ascii="Times New Roman" w:hAnsi="Times New Roman" w:eastAsia="宋体" w:cs="Times New Roman"/>
                <w:color w:val="0000FF"/>
                <w:kern w:val="0"/>
                <w:sz w:val="21"/>
                <w:szCs w:val="21"/>
                <w:lang w:val="en-US" w:eastAsia="zh-CN" w:bidi="ar"/>
              </w:rPr>
              <w:t>为极高环境风险</w:t>
            </w:r>
          </w:p>
        </w:tc>
      </w:tr>
    </w:tbl>
    <w:p w14:paraId="26F8CF48">
      <w:pPr>
        <w:adjustRightInd w:val="0"/>
        <w:snapToGrid w:val="0"/>
        <w:spacing w:line="360" w:lineRule="auto"/>
        <w:ind w:left="0" w:leftChars="0" w:firstLine="0" w:firstLineChars="0"/>
        <w:jc w:val="left"/>
        <w:outlineLvl w:val="1"/>
        <w:rPr>
          <w:rFonts w:hint="default" w:ascii="Times New Roman" w:hAnsi="Times New Roman" w:eastAsia="宋体" w:cs="Times New Roman"/>
          <w:b/>
          <w:bCs/>
          <w:color w:val="0000FF"/>
          <w:sz w:val="28"/>
          <w:szCs w:val="28"/>
          <w:lang w:val="en-US" w:eastAsia="zh-CN"/>
        </w:rPr>
      </w:pPr>
      <w:r>
        <w:rPr>
          <w:rFonts w:hint="eastAsia" w:ascii="Times New Roman" w:hAnsi="Times New Roman" w:eastAsia="宋体" w:cs="Times New Roman"/>
          <w:b/>
          <w:bCs/>
          <w:color w:val="0000FF"/>
          <w:sz w:val="28"/>
          <w:szCs w:val="28"/>
          <w:lang w:val="en-US" w:eastAsia="zh-CN"/>
        </w:rPr>
        <w:t>4.2 危险物质及工艺系统危险性（P）分级</w:t>
      </w:r>
    </w:p>
    <w:p w14:paraId="4474798A">
      <w:pPr>
        <w:pStyle w:val="9"/>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562" w:firstLineChars="200"/>
        <w:textAlignment w:val="auto"/>
        <w:outlineLvl w:val="2"/>
        <w:rPr>
          <w:rFonts w:hint="default" w:ascii="Times New Roman" w:hAnsi="Times New Roman" w:eastAsia="宋体" w:cs="Times New Roman"/>
          <w:color w:val="0000FF"/>
          <w:kern w:val="2"/>
          <w:sz w:val="28"/>
          <w:szCs w:val="28"/>
          <w:highlight w:val="none"/>
          <w:lang w:val="en-US" w:eastAsia="zh-CN" w:bidi="ar-SA"/>
        </w:rPr>
      </w:pPr>
      <w:r>
        <w:rPr>
          <w:rFonts w:hint="eastAsia" w:ascii="Times New Roman" w:hAnsi="Times New Roman" w:eastAsia="宋体" w:cs="Times New Roman"/>
          <w:b/>
          <w:bCs/>
          <w:color w:val="0000FF"/>
          <w:kern w:val="2"/>
          <w:sz w:val="28"/>
          <w:szCs w:val="28"/>
          <w:highlight w:val="none"/>
          <w:lang w:val="en-US" w:eastAsia="zh-CN" w:bidi="ar-SA"/>
        </w:rPr>
        <w:t>4.2.1</w:t>
      </w:r>
      <w:r>
        <w:rPr>
          <w:rFonts w:hint="default" w:ascii="Times New Roman" w:hAnsi="Times New Roman" w:eastAsia="宋体" w:cs="Times New Roman"/>
          <w:b/>
          <w:bCs/>
          <w:color w:val="0000FF"/>
          <w:kern w:val="2"/>
          <w:sz w:val="28"/>
          <w:szCs w:val="28"/>
          <w:highlight w:val="none"/>
          <w:lang w:val="en-US" w:eastAsia="zh-CN" w:bidi="ar-SA"/>
        </w:rPr>
        <w:t>危险物质数量与临界量比值（Q）</w:t>
      </w:r>
    </w:p>
    <w:p w14:paraId="308CDE95">
      <w:pPr>
        <w:adjustRightInd w:val="0"/>
        <w:snapToGrid w:val="0"/>
        <w:spacing w:line="360" w:lineRule="auto"/>
        <w:ind w:firstLine="420"/>
        <w:jc w:val="left"/>
        <w:outlineLvl w:val="9"/>
        <w:rPr>
          <w:rFonts w:hint="default" w:ascii="Times New Roman" w:hAnsi="Times New Roman" w:eastAsia="宋体" w:cs="Times New Roman"/>
          <w:color w:val="0000FF"/>
          <w:spacing w:val="0"/>
          <w:kern w:val="2"/>
          <w:sz w:val="28"/>
          <w:szCs w:val="28"/>
          <w:highlight w:val="none"/>
          <w:u w:val="none"/>
          <w:lang w:val="zh-CN" w:eastAsia="zh-CN" w:bidi="ar-SA"/>
        </w:rPr>
      </w:pPr>
      <w:r>
        <w:rPr>
          <w:rFonts w:hint="default" w:ascii="Times New Roman" w:hAnsi="Times New Roman" w:eastAsia="宋体" w:cs="Times New Roman"/>
          <w:color w:val="0000FF"/>
          <w:spacing w:val="0"/>
          <w:kern w:val="2"/>
          <w:sz w:val="28"/>
          <w:szCs w:val="28"/>
          <w:highlight w:val="none"/>
          <w:u w:val="none"/>
          <w:lang w:val="zh-CN" w:eastAsia="zh-CN" w:bidi="ar-SA"/>
        </w:rPr>
        <w:t>根据《建设项目环境风险评价技术导则》（HJ 169-2018）附录C，当存在多种危险物质时，则按下式计算物质总量与其临界量比值Q。</w:t>
      </w:r>
    </w:p>
    <w:p w14:paraId="5F1F8C1F">
      <w:pPr>
        <w:kinsoku/>
        <w:overflowPunct/>
        <w:bidi w:val="0"/>
        <w:spacing w:line="360" w:lineRule="auto"/>
        <w:ind w:left="0" w:leftChars="0" w:right="0" w:firstLine="0" w:firstLineChars="0"/>
        <w:jc w:val="center"/>
        <w:rPr>
          <w:rFonts w:hint="default" w:ascii="Times New Roman" w:hAnsi="Times New Roman" w:eastAsia="宋体" w:cs="Times New Roman"/>
          <w:color w:val="0000FF"/>
          <w:sz w:val="24"/>
          <w:szCs w:val="24"/>
          <w:highlight w:val="none"/>
        </w:rPr>
      </w:pPr>
      <w:r>
        <w:rPr>
          <w:rFonts w:hint="default" w:ascii="Times New Roman" w:hAnsi="Times New Roman" w:eastAsia="宋体" w:cs="Times New Roman"/>
          <w:color w:val="0000FF"/>
          <w:sz w:val="24"/>
          <w:szCs w:val="24"/>
          <w:highlight w:val="none"/>
        </w:rPr>
        <w:drawing>
          <wp:inline distT="0" distB="0" distL="114300" distR="114300">
            <wp:extent cx="2080895" cy="530225"/>
            <wp:effectExtent l="0" t="0" r="14605" b="3175"/>
            <wp:docPr id="49" name="图片 1" descr="C:\Users\ADMINI~1.X6X\AppData\Local\Temp\ksohtml\wps9ED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C:\Users\ADMINI~1.X6X\AppData\Local\Temp\ksohtml\wps9EDF.tmp.jpg"/>
                    <pic:cNvPicPr>
                      <a:picLocks noChangeAspect="1"/>
                    </pic:cNvPicPr>
                  </pic:nvPicPr>
                  <pic:blipFill>
                    <a:blip r:embed="rId33"/>
                    <a:stretch>
                      <a:fillRect/>
                    </a:stretch>
                  </pic:blipFill>
                  <pic:spPr>
                    <a:xfrm>
                      <a:off x="0" y="0"/>
                      <a:ext cx="2080895" cy="530225"/>
                    </a:xfrm>
                    <a:prstGeom prst="rect">
                      <a:avLst/>
                    </a:prstGeom>
                    <a:noFill/>
                    <a:ln>
                      <a:noFill/>
                    </a:ln>
                  </pic:spPr>
                </pic:pic>
              </a:graphicData>
            </a:graphic>
          </wp:inline>
        </w:drawing>
      </w:r>
    </w:p>
    <w:p w14:paraId="293CDD25">
      <w:pPr>
        <w:adjustRightInd w:val="0"/>
        <w:snapToGrid w:val="0"/>
        <w:spacing w:line="360" w:lineRule="auto"/>
        <w:ind w:firstLine="420"/>
        <w:jc w:val="left"/>
        <w:outlineLvl w:val="9"/>
        <w:rPr>
          <w:rFonts w:hint="default" w:ascii="Times New Roman" w:hAnsi="Times New Roman" w:eastAsia="宋体" w:cs="Times New Roman"/>
          <w:color w:val="0000FF"/>
          <w:spacing w:val="0"/>
          <w:kern w:val="2"/>
          <w:sz w:val="28"/>
          <w:szCs w:val="28"/>
          <w:highlight w:val="none"/>
          <w:u w:val="none"/>
          <w:lang w:val="zh-CN" w:eastAsia="zh-CN" w:bidi="ar-SA"/>
        </w:rPr>
      </w:pPr>
      <w:r>
        <w:rPr>
          <w:rFonts w:hint="default" w:ascii="Times New Roman" w:hAnsi="Times New Roman" w:eastAsia="宋体" w:cs="Times New Roman"/>
          <w:color w:val="0000FF"/>
          <w:spacing w:val="0"/>
          <w:kern w:val="2"/>
          <w:sz w:val="28"/>
          <w:szCs w:val="28"/>
          <w:highlight w:val="none"/>
          <w:u w:val="none"/>
          <w:lang w:val="zh-CN" w:eastAsia="zh-CN" w:bidi="ar-SA"/>
        </w:rPr>
        <w:t>式中：q1，q2，...，qn--每种危险物质的最大存在总量，t；</w:t>
      </w:r>
    </w:p>
    <w:p w14:paraId="35F4FD01">
      <w:pPr>
        <w:adjustRightInd w:val="0"/>
        <w:snapToGrid w:val="0"/>
        <w:spacing w:line="360" w:lineRule="auto"/>
        <w:ind w:firstLine="1400" w:firstLineChars="500"/>
        <w:jc w:val="left"/>
        <w:outlineLvl w:val="9"/>
        <w:rPr>
          <w:rFonts w:hint="default" w:ascii="Times New Roman" w:hAnsi="Times New Roman" w:eastAsia="宋体" w:cs="Times New Roman"/>
          <w:color w:val="0000FF"/>
          <w:spacing w:val="0"/>
          <w:kern w:val="2"/>
          <w:sz w:val="28"/>
          <w:szCs w:val="28"/>
          <w:highlight w:val="none"/>
          <w:u w:val="none"/>
          <w:lang w:val="zh-CN" w:eastAsia="zh-CN" w:bidi="ar-SA"/>
        </w:rPr>
      </w:pPr>
      <w:r>
        <w:rPr>
          <w:rFonts w:hint="default" w:ascii="Times New Roman" w:hAnsi="Times New Roman" w:eastAsia="宋体" w:cs="Times New Roman"/>
          <w:color w:val="0000FF"/>
          <w:spacing w:val="0"/>
          <w:kern w:val="2"/>
          <w:sz w:val="28"/>
          <w:szCs w:val="28"/>
          <w:highlight w:val="none"/>
          <w:u w:val="none"/>
          <w:lang w:val="zh-CN" w:eastAsia="zh-CN" w:bidi="ar-SA"/>
        </w:rPr>
        <w:t>Q1，Q2，...，Qn--每种危险物质的临界量，t。</w:t>
      </w:r>
    </w:p>
    <w:p w14:paraId="25F4895B">
      <w:pPr>
        <w:adjustRightInd w:val="0"/>
        <w:snapToGrid w:val="0"/>
        <w:spacing w:line="360" w:lineRule="auto"/>
        <w:ind w:firstLine="560" w:firstLineChars="200"/>
        <w:jc w:val="left"/>
        <w:outlineLvl w:val="9"/>
        <w:rPr>
          <w:rFonts w:hint="default" w:ascii="Times New Roman" w:hAnsi="Times New Roman" w:eastAsia="宋体" w:cs="Times New Roman"/>
          <w:color w:val="0000FF"/>
          <w:spacing w:val="0"/>
          <w:kern w:val="2"/>
          <w:sz w:val="28"/>
          <w:szCs w:val="28"/>
          <w:highlight w:val="none"/>
          <w:u w:val="none"/>
          <w:lang w:val="zh-CN" w:eastAsia="zh-CN" w:bidi="ar-SA"/>
        </w:rPr>
      </w:pPr>
      <w:r>
        <w:rPr>
          <w:rFonts w:hint="default" w:ascii="Times New Roman" w:hAnsi="Times New Roman" w:eastAsia="宋体" w:cs="Times New Roman"/>
          <w:color w:val="0000FF"/>
          <w:spacing w:val="0"/>
          <w:kern w:val="2"/>
          <w:sz w:val="28"/>
          <w:szCs w:val="28"/>
          <w:highlight w:val="none"/>
          <w:u w:val="none"/>
          <w:lang w:val="zh-CN" w:eastAsia="zh-CN" w:bidi="ar-SA"/>
        </w:rPr>
        <w:t>当Q&lt;1时，该项目环境风险潜势为Ⅰ。</w:t>
      </w:r>
    </w:p>
    <w:p w14:paraId="168F53FB">
      <w:pPr>
        <w:adjustRightInd w:val="0"/>
        <w:snapToGrid w:val="0"/>
        <w:spacing w:line="360" w:lineRule="auto"/>
        <w:ind w:firstLine="560" w:firstLineChars="200"/>
        <w:jc w:val="left"/>
        <w:outlineLvl w:val="9"/>
        <w:rPr>
          <w:rFonts w:hint="default" w:ascii="Times New Roman" w:hAnsi="Times New Roman" w:eastAsia="宋体" w:cs="Times New Roman"/>
          <w:color w:val="0000FF"/>
          <w:spacing w:val="0"/>
          <w:kern w:val="2"/>
          <w:sz w:val="28"/>
          <w:szCs w:val="28"/>
          <w:highlight w:val="none"/>
          <w:u w:val="none"/>
          <w:lang w:val="zh-CN" w:eastAsia="zh-CN" w:bidi="ar-SA"/>
        </w:rPr>
      </w:pPr>
      <w:r>
        <w:rPr>
          <w:rFonts w:hint="default" w:ascii="Times New Roman" w:hAnsi="Times New Roman" w:eastAsia="宋体" w:cs="Times New Roman"/>
          <w:color w:val="0000FF"/>
          <w:spacing w:val="0"/>
          <w:kern w:val="2"/>
          <w:sz w:val="28"/>
          <w:szCs w:val="28"/>
          <w:highlight w:val="none"/>
          <w:u w:val="none"/>
          <w:lang w:val="zh-CN" w:eastAsia="zh-CN" w:bidi="ar-SA"/>
        </w:rPr>
        <w:t>当Q≥1时，将Q值划分为1≤Q&lt;10；10≤Q&lt;100；Q≥100。</w:t>
      </w:r>
    </w:p>
    <w:p w14:paraId="671BD820">
      <w:pPr>
        <w:adjustRightInd w:val="0"/>
        <w:snapToGrid w:val="0"/>
        <w:spacing w:line="360" w:lineRule="auto"/>
        <w:ind w:firstLine="560" w:firstLineChars="200"/>
        <w:jc w:val="left"/>
        <w:outlineLvl w:val="9"/>
        <w:rPr>
          <w:rFonts w:hint="eastAsia" w:ascii="仿宋" w:hAnsi="仿宋" w:eastAsia="仿宋" w:cs="仿宋"/>
          <w:color w:val="0000FF"/>
          <w:spacing w:val="0"/>
          <w:kern w:val="2"/>
          <w:sz w:val="28"/>
          <w:szCs w:val="28"/>
          <w:highlight w:val="none"/>
          <w:u w:val="none"/>
          <w:lang w:val="en-US" w:eastAsia="zh-CN" w:bidi="ar-SA"/>
        </w:rPr>
      </w:pPr>
      <w:r>
        <w:rPr>
          <w:rFonts w:hint="default" w:ascii="Times New Roman" w:hAnsi="Times New Roman" w:eastAsia="宋体" w:cs="Times New Roman"/>
          <w:color w:val="0000FF"/>
          <w:spacing w:val="0"/>
          <w:kern w:val="2"/>
          <w:sz w:val="28"/>
          <w:szCs w:val="28"/>
          <w:highlight w:val="none"/>
          <w:u w:val="none"/>
          <w:lang w:val="en-US" w:eastAsia="zh-CN" w:bidi="ar-SA"/>
        </w:rPr>
        <w:t>本项目所涉及危险物质主要为</w:t>
      </w:r>
      <w:r>
        <w:rPr>
          <w:rFonts w:hint="eastAsia" w:cs="Times New Roman"/>
          <w:color w:val="0000FF"/>
          <w:spacing w:val="0"/>
          <w:kern w:val="2"/>
          <w:sz w:val="28"/>
          <w:szCs w:val="28"/>
          <w:highlight w:val="none"/>
          <w:u w:val="none"/>
          <w:lang w:val="en-US" w:eastAsia="zh-CN" w:bidi="ar-SA"/>
        </w:rPr>
        <w:t>硝酸</w:t>
      </w:r>
      <w:r>
        <w:rPr>
          <w:rFonts w:hint="default" w:ascii="Times New Roman" w:hAnsi="Times New Roman" w:eastAsia="宋体" w:cs="Times New Roman"/>
          <w:color w:val="0000FF"/>
          <w:spacing w:val="0"/>
          <w:kern w:val="2"/>
          <w:sz w:val="28"/>
          <w:szCs w:val="28"/>
          <w:highlight w:val="none"/>
          <w:u w:val="none"/>
          <w:lang w:val="en-US" w:eastAsia="zh-CN" w:bidi="ar-SA"/>
        </w:rPr>
        <w:t>，根据《建设项目环境风险评价技术导则》（HJ169-2018）附录B危险物质及临界量，以及本项目运营过程实际存在最大量，项目主要危险物质的临界量比值见表4-</w:t>
      </w:r>
      <w:r>
        <w:rPr>
          <w:rFonts w:hint="eastAsia" w:ascii="Times New Roman" w:hAnsi="Times New Roman" w:eastAsia="宋体" w:cs="Times New Roman"/>
          <w:color w:val="0000FF"/>
          <w:spacing w:val="0"/>
          <w:kern w:val="2"/>
          <w:sz w:val="28"/>
          <w:szCs w:val="28"/>
          <w:highlight w:val="none"/>
          <w:u w:val="none"/>
          <w:lang w:val="en-US" w:eastAsia="zh-CN" w:bidi="ar-SA"/>
        </w:rPr>
        <w:t>2</w:t>
      </w:r>
      <w:r>
        <w:rPr>
          <w:rFonts w:hint="default" w:ascii="Times New Roman" w:hAnsi="Times New Roman" w:eastAsia="宋体" w:cs="Times New Roman"/>
          <w:color w:val="0000FF"/>
          <w:spacing w:val="0"/>
          <w:kern w:val="2"/>
          <w:sz w:val="28"/>
          <w:szCs w:val="28"/>
          <w:highlight w:val="none"/>
          <w:u w:val="none"/>
          <w:lang w:val="en-US" w:eastAsia="zh-CN" w:bidi="ar-SA"/>
        </w:rPr>
        <w:t>。</w:t>
      </w:r>
    </w:p>
    <w:p w14:paraId="36C21037">
      <w:pPr>
        <w:pStyle w:val="9"/>
        <w:spacing w:before="0" w:after="0" w:line="240" w:lineRule="auto"/>
        <w:ind w:right="0" w:firstLine="0"/>
        <w:jc w:val="center"/>
        <w:rPr>
          <w:rFonts w:hint="default" w:ascii="Times New Roman" w:hAnsi="Times New Roman" w:eastAsia="宋体" w:cs="Times New Roman"/>
          <w:b/>
          <w:snapToGrid/>
          <w:color w:val="0000FF"/>
          <w:kern w:val="0"/>
          <w:sz w:val="21"/>
          <w:szCs w:val="21"/>
          <w:highlight w:val="none"/>
          <w:lang w:val="en-US" w:eastAsia="zh-CN" w:bidi="ar-SA"/>
        </w:rPr>
      </w:pPr>
      <w:r>
        <w:rPr>
          <w:rFonts w:hint="default" w:ascii="Times New Roman" w:hAnsi="Times New Roman" w:eastAsia="宋体" w:cs="Times New Roman"/>
          <w:b/>
          <w:snapToGrid/>
          <w:color w:val="0000FF"/>
          <w:kern w:val="0"/>
          <w:sz w:val="21"/>
          <w:szCs w:val="21"/>
          <w:highlight w:val="none"/>
          <w:lang w:val="en-US" w:eastAsia="zh-CN" w:bidi="ar-SA"/>
        </w:rPr>
        <w:t>表4-</w:t>
      </w:r>
      <w:r>
        <w:rPr>
          <w:rFonts w:hint="eastAsia" w:ascii="Times New Roman" w:hAnsi="Times New Roman" w:eastAsia="宋体" w:cs="Times New Roman"/>
          <w:b/>
          <w:snapToGrid/>
          <w:color w:val="0000FF"/>
          <w:kern w:val="0"/>
          <w:sz w:val="21"/>
          <w:szCs w:val="21"/>
          <w:highlight w:val="none"/>
          <w:lang w:val="en-US" w:eastAsia="zh-CN" w:bidi="ar-SA"/>
        </w:rPr>
        <w:t>2</w:t>
      </w:r>
      <w:r>
        <w:rPr>
          <w:rFonts w:hint="default" w:ascii="Times New Roman" w:hAnsi="Times New Roman" w:eastAsia="宋体" w:cs="Times New Roman"/>
          <w:b/>
          <w:snapToGrid/>
          <w:color w:val="0000FF"/>
          <w:kern w:val="0"/>
          <w:sz w:val="21"/>
          <w:szCs w:val="21"/>
          <w:highlight w:val="none"/>
          <w:lang w:val="en-US" w:eastAsia="zh-CN" w:bidi="ar-SA"/>
        </w:rPr>
        <w:t xml:space="preserve">   项目主要危险物质临界量比值一览表</w:t>
      </w:r>
    </w:p>
    <w:tbl>
      <w:tblPr>
        <w:tblStyle w:val="22"/>
        <w:tblW w:w="0" w:type="auto"/>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38"/>
        <w:gridCol w:w="2010"/>
        <w:gridCol w:w="1798"/>
        <w:gridCol w:w="1500"/>
        <w:gridCol w:w="2460"/>
      </w:tblGrid>
      <w:tr w14:paraId="565633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838" w:type="dxa"/>
            <w:tcBorders>
              <w:tl2br w:val="nil"/>
              <w:tr2bl w:val="nil"/>
            </w:tcBorders>
            <w:noWrap w:val="0"/>
            <w:vAlign w:val="center"/>
          </w:tcPr>
          <w:p w14:paraId="78A80E1E">
            <w:pPr>
              <w:pStyle w:val="34"/>
              <w:keepNext w:val="0"/>
              <w:keepLines w:val="0"/>
              <w:pageBreakBefore w:val="0"/>
              <w:widowControl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eastAsia="宋体" w:cs="Times New Roman"/>
                <w:b/>
                <w:color w:val="0000FF"/>
                <w:sz w:val="21"/>
              </w:rPr>
            </w:pPr>
            <w:r>
              <w:rPr>
                <w:rFonts w:hint="default" w:ascii="Times New Roman" w:hAnsi="Times New Roman" w:eastAsia="宋体" w:cs="Times New Roman"/>
                <w:b/>
                <w:color w:val="0000FF"/>
                <w:sz w:val="21"/>
              </w:rPr>
              <w:t>序号</w:t>
            </w:r>
          </w:p>
        </w:tc>
        <w:tc>
          <w:tcPr>
            <w:tcW w:w="2010" w:type="dxa"/>
            <w:tcBorders>
              <w:tl2br w:val="nil"/>
              <w:tr2bl w:val="nil"/>
            </w:tcBorders>
            <w:noWrap w:val="0"/>
            <w:vAlign w:val="center"/>
          </w:tcPr>
          <w:p w14:paraId="5E681052">
            <w:pPr>
              <w:pStyle w:val="34"/>
              <w:keepNext w:val="0"/>
              <w:keepLines w:val="0"/>
              <w:pageBreakBefore w:val="0"/>
              <w:widowControl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eastAsia="宋体" w:cs="Times New Roman"/>
                <w:b/>
                <w:color w:val="0000FF"/>
                <w:sz w:val="21"/>
              </w:rPr>
            </w:pPr>
            <w:r>
              <w:rPr>
                <w:rFonts w:hint="default" w:ascii="Times New Roman" w:hAnsi="Times New Roman" w:eastAsia="宋体" w:cs="Times New Roman"/>
                <w:b/>
                <w:color w:val="0000FF"/>
                <w:sz w:val="21"/>
              </w:rPr>
              <w:t>储存或使用物质</w:t>
            </w:r>
          </w:p>
        </w:tc>
        <w:tc>
          <w:tcPr>
            <w:tcW w:w="1798" w:type="dxa"/>
            <w:tcBorders>
              <w:tl2br w:val="nil"/>
              <w:tr2bl w:val="nil"/>
            </w:tcBorders>
            <w:noWrap w:val="0"/>
            <w:vAlign w:val="center"/>
          </w:tcPr>
          <w:p w14:paraId="17F87A84">
            <w:pPr>
              <w:pStyle w:val="34"/>
              <w:keepNext w:val="0"/>
              <w:keepLines w:val="0"/>
              <w:pageBreakBefore w:val="0"/>
              <w:widowControl w:val="0"/>
              <w:kinsoku/>
              <w:wordWrap/>
              <w:overflowPunct/>
              <w:topLinePunct w:val="0"/>
              <w:autoSpaceDE/>
              <w:autoSpaceDN/>
              <w:bidi w:val="0"/>
              <w:adjustRightInd/>
              <w:snapToGrid/>
              <w:ind w:left="0" w:right="0" w:rightChars="0" w:firstLine="0" w:firstLineChars="0"/>
              <w:jc w:val="center"/>
              <w:textAlignment w:val="auto"/>
              <w:rPr>
                <w:rFonts w:hint="default" w:ascii="Times New Roman" w:hAnsi="Times New Roman" w:eastAsia="宋体" w:cs="Times New Roman"/>
                <w:b/>
                <w:color w:val="0000FF"/>
                <w:kern w:val="2"/>
                <w:sz w:val="21"/>
                <w:szCs w:val="24"/>
                <w:lang w:val="zh-CN" w:eastAsia="zh-CN" w:bidi="zh-CN"/>
              </w:rPr>
            </w:pPr>
            <w:r>
              <w:rPr>
                <w:rFonts w:hint="default" w:ascii="Times New Roman" w:hAnsi="Times New Roman" w:eastAsia="宋体" w:cs="Times New Roman"/>
                <w:b/>
                <w:color w:val="0000FF"/>
                <w:sz w:val="21"/>
              </w:rPr>
              <w:t>最大</w:t>
            </w:r>
            <w:r>
              <w:rPr>
                <w:rFonts w:hint="default" w:ascii="Times New Roman" w:hAnsi="Times New Roman" w:eastAsia="宋体" w:cs="Times New Roman"/>
                <w:b/>
                <w:color w:val="0000FF"/>
                <w:sz w:val="21"/>
                <w:lang w:eastAsia="zh-CN"/>
              </w:rPr>
              <w:t>储</w:t>
            </w:r>
            <w:r>
              <w:rPr>
                <w:rFonts w:hint="default" w:ascii="Times New Roman" w:hAnsi="Times New Roman" w:eastAsia="宋体" w:cs="Times New Roman"/>
                <w:b/>
                <w:color w:val="0000FF"/>
                <w:sz w:val="21"/>
              </w:rPr>
              <w:t>存量(t)</w:t>
            </w:r>
          </w:p>
        </w:tc>
        <w:tc>
          <w:tcPr>
            <w:tcW w:w="1500" w:type="dxa"/>
            <w:tcBorders>
              <w:tl2br w:val="nil"/>
              <w:tr2bl w:val="nil"/>
            </w:tcBorders>
            <w:noWrap w:val="0"/>
            <w:vAlign w:val="center"/>
          </w:tcPr>
          <w:p w14:paraId="2ACFF617">
            <w:pPr>
              <w:pStyle w:val="34"/>
              <w:keepNext w:val="0"/>
              <w:keepLines w:val="0"/>
              <w:pageBreakBefore w:val="0"/>
              <w:widowControl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eastAsia="宋体" w:cs="Times New Roman"/>
                <w:b/>
                <w:color w:val="0000FF"/>
                <w:sz w:val="21"/>
              </w:rPr>
            </w:pPr>
            <w:r>
              <w:rPr>
                <w:rFonts w:hint="default" w:ascii="Times New Roman" w:hAnsi="Times New Roman" w:eastAsia="宋体" w:cs="Times New Roman"/>
                <w:b/>
                <w:color w:val="0000FF"/>
                <w:sz w:val="21"/>
              </w:rPr>
              <w:t>临界量(t)</w:t>
            </w:r>
          </w:p>
        </w:tc>
        <w:tc>
          <w:tcPr>
            <w:tcW w:w="2460" w:type="dxa"/>
            <w:tcBorders>
              <w:tl2br w:val="nil"/>
              <w:tr2bl w:val="nil"/>
            </w:tcBorders>
            <w:noWrap w:val="0"/>
            <w:vAlign w:val="center"/>
          </w:tcPr>
          <w:p w14:paraId="06F1D3C1">
            <w:pPr>
              <w:pStyle w:val="34"/>
              <w:keepNext w:val="0"/>
              <w:keepLines w:val="0"/>
              <w:pageBreakBefore w:val="0"/>
              <w:widowControl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eastAsia="宋体" w:cs="Times New Roman"/>
                <w:color w:val="0000FF"/>
                <w:sz w:val="21"/>
              </w:rPr>
            </w:pPr>
            <w:r>
              <w:rPr>
                <w:rFonts w:hint="default" w:ascii="Times New Roman" w:hAnsi="Times New Roman" w:eastAsia="宋体" w:cs="Times New Roman"/>
                <w:b/>
                <w:bCs/>
                <w:color w:val="0000FF"/>
                <w:sz w:val="21"/>
              </w:rPr>
              <w:t>q/Q</w:t>
            </w:r>
          </w:p>
        </w:tc>
      </w:tr>
      <w:tr w14:paraId="085ECC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 w:hRule="atLeast"/>
        </w:trPr>
        <w:tc>
          <w:tcPr>
            <w:tcW w:w="838" w:type="dxa"/>
            <w:tcBorders>
              <w:tl2br w:val="nil"/>
              <w:tr2bl w:val="nil"/>
            </w:tcBorders>
            <w:noWrap w:val="0"/>
            <w:vAlign w:val="center"/>
          </w:tcPr>
          <w:p w14:paraId="2AA7D7D3">
            <w:pPr>
              <w:pStyle w:val="34"/>
              <w:keepNext w:val="0"/>
              <w:keepLines w:val="0"/>
              <w:pageBreakBefore w:val="0"/>
              <w:widowControl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eastAsia="宋体" w:cs="Times New Roman"/>
                <w:color w:val="0000FF"/>
                <w:sz w:val="21"/>
              </w:rPr>
            </w:pPr>
            <w:r>
              <w:rPr>
                <w:rFonts w:hint="default" w:ascii="Times New Roman" w:hAnsi="Times New Roman" w:eastAsia="宋体" w:cs="Times New Roman"/>
                <w:color w:val="0000FF"/>
                <w:sz w:val="21"/>
              </w:rPr>
              <w:t>1</w:t>
            </w:r>
          </w:p>
        </w:tc>
        <w:tc>
          <w:tcPr>
            <w:tcW w:w="2010" w:type="dxa"/>
            <w:tcBorders>
              <w:tl2br w:val="nil"/>
              <w:tr2bl w:val="nil"/>
            </w:tcBorders>
            <w:noWrap w:val="0"/>
            <w:vAlign w:val="center"/>
          </w:tcPr>
          <w:p w14:paraId="68D299D8">
            <w:pPr>
              <w:pStyle w:val="34"/>
              <w:keepNext w:val="0"/>
              <w:keepLines w:val="0"/>
              <w:pageBreakBefore w:val="0"/>
              <w:widowControl w:val="0"/>
              <w:kinsoku/>
              <w:wordWrap/>
              <w:overflowPunct/>
              <w:topLinePunct w:val="0"/>
              <w:autoSpaceDE/>
              <w:autoSpaceDN/>
              <w:bidi w:val="0"/>
              <w:adjustRightInd/>
              <w:snapToGrid/>
              <w:ind w:left="0" w:right="0" w:firstLine="0" w:firstLineChars="0"/>
              <w:jc w:val="center"/>
              <w:textAlignment w:val="auto"/>
              <w:rPr>
                <w:rFonts w:hint="eastAsia" w:ascii="Times New Roman" w:hAnsi="Times New Roman" w:eastAsia="宋体" w:cs="Times New Roman"/>
                <w:color w:val="0000FF"/>
                <w:sz w:val="21"/>
                <w:lang w:eastAsia="zh-CN"/>
              </w:rPr>
            </w:pPr>
            <w:r>
              <w:rPr>
                <w:rFonts w:hint="eastAsia" w:ascii="Times New Roman" w:hAnsi="Times New Roman" w:eastAsia="宋体" w:cs="Times New Roman"/>
                <w:color w:val="0000FF"/>
                <w:sz w:val="21"/>
                <w:lang w:eastAsia="zh-CN"/>
              </w:rPr>
              <w:t>硝酸</w:t>
            </w:r>
          </w:p>
        </w:tc>
        <w:tc>
          <w:tcPr>
            <w:tcW w:w="1798" w:type="dxa"/>
            <w:tcBorders>
              <w:tl2br w:val="nil"/>
              <w:tr2bl w:val="nil"/>
            </w:tcBorders>
            <w:noWrap w:val="0"/>
            <w:vAlign w:val="center"/>
          </w:tcPr>
          <w:p w14:paraId="75257EA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FF"/>
                <w:kern w:val="2"/>
                <w:sz w:val="21"/>
                <w:szCs w:val="24"/>
                <w:lang w:val="en-US" w:eastAsia="zh-CN" w:bidi="zh-CN"/>
              </w:rPr>
            </w:pPr>
            <w:r>
              <w:rPr>
                <w:rFonts w:hint="default" w:ascii="Times New Roman" w:hAnsi="Times New Roman" w:eastAsia="宋体" w:cs="Times New Roman"/>
                <w:color w:val="0000FF"/>
                <w:kern w:val="2"/>
                <w:sz w:val="21"/>
                <w:szCs w:val="24"/>
                <w:lang w:val="en-US" w:eastAsia="zh-CN" w:bidi="zh-CN"/>
              </w:rPr>
              <w:t>6152</w:t>
            </w:r>
          </w:p>
        </w:tc>
        <w:tc>
          <w:tcPr>
            <w:tcW w:w="1500" w:type="dxa"/>
            <w:tcBorders>
              <w:tl2br w:val="nil"/>
              <w:tr2bl w:val="nil"/>
            </w:tcBorders>
            <w:noWrap w:val="0"/>
            <w:vAlign w:val="center"/>
          </w:tcPr>
          <w:p w14:paraId="16D2875D">
            <w:pPr>
              <w:pStyle w:val="34"/>
              <w:keepNext w:val="0"/>
              <w:keepLines w:val="0"/>
              <w:pageBreakBefore w:val="0"/>
              <w:widowControl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eastAsia="宋体" w:cs="Times New Roman"/>
                <w:color w:val="0000FF"/>
                <w:sz w:val="21"/>
                <w:lang w:val="en-US" w:eastAsia="zh-CN"/>
              </w:rPr>
            </w:pPr>
            <w:r>
              <w:rPr>
                <w:rFonts w:hint="eastAsia" w:ascii="Times New Roman" w:hAnsi="Times New Roman" w:eastAsia="宋体" w:cs="Times New Roman"/>
                <w:color w:val="0000FF"/>
                <w:sz w:val="21"/>
                <w:lang w:val="en-US" w:eastAsia="zh-CN"/>
              </w:rPr>
              <w:t>7.5</w:t>
            </w:r>
          </w:p>
        </w:tc>
        <w:tc>
          <w:tcPr>
            <w:tcW w:w="2460" w:type="dxa"/>
            <w:tcBorders>
              <w:tl2br w:val="nil"/>
              <w:tr2bl w:val="nil"/>
            </w:tcBorders>
            <w:noWrap w:val="0"/>
            <w:vAlign w:val="center"/>
          </w:tcPr>
          <w:p w14:paraId="12B92943">
            <w:pPr>
              <w:pStyle w:val="34"/>
              <w:keepNext w:val="0"/>
              <w:keepLines w:val="0"/>
              <w:pageBreakBefore w:val="0"/>
              <w:widowControl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eastAsia="宋体" w:cs="Times New Roman"/>
                <w:color w:val="0000FF"/>
                <w:sz w:val="21"/>
                <w:lang w:val="en-US" w:eastAsia="zh-CN"/>
              </w:rPr>
            </w:pPr>
            <w:r>
              <w:rPr>
                <w:rFonts w:hint="eastAsia" w:ascii="Times New Roman" w:hAnsi="Times New Roman" w:cs="Times New Roman"/>
                <w:color w:val="0000FF"/>
                <w:sz w:val="21"/>
                <w:lang w:val="en-US" w:eastAsia="zh-CN"/>
              </w:rPr>
              <w:t>820.27</w:t>
            </w:r>
          </w:p>
        </w:tc>
      </w:tr>
    </w:tbl>
    <w:p w14:paraId="1CD2B58C">
      <w:pPr>
        <w:pStyle w:val="9"/>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560" w:firstLineChars="200"/>
        <w:textAlignment w:val="auto"/>
        <w:outlineLvl w:val="9"/>
        <w:rPr>
          <w:rFonts w:hint="eastAsia" w:ascii="Times New Roman" w:hAnsi="Times New Roman" w:eastAsia="宋体" w:cs="Times New Roman"/>
          <w:b/>
          <w:bCs/>
          <w:color w:val="0000FF"/>
          <w:kern w:val="2"/>
          <w:sz w:val="28"/>
          <w:szCs w:val="28"/>
          <w:lang w:val="en-US" w:eastAsia="zh-CN" w:bidi="ar-SA"/>
        </w:rPr>
      </w:pPr>
      <w:r>
        <w:rPr>
          <w:rFonts w:hint="eastAsia" w:ascii="Times New Roman" w:hAnsi="Times New Roman" w:eastAsia="宋体" w:cs="Times New Roman"/>
          <w:color w:val="0000FF"/>
          <w:spacing w:val="0"/>
          <w:kern w:val="2"/>
          <w:sz w:val="28"/>
          <w:szCs w:val="28"/>
          <w:highlight w:val="none"/>
          <w:u w:val="none"/>
          <w:lang w:val="en-US" w:eastAsia="zh-CN" w:bidi="ar-SA"/>
        </w:rPr>
        <w:t>根据上表中对项目风险物质的Q值的统计，本项目危险物质及临界量的比值Q值为</w:t>
      </w:r>
      <w:r>
        <w:rPr>
          <w:rFonts w:hint="eastAsia" w:cs="Times New Roman"/>
          <w:color w:val="0000FF"/>
          <w:spacing w:val="0"/>
          <w:kern w:val="2"/>
          <w:sz w:val="28"/>
          <w:szCs w:val="28"/>
          <w:highlight w:val="none"/>
          <w:u w:val="none"/>
          <w:lang w:val="en-US" w:eastAsia="zh-CN" w:bidi="ar-SA"/>
        </w:rPr>
        <w:t>820.27</w:t>
      </w:r>
      <w:r>
        <w:rPr>
          <w:rFonts w:hint="eastAsia" w:ascii="Times New Roman" w:hAnsi="Times New Roman" w:eastAsia="宋体" w:cs="Times New Roman"/>
          <w:color w:val="0000FF"/>
          <w:spacing w:val="0"/>
          <w:kern w:val="2"/>
          <w:sz w:val="28"/>
          <w:szCs w:val="28"/>
          <w:highlight w:val="none"/>
          <w:u w:val="none"/>
          <w:lang w:val="en-US" w:eastAsia="zh-CN" w:bidi="ar-SA"/>
        </w:rPr>
        <w:t>，因此Q≥100。</w:t>
      </w:r>
    </w:p>
    <w:p w14:paraId="4A3A35AD">
      <w:pPr>
        <w:snapToGrid w:val="0"/>
        <w:spacing w:line="360" w:lineRule="auto"/>
        <w:ind w:left="0" w:leftChars="0" w:firstLine="562" w:firstLineChars="200"/>
        <w:outlineLvl w:val="2"/>
        <w:rPr>
          <w:rFonts w:hint="default" w:ascii="Times New Roman" w:hAnsi="Times New Roman" w:eastAsia="宋体" w:cs="Times New Roman"/>
          <w:b/>
          <w:bCs/>
          <w:snapToGrid/>
          <w:color w:val="0000FF"/>
          <w:kern w:val="2"/>
          <w:sz w:val="28"/>
          <w:szCs w:val="28"/>
          <w:highlight w:val="none"/>
          <w:lang w:val="en-US" w:eastAsia="zh-CN" w:bidi="ar-SA"/>
        </w:rPr>
      </w:pPr>
      <w:r>
        <w:rPr>
          <w:rFonts w:hint="eastAsia" w:ascii="Times New Roman" w:hAnsi="Times New Roman" w:eastAsia="宋体" w:cs="Times New Roman"/>
          <w:b/>
          <w:bCs/>
          <w:snapToGrid/>
          <w:color w:val="0000FF"/>
          <w:kern w:val="2"/>
          <w:sz w:val="28"/>
          <w:szCs w:val="28"/>
          <w:highlight w:val="none"/>
          <w:lang w:val="en-US" w:eastAsia="zh-CN" w:bidi="ar-SA"/>
        </w:rPr>
        <w:t>4.2.2</w:t>
      </w:r>
      <w:r>
        <w:rPr>
          <w:rFonts w:hint="default" w:ascii="Times New Roman" w:hAnsi="Times New Roman" w:eastAsia="宋体" w:cs="Times New Roman"/>
          <w:b/>
          <w:bCs/>
          <w:snapToGrid/>
          <w:color w:val="0000FF"/>
          <w:kern w:val="2"/>
          <w:sz w:val="28"/>
          <w:szCs w:val="28"/>
          <w:highlight w:val="none"/>
          <w:lang w:val="en-US" w:eastAsia="zh-CN" w:bidi="ar-SA"/>
        </w:rPr>
        <w:t>行业及生产工艺 (M)</w:t>
      </w:r>
    </w:p>
    <w:p w14:paraId="0C98843A">
      <w:pPr>
        <w:snapToGrid w:val="0"/>
        <w:spacing w:line="360" w:lineRule="auto"/>
        <w:ind w:firstLine="560" w:firstLineChars="200"/>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kern w:val="2"/>
          <w:sz w:val="28"/>
          <w:szCs w:val="28"/>
          <w:highlight w:val="none"/>
          <w:lang w:val="en-US" w:eastAsia="zh-CN" w:bidi="ar-SA"/>
        </w:rPr>
        <w:t>分析项目所属行业及生产工艺特点，按照表</w:t>
      </w:r>
      <w:r>
        <w:rPr>
          <w:rFonts w:hint="eastAsia" w:ascii="Times New Roman" w:hAnsi="Times New Roman" w:eastAsia="宋体" w:cs="Times New Roman"/>
          <w:color w:val="0000FF"/>
          <w:kern w:val="2"/>
          <w:sz w:val="28"/>
          <w:szCs w:val="28"/>
          <w:highlight w:val="none"/>
          <w:lang w:val="en-US" w:eastAsia="zh-CN" w:bidi="ar-SA"/>
        </w:rPr>
        <w:t>4</w:t>
      </w:r>
      <w:r>
        <w:rPr>
          <w:rFonts w:hint="default" w:ascii="Times New Roman" w:hAnsi="Times New Roman" w:eastAsia="宋体" w:cs="Times New Roman"/>
          <w:color w:val="0000FF"/>
          <w:kern w:val="2"/>
          <w:sz w:val="28"/>
          <w:szCs w:val="28"/>
          <w:highlight w:val="none"/>
          <w:lang w:val="en-US" w:eastAsia="zh-CN" w:bidi="ar-SA"/>
        </w:rPr>
        <w:t>-</w:t>
      </w:r>
      <w:r>
        <w:rPr>
          <w:rFonts w:hint="eastAsia" w:ascii="Times New Roman" w:hAnsi="Times New Roman" w:eastAsia="宋体" w:cs="Times New Roman"/>
          <w:color w:val="0000FF"/>
          <w:kern w:val="2"/>
          <w:sz w:val="28"/>
          <w:szCs w:val="28"/>
          <w:highlight w:val="none"/>
          <w:lang w:val="en-US" w:eastAsia="zh-CN" w:bidi="ar-SA"/>
        </w:rPr>
        <w:t>3</w:t>
      </w:r>
      <w:r>
        <w:rPr>
          <w:rFonts w:hint="default" w:ascii="Times New Roman" w:hAnsi="Times New Roman" w:eastAsia="宋体" w:cs="Times New Roman"/>
          <w:color w:val="0000FF"/>
          <w:kern w:val="2"/>
          <w:sz w:val="28"/>
          <w:szCs w:val="28"/>
          <w:highlight w:val="none"/>
          <w:lang w:val="en-US" w:eastAsia="zh-CN" w:bidi="ar-SA"/>
        </w:rPr>
        <w:t>评估生产工艺情况。具有多套工艺单元的项目，对每套生产工艺分别评分并求和。将M划分为①M&gt;20；②10&lt;M≤20；③5&lt;M≤10；④M=5，分别以M1、M2、M3和M4表示。</w:t>
      </w:r>
    </w:p>
    <w:p w14:paraId="6B8514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snapToGrid/>
          <w:color w:val="0000FF"/>
          <w:kern w:val="0"/>
          <w:sz w:val="21"/>
          <w:szCs w:val="21"/>
          <w:highlight w:val="none"/>
          <w:lang w:val="en-US" w:eastAsia="zh-CN" w:bidi="ar-SA"/>
        </w:rPr>
      </w:pPr>
      <w:r>
        <w:rPr>
          <w:rFonts w:hint="default" w:ascii="Times New Roman" w:hAnsi="Times New Roman" w:eastAsia="宋体" w:cs="Times New Roman"/>
          <w:b/>
          <w:snapToGrid/>
          <w:color w:val="0000FF"/>
          <w:kern w:val="0"/>
          <w:sz w:val="21"/>
          <w:szCs w:val="21"/>
          <w:highlight w:val="none"/>
          <w:lang w:val="en-US" w:eastAsia="zh-CN" w:bidi="ar-SA"/>
        </w:rPr>
        <w:t>表4-</w:t>
      </w:r>
      <w:r>
        <w:rPr>
          <w:rFonts w:hint="eastAsia" w:cs="Times New Roman"/>
          <w:b/>
          <w:snapToGrid/>
          <w:color w:val="0000FF"/>
          <w:kern w:val="0"/>
          <w:sz w:val="21"/>
          <w:szCs w:val="21"/>
          <w:highlight w:val="none"/>
          <w:lang w:val="en-US" w:eastAsia="zh-CN" w:bidi="ar-SA"/>
        </w:rPr>
        <w:t>3</w:t>
      </w:r>
      <w:r>
        <w:rPr>
          <w:rFonts w:hint="default" w:ascii="Times New Roman" w:hAnsi="Times New Roman" w:eastAsia="宋体" w:cs="Times New Roman"/>
          <w:b/>
          <w:snapToGrid/>
          <w:color w:val="0000FF"/>
          <w:kern w:val="0"/>
          <w:sz w:val="21"/>
          <w:szCs w:val="21"/>
          <w:highlight w:val="none"/>
          <w:lang w:val="en-US" w:eastAsia="zh-CN" w:bidi="ar-SA"/>
        </w:rPr>
        <w:t xml:space="preserve">   行业及生产工艺 (M)</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6422"/>
        <w:gridCol w:w="1350"/>
      </w:tblGrid>
      <w:tr w14:paraId="5C74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14:paraId="085FCB3B">
            <w:pPr>
              <w:pStyle w:val="3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0000FF"/>
                <w:vertAlign w:val="baseline"/>
                <w:lang w:val="en-US" w:eastAsia="zh-CN"/>
              </w:rPr>
            </w:pPr>
            <w:r>
              <w:rPr>
                <w:rFonts w:hint="default" w:ascii="Times New Roman" w:hAnsi="Times New Roman" w:eastAsia="宋体" w:cs="Times New Roman"/>
                <w:b/>
                <w:bCs/>
                <w:color w:val="0000FF"/>
                <w:vertAlign w:val="baseline"/>
                <w:lang w:val="en-US" w:eastAsia="zh-CN"/>
              </w:rPr>
              <w:t>行业</w:t>
            </w:r>
          </w:p>
        </w:tc>
        <w:tc>
          <w:tcPr>
            <w:tcW w:w="6422" w:type="dxa"/>
            <w:vAlign w:val="center"/>
          </w:tcPr>
          <w:p w14:paraId="2BFC2ACE">
            <w:pPr>
              <w:pStyle w:val="3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0000FF"/>
                <w:vertAlign w:val="baseline"/>
                <w:lang w:val="en-US" w:eastAsia="zh-CN"/>
              </w:rPr>
            </w:pPr>
            <w:r>
              <w:rPr>
                <w:rFonts w:hint="default" w:ascii="Times New Roman" w:hAnsi="Times New Roman" w:eastAsia="宋体" w:cs="Times New Roman"/>
                <w:b/>
                <w:bCs/>
                <w:color w:val="0000FF"/>
                <w:vertAlign w:val="baseline"/>
                <w:lang w:val="en-US" w:eastAsia="zh-CN"/>
              </w:rPr>
              <w:t>评估依据</w:t>
            </w:r>
          </w:p>
        </w:tc>
        <w:tc>
          <w:tcPr>
            <w:tcW w:w="1350" w:type="dxa"/>
            <w:vAlign w:val="center"/>
          </w:tcPr>
          <w:p w14:paraId="1F46DEE7">
            <w:pPr>
              <w:pStyle w:val="3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0000FF"/>
                <w:vertAlign w:val="baseline"/>
                <w:lang w:val="en-US" w:eastAsia="zh-CN"/>
              </w:rPr>
            </w:pPr>
            <w:r>
              <w:rPr>
                <w:rFonts w:hint="default" w:ascii="Times New Roman" w:hAnsi="Times New Roman" w:eastAsia="宋体" w:cs="Times New Roman"/>
                <w:b/>
                <w:bCs/>
                <w:color w:val="0000FF"/>
                <w:vertAlign w:val="baseline"/>
                <w:lang w:val="en-US" w:eastAsia="zh-CN"/>
              </w:rPr>
              <w:t>分值</w:t>
            </w:r>
          </w:p>
        </w:tc>
      </w:tr>
      <w:tr w14:paraId="6429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Merge w:val="restart"/>
            <w:vAlign w:val="center"/>
          </w:tcPr>
          <w:p w14:paraId="3A8CA6C8">
            <w:pPr>
              <w:pStyle w:val="3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石化、化工、医药、轻工、化纤、有色冶炼等</w:t>
            </w:r>
          </w:p>
        </w:tc>
        <w:tc>
          <w:tcPr>
            <w:tcW w:w="6422" w:type="dxa"/>
          </w:tcPr>
          <w:p w14:paraId="50A4E054">
            <w:pPr>
              <w:keepNext w:val="0"/>
              <w:keepLines w:val="0"/>
              <w:widowControl/>
              <w:suppressLineNumbers w:val="0"/>
              <w:spacing w:before="0" w:beforeAutospacing="0" w:after="0" w:afterAutospacing="0"/>
              <w:ind w:left="0" w:leftChars="0" w:right="0" w:firstLine="0" w:firstLineChars="0"/>
              <w:jc w:val="left"/>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350" w:type="dxa"/>
            <w:vAlign w:val="center"/>
          </w:tcPr>
          <w:p w14:paraId="15C0E0F9">
            <w:pPr>
              <w:pStyle w:val="3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10/套</w:t>
            </w:r>
          </w:p>
        </w:tc>
      </w:tr>
      <w:tr w14:paraId="377F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21" w:type="dxa"/>
            <w:vMerge w:val="continue"/>
            <w:vAlign w:val="center"/>
          </w:tcPr>
          <w:p w14:paraId="0660B324">
            <w:pPr>
              <w:pStyle w:val="31"/>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snapToGrid/>
                <w:color w:val="0000FF"/>
                <w:kern w:val="2"/>
                <w:sz w:val="21"/>
                <w:szCs w:val="20"/>
                <w:lang w:val="en-US" w:eastAsia="zh-CN" w:bidi="ar-SA"/>
              </w:rPr>
            </w:pPr>
          </w:p>
        </w:tc>
        <w:tc>
          <w:tcPr>
            <w:tcW w:w="6422" w:type="dxa"/>
          </w:tcPr>
          <w:p w14:paraId="75F546DE">
            <w:pPr>
              <w:pStyle w:val="31"/>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无机酸制酸工艺、焦化工艺</w:t>
            </w:r>
          </w:p>
        </w:tc>
        <w:tc>
          <w:tcPr>
            <w:tcW w:w="1350" w:type="dxa"/>
            <w:vAlign w:val="center"/>
          </w:tcPr>
          <w:p w14:paraId="0231C397">
            <w:pPr>
              <w:pStyle w:val="3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5/套</w:t>
            </w:r>
          </w:p>
        </w:tc>
      </w:tr>
      <w:tr w14:paraId="239E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Merge w:val="continue"/>
            <w:vAlign w:val="center"/>
          </w:tcPr>
          <w:p w14:paraId="61EACC73">
            <w:pPr>
              <w:pStyle w:val="31"/>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snapToGrid/>
                <w:color w:val="0000FF"/>
                <w:kern w:val="2"/>
                <w:sz w:val="21"/>
                <w:szCs w:val="20"/>
                <w:lang w:val="en-US" w:eastAsia="zh-CN" w:bidi="ar-SA"/>
              </w:rPr>
            </w:pPr>
          </w:p>
        </w:tc>
        <w:tc>
          <w:tcPr>
            <w:tcW w:w="6422" w:type="dxa"/>
          </w:tcPr>
          <w:p w14:paraId="6990B079">
            <w:pPr>
              <w:pStyle w:val="31"/>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其他高温或高压，且涉及危险物质的工艺过程a、危险物质贮存罐区</w:t>
            </w:r>
          </w:p>
        </w:tc>
        <w:tc>
          <w:tcPr>
            <w:tcW w:w="1350" w:type="dxa"/>
            <w:vAlign w:val="center"/>
          </w:tcPr>
          <w:p w14:paraId="32142232">
            <w:pPr>
              <w:pStyle w:val="3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5/套（罐区）</w:t>
            </w:r>
          </w:p>
        </w:tc>
      </w:tr>
      <w:tr w14:paraId="0485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14:paraId="626AABBC">
            <w:pPr>
              <w:pStyle w:val="3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管道、港口/码头等</w:t>
            </w:r>
          </w:p>
        </w:tc>
        <w:tc>
          <w:tcPr>
            <w:tcW w:w="6422" w:type="dxa"/>
            <w:vAlign w:val="center"/>
          </w:tcPr>
          <w:p w14:paraId="150677B3">
            <w:pPr>
              <w:pStyle w:val="31"/>
              <w:keepNext w:val="0"/>
              <w:keepLines w:val="0"/>
              <w:suppressLineNumbers w:val="0"/>
              <w:spacing w:before="0" w:beforeAutospacing="0" w:after="0" w:afterAutospacing="0"/>
              <w:ind w:left="0" w:leftChars="0" w:right="0" w:firstLine="0" w:firstLineChars="0"/>
              <w:jc w:val="both"/>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涉及危险物质管道运输项目、港口/码头等</w:t>
            </w:r>
          </w:p>
        </w:tc>
        <w:tc>
          <w:tcPr>
            <w:tcW w:w="1350" w:type="dxa"/>
            <w:vAlign w:val="center"/>
          </w:tcPr>
          <w:p w14:paraId="25D0E442">
            <w:pPr>
              <w:pStyle w:val="3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10</w:t>
            </w:r>
          </w:p>
        </w:tc>
      </w:tr>
      <w:tr w14:paraId="6232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14:paraId="448FA8DE">
            <w:pPr>
              <w:pStyle w:val="3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石油天然气</w:t>
            </w:r>
          </w:p>
        </w:tc>
        <w:tc>
          <w:tcPr>
            <w:tcW w:w="6422" w:type="dxa"/>
          </w:tcPr>
          <w:p w14:paraId="38447A1F">
            <w:pPr>
              <w:pStyle w:val="31"/>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石油、天然气、页岩气开采（含净化），气库（不含加气站的气库），油库（不含加气站的油库）、油气管线b（不含城镇燃气管线）</w:t>
            </w:r>
          </w:p>
        </w:tc>
        <w:tc>
          <w:tcPr>
            <w:tcW w:w="1350" w:type="dxa"/>
            <w:vAlign w:val="center"/>
          </w:tcPr>
          <w:p w14:paraId="2AB51EE9">
            <w:pPr>
              <w:pStyle w:val="3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10</w:t>
            </w:r>
          </w:p>
        </w:tc>
      </w:tr>
      <w:tr w14:paraId="4BEC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14:paraId="2C228AEF">
            <w:pPr>
              <w:pStyle w:val="3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其他</w:t>
            </w:r>
          </w:p>
        </w:tc>
        <w:tc>
          <w:tcPr>
            <w:tcW w:w="6422" w:type="dxa"/>
          </w:tcPr>
          <w:p w14:paraId="52255B40">
            <w:pPr>
              <w:pStyle w:val="31"/>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涉及危险物质使用、贮存的项目</w:t>
            </w:r>
          </w:p>
        </w:tc>
        <w:tc>
          <w:tcPr>
            <w:tcW w:w="1350" w:type="dxa"/>
            <w:vAlign w:val="center"/>
          </w:tcPr>
          <w:p w14:paraId="3B7B6E1E">
            <w:pPr>
              <w:pStyle w:val="3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5</w:t>
            </w:r>
          </w:p>
        </w:tc>
      </w:tr>
      <w:tr w14:paraId="6145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3" w:type="dxa"/>
            <w:gridSpan w:val="3"/>
          </w:tcPr>
          <w:p w14:paraId="7E08DE0B">
            <w:pPr>
              <w:pStyle w:val="31"/>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a高温指工艺温度≥300C，高压指压力容器的设计压力 (P) ≥10.0 MPa；</w:t>
            </w:r>
          </w:p>
          <w:p w14:paraId="014F54D9">
            <w:pPr>
              <w:pStyle w:val="31"/>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b长输管道运输项目应按站场、管线分段进行评价。</w:t>
            </w:r>
          </w:p>
        </w:tc>
      </w:tr>
    </w:tbl>
    <w:p w14:paraId="56EE6669">
      <w:pPr>
        <w:pStyle w:val="9"/>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560" w:firstLineChars="200"/>
        <w:textAlignment w:val="auto"/>
        <w:outlineLvl w:val="9"/>
        <w:rPr>
          <w:rFonts w:hint="eastAsia" w:ascii="Times New Roman" w:hAnsi="Times New Roman" w:eastAsia="宋体" w:cs="Times New Roman"/>
          <w:color w:val="0000FF"/>
          <w:kern w:val="2"/>
          <w:sz w:val="28"/>
          <w:szCs w:val="28"/>
          <w:highlight w:val="none"/>
          <w:lang w:val="en-US" w:eastAsia="zh-CN" w:bidi="ar-SA"/>
        </w:rPr>
      </w:pPr>
      <w:r>
        <w:rPr>
          <w:rFonts w:hint="default" w:ascii="Times New Roman" w:hAnsi="Times New Roman" w:eastAsia="宋体" w:cs="Times New Roman"/>
          <w:color w:val="0000FF"/>
          <w:kern w:val="2"/>
          <w:sz w:val="28"/>
          <w:szCs w:val="28"/>
          <w:highlight w:val="none"/>
          <w:lang w:val="en-US" w:eastAsia="zh-CN" w:bidi="ar-SA"/>
        </w:rPr>
        <w:t>根据表4-</w:t>
      </w:r>
      <w:r>
        <w:rPr>
          <w:rFonts w:hint="eastAsia" w:ascii="Times New Roman" w:hAnsi="Times New Roman" w:eastAsia="宋体" w:cs="Times New Roman"/>
          <w:color w:val="0000FF"/>
          <w:kern w:val="2"/>
          <w:sz w:val="28"/>
          <w:szCs w:val="28"/>
          <w:highlight w:val="none"/>
          <w:lang w:val="en-US" w:eastAsia="zh-CN" w:bidi="ar-SA"/>
        </w:rPr>
        <w:t>2</w:t>
      </w:r>
      <w:r>
        <w:rPr>
          <w:rFonts w:hint="default" w:ascii="Times New Roman" w:hAnsi="Times New Roman" w:eastAsia="宋体" w:cs="Times New Roman"/>
          <w:color w:val="0000FF"/>
          <w:kern w:val="2"/>
          <w:sz w:val="28"/>
          <w:szCs w:val="28"/>
          <w:highlight w:val="none"/>
          <w:lang w:val="en-US" w:eastAsia="zh-CN" w:bidi="ar-SA"/>
        </w:rPr>
        <w:t>中的评估依据，新疆金象赛瑞化工科技有限公司共计得分</w:t>
      </w:r>
      <w:r>
        <w:rPr>
          <w:rFonts w:hint="eastAsia" w:ascii="Times New Roman" w:hAnsi="Times New Roman" w:eastAsia="宋体" w:cs="Times New Roman"/>
          <w:color w:val="0000FF"/>
          <w:kern w:val="2"/>
          <w:sz w:val="28"/>
          <w:szCs w:val="28"/>
          <w:highlight w:val="none"/>
          <w:lang w:val="en-US" w:eastAsia="zh-CN" w:bidi="ar-SA"/>
        </w:rPr>
        <w:t>5</w:t>
      </w:r>
      <w:r>
        <w:rPr>
          <w:rFonts w:hint="default" w:ascii="Times New Roman" w:hAnsi="Times New Roman" w:eastAsia="宋体" w:cs="Times New Roman"/>
          <w:color w:val="0000FF"/>
          <w:kern w:val="2"/>
          <w:sz w:val="28"/>
          <w:szCs w:val="28"/>
          <w:highlight w:val="none"/>
          <w:lang w:val="en-US" w:eastAsia="en-US" w:bidi="ar-SA"/>
        </w:rPr>
        <w:t>，以M</w:t>
      </w:r>
      <w:r>
        <w:rPr>
          <w:rFonts w:hint="eastAsia" w:ascii="Times New Roman" w:hAnsi="Times New Roman" w:eastAsia="宋体" w:cs="Times New Roman"/>
          <w:color w:val="0000FF"/>
          <w:kern w:val="2"/>
          <w:sz w:val="28"/>
          <w:szCs w:val="28"/>
          <w:highlight w:val="none"/>
          <w:lang w:val="en-US" w:eastAsia="zh-CN" w:bidi="ar-SA"/>
        </w:rPr>
        <w:t>4</w:t>
      </w:r>
      <w:r>
        <w:rPr>
          <w:rFonts w:hint="default" w:ascii="Times New Roman" w:hAnsi="Times New Roman" w:eastAsia="宋体" w:cs="Times New Roman"/>
          <w:color w:val="0000FF"/>
          <w:kern w:val="2"/>
          <w:sz w:val="28"/>
          <w:szCs w:val="28"/>
          <w:highlight w:val="none"/>
          <w:lang w:val="en-US" w:eastAsia="en-US" w:bidi="ar-SA"/>
        </w:rPr>
        <w:t>表示</w:t>
      </w:r>
      <w:r>
        <w:rPr>
          <w:rFonts w:hint="eastAsia" w:ascii="Times New Roman" w:hAnsi="Times New Roman" w:eastAsia="宋体" w:cs="Times New Roman"/>
          <w:color w:val="0000FF"/>
          <w:kern w:val="2"/>
          <w:sz w:val="28"/>
          <w:szCs w:val="28"/>
          <w:highlight w:val="none"/>
          <w:lang w:val="en-US" w:eastAsia="zh-CN" w:bidi="ar-SA"/>
        </w:rPr>
        <w:t>。</w:t>
      </w:r>
    </w:p>
    <w:p w14:paraId="3967F213">
      <w:pPr>
        <w:snapToGrid w:val="0"/>
        <w:spacing w:line="360" w:lineRule="auto"/>
        <w:ind w:left="0" w:leftChars="0" w:firstLine="562" w:firstLineChars="200"/>
        <w:outlineLvl w:val="2"/>
        <w:rPr>
          <w:rFonts w:hint="default" w:ascii="Times New Roman" w:hAnsi="Times New Roman" w:eastAsia="宋体" w:cs="Times New Roman"/>
          <w:b/>
          <w:bCs/>
          <w:color w:val="0000FF"/>
          <w:kern w:val="2"/>
          <w:sz w:val="28"/>
          <w:szCs w:val="28"/>
          <w:highlight w:val="none"/>
          <w:lang w:val="en-US" w:eastAsia="zh-CN" w:bidi="ar-SA"/>
        </w:rPr>
      </w:pPr>
      <w:r>
        <w:rPr>
          <w:rFonts w:hint="eastAsia" w:ascii="Times New Roman" w:hAnsi="Times New Roman" w:eastAsia="宋体" w:cs="Times New Roman"/>
          <w:b/>
          <w:bCs/>
          <w:color w:val="0000FF"/>
          <w:kern w:val="2"/>
          <w:sz w:val="28"/>
          <w:szCs w:val="28"/>
          <w:highlight w:val="none"/>
          <w:lang w:val="en-US" w:eastAsia="zh-CN" w:bidi="ar-SA"/>
        </w:rPr>
        <w:t>4.2.3</w:t>
      </w:r>
      <w:r>
        <w:rPr>
          <w:rFonts w:hint="default" w:ascii="Times New Roman" w:hAnsi="Times New Roman" w:eastAsia="宋体" w:cs="Times New Roman"/>
          <w:b/>
          <w:bCs/>
          <w:color w:val="0000FF"/>
          <w:kern w:val="2"/>
          <w:sz w:val="28"/>
          <w:szCs w:val="28"/>
          <w:highlight w:val="none"/>
          <w:lang w:val="en-US" w:eastAsia="zh-CN" w:bidi="ar-SA"/>
        </w:rPr>
        <w:t>危险物质及工艺系统危险性 (P) 分级</w:t>
      </w:r>
    </w:p>
    <w:p w14:paraId="18D114AC">
      <w:pPr>
        <w:snapToGrid w:val="0"/>
        <w:spacing w:line="360" w:lineRule="auto"/>
        <w:ind w:firstLine="560" w:firstLineChars="200"/>
        <w:rPr>
          <w:rFonts w:hint="default" w:ascii="Times New Roman" w:hAnsi="Times New Roman" w:eastAsia="宋体" w:cs="Times New Roman"/>
          <w:color w:val="0000FF"/>
          <w:kern w:val="2"/>
          <w:sz w:val="28"/>
          <w:szCs w:val="28"/>
          <w:highlight w:val="none"/>
          <w:lang w:val="en-US" w:eastAsia="zh-CN" w:bidi="ar-SA"/>
        </w:rPr>
      </w:pPr>
      <w:r>
        <w:rPr>
          <w:rFonts w:hint="default" w:ascii="Times New Roman" w:hAnsi="Times New Roman" w:eastAsia="宋体" w:cs="Times New Roman"/>
          <w:color w:val="0000FF"/>
          <w:kern w:val="2"/>
          <w:sz w:val="28"/>
          <w:szCs w:val="28"/>
          <w:highlight w:val="none"/>
          <w:lang w:val="en-US" w:eastAsia="zh-CN" w:bidi="ar-SA"/>
        </w:rPr>
        <w:t>根据危险物质数量与临界量比值（Q） 和行业及生产工艺（M），按照表4-</w:t>
      </w:r>
      <w:r>
        <w:rPr>
          <w:rFonts w:hint="eastAsia" w:ascii="Times New Roman" w:hAnsi="Times New Roman" w:eastAsia="宋体" w:cs="Times New Roman"/>
          <w:color w:val="0000FF"/>
          <w:kern w:val="2"/>
          <w:sz w:val="28"/>
          <w:szCs w:val="28"/>
          <w:highlight w:val="none"/>
          <w:lang w:val="en-US" w:eastAsia="zh-CN" w:bidi="ar-SA"/>
        </w:rPr>
        <w:t>4</w:t>
      </w:r>
      <w:r>
        <w:rPr>
          <w:rFonts w:hint="default" w:ascii="Times New Roman" w:hAnsi="Times New Roman" w:eastAsia="宋体" w:cs="Times New Roman"/>
          <w:color w:val="0000FF"/>
          <w:kern w:val="2"/>
          <w:sz w:val="28"/>
          <w:szCs w:val="28"/>
          <w:highlight w:val="none"/>
          <w:lang w:val="en-US" w:eastAsia="zh-CN" w:bidi="ar-SA"/>
        </w:rPr>
        <w:t>确定危险物质及工艺系统危险性等级（P），分别以 P1、P2、P3、P4 表示。</w:t>
      </w:r>
    </w:p>
    <w:p w14:paraId="5F4176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snapToGrid/>
          <w:color w:val="0000FF"/>
          <w:kern w:val="0"/>
          <w:sz w:val="21"/>
          <w:szCs w:val="21"/>
          <w:highlight w:val="none"/>
          <w:lang w:val="en-US" w:eastAsia="zh-CN" w:bidi="ar-SA"/>
        </w:rPr>
      </w:pPr>
      <w:r>
        <w:rPr>
          <w:rFonts w:hint="default" w:ascii="Times New Roman" w:hAnsi="Times New Roman" w:eastAsia="宋体" w:cs="Times New Roman"/>
          <w:b/>
          <w:snapToGrid/>
          <w:color w:val="0000FF"/>
          <w:kern w:val="0"/>
          <w:sz w:val="21"/>
          <w:szCs w:val="21"/>
          <w:highlight w:val="none"/>
          <w:lang w:val="en-US" w:eastAsia="zh-CN" w:bidi="ar-SA"/>
        </w:rPr>
        <w:t>表4-</w:t>
      </w:r>
      <w:r>
        <w:rPr>
          <w:rFonts w:hint="eastAsia" w:ascii="Times New Roman" w:hAnsi="Times New Roman" w:eastAsia="宋体" w:cs="Times New Roman"/>
          <w:b/>
          <w:snapToGrid/>
          <w:color w:val="0000FF"/>
          <w:kern w:val="0"/>
          <w:sz w:val="21"/>
          <w:szCs w:val="21"/>
          <w:highlight w:val="none"/>
          <w:lang w:val="en-US" w:eastAsia="zh-CN" w:bidi="ar-SA"/>
        </w:rPr>
        <w:t>4</w:t>
      </w:r>
      <w:r>
        <w:rPr>
          <w:rFonts w:hint="default" w:ascii="Times New Roman" w:hAnsi="Times New Roman" w:eastAsia="宋体" w:cs="Times New Roman"/>
          <w:b/>
          <w:snapToGrid/>
          <w:color w:val="0000FF"/>
          <w:kern w:val="0"/>
          <w:sz w:val="21"/>
          <w:szCs w:val="21"/>
          <w:highlight w:val="none"/>
          <w:lang w:val="en-US" w:eastAsia="zh-CN" w:bidi="ar-SA"/>
        </w:rPr>
        <w:t xml:space="preserve">   危险物质及工艺系统危险性等级判断 (P)</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695"/>
        <w:gridCol w:w="1665"/>
        <w:gridCol w:w="1605"/>
        <w:gridCol w:w="1565"/>
      </w:tblGrid>
      <w:tr w14:paraId="3136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2" w:type="dxa"/>
            <w:vMerge w:val="restart"/>
            <w:vAlign w:val="center"/>
          </w:tcPr>
          <w:p w14:paraId="3A79D0E4">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危险物质数量</w:t>
            </w:r>
          </w:p>
          <w:p w14:paraId="2F771224">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与临界量比值（Q）</w:t>
            </w:r>
          </w:p>
        </w:tc>
        <w:tc>
          <w:tcPr>
            <w:tcW w:w="6530" w:type="dxa"/>
            <w:gridSpan w:val="4"/>
            <w:vAlign w:val="center"/>
          </w:tcPr>
          <w:p w14:paraId="3A9468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行业及生产工艺 (M)</w:t>
            </w:r>
          </w:p>
        </w:tc>
      </w:tr>
      <w:tr w14:paraId="7FF9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vMerge w:val="continue"/>
            <w:vAlign w:val="center"/>
          </w:tcPr>
          <w:p w14:paraId="0E3BEDFC">
            <w:pPr>
              <w:pStyle w:val="58"/>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0000FF"/>
                <w:kern w:val="2"/>
                <w:sz w:val="21"/>
                <w:szCs w:val="20"/>
                <w:lang w:val="en-US" w:eastAsia="zh-CN" w:bidi="ar-SA"/>
              </w:rPr>
            </w:pPr>
          </w:p>
        </w:tc>
        <w:tc>
          <w:tcPr>
            <w:tcW w:w="1695" w:type="dxa"/>
            <w:vAlign w:val="center"/>
          </w:tcPr>
          <w:p w14:paraId="09034C1F">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M1</w:t>
            </w:r>
          </w:p>
        </w:tc>
        <w:tc>
          <w:tcPr>
            <w:tcW w:w="1665" w:type="dxa"/>
            <w:vAlign w:val="center"/>
          </w:tcPr>
          <w:p w14:paraId="7753CF9D">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M2</w:t>
            </w:r>
          </w:p>
        </w:tc>
        <w:tc>
          <w:tcPr>
            <w:tcW w:w="1605" w:type="dxa"/>
            <w:vAlign w:val="center"/>
          </w:tcPr>
          <w:p w14:paraId="671F82E9">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M3</w:t>
            </w:r>
          </w:p>
        </w:tc>
        <w:tc>
          <w:tcPr>
            <w:tcW w:w="1565" w:type="dxa"/>
            <w:vAlign w:val="center"/>
          </w:tcPr>
          <w:p w14:paraId="66E4A963">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M4</w:t>
            </w:r>
          </w:p>
        </w:tc>
      </w:tr>
      <w:tr w14:paraId="53AC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vAlign w:val="center"/>
          </w:tcPr>
          <w:p w14:paraId="4185D7BB">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Q≥100</w:t>
            </w:r>
          </w:p>
        </w:tc>
        <w:tc>
          <w:tcPr>
            <w:tcW w:w="1695" w:type="dxa"/>
            <w:vAlign w:val="center"/>
          </w:tcPr>
          <w:p w14:paraId="6E0707F8">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P1</w:t>
            </w:r>
          </w:p>
        </w:tc>
        <w:tc>
          <w:tcPr>
            <w:tcW w:w="1665" w:type="dxa"/>
            <w:vAlign w:val="center"/>
          </w:tcPr>
          <w:p w14:paraId="355486AD">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P1</w:t>
            </w:r>
          </w:p>
        </w:tc>
        <w:tc>
          <w:tcPr>
            <w:tcW w:w="1605" w:type="dxa"/>
            <w:vAlign w:val="center"/>
          </w:tcPr>
          <w:p w14:paraId="4F3CDA0D">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P2</w:t>
            </w:r>
          </w:p>
        </w:tc>
        <w:tc>
          <w:tcPr>
            <w:tcW w:w="1565" w:type="dxa"/>
            <w:vAlign w:val="center"/>
          </w:tcPr>
          <w:p w14:paraId="6B00BF55">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P3</w:t>
            </w:r>
          </w:p>
        </w:tc>
      </w:tr>
      <w:tr w14:paraId="17BE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vAlign w:val="center"/>
          </w:tcPr>
          <w:p w14:paraId="2FA818D0">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10≤Q＜100</w:t>
            </w:r>
          </w:p>
        </w:tc>
        <w:tc>
          <w:tcPr>
            <w:tcW w:w="1695" w:type="dxa"/>
            <w:vAlign w:val="center"/>
          </w:tcPr>
          <w:p w14:paraId="696A703E">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P1</w:t>
            </w:r>
          </w:p>
        </w:tc>
        <w:tc>
          <w:tcPr>
            <w:tcW w:w="1665" w:type="dxa"/>
            <w:vAlign w:val="center"/>
          </w:tcPr>
          <w:p w14:paraId="1A4FD52A">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P2</w:t>
            </w:r>
          </w:p>
        </w:tc>
        <w:tc>
          <w:tcPr>
            <w:tcW w:w="1605" w:type="dxa"/>
            <w:vAlign w:val="center"/>
          </w:tcPr>
          <w:p w14:paraId="11B25960">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P3</w:t>
            </w:r>
          </w:p>
        </w:tc>
        <w:tc>
          <w:tcPr>
            <w:tcW w:w="1565" w:type="dxa"/>
            <w:vAlign w:val="center"/>
          </w:tcPr>
          <w:p w14:paraId="115F674C">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P4</w:t>
            </w:r>
          </w:p>
        </w:tc>
      </w:tr>
      <w:tr w14:paraId="4B94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vAlign w:val="center"/>
          </w:tcPr>
          <w:p w14:paraId="670494CD">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1≤Q＜10</w:t>
            </w:r>
          </w:p>
        </w:tc>
        <w:tc>
          <w:tcPr>
            <w:tcW w:w="1695" w:type="dxa"/>
            <w:vAlign w:val="center"/>
          </w:tcPr>
          <w:p w14:paraId="1F5E758D">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P2</w:t>
            </w:r>
          </w:p>
        </w:tc>
        <w:tc>
          <w:tcPr>
            <w:tcW w:w="1665" w:type="dxa"/>
            <w:vAlign w:val="center"/>
          </w:tcPr>
          <w:p w14:paraId="4AF09791">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P3</w:t>
            </w:r>
          </w:p>
        </w:tc>
        <w:tc>
          <w:tcPr>
            <w:tcW w:w="1605" w:type="dxa"/>
            <w:vAlign w:val="center"/>
          </w:tcPr>
          <w:p w14:paraId="78DE3DAD">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P4</w:t>
            </w:r>
          </w:p>
        </w:tc>
        <w:tc>
          <w:tcPr>
            <w:tcW w:w="1565" w:type="dxa"/>
            <w:vAlign w:val="center"/>
          </w:tcPr>
          <w:p w14:paraId="1FA19FCD">
            <w:pPr>
              <w:pStyle w:val="58"/>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napToGrid/>
                <w:color w:val="0000FF"/>
                <w:kern w:val="2"/>
                <w:sz w:val="21"/>
                <w:szCs w:val="20"/>
                <w:lang w:val="en-US" w:eastAsia="zh-CN" w:bidi="ar-SA"/>
              </w:rPr>
            </w:pPr>
            <w:r>
              <w:rPr>
                <w:rFonts w:hint="default" w:ascii="Times New Roman" w:hAnsi="Times New Roman" w:eastAsia="宋体" w:cs="Times New Roman"/>
                <w:snapToGrid/>
                <w:color w:val="0000FF"/>
                <w:kern w:val="2"/>
                <w:sz w:val="21"/>
                <w:szCs w:val="20"/>
                <w:lang w:val="en-US" w:eastAsia="zh-CN" w:bidi="ar-SA"/>
              </w:rPr>
              <w:t>P4</w:t>
            </w:r>
          </w:p>
        </w:tc>
      </w:tr>
    </w:tbl>
    <w:p w14:paraId="1920071F">
      <w:pPr>
        <w:adjustRightInd w:val="0"/>
        <w:snapToGrid w:val="0"/>
        <w:spacing w:line="360" w:lineRule="auto"/>
        <w:ind w:left="0" w:leftChars="0" w:firstLine="560" w:firstLineChars="200"/>
        <w:jc w:val="left"/>
        <w:outlineLvl w:val="9"/>
        <w:rPr>
          <w:rFonts w:hint="default" w:ascii="Times New Roman" w:hAnsi="Times New Roman" w:eastAsia="宋体" w:cs="Times New Roman"/>
          <w:b/>
          <w:bCs/>
          <w:color w:val="0000FF"/>
          <w:sz w:val="28"/>
          <w:szCs w:val="28"/>
          <w:lang w:val="en-US" w:eastAsia="zh-CN"/>
        </w:rPr>
      </w:pPr>
      <w:r>
        <w:rPr>
          <w:rFonts w:hint="default" w:ascii="Times New Roman" w:hAnsi="Times New Roman" w:eastAsia="宋体" w:cs="Times New Roman"/>
          <w:color w:val="0000FF"/>
          <w:kern w:val="2"/>
          <w:sz w:val="28"/>
          <w:szCs w:val="28"/>
          <w:highlight w:val="none"/>
          <w:lang w:val="en-US" w:eastAsia="zh-CN" w:bidi="ar-SA"/>
        </w:rPr>
        <w:t>根据表</w:t>
      </w:r>
      <w:r>
        <w:rPr>
          <w:rFonts w:hint="eastAsia" w:ascii="Times New Roman" w:hAnsi="Times New Roman" w:eastAsia="宋体" w:cs="Times New Roman"/>
          <w:color w:val="0000FF"/>
          <w:kern w:val="2"/>
          <w:sz w:val="28"/>
          <w:szCs w:val="28"/>
          <w:highlight w:val="none"/>
          <w:lang w:val="en-US" w:eastAsia="zh-CN" w:bidi="ar-SA"/>
        </w:rPr>
        <w:t>4</w:t>
      </w:r>
      <w:r>
        <w:rPr>
          <w:rFonts w:hint="default" w:ascii="Times New Roman" w:hAnsi="Times New Roman" w:eastAsia="宋体" w:cs="Times New Roman"/>
          <w:color w:val="0000FF"/>
          <w:kern w:val="2"/>
          <w:sz w:val="28"/>
          <w:szCs w:val="28"/>
          <w:highlight w:val="none"/>
          <w:lang w:val="en-US" w:eastAsia="zh-CN" w:bidi="ar-SA"/>
        </w:rPr>
        <w:t>-</w:t>
      </w:r>
      <w:r>
        <w:rPr>
          <w:rFonts w:hint="eastAsia" w:ascii="Times New Roman" w:hAnsi="Times New Roman" w:eastAsia="宋体" w:cs="Times New Roman"/>
          <w:color w:val="0000FF"/>
          <w:kern w:val="2"/>
          <w:sz w:val="28"/>
          <w:szCs w:val="28"/>
          <w:highlight w:val="none"/>
          <w:lang w:val="en-US" w:eastAsia="zh-CN" w:bidi="ar-SA"/>
        </w:rPr>
        <w:t>3</w:t>
      </w:r>
      <w:r>
        <w:rPr>
          <w:rFonts w:hint="default" w:ascii="Times New Roman" w:hAnsi="Times New Roman" w:eastAsia="宋体" w:cs="Times New Roman"/>
          <w:color w:val="0000FF"/>
          <w:kern w:val="2"/>
          <w:sz w:val="28"/>
          <w:szCs w:val="28"/>
          <w:highlight w:val="none"/>
          <w:lang w:val="en-US" w:eastAsia="zh-CN" w:bidi="ar-SA"/>
        </w:rPr>
        <w:t>危险物质及工艺系统危险性等级的判断，</w:t>
      </w:r>
      <w:r>
        <w:rPr>
          <w:rFonts w:hint="default" w:ascii="Times New Roman" w:hAnsi="Times New Roman" w:eastAsia="宋体" w:cs="Times New Roman"/>
          <w:color w:val="0000FF"/>
          <w:sz w:val="28"/>
          <w:szCs w:val="28"/>
          <w:highlight w:val="none"/>
          <w:lang w:val="en-US" w:eastAsia="zh-CN"/>
        </w:rPr>
        <w:t>新疆金象赛瑞化工科技有限公司危险物质及工艺系统危险性等级判断为P</w:t>
      </w:r>
      <w:r>
        <w:rPr>
          <w:rFonts w:hint="eastAsia" w:ascii="Times New Roman" w:hAnsi="Times New Roman" w:eastAsia="宋体" w:cs="Times New Roman"/>
          <w:color w:val="0000FF"/>
          <w:sz w:val="28"/>
          <w:szCs w:val="28"/>
          <w:highlight w:val="none"/>
          <w:lang w:val="en-US" w:eastAsia="zh-CN"/>
        </w:rPr>
        <w:t>3</w:t>
      </w:r>
      <w:r>
        <w:rPr>
          <w:rFonts w:hint="default" w:ascii="Times New Roman" w:hAnsi="Times New Roman" w:eastAsia="宋体" w:cs="Times New Roman"/>
          <w:color w:val="0000FF"/>
          <w:kern w:val="2"/>
          <w:sz w:val="28"/>
          <w:szCs w:val="28"/>
          <w:highlight w:val="none"/>
          <w:lang w:val="en-US" w:eastAsia="zh-CN" w:bidi="ar-SA"/>
        </w:rPr>
        <w:t>。</w:t>
      </w:r>
    </w:p>
    <w:p w14:paraId="6B5CF85E">
      <w:pPr>
        <w:pStyle w:val="9"/>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outlineLvl w:val="1"/>
        <w:rPr>
          <w:rFonts w:hint="eastAsia" w:ascii="Times New Roman" w:hAnsi="Times New Roman" w:eastAsia="宋体" w:cs="Times New Roman"/>
          <w:b/>
          <w:bCs/>
          <w:color w:val="0000FF"/>
          <w:kern w:val="2"/>
          <w:sz w:val="28"/>
          <w:szCs w:val="28"/>
          <w:lang w:val="en-US" w:eastAsia="zh-CN" w:bidi="ar-SA"/>
        </w:rPr>
      </w:pPr>
      <w:r>
        <w:rPr>
          <w:rFonts w:hint="eastAsia" w:ascii="Times New Roman" w:hAnsi="Times New Roman" w:eastAsia="宋体" w:cs="Times New Roman"/>
          <w:b/>
          <w:bCs/>
          <w:color w:val="0000FF"/>
          <w:kern w:val="2"/>
          <w:sz w:val="28"/>
          <w:szCs w:val="28"/>
          <w:lang w:val="en-US" w:eastAsia="zh-CN" w:bidi="ar-SA"/>
        </w:rPr>
        <w:t>4.3 环境敏感程度（E）的分级</w:t>
      </w:r>
    </w:p>
    <w:p w14:paraId="4EFE8A0B">
      <w:pPr>
        <w:snapToGrid w:val="0"/>
        <w:spacing w:line="360" w:lineRule="auto"/>
        <w:ind w:firstLine="562" w:firstLineChars="200"/>
        <w:outlineLvl w:val="2"/>
        <w:rPr>
          <w:rFonts w:hint="default" w:ascii="Times New Roman" w:hAnsi="Times New Roman" w:eastAsia="宋体" w:cs="Times New Roman"/>
          <w:b/>
          <w:bCs/>
          <w:color w:val="0000FF"/>
          <w:kern w:val="2"/>
          <w:sz w:val="28"/>
          <w:szCs w:val="28"/>
          <w:highlight w:val="none"/>
          <w:lang w:val="en-US" w:eastAsia="zh-CN" w:bidi="ar-SA"/>
        </w:rPr>
      </w:pPr>
      <w:r>
        <w:rPr>
          <w:rFonts w:hint="eastAsia" w:ascii="Times New Roman" w:hAnsi="Times New Roman" w:eastAsia="宋体" w:cs="Times New Roman"/>
          <w:b/>
          <w:bCs/>
          <w:color w:val="0000FF"/>
          <w:kern w:val="2"/>
          <w:sz w:val="28"/>
          <w:szCs w:val="28"/>
          <w:highlight w:val="none"/>
          <w:lang w:val="en-US" w:eastAsia="zh-CN" w:bidi="ar-SA"/>
        </w:rPr>
        <w:t>4.3.1</w:t>
      </w:r>
      <w:r>
        <w:rPr>
          <w:rFonts w:hint="default" w:ascii="Times New Roman" w:hAnsi="Times New Roman" w:eastAsia="宋体" w:cs="Times New Roman"/>
          <w:b/>
          <w:bCs/>
          <w:color w:val="0000FF"/>
          <w:kern w:val="2"/>
          <w:sz w:val="28"/>
          <w:szCs w:val="28"/>
          <w:highlight w:val="none"/>
          <w:lang w:val="en-US" w:eastAsia="zh-CN" w:bidi="ar-SA"/>
        </w:rPr>
        <w:t>大气环境</w:t>
      </w:r>
    </w:p>
    <w:p w14:paraId="6E7C8B11">
      <w:pPr>
        <w:snapToGrid w:val="0"/>
        <w:spacing w:line="360" w:lineRule="auto"/>
        <w:ind w:firstLine="560" w:firstLineChars="200"/>
        <w:rPr>
          <w:rFonts w:hint="default" w:ascii="Times New Roman" w:hAnsi="Times New Roman" w:eastAsia="宋体" w:cs="Times New Roman"/>
          <w:color w:val="0000FF"/>
          <w:kern w:val="2"/>
          <w:sz w:val="28"/>
          <w:szCs w:val="28"/>
          <w:highlight w:val="none"/>
          <w:lang w:val="en-US" w:eastAsia="zh-CN" w:bidi="ar-SA"/>
        </w:rPr>
      </w:pPr>
      <w:r>
        <w:rPr>
          <w:rFonts w:hint="default" w:ascii="Times New Roman" w:hAnsi="Times New Roman" w:eastAsia="宋体" w:cs="Times New Roman"/>
          <w:color w:val="0000FF"/>
          <w:kern w:val="2"/>
          <w:sz w:val="28"/>
          <w:szCs w:val="28"/>
          <w:highlight w:val="none"/>
          <w:lang w:val="en-US" w:eastAsia="zh-CN" w:bidi="ar-SA"/>
        </w:rPr>
        <w:t>依据环境敏感目标环境敏感性及人口密度划分环境风险受体的敏感性，共分为三种类型，E1为环境高度敏感区，E2为环境中度敏感区，E3为环境低度敏感区，分级原则见表</w:t>
      </w:r>
      <w:r>
        <w:rPr>
          <w:rFonts w:hint="eastAsia" w:ascii="Times New Roman" w:hAnsi="Times New Roman" w:eastAsia="宋体" w:cs="Times New Roman"/>
          <w:color w:val="0000FF"/>
          <w:kern w:val="2"/>
          <w:sz w:val="28"/>
          <w:szCs w:val="28"/>
          <w:highlight w:val="none"/>
          <w:lang w:val="en-US" w:eastAsia="zh-CN" w:bidi="ar-SA"/>
        </w:rPr>
        <w:t>4</w:t>
      </w:r>
      <w:r>
        <w:rPr>
          <w:rFonts w:hint="default" w:ascii="Times New Roman" w:hAnsi="Times New Roman" w:eastAsia="宋体" w:cs="Times New Roman"/>
          <w:color w:val="0000FF"/>
          <w:kern w:val="2"/>
          <w:sz w:val="28"/>
          <w:szCs w:val="28"/>
          <w:highlight w:val="none"/>
          <w:lang w:val="en-US" w:eastAsia="zh-CN" w:bidi="ar-SA"/>
        </w:rPr>
        <w:t>-</w:t>
      </w:r>
      <w:r>
        <w:rPr>
          <w:rFonts w:hint="eastAsia" w:ascii="Times New Roman" w:hAnsi="Times New Roman" w:eastAsia="宋体" w:cs="Times New Roman"/>
          <w:color w:val="0000FF"/>
          <w:kern w:val="2"/>
          <w:sz w:val="28"/>
          <w:szCs w:val="28"/>
          <w:highlight w:val="none"/>
          <w:lang w:val="en-US" w:eastAsia="zh-CN" w:bidi="ar-SA"/>
        </w:rPr>
        <w:t>5</w:t>
      </w:r>
      <w:r>
        <w:rPr>
          <w:rFonts w:hint="default" w:ascii="Times New Roman" w:hAnsi="Times New Roman" w:eastAsia="宋体" w:cs="Times New Roman"/>
          <w:color w:val="0000FF"/>
          <w:kern w:val="2"/>
          <w:sz w:val="28"/>
          <w:szCs w:val="28"/>
          <w:highlight w:val="none"/>
          <w:lang w:val="en-US" w:eastAsia="zh-CN" w:bidi="ar-SA"/>
        </w:rPr>
        <w:t>。</w:t>
      </w:r>
    </w:p>
    <w:p w14:paraId="0F9DD0AB">
      <w:pPr>
        <w:pStyle w:val="1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color w:val="0000FF"/>
          <w:kern w:val="2"/>
          <w:sz w:val="21"/>
          <w:szCs w:val="21"/>
          <w:lang w:val="en-US" w:eastAsia="zh-CN" w:bidi="ar-SA"/>
        </w:rPr>
      </w:pPr>
      <w:r>
        <w:rPr>
          <w:rFonts w:hint="default" w:ascii="Times New Roman" w:hAnsi="Times New Roman" w:eastAsia="宋体" w:cs="Times New Roman"/>
          <w:b/>
          <w:color w:val="0000FF"/>
          <w:kern w:val="2"/>
          <w:sz w:val="21"/>
          <w:szCs w:val="21"/>
          <w:lang w:val="en-US" w:eastAsia="zh-CN" w:bidi="ar-SA"/>
        </w:rPr>
        <w:t>表4-</w:t>
      </w:r>
      <w:r>
        <w:rPr>
          <w:rFonts w:hint="eastAsia" w:ascii="Times New Roman" w:hAnsi="Times New Roman" w:eastAsia="宋体" w:cs="Times New Roman"/>
          <w:b/>
          <w:color w:val="0000FF"/>
          <w:kern w:val="2"/>
          <w:sz w:val="21"/>
          <w:szCs w:val="21"/>
          <w:lang w:val="en-US" w:eastAsia="zh-CN" w:bidi="ar-SA"/>
        </w:rPr>
        <w:t>5</w:t>
      </w:r>
      <w:r>
        <w:rPr>
          <w:rFonts w:hint="default" w:ascii="Times New Roman" w:hAnsi="Times New Roman" w:eastAsia="宋体" w:cs="Times New Roman"/>
          <w:b/>
          <w:color w:val="0000FF"/>
          <w:kern w:val="2"/>
          <w:sz w:val="21"/>
          <w:szCs w:val="21"/>
          <w:lang w:val="en-US" w:eastAsia="zh-CN" w:bidi="ar-SA"/>
        </w:rPr>
        <w:t xml:space="preserve">  </w:t>
      </w:r>
      <w:r>
        <w:rPr>
          <w:rFonts w:hint="default" w:ascii="Times New Roman" w:hAnsi="Times New Roman" w:eastAsia="宋体" w:cs="Times New Roman"/>
          <w:b/>
          <w:color w:val="0000FF"/>
          <w:kern w:val="2"/>
          <w:sz w:val="21"/>
          <w:szCs w:val="21"/>
          <w:lang w:val="zh-CN" w:eastAsia="zh-CN" w:bidi="ar-SA"/>
        </w:rPr>
        <w:t xml:space="preserve"> 大气环境敏感程度分级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6985"/>
      </w:tblGrid>
      <w:tr w14:paraId="64C3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14" w:type="dxa"/>
            <w:tcBorders>
              <w:tl2br w:val="nil"/>
              <w:tr2bl w:val="nil"/>
            </w:tcBorders>
            <w:noWrap w:val="0"/>
            <w:vAlign w:val="top"/>
          </w:tcPr>
          <w:p w14:paraId="66A70E5A">
            <w:pPr>
              <w:pStyle w:val="26"/>
              <w:keepNext w:val="0"/>
              <w:keepLines w:val="0"/>
              <w:pageBreakBefore w:val="0"/>
              <w:widowControl w:val="0"/>
              <w:kinsoku/>
              <w:wordWrap/>
              <w:overflowPunct/>
              <w:topLinePunct w:val="0"/>
              <w:autoSpaceDE/>
              <w:autoSpaceDN/>
              <w:bidi w:val="0"/>
              <w:adjustRightInd/>
              <w:snapToGrid/>
              <w:spacing w:before="0" w:beforeAutospacing="0" w:after="0" w:line="360" w:lineRule="auto"/>
              <w:textAlignment w:val="auto"/>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lang w:val="en-US" w:eastAsia="zh-CN"/>
              </w:rPr>
              <w:t>分级</w:t>
            </w:r>
          </w:p>
        </w:tc>
        <w:tc>
          <w:tcPr>
            <w:tcW w:w="6985" w:type="dxa"/>
            <w:tcBorders>
              <w:tl2br w:val="nil"/>
              <w:tr2bl w:val="nil"/>
            </w:tcBorders>
            <w:noWrap w:val="0"/>
            <w:vAlign w:val="top"/>
          </w:tcPr>
          <w:p w14:paraId="2CF3CDFB">
            <w:pPr>
              <w:pStyle w:val="26"/>
              <w:keepNext w:val="0"/>
              <w:keepLines w:val="0"/>
              <w:pageBreakBefore w:val="0"/>
              <w:widowControl w:val="0"/>
              <w:kinsoku/>
              <w:wordWrap/>
              <w:overflowPunct/>
              <w:topLinePunct w:val="0"/>
              <w:autoSpaceDE/>
              <w:autoSpaceDN/>
              <w:bidi w:val="0"/>
              <w:adjustRightInd/>
              <w:snapToGrid/>
              <w:spacing w:before="0" w:beforeAutospacing="0" w:after="0" w:line="360" w:lineRule="auto"/>
              <w:textAlignment w:val="auto"/>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rPr>
              <w:t>大气环境</w:t>
            </w:r>
            <w:r>
              <w:rPr>
                <w:rFonts w:hint="default" w:ascii="Times New Roman" w:hAnsi="Times New Roman" w:eastAsia="宋体" w:cs="Times New Roman"/>
                <w:color w:val="0000FF"/>
                <w:lang w:val="en-US" w:eastAsia="zh-CN"/>
              </w:rPr>
              <w:t>敏感性</w:t>
            </w:r>
          </w:p>
        </w:tc>
      </w:tr>
      <w:tr w14:paraId="0255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314" w:type="dxa"/>
            <w:tcBorders>
              <w:tl2br w:val="nil"/>
              <w:tr2bl w:val="nil"/>
            </w:tcBorders>
            <w:noWrap w:val="0"/>
            <w:vAlign w:val="center"/>
          </w:tcPr>
          <w:p w14:paraId="390227DE">
            <w:pPr>
              <w:pStyle w:val="26"/>
              <w:keepNext w:val="0"/>
              <w:keepLines w:val="0"/>
              <w:pageBreakBefore w:val="0"/>
              <w:widowControl w:val="0"/>
              <w:kinsoku/>
              <w:wordWrap/>
              <w:overflowPunct/>
              <w:topLinePunct w:val="0"/>
              <w:autoSpaceDE/>
              <w:autoSpaceDN/>
              <w:bidi w:val="0"/>
              <w:adjustRightInd/>
              <w:snapToGrid/>
              <w:spacing w:before="0" w:beforeAutospacing="0" w:after="0" w:line="360" w:lineRule="auto"/>
              <w:textAlignment w:val="auto"/>
              <w:rPr>
                <w:rFonts w:hint="default" w:ascii="Times New Roman" w:hAnsi="Times New Roman" w:eastAsia="宋体" w:cs="Times New Roman"/>
                <w:b w:val="0"/>
                <w:bCs/>
                <w:color w:val="0000FF"/>
              </w:rPr>
            </w:pPr>
            <w:r>
              <w:rPr>
                <w:rFonts w:hint="default" w:ascii="Times New Roman" w:hAnsi="Times New Roman" w:eastAsia="宋体" w:cs="Times New Roman"/>
                <w:b w:val="0"/>
                <w:bCs/>
                <w:color w:val="0000FF"/>
              </w:rPr>
              <w:t>E1</w:t>
            </w:r>
          </w:p>
        </w:tc>
        <w:tc>
          <w:tcPr>
            <w:tcW w:w="6985" w:type="dxa"/>
            <w:tcBorders>
              <w:tl2br w:val="nil"/>
              <w:tr2bl w:val="nil"/>
            </w:tcBorders>
            <w:noWrap w:val="0"/>
            <w:vAlign w:val="center"/>
          </w:tcPr>
          <w:p w14:paraId="4C153861">
            <w:pPr>
              <w:pStyle w:val="26"/>
              <w:keepNext w:val="0"/>
              <w:keepLines w:val="0"/>
              <w:pageBreakBefore w:val="0"/>
              <w:widowControl w:val="0"/>
              <w:kinsoku/>
              <w:wordWrap/>
              <w:overflowPunct/>
              <w:topLinePunct w:val="0"/>
              <w:autoSpaceDE/>
              <w:autoSpaceDN/>
              <w:bidi w:val="0"/>
              <w:adjustRightInd/>
              <w:snapToGrid/>
              <w:spacing w:before="0" w:beforeAutospacing="0" w:after="0" w:line="360" w:lineRule="auto"/>
              <w:jc w:val="both"/>
              <w:textAlignment w:val="auto"/>
              <w:rPr>
                <w:rFonts w:hint="default" w:ascii="Times New Roman" w:hAnsi="Times New Roman" w:eastAsia="宋体" w:cs="Times New Roman"/>
                <w:b w:val="0"/>
                <w:bCs/>
                <w:color w:val="0000FF"/>
                <w:lang w:eastAsia="zh-CN"/>
              </w:rPr>
            </w:pPr>
            <w:r>
              <w:rPr>
                <w:rFonts w:hint="default" w:ascii="Times New Roman" w:hAnsi="Times New Roman" w:eastAsia="宋体" w:cs="Times New Roman"/>
                <w:b w:val="0"/>
                <w:bCs/>
                <w:color w:val="0000FF"/>
              </w:rPr>
              <w:t>周边5 km范围内居住区、医疗卫生、文化教育、科研、行政办公等机构人口总数大于5万人，或其他需要特殊保护区域；或周边500 m范围内人口总数大于1000人；油气、化学品输送管线管段周边200 m 范围内，每千米管段人口数大于 200 人</w:t>
            </w:r>
            <w:r>
              <w:rPr>
                <w:rFonts w:hint="default" w:ascii="Times New Roman" w:hAnsi="Times New Roman" w:eastAsia="宋体" w:cs="Times New Roman"/>
                <w:b w:val="0"/>
                <w:bCs/>
                <w:color w:val="0000FF"/>
                <w:lang w:eastAsia="zh-CN"/>
              </w:rPr>
              <w:t>。</w:t>
            </w:r>
          </w:p>
        </w:tc>
      </w:tr>
      <w:tr w14:paraId="3EBB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314" w:type="dxa"/>
            <w:tcBorders>
              <w:tl2br w:val="nil"/>
              <w:tr2bl w:val="nil"/>
            </w:tcBorders>
            <w:noWrap w:val="0"/>
            <w:vAlign w:val="center"/>
          </w:tcPr>
          <w:p w14:paraId="527DB463">
            <w:pPr>
              <w:pStyle w:val="26"/>
              <w:keepNext w:val="0"/>
              <w:keepLines w:val="0"/>
              <w:pageBreakBefore w:val="0"/>
              <w:widowControl w:val="0"/>
              <w:kinsoku/>
              <w:wordWrap/>
              <w:overflowPunct/>
              <w:topLinePunct w:val="0"/>
              <w:autoSpaceDE/>
              <w:autoSpaceDN/>
              <w:bidi w:val="0"/>
              <w:adjustRightInd/>
              <w:snapToGrid/>
              <w:spacing w:before="0" w:beforeAutospacing="0" w:after="0" w:line="360" w:lineRule="auto"/>
              <w:textAlignment w:val="auto"/>
              <w:rPr>
                <w:rFonts w:hint="default" w:ascii="Times New Roman" w:hAnsi="Times New Roman" w:eastAsia="宋体" w:cs="Times New Roman"/>
                <w:b w:val="0"/>
                <w:bCs/>
                <w:color w:val="0000FF"/>
              </w:rPr>
            </w:pPr>
            <w:r>
              <w:rPr>
                <w:rFonts w:hint="default" w:ascii="Times New Roman" w:hAnsi="Times New Roman" w:eastAsia="宋体" w:cs="Times New Roman"/>
                <w:b w:val="0"/>
                <w:bCs/>
                <w:color w:val="0000FF"/>
              </w:rPr>
              <w:t>E2</w:t>
            </w:r>
          </w:p>
        </w:tc>
        <w:tc>
          <w:tcPr>
            <w:tcW w:w="6985" w:type="dxa"/>
            <w:tcBorders>
              <w:tl2br w:val="nil"/>
              <w:tr2bl w:val="nil"/>
            </w:tcBorders>
            <w:noWrap w:val="0"/>
            <w:vAlign w:val="center"/>
          </w:tcPr>
          <w:p w14:paraId="40510732">
            <w:pPr>
              <w:pStyle w:val="26"/>
              <w:keepNext w:val="0"/>
              <w:keepLines w:val="0"/>
              <w:pageBreakBefore w:val="0"/>
              <w:widowControl w:val="0"/>
              <w:kinsoku/>
              <w:wordWrap/>
              <w:overflowPunct/>
              <w:topLinePunct w:val="0"/>
              <w:autoSpaceDE/>
              <w:autoSpaceDN/>
              <w:bidi w:val="0"/>
              <w:adjustRightInd/>
              <w:snapToGrid/>
              <w:spacing w:before="0" w:beforeAutospacing="0" w:after="0" w:line="360" w:lineRule="auto"/>
              <w:jc w:val="both"/>
              <w:textAlignment w:val="auto"/>
              <w:rPr>
                <w:rFonts w:hint="default" w:ascii="Times New Roman" w:hAnsi="Times New Roman" w:eastAsia="宋体" w:cs="Times New Roman"/>
                <w:b w:val="0"/>
                <w:bCs/>
                <w:color w:val="0000FF"/>
                <w:lang w:eastAsia="zh-CN"/>
              </w:rPr>
            </w:pPr>
            <w:r>
              <w:rPr>
                <w:rFonts w:hint="default" w:ascii="Times New Roman" w:hAnsi="Times New Roman" w:eastAsia="宋体" w:cs="Times New Roman"/>
                <w:b w:val="0"/>
                <w:bCs/>
                <w:color w:val="0000FF"/>
              </w:rPr>
              <w:t>周边5 km范围内居住区、医疗卫生、文化教育、科研、行政办公等机构人口总数大于1万人，小于5万人；或周边500 m范围内人口总数大于500人，小于1000人；油气、化学品输送管线管段周边200 m范围内，每千米管段人口数大于100人，小于200人</w:t>
            </w:r>
            <w:r>
              <w:rPr>
                <w:rFonts w:hint="default" w:ascii="Times New Roman" w:hAnsi="Times New Roman" w:eastAsia="宋体" w:cs="Times New Roman"/>
                <w:b w:val="0"/>
                <w:bCs/>
                <w:color w:val="0000FF"/>
                <w:lang w:eastAsia="zh-CN"/>
              </w:rPr>
              <w:t>。</w:t>
            </w:r>
          </w:p>
        </w:tc>
      </w:tr>
      <w:tr w14:paraId="0223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314" w:type="dxa"/>
            <w:tcBorders>
              <w:tl2br w:val="nil"/>
              <w:tr2bl w:val="nil"/>
            </w:tcBorders>
            <w:noWrap w:val="0"/>
            <w:vAlign w:val="center"/>
          </w:tcPr>
          <w:p w14:paraId="187C2333">
            <w:pPr>
              <w:pStyle w:val="26"/>
              <w:keepNext w:val="0"/>
              <w:keepLines w:val="0"/>
              <w:pageBreakBefore w:val="0"/>
              <w:widowControl w:val="0"/>
              <w:kinsoku/>
              <w:wordWrap/>
              <w:overflowPunct/>
              <w:topLinePunct w:val="0"/>
              <w:autoSpaceDE/>
              <w:autoSpaceDN/>
              <w:bidi w:val="0"/>
              <w:adjustRightInd/>
              <w:snapToGrid/>
              <w:spacing w:before="0" w:beforeAutospacing="0" w:after="0" w:line="360" w:lineRule="auto"/>
              <w:textAlignment w:val="auto"/>
              <w:rPr>
                <w:rFonts w:hint="default" w:ascii="Times New Roman" w:hAnsi="Times New Roman" w:eastAsia="宋体" w:cs="Times New Roman"/>
                <w:b w:val="0"/>
                <w:bCs/>
                <w:color w:val="0000FF"/>
              </w:rPr>
            </w:pPr>
            <w:r>
              <w:rPr>
                <w:rFonts w:hint="default" w:ascii="Times New Roman" w:hAnsi="Times New Roman" w:eastAsia="宋体" w:cs="Times New Roman"/>
                <w:b w:val="0"/>
                <w:bCs/>
                <w:color w:val="0000FF"/>
              </w:rPr>
              <w:t>E3</w:t>
            </w:r>
          </w:p>
        </w:tc>
        <w:tc>
          <w:tcPr>
            <w:tcW w:w="6985" w:type="dxa"/>
            <w:tcBorders>
              <w:tl2br w:val="nil"/>
              <w:tr2bl w:val="nil"/>
            </w:tcBorders>
            <w:noWrap w:val="0"/>
            <w:vAlign w:val="center"/>
          </w:tcPr>
          <w:p w14:paraId="15AB73A2">
            <w:pPr>
              <w:pStyle w:val="26"/>
              <w:keepNext w:val="0"/>
              <w:keepLines w:val="0"/>
              <w:pageBreakBefore w:val="0"/>
              <w:widowControl w:val="0"/>
              <w:kinsoku/>
              <w:wordWrap/>
              <w:overflowPunct/>
              <w:topLinePunct w:val="0"/>
              <w:autoSpaceDE/>
              <w:autoSpaceDN/>
              <w:bidi w:val="0"/>
              <w:adjustRightInd/>
              <w:snapToGrid/>
              <w:spacing w:before="0" w:beforeAutospacing="0" w:after="0" w:line="360" w:lineRule="auto"/>
              <w:jc w:val="both"/>
              <w:textAlignment w:val="auto"/>
              <w:rPr>
                <w:rFonts w:hint="default" w:ascii="Times New Roman" w:hAnsi="Times New Roman" w:eastAsia="宋体" w:cs="Times New Roman"/>
                <w:b w:val="0"/>
                <w:bCs/>
                <w:color w:val="0000FF"/>
                <w:lang w:eastAsia="zh-CN"/>
              </w:rPr>
            </w:pPr>
            <w:r>
              <w:rPr>
                <w:rFonts w:hint="default" w:ascii="Times New Roman" w:hAnsi="Times New Roman" w:eastAsia="宋体" w:cs="Times New Roman"/>
                <w:b w:val="0"/>
                <w:bCs/>
                <w:color w:val="0000FF"/>
              </w:rPr>
              <w:t>周边5 km范围内居住区、医疗卫生、文化教育、科研、行政办公等机构人口总数小于1万人；或周边500 m范围内人口总数小于500人；油气、化学品输送管线管段周边200 m范围内，每千米管段人口数小于100人</w:t>
            </w:r>
            <w:r>
              <w:rPr>
                <w:rFonts w:hint="default" w:ascii="Times New Roman" w:hAnsi="Times New Roman" w:eastAsia="宋体" w:cs="Times New Roman"/>
                <w:b w:val="0"/>
                <w:bCs/>
                <w:color w:val="0000FF"/>
                <w:lang w:eastAsia="zh-CN"/>
              </w:rPr>
              <w:t>。</w:t>
            </w:r>
          </w:p>
        </w:tc>
      </w:tr>
    </w:tbl>
    <w:p w14:paraId="4F1B75AC">
      <w:pPr>
        <w:pStyle w:val="10"/>
        <w:rPr>
          <w:rFonts w:hint="default" w:ascii="Times New Roman" w:hAnsi="Times New Roman" w:eastAsia="宋体" w:cs="Times New Roman"/>
          <w:color w:val="0000FF"/>
          <w:kern w:val="2"/>
          <w:sz w:val="28"/>
          <w:szCs w:val="28"/>
          <w:highlight w:val="none"/>
          <w:lang w:val="en-US" w:eastAsia="zh-CN" w:bidi="ar-SA"/>
        </w:rPr>
      </w:pPr>
      <w:r>
        <w:rPr>
          <w:rFonts w:hint="default" w:ascii="Times New Roman" w:hAnsi="Times New Roman" w:eastAsia="宋体" w:cs="Times New Roman"/>
          <w:color w:val="0000FF"/>
          <w:kern w:val="2"/>
          <w:sz w:val="28"/>
          <w:szCs w:val="28"/>
          <w:highlight w:val="none"/>
          <w:lang w:val="en-US" w:eastAsia="zh-CN" w:bidi="ar-SA"/>
        </w:rPr>
        <w:t>根据表4-</w:t>
      </w:r>
      <w:r>
        <w:rPr>
          <w:rFonts w:hint="eastAsia" w:ascii="Times New Roman" w:hAnsi="Times New Roman" w:eastAsia="宋体" w:cs="Times New Roman"/>
          <w:color w:val="0000FF"/>
          <w:kern w:val="2"/>
          <w:sz w:val="28"/>
          <w:szCs w:val="28"/>
          <w:highlight w:val="none"/>
          <w:lang w:val="en-US" w:eastAsia="zh-CN" w:bidi="ar-SA"/>
        </w:rPr>
        <w:t>5</w:t>
      </w:r>
      <w:r>
        <w:rPr>
          <w:rFonts w:hint="default" w:ascii="Times New Roman" w:hAnsi="Times New Roman" w:eastAsia="宋体" w:cs="Times New Roman"/>
          <w:color w:val="0000FF"/>
          <w:kern w:val="2"/>
          <w:sz w:val="28"/>
          <w:szCs w:val="28"/>
          <w:highlight w:val="none"/>
          <w:lang w:val="en-US" w:eastAsia="zh-CN" w:bidi="ar-SA"/>
        </w:rPr>
        <w:t>大气环境敏感性，</w:t>
      </w:r>
      <w:r>
        <w:rPr>
          <w:rFonts w:hint="default" w:ascii="Times New Roman" w:hAnsi="Times New Roman" w:eastAsia="宋体" w:cs="Times New Roman"/>
          <w:color w:val="0000FF"/>
          <w:sz w:val="28"/>
          <w:szCs w:val="28"/>
          <w:highlight w:val="none"/>
          <w:lang w:val="en-US" w:eastAsia="zh-CN"/>
        </w:rPr>
        <w:t>新疆金象赛瑞化工科技有限公司危环境敏感度为E3</w:t>
      </w:r>
      <w:r>
        <w:rPr>
          <w:rFonts w:hint="default" w:ascii="Times New Roman" w:hAnsi="Times New Roman" w:eastAsia="宋体" w:cs="Times New Roman"/>
          <w:color w:val="0000FF"/>
          <w:kern w:val="2"/>
          <w:sz w:val="28"/>
          <w:szCs w:val="28"/>
          <w:highlight w:val="none"/>
          <w:lang w:val="en-US" w:eastAsia="zh-CN" w:bidi="ar-SA"/>
        </w:rPr>
        <w:t>。</w:t>
      </w:r>
    </w:p>
    <w:p w14:paraId="52F356A1">
      <w:pPr>
        <w:snapToGrid w:val="0"/>
        <w:spacing w:line="360" w:lineRule="auto"/>
        <w:ind w:firstLine="562" w:firstLineChars="200"/>
        <w:outlineLvl w:val="2"/>
        <w:rPr>
          <w:rFonts w:hint="default" w:ascii="Times New Roman" w:hAnsi="Times New Roman" w:eastAsia="宋体" w:cs="Times New Roman"/>
          <w:b/>
          <w:bCs/>
          <w:color w:val="0000FF"/>
          <w:kern w:val="2"/>
          <w:sz w:val="28"/>
          <w:szCs w:val="28"/>
          <w:highlight w:val="none"/>
          <w:lang w:val="en-US" w:eastAsia="zh-CN" w:bidi="ar-SA"/>
        </w:rPr>
      </w:pPr>
      <w:r>
        <w:rPr>
          <w:rFonts w:hint="eastAsia" w:ascii="Times New Roman" w:hAnsi="Times New Roman" w:eastAsia="宋体" w:cs="Times New Roman"/>
          <w:b/>
          <w:bCs/>
          <w:color w:val="0000FF"/>
          <w:kern w:val="2"/>
          <w:sz w:val="28"/>
          <w:szCs w:val="28"/>
          <w:highlight w:val="none"/>
          <w:lang w:val="en-US" w:eastAsia="zh-CN" w:bidi="ar-SA"/>
        </w:rPr>
        <w:t>4.3.2</w:t>
      </w:r>
      <w:r>
        <w:rPr>
          <w:rFonts w:hint="default" w:ascii="Times New Roman" w:hAnsi="Times New Roman" w:eastAsia="宋体" w:cs="Times New Roman"/>
          <w:b/>
          <w:bCs/>
          <w:color w:val="0000FF"/>
          <w:kern w:val="2"/>
          <w:sz w:val="28"/>
          <w:szCs w:val="28"/>
          <w:highlight w:val="none"/>
          <w:lang w:val="en-US" w:eastAsia="zh-CN" w:bidi="ar-SA"/>
        </w:rPr>
        <w:t>地表水环境</w:t>
      </w:r>
    </w:p>
    <w:p w14:paraId="63F0FB0E">
      <w:pPr>
        <w:snapToGrid w:val="0"/>
        <w:spacing w:line="360" w:lineRule="auto"/>
        <w:ind w:firstLine="560" w:firstLineChars="200"/>
        <w:rPr>
          <w:rFonts w:hint="default" w:ascii="Times New Roman" w:hAnsi="Times New Roman" w:eastAsia="宋体" w:cs="Times New Roman"/>
          <w:color w:val="0000FF"/>
          <w:kern w:val="2"/>
          <w:sz w:val="28"/>
          <w:szCs w:val="28"/>
          <w:highlight w:val="none"/>
          <w:lang w:val="en-US" w:eastAsia="zh-CN" w:bidi="ar-SA"/>
        </w:rPr>
      </w:pPr>
      <w:r>
        <w:rPr>
          <w:rFonts w:hint="default" w:ascii="Times New Roman" w:hAnsi="Times New Roman" w:eastAsia="宋体" w:cs="Times New Roman"/>
          <w:color w:val="0000FF"/>
          <w:kern w:val="2"/>
          <w:sz w:val="28"/>
          <w:szCs w:val="28"/>
          <w:highlight w:val="none"/>
          <w:lang w:val="en-US" w:eastAsia="zh-CN" w:bidi="ar-SA"/>
        </w:rPr>
        <w:t>依据事故情况下危险物质泄漏到水体的排放点受纳地表水体功能敏感性，与下游环境敏感目标情况，共分为三种类型，E1为环境高度敏感区，E2为环境中度敏感区，E3为环境低度敏感区，分级原则见表4-</w:t>
      </w:r>
      <w:r>
        <w:rPr>
          <w:rFonts w:hint="eastAsia" w:ascii="Times New Roman" w:hAnsi="Times New Roman" w:eastAsia="宋体" w:cs="Times New Roman"/>
          <w:color w:val="0000FF"/>
          <w:kern w:val="2"/>
          <w:sz w:val="28"/>
          <w:szCs w:val="28"/>
          <w:highlight w:val="none"/>
          <w:lang w:val="en-US" w:eastAsia="zh-CN" w:bidi="ar-SA"/>
        </w:rPr>
        <w:t>6</w:t>
      </w:r>
      <w:r>
        <w:rPr>
          <w:rFonts w:hint="default" w:ascii="Times New Roman" w:hAnsi="Times New Roman" w:eastAsia="宋体" w:cs="Times New Roman"/>
          <w:color w:val="0000FF"/>
          <w:kern w:val="2"/>
          <w:sz w:val="28"/>
          <w:szCs w:val="28"/>
          <w:highlight w:val="none"/>
          <w:lang w:val="en-US" w:eastAsia="zh-CN" w:bidi="ar-SA"/>
        </w:rPr>
        <w:t>。其中地表水功能敏感性分区和环境敏感目标分级分别见表4-</w:t>
      </w:r>
      <w:r>
        <w:rPr>
          <w:rFonts w:hint="eastAsia" w:ascii="Times New Roman" w:hAnsi="Times New Roman" w:eastAsia="宋体" w:cs="Times New Roman"/>
          <w:color w:val="0000FF"/>
          <w:kern w:val="2"/>
          <w:sz w:val="28"/>
          <w:szCs w:val="28"/>
          <w:highlight w:val="none"/>
          <w:lang w:val="en-US" w:eastAsia="zh-CN" w:bidi="ar-SA"/>
        </w:rPr>
        <w:t>7</w:t>
      </w:r>
      <w:r>
        <w:rPr>
          <w:rFonts w:hint="default" w:ascii="Times New Roman" w:hAnsi="Times New Roman" w:eastAsia="宋体" w:cs="Times New Roman"/>
          <w:color w:val="0000FF"/>
          <w:kern w:val="2"/>
          <w:sz w:val="28"/>
          <w:szCs w:val="28"/>
          <w:highlight w:val="none"/>
          <w:lang w:val="en-US" w:eastAsia="zh-CN" w:bidi="ar-SA"/>
        </w:rPr>
        <w:t>和表4-</w:t>
      </w:r>
      <w:r>
        <w:rPr>
          <w:rFonts w:hint="eastAsia" w:ascii="Times New Roman" w:hAnsi="Times New Roman" w:eastAsia="宋体" w:cs="Times New Roman"/>
          <w:color w:val="0000FF"/>
          <w:kern w:val="2"/>
          <w:sz w:val="28"/>
          <w:szCs w:val="28"/>
          <w:highlight w:val="none"/>
          <w:lang w:val="en-US" w:eastAsia="zh-CN" w:bidi="ar-SA"/>
        </w:rPr>
        <w:t>8</w:t>
      </w:r>
      <w:r>
        <w:rPr>
          <w:rFonts w:hint="default" w:ascii="Times New Roman" w:hAnsi="Times New Roman" w:eastAsia="宋体" w:cs="Times New Roman"/>
          <w:color w:val="0000FF"/>
          <w:kern w:val="2"/>
          <w:sz w:val="28"/>
          <w:szCs w:val="28"/>
          <w:highlight w:val="none"/>
          <w:lang w:val="en-US" w:eastAsia="zh-CN" w:bidi="ar-SA"/>
        </w:rPr>
        <w:t>。</w:t>
      </w:r>
    </w:p>
    <w:p w14:paraId="3D7C1383">
      <w:pPr>
        <w:adjustRightInd w:val="0"/>
        <w:snapToGrid w:val="0"/>
        <w:spacing w:line="360" w:lineRule="auto"/>
        <w:jc w:val="center"/>
        <w:rPr>
          <w:rFonts w:hint="default" w:ascii="Times New Roman" w:hAnsi="Times New Roman" w:eastAsia="宋体" w:cs="Times New Roman"/>
          <w:b/>
          <w:color w:val="0000FF"/>
          <w:kern w:val="2"/>
          <w:sz w:val="21"/>
          <w:szCs w:val="21"/>
          <w:lang w:val="en-US" w:eastAsia="zh-CN" w:bidi="ar-SA"/>
        </w:rPr>
      </w:pPr>
      <w:r>
        <w:rPr>
          <w:rFonts w:hint="default" w:ascii="Times New Roman" w:hAnsi="Times New Roman" w:eastAsia="宋体" w:cs="Times New Roman"/>
          <w:b/>
          <w:color w:val="0000FF"/>
          <w:kern w:val="2"/>
          <w:sz w:val="21"/>
          <w:szCs w:val="21"/>
          <w:lang w:val="en-US" w:eastAsia="zh-CN" w:bidi="ar-SA"/>
        </w:rPr>
        <w:t>表</w:t>
      </w:r>
      <w:r>
        <w:rPr>
          <w:rFonts w:hint="eastAsia" w:ascii="Times New Roman" w:hAnsi="Times New Roman" w:eastAsia="宋体" w:cs="Times New Roman"/>
          <w:b/>
          <w:color w:val="0000FF"/>
          <w:kern w:val="2"/>
          <w:sz w:val="21"/>
          <w:szCs w:val="21"/>
          <w:lang w:val="en-US" w:eastAsia="zh-CN" w:bidi="ar-SA"/>
        </w:rPr>
        <w:t>4</w:t>
      </w:r>
      <w:r>
        <w:rPr>
          <w:rFonts w:hint="default" w:ascii="Times New Roman" w:hAnsi="Times New Roman" w:eastAsia="宋体" w:cs="Times New Roman"/>
          <w:b/>
          <w:color w:val="0000FF"/>
          <w:kern w:val="2"/>
          <w:sz w:val="21"/>
          <w:szCs w:val="21"/>
          <w:lang w:val="en-US" w:eastAsia="zh-CN" w:bidi="ar-SA"/>
        </w:rPr>
        <w:t>-</w:t>
      </w:r>
      <w:r>
        <w:rPr>
          <w:rFonts w:hint="eastAsia" w:ascii="Times New Roman" w:hAnsi="Times New Roman" w:eastAsia="宋体" w:cs="Times New Roman"/>
          <w:b/>
          <w:color w:val="0000FF"/>
          <w:kern w:val="2"/>
          <w:sz w:val="21"/>
          <w:szCs w:val="21"/>
          <w:lang w:val="en-US" w:eastAsia="zh-CN" w:bidi="ar-SA"/>
        </w:rPr>
        <w:t>6</w:t>
      </w:r>
      <w:r>
        <w:rPr>
          <w:rFonts w:hint="default" w:ascii="Times New Roman" w:hAnsi="Times New Roman" w:eastAsia="宋体" w:cs="Times New Roman"/>
          <w:b/>
          <w:color w:val="0000FF"/>
          <w:kern w:val="2"/>
          <w:sz w:val="21"/>
          <w:szCs w:val="21"/>
          <w:lang w:val="en-US" w:eastAsia="zh-CN" w:bidi="ar-SA"/>
        </w:rPr>
        <w:t xml:space="preserve">   地表水环境敏感程度分级及判定结果</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14:paraId="5FB1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restart"/>
            <w:vAlign w:val="center"/>
          </w:tcPr>
          <w:p w14:paraId="509BA57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napToGrid w:val="0"/>
                <w:color w:val="0000FF"/>
                <w:szCs w:val="21"/>
              </w:rPr>
            </w:pPr>
            <w:r>
              <w:rPr>
                <w:rFonts w:hint="default" w:ascii="Times New Roman" w:hAnsi="Times New Roman" w:eastAsia="宋体" w:cs="Times New Roman"/>
                <w:b/>
                <w:bCs/>
                <w:snapToGrid w:val="0"/>
                <w:color w:val="0000FF"/>
                <w:szCs w:val="21"/>
              </w:rPr>
              <w:t>环境敏感目标</w:t>
            </w:r>
          </w:p>
        </w:tc>
        <w:tc>
          <w:tcPr>
            <w:tcW w:w="3750" w:type="pct"/>
            <w:gridSpan w:val="3"/>
            <w:vAlign w:val="center"/>
          </w:tcPr>
          <w:p w14:paraId="500B207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napToGrid w:val="0"/>
                <w:color w:val="0000FF"/>
                <w:szCs w:val="21"/>
              </w:rPr>
            </w:pPr>
            <w:r>
              <w:rPr>
                <w:rFonts w:hint="default" w:ascii="Times New Roman" w:hAnsi="Times New Roman" w:eastAsia="宋体" w:cs="Times New Roman"/>
                <w:b/>
                <w:bCs/>
                <w:snapToGrid w:val="0"/>
                <w:color w:val="0000FF"/>
                <w:szCs w:val="21"/>
              </w:rPr>
              <w:t>地表水功能敏感性</w:t>
            </w:r>
          </w:p>
        </w:tc>
      </w:tr>
      <w:tr w14:paraId="049A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continue"/>
            <w:vAlign w:val="center"/>
          </w:tcPr>
          <w:p w14:paraId="5DC04C6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napToGrid w:val="0"/>
                <w:color w:val="0000FF"/>
                <w:szCs w:val="21"/>
              </w:rPr>
            </w:pPr>
          </w:p>
        </w:tc>
        <w:tc>
          <w:tcPr>
            <w:tcW w:w="1250" w:type="pct"/>
            <w:vAlign w:val="center"/>
          </w:tcPr>
          <w:p w14:paraId="69FDC39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napToGrid w:val="0"/>
                <w:color w:val="0000FF"/>
                <w:szCs w:val="21"/>
              </w:rPr>
            </w:pPr>
            <w:r>
              <w:rPr>
                <w:rFonts w:hint="default" w:ascii="Times New Roman" w:hAnsi="Times New Roman" w:eastAsia="宋体" w:cs="Times New Roman"/>
                <w:b/>
                <w:bCs/>
                <w:snapToGrid w:val="0"/>
                <w:color w:val="0000FF"/>
                <w:szCs w:val="21"/>
              </w:rPr>
              <w:t>F1</w:t>
            </w:r>
          </w:p>
        </w:tc>
        <w:tc>
          <w:tcPr>
            <w:tcW w:w="1250" w:type="pct"/>
            <w:vAlign w:val="center"/>
          </w:tcPr>
          <w:p w14:paraId="07F862C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napToGrid w:val="0"/>
                <w:color w:val="0000FF"/>
                <w:szCs w:val="21"/>
              </w:rPr>
            </w:pPr>
            <w:r>
              <w:rPr>
                <w:rFonts w:hint="default" w:ascii="Times New Roman" w:hAnsi="Times New Roman" w:eastAsia="宋体" w:cs="Times New Roman"/>
                <w:b/>
                <w:bCs/>
                <w:snapToGrid w:val="0"/>
                <w:color w:val="0000FF"/>
                <w:szCs w:val="21"/>
              </w:rPr>
              <w:t>F2</w:t>
            </w:r>
          </w:p>
        </w:tc>
        <w:tc>
          <w:tcPr>
            <w:tcW w:w="1250" w:type="pct"/>
            <w:vAlign w:val="center"/>
          </w:tcPr>
          <w:p w14:paraId="08C6F33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napToGrid w:val="0"/>
                <w:color w:val="0000FF"/>
                <w:szCs w:val="21"/>
              </w:rPr>
            </w:pPr>
            <w:r>
              <w:rPr>
                <w:rFonts w:hint="default" w:ascii="Times New Roman" w:hAnsi="Times New Roman" w:eastAsia="宋体" w:cs="Times New Roman"/>
                <w:b/>
                <w:bCs/>
                <w:snapToGrid w:val="0"/>
                <w:color w:val="0000FF"/>
                <w:szCs w:val="21"/>
              </w:rPr>
              <w:t>F3</w:t>
            </w:r>
          </w:p>
        </w:tc>
      </w:tr>
      <w:tr w14:paraId="38EE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5066337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S1</w:t>
            </w:r>
          </w:p>
        </w:tc>
        <w:tc>
          <w:tcPr>
            <w:tcW w:w="1250" w:type="pct"/>
            <w:vAlign w:val="center"/>
          </w:tcPr>
          <w:p w14:paraId="3C9BAD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E1</w:t>
            </w:r>
          </w:p>
        </w:tc>
        <w:tc>
          <w:tcPr>
            <w:tcW w:w="1250" w:type="pct"/>
            <w:vAlign w:val="center"/>
          </w:tcPr>
          <w:p w14:paraId="2109648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E1</w:t>
            </w:r>
          </w:p>
        </w:tc>
        <w:tc>
          <w:tcPr>
            <w:tcW w:w="1250" w:type="pct"/>
            <w:vAlign w:val="center"/>
          </w:tcPr>
          <w:p w14:paraId="1719468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E2</w:t>
            </w:r>
          </w:p>
        </w:tc>
      </w:tr>
      <w:tr w14:paraId="4D66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50" w:type="pct"/>
            <w:vAlign w:val="center"/>
          </w:tcPr>
          <w:p w14:paraId="4DBC6E1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S2</w:t>
            </w:r>
          </w:p>
        </w:tc>
        <w:tc>
          <w:tcPr>
            <w:tcW w:w="1250" w:type="pct"/>
            <w:vAlign w:val="center"/>
          </w:tcPr>
          <w:p w14:paraId="5202B25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E1</w:t>
            </w:r>
          </w:p>
        </w:tc>
        <w:tc>
          <w:tcPr>
            <w:tcW w:w="1250" w:type="pct"/>
            <w:tcBorders>
              <w:bottom w:val="single" w:color="auto" w:sz="4" w:space="0"/>
            </w:tcBorders>
            <w:vAlign w:val="center"/>
          </w:tcPr>
          <w:p w14:paraId="43373B7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E2</w:t>
            </w:r>
          </w:p>
        </w:tc>
        <w:tc>
          <w:tcPr>
            <w:tcW w:w="1250" w:type="pct"/>
            <w:tcBorders>
              <w:bottom w:val="single" w:color="auto" w:sz="4" w:space="0"/>
            </w:tcBorders>
            <w:vAlign w:val="center"/>
          </w:tcPr>
          <w:p w14:paraId="7FB606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kern w:val="2"/>
                <w:sz w:val="21"/>
                <w:szCs w:val="21"/>
                <w:lang w:val="en-US" w:eastAsia="zh-CN" w:bidi="ar-SA"/>
              </w:rPr>
            </w:pPr>
            <w:r>
              <w:rPr>
                <w:rFonts w:hint="default" w:ascii="Times New Roman" w:hAnsi="Times New Roman" w:eastAsia="宋体" w:cs="Times New Roman"/>
                <w:snapToGrid w:val="0"/>
                <w:color w:val="0000FF"/>
                <w:szCs w:val="21"/>
              </w:rPr>
              <w:t>E2</w:t>
            </w:r>
          </w:p>
        </w:tc>
      </w:tr>
      <w:tr w14:paraId="4FE8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shd w:val="clear" w:color="auto" w:fill="auto"/>
            <w:vAlign w:val="center"/>
          </w:tcPr>
          <w:p w14:paraId="37F8B0A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S3</w:t>
            </w:r>
          </w:p>
        </w:tc>
        <w:tc>
          <w:tcPr>
            <w:tcW w:w="1250" w:type="pct"/>
            <w:shd w:val="clear" w:color="auto" w:fill="auto"/>
            <w:vAlign w:val="center"/>
          </w:tcPr>
          <w:p w14:paraId="1E95C92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E1</w:t>
            </w:r>
          </w:p>
        </w:tc>
        <w:tc>
          <w:tcPr>
            <w:tcW w:w="1250" w:type="pct"/>
            <w:shd w:val="clear" w:color="auto" w:fill="auto"/>
            <w:vAlign w:val="center"/>
          </w:tcPr>
          <w:p w14:paraId="5030F2E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E2</w:t>
            </w:r>
          </w:p>
        </w:tc>
        <w:tc>
          <w:tcPr>
            <w:tcW w:w="1250" w:type="pct"/>
            <w:shd w:val="clear" w:color="auto" w:fill="auto"/>
            <w:vAlign w:val="center"/>
          </w:tcPr>
          <w:p w14:paraId="154616E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kern w:val="2"/>
                <w:sz w:val="21"/>
                <w:szCs w:val="21"/>
                <w:lang w:val="en-US" w:eastAsia="zh-CN" w:bidi="ar-SA"/>
              </w:rPr>
            </w:pPr>
            <w:r>
              <w:rPr>
                <w:rFonts w:hint="default" w:ascii="Times New Roman" w:hAnsi="Times New Roman" w:eastAsia="宋体" w:cs="Times New Roman"/>
                <w:snapToGrid w:val="0"/>
                <w:color w:val="0000FF"/>
                <w:szCs w:val="21"/>
              </w:rPr>
              <w:t>E3</w:t>
            </w:r>
          </w:p>
        </w:tc>
      </w:tr>
    </w:tbl>
    <w:p w14:paraId="35C87CE7">
      <w:pPr>
        <w:pStyle w:val="58"/>
        <w:keepNext w:val="0"/>
        <w:keepLines w:val="0"/>
        <w:pageBreakBefore w:val="0"/>
        <w:widowControl w:val="0"/>
        <w:kinsoku/>
        <w:wordWrap/>
        <w:overflowPunct/>
        <w:bidi w:val="0"/>
        <w:spacing w:line="360" w:lineRule="auto"/>
        <w:ind w:left="0" w:leftChars="0" w:firstLine="0" w:firstLineChars="0"/>
        <w:jc w:val="center"/>
        <w:textAlignment w:val="auto"/>
        <w:rPr>
          <w:rFonts w:hint="default" w:ascii="Times New Roman" w:hAnsi="Times New Roman" w:eastAsia="宋体" w:cs="Times New Roman"/>
          <w:b/>
          <w:color w:val="0000FF"/>
          <w:kern w:val="2"/>
          <w:sz w:val="21"/>
          <w:szCs w:val="21"/>
          <w:lang w:val="en-US" w:eastAsia="zh-CN" w:bidi="ar-SA"/>
        </w:rPr>
      </w:pPr>
      <w:r>
        <w:rPr>
          <w:rFonts w:hint="default" w:ascii="Times New Roman" w:hAnsi="Times New Roman" w:eastAsia="宋体" w:cs="Times New Roman"/>
          <w:b/>
          <w:color w:val="0000FF"/>
          <w:kern w:val="2"/>
          <w:sz w:val="21"/>
          <w:szCs w:val="21"/>
          <w:lang w:val="en-US" w:eastAsia="zh-CN" w:bidi="ar-SA"/>
        </w:rPr>
        <w:t>表4-</w:t>
      </w:r>
      <w:r>
        <w:rPr>
          <w:rFonts w:hint="eastAsia" w:ascii="Times New Roman" w:hAnsi="Times New Roman" w:cs="Times New Roman"/>
          <w:b/>
          <w:color w:val="0000FF"/>
          <w:kern w:val="2"/>
          <w:sz w:val="21"/>
          <w:szCs w:val="21"/>
          <w:lang w:val="en-US" w:eastAsia="zh-CN" w:bidi="ar-SA"/>
        </w:rPr>
        <w:t>7</w:t>
      </w:r>
      <w:r>
        <w:rPr>
          <w:rFonts w:hint="default" w:ascii="Times New Roman" w:hAnsi="Times New Roman" w:eastAsia="宋体" w:cs="Times New Roman"/>
          <w:b/>
          <w:color w:val="0000FF"/>
          <w:kern w:val="2"/>
          <w:sz w:val="21"/>
          <w:szCs w:val="21"/>
          <w:lang w:val="en-US" w:eastAsia="zh-CN" w:bidi="ar-SA"/>
        </w:rPr>
        <w:t xml:space="preserve">   地表水环境敏感性分区</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0"/>
        <w:gridCol w:w="7040"/>
      </w:tblGrid>
      <w:tr w14:paraId="69871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60CF316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snapToGrid w:val="0"/>
                <w:color w:val="0000FF"/>
                <w:sz w:val="21"/>
                <w:szCs w:val="21"/>
              </w:rPr>
            </w:pPr>
            <w:r>
              <w:rPr>
                <w:rFonts w:hint="default" w:ascii="Times New Roman" w:hAnsi="Times New Roman" w:eastAsia="宋体" w:cs="Times New Roman"/>
                <w:b/>
                <w:snapToGrid w:val="0"/>
                <w:color w:val="0000FF"/>
                <w:sz w:val="21"/>
                <w:szCs w:val="21"/>
              </w:rPr>
              <w:t>敏感性</w:t>
            </w:r>
          </w:p>
        </w:tc>
        <w:tc>
          <w:tcPr>
            <w:tcW w:w="2429" w:type="pct"/>
            <w:vAlign w:val="center"/>
          </w:tcPr>
          <w:p w14:paraId="513F082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snapToGrid w:val="0"/>
                <w:color w:val="0000FF"/>
                <w:sz w:val="21"/>
                <w:szCs w:val="21"/>
              </w:rPr>
            </w:pPr>
            <w:r>
              <w:rPr>
                <w:rFonts w:hint="default" w:ascii="Times New Roman" w:hAnsi="Times New Roman" w:eastAsia="宋体" w:cs="Times New Roman"/>
                <w:b/>
                <w:snapToGrid w:val="0"/>
                <w:color w:val="0000FF"/>
                <w:sz w:val="21"/>
                <w:szCs w:val="21"/>
              </w:rPr>
              <w:t>地表水环境敏感特征</w:t>
            </w:r>
          </w:p>
        </w:tc>
      </w:tr>
      <w:tr w14:paraId="621C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7456111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敏感F1</w:t>
            </w:r>
          </w:p>
        </w:tc>
        <w:tc>
          <w:tcPr>
            <w:tcW w:w="2429" w:type="pct"/>
            <w:vAlign w:val="center"/>
          </w:tcPr>
          <w:p w14:paraId="11C3916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排放点进入地表水水域环境功能为Ⅱ类及以上，或海水水质分类为第一类；</w:t>
            </w:r>
            <w:r>
              <w:rPr>
                <w:rFonts w:hint="default" w:ascii="Times New Roman" w:hAnsi="Times New Roman" w:eastAsia="宋体" w:cs="Times New Roman"/>
                <w:snapToGrid w:val="0"/>
                <w:color w:val="0000FF"/>
                <w:sz w:val="21"/>
                <w:szCs w:val="21"/>
                <w:lang w:eastAsia="zh-CN"/>
              </w:rPr>
              <w:t>或已发生</w:t>
            </w:r>
            <w:r>
              <w:rPr>
                <w:rFonts w:hint="default" w:ascii="Times New Roman" w:hAnsi="Times New Roman" w:eastAsia="宋体" w:cs="Times New Roman"/>
                <w:snapToGrid w:val="0"/>
                <w:color w:val="0000FF"/>
                <w:sz w:val="21"/>
                <w:szCs w:val="21"/>
              </w:rPr>
              <w:t>事故时，危险物质泄漏到水体的排放点算起，排放进入受纳河流最大流速时，24h流经范围内涉跨国界的</w:t>
            </w:r>
          </w:p>
        </w:tc>
      </w:tr>
      <w:tr w14:paraId="3D0B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163226E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较敏感F2</w:t>
            </w:r>
          </w:p>
        </w:tc>
        <w:tc>
          <w:tcPr>
            <w:tcW w:w="2429" w:type="pct"/>
            <w:vAlign w:val="center"/>
          </w:tcPr>
          <w:p w14:paraId="459F0DC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排放点进入地表水水域环境功能为Ⅲ类，或海水水质分类为第二类；</w:t>
            </w:r>
            <w:r>
              <w:rPr>
                <w:rFonts w:hint="default" w:ascii="Times New Roman" w:hAnsi="Times New Roman" w:eastAsia="宋体" w:cs="Times New Roman"/>
                <w:snapToGrid w:val="0"/>
                <w:color w:val="0000FF"/>
                <w:sz w:val="21"/>
                <w:szCs w:val="21"/>
                <w:lang w:eastAsia="zh-CN"/>
              </w:rPr>
              <w:t>或已发生</w:t>
            </w:r>
            <w:r>
              <w:rPr>
                <w:rFonts w:hint="default" w:ascii="Times New Roman" w:hAnsi="Times New Roman" w:eastAsia="宋体" w:cs="Times New Roman"/>
                <w:snapToGrid w:val="0"/>
                <w:color w:val="0000FF"/>
                <w:sz w:val="21"/>
                <w:szCs w:val="21"/>
              </w:rPr>
              <w:t>事故时，危险物质泄漏到水体的排放点算起，排放进入受纳河流最大流速时，24h流经范围内涉跨省界的</w:t>
            </w:r>
          </w:p>
        </w:tc>
      </w:tr>
      <w:tr w14:paraId="51A7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5696866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低敏感F3</w:t>
            </w:r>
          </w:p>
        </w:tc>
        <w:tc>
          <w:tcPr>
            <w:tcW w:w="2429" w:type="pct"/>
            <w:vAlign w:val="center"/>
          </w:tcPr>
          <w:p w14:paraId="1E88B50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上述地区之外的其他地区</w:t>
            </w:r>
          </w:p>
        </w:tc>
      </w:tr>
    </w:tbl>
    <w:p w14:paraId="08644FA1">
      <w:pPr>
        <w:pStyle w:val="10"/>
        <w:rPr>
          <w:rFonts w:hint="default" w:ascii="Times New Roman" w:hAnsi="Times New Roman" w:eastAsia="宋体" w:cs="Times New Roman"/>
          <w:color w:val="0000FF"/>
          <w:kern w:val="2"/>
          <w:sz w:val="28"/>
          <w:szCs w:val="28"/>
          <w:highlight w:val="none"/>
          <w:lang w:val="en-US" w:eastAsia="zh-CN" w:bidi="ar-SA"/>
        </w:rPr>
      </w:pPr>
      <w:r>
        <w:rPr>
          <w:rFonts w:hint="default" w:ascii="Times New Roman" w:hAnsi="Times New Roman" w:eastAsia="宋体" w:cs="Times New Roman"/>
          <w:color w:val="0000FF"/>
          <w:kern w:val="2"/>
          <w:sz w:val="28"/>
          <w:szCs w:val="28"/>
          <w:highlight w:val="none"/>
          <w:lang w:val="en-US" w:eastAsia="zh-CN" w:bidi="ar-SA"/>
        </w:rPr>
        <w:t>根据现场调查，判定建设项目地表水程度为低敏感F3。</w:t>
      </w:r>
    </w:p>
    <w:p w14:paraId="0B52C694">
      <w:pPr>
        <w:pStyle w:val="58"/>
        <w:keepNext w:val="0"/>
        <w:keepLines w:val="0"/>
        <w:pageBreakBefore w:val="0"/>
        <w:widowControl w:val="0"/>
        <w:kinsoku/>
        <w:wordWrap/>
        <w:overflowPunct/>
        <w:bidi w:val="0"/>
        <w:spacing w:line="360" w:lineRule="auto"/>
        <w:ind w:left="0" w:leftChars="0" w:firstLine="0" w:firstLineChars="0"/>
        <w:jc w:val="center"/>
        <w:textAlignment w:val="auto"/>
        <w:rPr>
          <w:rFonts w:hint="default" w:ascii="Times New Roman" w:hAnsi="Times New Roman" w:eastAsia="宋体" w:cs="Times New Roman"/>
          <w:b/>
          <w:color w:val="0000FF"/>
          <w:kern w:val="2"/>
          <w:sz w:val="21"/>
          <w:szCs w:val="21"/>
          <w:lang w:val="en-US" w:eastAsia="zh-CN" w:bidi="ar-SA"/>
        </w:rPr>
      </w:pPr>
      <w:r>
        <w:rPr>
          <w:rFonts w:hint="default" w:ascii="Times New Roman" w:hAnsi="Times New Roman" w:eastAsia="宋体" w:cs="Times New Roman"/>
          <w:b/>
          <w:color w:val="0000FF"/>
          <w:kern w:val="2"/>
          <w:sz w:val="21"/>
          <w:szCs w:val="21"/>
          <w:lang w:val="en-US" w:eastAsia="zh-CN" w:bidi="ar-SA"/>
        </w:rPr>
        <w:t>表4-</w:t>
      </w:r>
      <w:r>
        <w:rPr>
          <w:rFonts w:hint="eastAsia" w:ascii="Times New Roman" w:hAnsi="Times New Roman" w:cs="Times New Roman"/>
          <w:b/>
          <w:color w:val="0000FF"/>
          <w:kern w:val="2"/>
          <w:sz w:val="21"/>
          <w:szCs w:val="21"/>
          <w:lang w:val="en-US" w:eastAsia="zh-CN" w:bidi="ar-SA"/>
        </w:rPr>
        <w:t>8</w:t>
      </w:r>
      <w:r>
        <w:rPr>
          <w:rFonts w:hint="default" w:ascii="Times New Roman" w:hAnsi="Times New Roman" w:eastAsia="宋体" w:cs="Times New Roman"/>
          <w:b/>
          <w:color w:val="0000FF"/>
          <w:kern w:val="2"/>
          <w:sz w:val="21"/>
          <w:szCs w:val="21"/>
          <w:lang w:val="en-US" w:eastAsia="zh-CN" w:bidi="ar-SA"/>
        </w:rPr>
        <w:t xml:space="preserve">  环境敏感目标分级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7781"/>
      </w:tblGrid>
      <w:tr w14:paraId="79E1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6C03B5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snapToGrid w:val="0"/>
                <w:color w:val="0000FF"/>
                <w:sz w:val="21"/>
                <w:szCs w:val="21"/>
              </w:rPr>
            </w:pPr>
            <w:r>
              <w:rPr>
                <w:rFonts w:hint="default" w:ascii="Times New Roman" w:hAnsi="Times New Roman" w:eastAsia="宋体" w:cs="Times New Roman"/>
                <w:b/>
                <w:snapToGrid w:val="0"/>
                <w:color w:val="0000FF"/>
                <w:sz w:val="21"/>
                <w:szCs w:val="21"/>
              </w:rPr>
              <w:t>分级</w:t>
            </w:r>
          </w:p>
        </w:tc>
        <w:tc>
          <w:tcPr>
            <w:tcW w:w="2957" w:type="pct"/>
            <w:vAlign w:val="center"/>
          </w:tcPr>
          <w:p w14:paraId="4D05F99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snapToGrid w:val="0"/>
                <w:color w:val="0000FF"/>
                <w:sz w:val="21"/>
                <w:szCs w:val="21"/>
              </w:rPr>
            </w:pPr>
            <w:r>
              <w:rPr>
                <w:rFonts w:hint="default" w:ascii="Times New Roman" w:hAnsi="Times New Roman" w:eastAsia="宋体" w:cs="Times New Roman"/>
                <w:b/>
                <w:snapToGrid w:val="0"/>
                <w:color w:val="0000FF"/>
                <w:sz w:val="21"/>
                <w:szCs w:val="21"/>
              </w:rPr>
              <w:t>环境敏感目标</w:t>
            </w:r>
          </w:p>
        </w:tc>
      </w:tr>
      <w:tr w14:paraId="782D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3FBA5F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S1</w:t>
            </w:r>
          </w:p>
        </w:tc>
        <w:tc>
          <w:tcPr>
            <w:tcW w:w="2957" w:type="pct"/>
            <w:vAlign w:val="center"/>
          </w:tcPr>
          <w:p w14:paraId="08FFE83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发生事故时，危险物质泄漏到内陆水体的排放点下游</w:t>
            </w:r>
            <w:r>
              <w:rPr>
                <w:rFonts w:hint="default"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顺水流向</w:t>
            </w:r>
            <w:r>
              <w:rPr>
                <w:rFonts w:hint="default"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10km范围内、近岸海域一个潮周期水质点可能达到的最大水平距离的两倍范围内，有如下一类或多类环境风险受体：集中式地表水饮用水水源保护区</w:t>
            </w:r>
            <w:r>
              <w:rPr>
                <w:rFonts w:hint="default"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包括一级保护区、二级保护区及准保护区</w:t>
            </w:r>
            <w:r>
              <w:rPr>
                <w:rFonts w:hint="default"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618AF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F3C02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S2</w:t>
            </w:r>
          </w:p>
        </w:tc>
        <w:tc>
          <w:tcPr>
            <w:tcW w:w="2957" w:type="pct"/>
            <w:vAlign w:val="center"/>
          </w:tcPr>
          <w:p w14:paraId="28BA87C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6FAC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802B68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S3</w:t>
            </w:r>
          </w:p>
        </w:tc>
        <w:tc>
          <w:tcPr>
            <w:tcW w:w="2957" w:type="pct"/>
            <w:vAlign w:val="center"/>
          </w:tcPr>
          <w:p w14:paraId="23224A4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排放点下游（顺水流向）10km范围、近岸海域一个潮周期水质点可能达到的最大水平距离的两倍范围内无上述类型1和类型2包括的敏感保护目标。</w:t>
            </w:r>
          </w:p>
        </w:tc>
      </w:tr>
    </w:tbl>
    <w:p w14:paraId="4BA900BF">
      <w:pPr>
        <w:adjustRightInd w:val="0"/>
        <w:snapToGrid w:val="0"/>
        <w:spacing w:line="360" w:lineRule="auto"/>
        <w:jc w:val="both"/>
        <w:rPr>
          <w:rFonts w:hint="eastAsia" w:ascii="Times New Roman" w:hAnsi="Times New Roman" w:eastAsia="宋体" w:cs="Times New Roman"/>
          <w:color w:val="0000FF"/>
          <w:kern w:val="2"/>
          <w:sz w:val="28"/>
          <w:szCs w:val="28"/>
          <w:highlight w:val="none"/>
          <w:lang w:val="en-US" w:eastAsia="zh-CN" w:bidi="ar-SA"/>
        </w:rPr>
      </w:pPr>
      <w:r>
        <w:rPr>
          <w:rFonts w:hint="default" w:ascii="Times New Roman" w:hAnsi="Times New Roman" w:eastAsia="宋体" w:cs="Times New Roman"/>
          <w:color w:val="0000FF"/>
          <w:kern w:val="2"/>
          <w:sz w:val="28"/>
          <w:szCs w:val="28"/>
          <w:highlight w:val="none"/>
          <w:lang w:val="en-US" w:eastAsia="zh-CN" w:bidi="ar-SA"/>
        </w:rPr>
        <w:t>根据现场调查，</w:t>
      </w:r>
      <w:r>
        <w:rPr>
          <w:rFonts w:hint="eastAsia" w:ascii="Times New Roman" w:hAnsi="Times New Roman" w:eastAsia="宋体" w:cs="Times New Roman"/>
          <w:color w:val="0000FF"/>
          <w:kern w:val="2"/>
          <w:sz w:val="28"/>
          <w:szCs w:val="28"/>
          <w:highlight w:val="none"/>
          <w:lang w:val="en-US" w:eastAsia="zh-CN" w:bidi="ar-SA"/>
        </w:rPr>
        <w:t>若硝酸泄露后全部收集在应急事故池中，因此，判定建设项目环境敏感目标分级为S3。</w:t>
      </w:r>
    </w:p>
    <w:p w14:paraId="5DB03E87">
      <w:pPr>
        <w:adjustRightInd w:val="0"/>
        <w:snapToGrid w:val="0"/>
        <w:spacing w:line="360" w:lineRule="auto"/>
        <w:jc w:val="both"/>
        <w:rPr>
          <w:rFonts w:hint="eastAsia" w:ascii="Times New Roman" w:hAnsi="Times New Roman" w:eastAsia="宋体" w:cs="Times New Roman"/>
          <w:color w:val="0000FF"/>
          <w:kern w:val="2"/>
          <w:sz w:val="28"/>
          <w:szCs w:val="28"/>
          <w:highlight w:val="none"/>
          <w:lang w:val="en-US" w:eastAsia="zh-CN" w:bidi="ar-SA"/>
        </w:rPr>
      </w:pPr>
      <w:r>
        <w:rPr>
          <w:rFonts w:hint="eastAsia" w:ascii="Times New Roman" w:hAnsi="Times New Roman" w:eastAsia="宋体" w:cs="Times New Roman"/>
          <w:color w:val="0000FF"/>
          <w:kern w:val="2"/>
          <w:sz w:val="28"/>
          <w:szCs w:val="28"/>
          <w:highlight w:val="none"/>
          <w:lang w:val="en-US" w:eastAsia="zh-CN" w:bidi="ar-SA"/>
        </w:rPr>
        <w:t>综上所述，建设项目厂区周边无地表水体，建设项目地表水程度为低敏感F3，环境敏感目标分级为S3，判定建设项目地表水环境敏感程度分级为E3。</w:t>
      </w:r>
    </w:p>
    <w:p w14:paraId="5C175F48">
      <w:pPr>
        <w:pStyle w:val="25"/>
        <w:ind w:firstLine="562" w:firstLineChars="200"/>
        <w:outlineLvl w:val="2"/>
        <w:rPr>
          <w:rFonts w:hint="eastAsia" w:ascii="Times New Roman" w:hAnsi="Times New Roman" w:eastAsia="宋体" w:cs="Times New Roman"/>
          <w:b/>
          <w:bCs/>
          <w:color w:val="0000FF"/>
          <w:kern w:val="2"/>
          <w:sz w:val="28"/>
          <w:szCs w:val="28"/>
          <w:highlight w:val="none"/>
          <w:lang w:val="en-US" w:eastAsia="zh-CN" w:bidi="ar-SA"/>
        </w:rPr>
      </w:pPr>
      <w:r>
        <w:rPr>
          <w:rFonts w:hint="eastAsia" w:ascii="Times New Roman" w:hAnsi="Times New Roman" w:eastAsia="宋体" w:cs="Times New Roman"/>
          <w:b/>
          <w:bCs/>
          <w:color w:val="0000FF"/>
          <w:kern w:val="2"/>
          <w:sz w:val="28"/>
          <w:szCs w:val="28"/>
          <w:highlight w:val="none"/>
          <w:lang w:val="en-US" w:eastAsia="zh-CN" w:bidi="ar-SA"/>
        </w:rPr>
        <w:t>4.3.3地下水环境</w:t>
      </w:r>
    </w:p>
    <w:p w14:paraId="20DA5298">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Times New Roman" w:hAnsi="Times New Roman" w:eastAsia="宋体" w:cs="Times New Roman"/>
          <w:color w:val="0000FF"/>
          <w:kern w:val="2"/>
          <w:sz w:val="28"/>
          <w:szCs w:val="28"/>
          <w:highlight w:val="none"/>
          <w:lang w:val="en-US" w:eastAsia="zh-CN" w:bidi="ar-SA"/>
        </w:rPr>
      </w:pPr>
      <w:r>
        <w:rPr>
          <w:rFonts w:hint="eastAsia" w:ascii="Times New Roman" w:hAnsi="Times New Roman" w:eastAsia="宋体" w:cs="Times New Roman"/>
          <w:color w:val="0000FF"/>
          <w:kern w:val="0"/>
          <w:sz w:val="28"/>
          <w:szCs w:val="28"/>
          <w:lang w:val="en-US" w:eastAsia="zh-CN" w:bidi="ar"/>
        </w:rPr>
        <w:t>依据地下水功能敏感性与包气带防污性能，共分为三种类型</w:t>
      </w:r>
      <w:r>
        <w:rPr>
          <w:rFonts w:hint="default" w:ascii="Times New Roman" w:hAnsi="Times New Roman" w:eastAsia="宋体" w:cs="Times New Roman"/>
          <w:color w:val="0000FF"/>
          <w:kern w:val="2"/>
          <w:sz w:val="28"/>
          <w:szCs w:val="28"/>
          <w:highlight w:val="none"/>
          <w:lang w:val="en-US" w:eastAsia="zh-CN" w:bidi="ar-SA"/>
        </w:rPr>
        <w:t>E1为环境高度敏感区，E2为环境中度敏感区，E3为环境低度敏感区，分级原则见表4-</w:t>
      </w:r>
      <w:r>
        <w:rPr>
          <w:rFonts w:hint="eastAsia" w:ascii="Times New Roman" w:hAnsi="Times New Roman" w:eastAsia="宋体" w:cs="Times New Roman"/>
          <w:color w:val="0000FF"/>
          <w:kern w:val="2"/>
          <w:sz w:val="28"/>
          <w:szCs w:val="28"/>
          <w:highlight w:val="none"/>
          <w:lang w:val="en-US" w:eastAsia="zh-CN" w:bidi="ar-SA"/>
        </w:rPr>
        <w:t>9</w:t>
      </w:r>
      <w:r>
        <w:rPr>
          <w:rFonts w:hint="default" w:ascii="Times New Roman" w:hAnsi="Times New Roman" w:eastAsia="宋体" w:cs="Times New Roman"/>
          <w:color w:val="0000FF"/>
          <w:kern w:val="2"/>
          <w:sz w:val="28"/>
          <w:szCs w:val="28"/>
          <w:highlight w:val="none"/>
          <w:lang w:val="en-US" w:eastAsia="zh-CN" w:bidi="ar-SA"/>
        </w:rPr>
        <w:t>。</w:t>
      </w:r>
      <w:r>
        <w:rPr>
          <w:rFonts w:hint="eastAsia" w:ascii="Times New Roman" w:hAnsi="Times New Roman" w:eastAsia="宋体" w:cs="Times New Roman"/>
          <w:color w:val="0000FF"/>
          <w:kern w:val="2"/>
          <w:sz w:val="28"/>
          <w:szCs w:val="28"/>
          <w:highlight w:val="none"/>
          <w:lang w:val="en-US" w:eastAsia="zh-CN" w:bidi="ar-SA"/>
        </w:rPr>
        <w:t>其中地下水功能敏感性分区和包气带防污性能分级分别见表4-10和表4-11.当同一建设项目涉及两个G分区或D分级及以上时，取相对高值。</w:t>
      </w:r>
    </w:p>
    <w:p w14:paraId="7A3BD5CE">
      <w:pPr>
        <w:adjustRightInd w:val="0"/>
        <w:snapToGrid w:val="0"/>
        <w:spacing w:line="360" w:lineRule="auto"/>
        <w:jc w:val="center"/>
        <w:rPr>
          <w:rFonts w:hint="default" w:ascii="Times New Roman" w:hAnsi="Times New Roman" w:eastAsia="宋体" w:cs="Times New Roman"/>
          <w:b/>
          <w:color w:val="0000FF"/>
          <w:kern w:val="2"/>
          <w:sz w:val="21"/>
          <w:szCs w:val="21"/>
          <w:lang w:val="en-US" w:eastAsia="zh-CN" w:bidi="ar-SA"/>
        </w:rPr>
      </w:pPr>
      <w:r>
        <w:rPr>
          <w:rFonts w:hint="default" w:ascii="Times New Roman" w:hAnsi="Times New Roman" w:eastAsia="宋体" w:cs="Times New Roman"/>
          <w:b/>
          <w:color w:val="0000FF"/>
          <w:kern w:val="2"/>
          <w:sz w:val="21"/>
          <w:szCs w:val="21"/>
          <w:lang w:val="en-US" w:eastAsia="zh-CN" w:bidi="ar-SA"/>
        </w:rPr>
        <w:t>表</w:t>
      </w:r>
      <w:r>
        <w:rPr>
          <w:rFonts w:hint="eastAsia" w:ascii="Times New Roman" w:hAnsi="Times New Roman" w:eastAsia="宋体" w:cs="Times New Roman"/>
          <w:b/>
          <w:color w:val="0000FF"/>
          <w:kern w:val="2"/>
          <w:sz w:val="21"/>
          <w:szCs w:val="21"/>
          <w:lang w:val="en-US" w:eastAsia="zh-CN" w:bidi="ar-SA"/>
        </w:rPr>
        <w:t>4</w:t>
      </w:r>
      <w:r>
        <w:rPr>
          <w:rFonts w:hint="default" w:ascii="Times New Roman" w:hAnsi="Times New Roman" w:eastAsia="宋体" w:cs="Times New Roman"/>
          <w:b/>
          <w:color w:val="0000FF"/>
          <w:kern w:val="2"/>
          <w:sz w:val="21"/>
          <w:szCs w:val="21"/>
          <w:lang w:val="en-US" w:eastAsia="zh-CN" w:bidi="ar-SA"/>
        </w:rPr>
        <w:t>-</w:t>
      </w:r>
      <w:r>
        <w:rPr>
          <w:rFonts w:hint="eastAsia" w:ascii="Times New Roman" w:hAnsi="Times New Roman" w:eastAsia="宋体" w:cs="Times New Roman"/>
          <w:b/>
          <w:color w:val="0000FF"/>
          <w:kern w:val="2"/>
          <w:sz w:val="21"/>
          <w:szCs w:val="21"/>
          <w:lang w:val="en-US" w:eastAsia="zh-CN" w:bidi="ar-SA"/>
        </w:rPr>
        <w:t>9</w:t>
      </w:r>
      <w:r>
        <w:rPr>
          <w:rFonts w:hint="default" w:ascii="Times New Roman" w:hAnsi="Times New Roman" w:eastAsia="宋体" w:cs="Times New Roman"/>
          <w:b/>
          <w:color w:val="0000FF"/>
          <w:kern w:val="2"/>
          <w:sz w:val="21"/>
          <w:szCs w:val="21"/>
          <w:lang w:val="en-US" w:eastAsia="zh-CN" w:bidi="ar-SA"/>
        </w:rPr>
        <w:t xml:space="preserve">   地</w:t>
      </w:r>
      <w:r>
        <w:rPr>
          <w:rFonts w:hint="eastAsia" w:ascii="Times New Roman" w:hAnsi="Times New Roman" w:eastAsia="宋体" w:cs="Times New Roman"/>
          <w:b/>
          <w:color w:val="0000FF"/>
          <w:kern w:val="2"/>
          <w:sz w:val="21"/>
          <w:szCs w:val="21"/>
          <w:lang w:val="en-US" w:eastAsia="zh-CN" w:bidi="ar-SA"/>
        </w:rPr>
        <w:t>下</w:t>
      </w:r>
      <w:r>
        <w:rPr>
          <w:rFonts w:hint="default" w:ascii="Times New Roman" w:hAnsi="Times New Roman" w:eastAsia="宋体" w:cs="Times New Roman"/>
          <w:b/>
          <w:color w:val="0000FF"/>
          <w:kern w:val="2"/>
          <w:sz w:val="21"/>
          <w:szCs w:val="21"/>
          <w:lang w:val="en-US" w:eastAsia="zh-CN" w:bidi="ar-SA"/>
        </w:rPr>
        <w:t>水环境敏感程度分级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14:paraId="7FCF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restart"/>
            <w:vAlign w:val="center"/>
          </w:tcPr>
          <w:p w14:paraId="798C665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bCs/>
                <w:snapToGrid w:val="0"/>
                <w:color w:val="0000FF"/>
                <w:szCs w:val="21"/>
                <w:lang w:eastAsia="zh-CN"/>
              </w:rPr>
            </w:pPr>
            <w:r>
              <w:rPr>
                <w:rFonts w:hint="eastAsia" w:ascii="Times New Roman" w:hAnsi="Times New Roman" w:eastAsia="宋体" w:cs="Times New Roman"/>
                <w:b/>
                <w:bCs/>
                <w:snapToGrid w:val="0"/>
                <w:color w:val="0000FF"/>
                <w:szCs w:val="21"/>
                <w:lang w:eastAsia="zh-CN"/>
              </w:rPr>
              <w:t>包气带防污性能</w:t>
            </w:r>
          </w:p>
        </w:tc>
        <w:tc>
          <w:tcPr>
            <w:tcW w:w="3750" w:type="pct"/>
            <w:gridSpan w:val="3"/>
            <w:vAlign w:val="center"/>
          </w:tcPr>
          <w:p w14:paraId="6B8900B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napToGrid w:val="0"/>
                <w:color w:val="0000FF"/>
                <w:szCs w:val="21"/>
              </w:rPr>
            </w:pPr>
            <w:r>
              <w:rPr>
                <w:rFonts w:hint="default" w:ascii="Times New Roman" w:hAnsi="Times New Roman" w:eastAsia="宋体" w:cs="Times New Roman"/>
                <w:b/>
                <w:bCs/>
                <w:snapToGrid w:val="0"/>
                <w:color w:val="0000FF"/>
                <w:szCs w:val="21"/>
              </w:rPr>
              <w:t>地</w:t>
            </w:r>
            <w:r>
              <w:rPr>
                <w:rFonts w:hint="eastAsia" w:ascii="Times New Roman" w:hAnsi="Times New Roman" w:eastAsia="宋体" w:cs="Times New Roman"/>
                <w:b/>
                <w:bCs/>
                <w:snapToGrid w:val="0"/>
                <w:color w:val="0000FF"/>
                <w:szCs w:val="21"/>
                <w:lang w:eastAsia="zh-CN"/>
              </w:rPr>
              <w:t>下水</w:t>
            </w:r>
            <w:r>
              <w:rPr>
                <w:rFonts w:hint="default" w:ascii="Times New Roman" w:hAnsi="Times New Roman" w:eastAsia="宋体" w:cs="Times New Roman"/>
                <w:b/>
                <w:bCs/>
                <w:snapToGrid w:val="0"/>
                <w:color w:val="0000FF"/>
                <w:szCs w:val="21"/>
              </w:rPr>
              <w:t>水功能敏感性</w:t>
            </w:r>
          </w:p>
        </w:tc>
      </w:tr>
      <w:tr w14:paraId="27BA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continue"/>
            <w:vAlign w:val="center"/>
          </w:tcPr>
          <w:p w14:paraId="146E6BD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napToGrid w:val="0"/>
                <w:color w:val="0000FF"/>
                <w:szCs w:val="21"/>
              </w:rPr>
            </w:pPr>
          </w:p>
        </w:tc>
        <w:tc>
          <w:tcPr>
            <w:tcW w:w="1250" w:type="pct"/>
            <w:vAlign w:val="center"/>
          </w:tcPr>
          <w:p w14:paraId="1F95B07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napToGrid w:val="0"/>
                <w:color w:val="0000FF"/>
                <w:szCs w:val="21"/>
              </w:rPr>
            </w:pPr>
            <w:r>
              <w:rPr>
                <w:rFonts w:hint="eastAsia" w:ascii="Times New Roman" w:hAnsi="Times New Roman" w:eastAsia="宋体" w:cs="Times New Roman"/>
                <w:b/>
                <w:bCs/>
                <w:snapToGrid w:val="0"/>
                <w:color w:val="0000FF"/>
                <w:szCs w:val="21"/>
                <w:lang w:val="en-US" w:eastAsia="zh-CN"/>
              </w:rPr>
              <w:t>G</w:t>
            </w:r>
            <w:r>
              <w:rPr>
                <w:rFonts w:hint="default" w:ascii="Times New Roman" w:hAnsi="Times New Roman" w:eastAsia="宋体" w:cs="Times New Roman"/>
                <w:b/>
                <w:bCs/>
                <w:snapToGrid w:val="0"/>
                <w:color w:val="0000FF"/>
                <w:szCs w:val="21"/>
              </w:rPr>
              <w:t>1</w:t>
            </w:r>
          </w:p>
        </w:tc>
        <w:tc>
          <w:tcPr>
            <w:tcW w:w="1250" w:type="pct"/>
            <w:vAlign w:val="center"/>
          </w:tcPr>
          <w:p w14:paraId="2089551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napToGrid w:val="0"/>
                <w:color w:val="0000FF"/>
                <w:szCs w:val="21"/>
              </w:rPr>
            </w:pPr>
            <w:r>
              <w:rPr>
                <w:rFonts w:hint="eastAsia" w:ascii="Times New Roman" w:hAnsi="Times New Roman" w:eastAsia="宋体" w:cs="Times New Roman"/>
                <w:b/>
                <w:bCs/>
                <w:snapToGrid w:val="0"/>
                <w:color w:val="0000FF"/>
                <w:szCs w:val="21"/>
                <w:lang w:val="en-US" w:eastAsia="zh-CN"/>
              </w:rPr>
              <w:t>G</w:t>
            </w:r>
            <w:r>
              <w:rPr>
                <w:rFonts w:hint="default" w:ascii="Times New Roman" w:hAnsi="Times New Roman" w:eastAsia="宋体" w:cs="Times New Roman"/>
                <w:b/>
                <w:bCs/>
                <w:snapToGrid w:val="0"/>
                <w:color w:val="0000FF"/>
                <w:szCs w:val="21"/>
              </w:rPr>
              <w:t>2</w:t>
            </w:r>
          </w:p>
        </w:tc>
        <w:tc>
          <w:tcPr>
            <w:tcW w:w="1250" w:type="pct"/>
            <w:vAlign w:val="center"/>
          </w:tcPr>
          <w:p w14:paraId="7E3895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napToGrid w:val="0"/>
                <w:color w:val="0000FF"/>
                <w:szCs w:val="21"/>
              </w:rPr>
            </w:pPr>
            <w:r>
              <w:rPr>
                <w:rFonts w:hint="eastAsia" w:ascii="Times New Roman" w:hAnsi="Times New Roman" w:eastAsia="宋体" w:cs="Times New Roman"/>
                <w:b/>
                <w:bCs/>
                <w:snapToGrid w:val="0"/>
                <w:color w:val="0000FF"/>
                <w:szCs w:val="21"/>
                <w:lang w:val="en-US" w:eastAsia="zh-CN"/>
              </w:rPr>
              <w:t>G</w:t>
            </w:r>
            <w:r>
              <w:rPr>
                <w:rFonts w:hint="default" w:ascii="Times New Roman" w:hAnsi="Times New Roman" w:eastAsia="宋体" w:cs="Times New Roman"/>
                <w:b/>
                <w:bCs/>
                <w:snapToGrid w:val="0"/>
                <w:color w:val="0000FF"/>
                <w:szCs w:val="21"/>
              </w:rPr>
              <w:t>3</w:t>
            </w:r>
          </w:p>
        </w:tc>
      </w:tr>
      <w:tr w14:paraId="17A9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03AE96E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eastAsia" w:ascii="Times New Roman" w:hAnsi="Times New Roman" w:eastAsia="宋体" w:cs="Times New Roman"/>
                <w:snapToGrid w:val="0"/>
                <w:color w:val="0000FF"/>
                <w:szCs w:val="21"/>
                <w:lang w:val="en-US" w:eastAsia="zh-CN"/>
              </w:rPr>
              <w:t>D</w:t>
            </w:r>
            <w:r>
              <w:rPr>
                <w:rFonts w:hint="default" w:ascii="Times New Roman" w:hAnsi="Times New Roman" w:eastAsia="宋体" w:cs="Times New Roman"/>
                <w:snapToGrid w:val="0"/>
                <w:color w:val="0000FF"/>
                <w:szCs w:val="21"/>
              </w:rPr>
              <w:t>1</w:t>
            </w:r>
          </w:p>
        </w:tc>
        <w:tc>
          <w:tcPr>
            <w:tcW w:w="1250" w:type="pct"/>
            <w:vAlign w:val="center"/>
          </w:tcPr>
          <w:p w14:paraId="423D16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E1</w:t>
            </w:r>
          </w:p>
        </w:tc>
        <w:tc>
          <w:tcPr>
            <w:tcW w:w="1250" w:type="pct"/>
            <w:vAlign w:val="center"/>
          </w:tcPr>
          <w:p w14:paraId="7960066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E1</w:t>
            </w:r>
          </w:p>
        </w:tc>
        <w:tc>
          <w:tcPr>
            <w:tcW w:w="1250" w:type="pct"/>
            <w:vAlign w:val="center"/>
          </w:tcPr>
          <w:p w14:paraId="342FBED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E2</w:t>
            </w:r>
          </w:p>
        </w:tc>
      </w:tr>
      <w:tr w14:paraId="7663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50" w:type="pct"/>
            <w:vAlign w:val="center"/>
          </w:tcPr>
          <w:p w14:paraId="77B4184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eastAsia" w:ascii="Times New Roman" w:hAnsi="Times New Roman" w:eastAsia="宋体" w:cs="Times New Roman"/>
                <w:snapToGrid w:val="0"/>
                <w:color w:val="0000FF"/>
                <w:szCs w:val="21"/>
                <w:lang w:val="en-US" w:eastAsia="zh-CN"/>
              </w:rPr>
              <w:t>D</w:t>
            </w:r>
            <w:r>
              <w:rPr>
                <w:rFonts w:hint="default" w:ascii="Times New Roman" w:hAnsi="Times New Roman" w:eastAsia="宋体" w:cs="Times New Roman"/>
                <w:snapToGrid w:val="0"/>
                <w:color w:val="0000FF"/>
                <w:szCs w:val="21"/>
              </w:rPr>
              <w:t>2</w:t>
            </w:r>
          </w:p>
        </w:tc>
        <w:tc>
          <w:tcPr>
            <w:tcW w:w="1250" w:type="pct"/>
            <w:vAlign w:val="center"/>
          </w:tcPr>
          <w:p w14:paraId="6867DAA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E1</w:t>
            </w:r>
          </w:p>
        </w:tc>
        <w:tc>
          <w:tcPr>
            <w:tcW w:w="1250" w:type="pct"/>
            <w:tcBorders>
              <w:bottom w:val="single" w:color="auto" w:sz="4" w:space="0"/>
            </w:tcBorders>
            <w:vAlign w:val="center"/>
          </w:tcPr>
          <w:p w14:paraId="7FA4282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E2</w:t>
            </w:r>
          </w:p>
        </w:tc>
        <w:tc>
          <w:tcPr>
            <w:tcW w:w="1250" w:type="pct"/>
            <w:tcBorders>
              <w:bottom w:val="single" w:color="auto" w:sz="4" w:space="0"/>
            </w:tcBorders>
            <w:vAlign w:val="center"/>
          </w:tcPr>
          <w:p w14:paraId="5A58F0E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kern w:val="2"/>
                <w:sz w:val="21"/>
                <w:szCs w:val="21"/>
                <w:lang w:val="en-US" w:eastAsia="zh-CN" w:bidi="ar-SA"/>
              </w:rPr>
            </w:pPr>
            <w:r>
              <w:rPr>
                <w:rFonts w:hint="default" w:ascii="Times New Roman" w:hAnsi="Times New Roman" w:eastAsia="宋体" w:cs="Times New Roman"/>
                <w:snapToGrid w:val="0"/>
                <w:color w:val="0000FF"/>
                <w:szCs w:val="21"/>
              </w:rPr>
              <w:t>E2</w:t>
            </w:r>
          </w:p>
        </w:tc>
      </w:tr>
      <w:tr w14:paraId="2E9B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shd w:val="clear" w:color="auto" w:fill="auto"/>
            <w:vAlign w:val="center"/>
          </w:tcPr>
          <w:p w14:paraId="0F59AA3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eastAsia" w:ascii="Times New Roman" w:hAnsi="Times New Roman" w:eastAsia="宋体" w:cs="Times New Roman"/>
                <w:snapToGrid w:val="0"/>
                <w:color w:val="0000FF"/>
                <w:szCs w:val="21"/>
                <w:lang w:val="en-US" w:eastAsia="zh-CN"/>
              </w:rPr>
              <w:t>D</w:t>
            </w:r>
            <w:r>
              <w:rPr>
                <w:rFonts w:hint="default" w:ascii="Times New Roman" w:hAnsi="Times New Roman" w:eastAsia="宋体" w:cs="Times New Roman"/>
                <w:snapToGrid w:val="0"/>
                <w:color w:val="0000FF"/>
                <w:szCs w:val="21"/>
              </w:rPr>
              <w:t>3</w:t>
            </w:r>
          </w:p>
        </w:tc>
        <w:tc>
          <w:tcPr>
            <w:tcW w:w="1250" w:type="pct"/>
            <w:shd w:val="clear" w:color="auto" w:fill="auto"/>
            <w:vAlign w:val="center"/>
          </w:tcPr>
          <w:p w14:paraId="1638801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E1</w:t>
            </w:r>
          </w:p>
        </w:tc>
        <w:tc>
          <w:tcPr>
            <w:tcW w:w="1250" w:type="pct"/>
            <w:shd w:val="clear" w:color="auto" w:fill="auto"/>
            <w:vAlign w:val="center"/>
          </w:tcPr>
          <w:p w14:paraId="343ABA0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Cs w:val="21"/>
              </w:rPr>
            </w:pPr>
            <w:r>
              <w:rPr>
                <w:rFonts w:hint="default" w:ascii="Times New Roman" w:hAnsi="Times New Roman" w:eastAsia="宋体" w:cs="Times New Roman"/>
                <w:snapToGrid w:val="0"/>
                <w:color w:val="0000FF"/>
                <w:szCs w:val="21"/>
              </w:rPr>
              <w:t>E2</w:t>
            </w:r>
          </w:p>
        </w:tc>
        <w:tc>
          <w:tcPr>
            <w:tcW w:w="1250" w:type="pct"/>
            <w:shd w:val="clear" w:color="auto" w:fill="auto"/>
            <w:vAlign w:val="center"/>
          </w:tcPr>
          <w:p w14:paraId="0FAB3D9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kern w:val="2"/>
                <w:sz w:val="21"/>
                <w:szCs w:val="21"/>
                <w:lang w:val="en-US" w:eastAsia="zh-CN" w:bidi="ar-SA"/>
              </w:rPr>
            </w:pPr>
            <w:r>
              <w:rPr>
                <w:rFonts w:hint="default" w:ascii="Times New Roman" w:hAnsi="Times New Roman" w:eastAsia="宋体" w:cs="Times New Roman"/>
                <w:snapToGrid w:val="0"/>
                <w:color w:val="0000FF"/>
                <w:szCs w:val="21"/>
              </w:rPr>
              <w:t>E3</w:t>
            </w:r>
          </w:p>
        </w:tc>
      </w:tr>
    </w:tbl>
    <w:p w14:paraId="6DBB7C94">
      <w:pPr>
        <w:pStyle w:val="58"/>
        <w:keepNext w:val="0"/>
        <w:keepLines w:val="0"/>
        <w:pageBreakBefore w:val="0"/>
        <w:widowControl w:val="0"/>
        <w:kinsoku/>
        <w:wordWrap/>
        <w:overflowPunct/>
        <w:bidi w:val="0"/>
        <w:spacing w:line="360" w:lineRule="auto"/>
        <w:ind w:left="0" w:leftChars="0" w:firstLine="0" w:firstLineChars="0"/>
        <w:jc w:val="center"/>
        <w:textAlignment w:val="auto"/>
        <w:rPr>
          <w:rFonts w:hint="default" w:ascii="Times New Roman" w:hAnsi="Times New Roman" w:eastAsia="宋体" w:cs="Times New Roman"/>
          <w:b/>
          <w:color w:val="0000FF"/>
          <w:kern w:val="2"/>
          <w:sz w:val="21"/>
          <w:szCs w:val="21"/>
          <w:lang w:val="en-US" w:eastAsia="zh-CN" w:bidi="ar-SA"/>
        </w:rPr>
      </w:pPr>
      <w:r>
        <w:rPr>
          <w:rFonts w:hint="default" w:ascii="Times New Roman" w:hAnsi="Times New Roman" w:eastAsia="宋体" w:cs="Times New Roman"/>
          <w:b/>
          <w:color w:val="0000FF"/>
          <w:kern w:val="2"/>
          <w:sz w:val="21"/>
          <w:szCs w:val="21"/>
          <w:lang w:val="en-US" w:eastAsia="zh-CN" w:bidi="ar-SA"/>
        </w:rPr>
        <w:t>表4-</w:t>
      </w:r>
      <w:r>
        <w:rPr>
          <w:rFonts w:hint="eastAsia" w:ascii="Times New Roman" w:hAnsi="Times New Roman" w:cs="Times New Roman"/>
          <w:b/>
          <w:color w:val="0000FF"/>
          <w:kern w:val="2"/>
          <w:sz w:val="21"/>
          <w:szCs w:val="21"/>
          <w:lang w:val="en-US" w:eastAsia="zh-CN" w:bidi="ar-SA"/>
        </w:rPr>
        <w:t xml:space="preserve">10 </w:t>
      </w:r>
      <w:r>
        <w:rPr>
          <w:rFonts w:hint="default" w:ascii="Times New Roman" w:hAnsi="Times New Roman" w:eastAsia="宋体" w:cs="Times New Roman"/>
          <w:b/>
          <w:color w:val="0000FF"/>
          <w:kern w:val="2"/>
          <w:sz w:val="21"/>
          <w:szCs w:val="21"/>
          <w:lang w:val="en-US" w:eastAsia="zh-CN" w:bidi="ar-SA"/>
        </w:rPr>
        <w:t xml:space="preserve">  地</w:t>
      </w:r>
      <w:r>
        <w:rPr>
          <w:rFonts w:hint="eastAsia" w:ascii="Times New Roman" w:hAnsi="Times New Roman" w:eastAsia="宋体" w:cs="Times New Roman"/>
          <w:b/>
          <w:color w:val="0000FF"/>
          <w:kern w:val="2"/>
          <w:sz w:val="21"/>
          <w:szCs w:val="21"/>
          <w:lang w:val="en-US" w:eastAsia="zh-CN" w:bidi="ar-SA"/>
        </w:rPr>
        <w:t>下</w:t>
      </w:r>
      <w:r>
        <w:rPr>
          <w:rFonts w:hint="default" w:ascii="Times New Roman" w:hAnsi="Times New Roman" w:eastAsia="宋体" w:cs="Times New Roman"/>
          <w:b/>
          <w:color w:val="0000FF"/>
          <w:kern w:val="2"/>
          <w:sz w:val="21"/>
          <w:szCs w:val="21"/>
          <w:lang w:val="en-US" w:eastAsia="zh-CN" w:bidi="ar-SA"/>
        </w:rPr>
        <w:t>水环境敏感性分区</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9"/>
        <w:gridCol w:w="7041"/>
      </w:tblGrid>
      <w:tr w14:paraId="400F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14:paraId="450D146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snapToGrid w:val="0"/>
                <w:color w:val="0000FF"/>
                <w:sz w:val="21"/>
                <w:szCs w:val="21"/>
              </w:rPr>
            </w:pPr>
            <w:r>
              <w:rPr>
                <w:rFonts w:hint="default" w:ascii="Times New Roman" w:hAnsi="Times New Roman" w:eastAsia="宋体" w:cs="Times New Roman"/>
                <w:b/>
                <w:snapToGrid w:val="0"/>
                <w:color w:val="0000FF"/>
                <w:sz w:val="21"/>
                <w:szCs w:val="21"/>
              </w:rPr>
              <w:t>敏感性</w:t>
            </w:r>
          </w:p>
        </w:tc>
        <w:tc>
          <w:tcPr>
            <w:tcW w:w="3885" w:type="pct"/>
            <w:vAlign w:val="center"/>
          </w:tcPr>
          <w:p w14:paraId="27CB77E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snapToGrid w:val="0"/>
                <w:color w:val="0000FF"/>
                <w:sz w:val="21"/>
                <w:szCs w:val="21"/>
              </w:rPr>
            </w:pPr>
            <w:r>
              <w:rPr>
                <w:rFonts w:hint="default" w:ascii="Times New Roman" w:hAnsi="Times New Roman" w:eastAsia="宋体" w:cs="Times New Roman"/>
                <w:b/>
                <w:snapToGrid w:val="0"/>
                <w:color w:val="0000FF"/>
                <w:sz w:val="21"/>
                <w:szCs w:val="21"/>
              </w:rPr>
              <w:t>地</w:t>
            </w:r>
            <w:r>
              <w:rPr>
                <w:rFonts w:hint="eastAsia" w:ascii="Times New Roman" w:hAnsi="Times New Roman" w:eastAsia="宋体" w:cs="Times New Roman"/>
                <w:b/>
                <w:snapToGrid w:val="0"/>
                <w:color w:val="0000FF"/>
                <w:sz w:val="21"/>
                <w:szCs w:val="21"/>
                <w:lang w:eastAsia="zh-CN"/>
              </w:rPr>
              <w:t>下</w:t>
            </w:r>
            <w:r>
              <w:rPr>
                <w:rFonts w:hint="default" w:ascii="Times New Roman" w:hAnsi="Times New Roman" w:eastAsia="宋体" w:cs="Times New Roman"/>
                <w:b/>
                <w:snapToGrid w:val="0"/>
                <w:color w:val="0000FF"/>
                <w:sz w:val="21"/>
                <w:szCs w:val="21"/>
              </w:rPr>
              <w:t>水环境敏感特征</w:t>
            </w:r>
          </w:p>
        </w:tc>
      </w:tr>
      <w:tr w14:paraId="3DEE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14:paraId="0298349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敏感</w:t>
            </w:r>
            <w:r>
              <w:rPr>
                <w:rFonts w:hint="eastAsia" w:ascii="Times New Roman" w:hAnsi="Times New Roman" w:eastAsia="宋体" w:cs="Times New Roman"/>
                <w:snapToGrid w:val="0"/>
                <w:color w:val="0000FF"/>
                <w:sz w:val="21"/>
                <w:szCs w:val="21"/>
                <w:lang w:val="en-US" w:eastAsia="zh-CN"/>
              </w:rPr>
              <w:t>G</w:t>
            </w:r>
            <w:r>
              <w:rPr>
                <w:rFonts w:hint="default" w:ascii="Times New Roman" w:hAnsi="Times New Roman" w:eastAsia="宋体" w:cs="Times New Roman"/>
                <w:snapToGrid w:val="0"/>
                <w:color w:val="0000FF"/>
                <w:sz w:val="21"/>
                <w:szCs w:val="21"/>
              </w:rPr>
              <w:t>1</w:t>
            </w:r>
          </w:p>
        </w:tc>
        <w:tc>
          <w:tcPr>
            <w:tcW w:w="3885" w:type="pct"/>
            <w:vAlign w:val="center"/>
          </w:tcPr>
          <w:p w14:paraId="6844839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集中式饮用水水源</w:t>
            </w:r>
            <w:r>
              <w:rPr>
                <w:rFonts w:hint="eastAsia"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包括已建成的在用、备用、应急水源，在建和规划的饮用水水源</w:t>
            </w:r>
            <w:r>
              <w:rPr>
                <w:rFonts w:hint="eastAsia"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准保护区</w:t>
            </w:r>
            <w:r>
              <w:rPr>
                <w:rFonts w:hint="eastAsia"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除集中式饮用水水源以外的国家或地方政府设定的与地下水环境相关的其他保护区，如热水、矿泉水、温泉等特殊地下水资源保护区</w:t>
            </w:r>
          </w:p>
        </w:tc>
      </w:tr>
      <w:tr w14:paraId="1AE8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14:paraId="226C915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较敏感</w:t>
            </w:r>
            <w:r>
              <w:rPr>
                <w:rFonts w:hint="eastAsia" w:ascii="Times New Roman" w:hAnsi="Times New Roman" w:eastAsia="宋体" w:cs="Times New Roman"/>
                <w:snapToGrid w:val="0"/>
                <w:color w:val="0000FF"/>
                <w:sz w:val="21"/>
                <w:szCs w:val="21"/>
                <w:lang w:val="en-US" w:eastAsia="zh-CN"/>
              </w:rPr>
              <w:t>G</w:t>
            </w:r>
            <w:r>
              <w:rPr>
                <w:rFonts w:hint="default" w:ascii="Times New Roman" w:hAnsi="Times New Roman" w:eastAsia="宋体" w:cs="Times New Roman"/>
                <w:snapToGrid w:val="0"/>
                <w:color w:val="0000FF"/>
                <w:sz w:val="21"/>
                <w:szCs w:val="21"/>
              </w:rPr>
              <w:t>2</w:t>
            </w:r>
          </w:p>
        </w:tc>
        <w:tc>
          <w:tcPr>
            <w:tcW w:w="3885" w:type="pct"/>
            <w:vAlign w:val="center"/>
          </w:tcPr>
          <w:p w14:paraId="4C131D5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snapToGrid w:val="0"/>
                <w:color w:val="0000FF"/>
                <w:sz w:val="21"/>
                <w:szCs w:val="21"/>
                <w:lang w:val="en-US" w:eastAsia="zh-CN"/>
              </w:rPr>
            </w:pPr>
            <w:r>
              <w:rPr>
                <w:rFonts w:hint="default" w:ascii="Times New Roman" w:hAnsi="Times New Roman" w:eastAsia="宋体" w:cs="Times New Roman"/>
                <w:snapToGrid w:val="0"/>
                <w:color w:val="0000FF"/>
                <w:sz w:val="21"/>
                <w:szCs w:val="21"/>
              </w:rPr>
              <w:t>集中式饮用水水源</w:t>
            </w:r>
            <w:r>
              <w:rPr>
                <w:rFonts w:hint="eastAsia"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包括已建成的在用、备用、应急水源，在建和规划的饮用水水源</w:t>
            </w:r>
            <w:r>
              <w:rPr>
                <w:rFonts w:hint="eastAsia"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准保护区以外的补给径流区</w:t>
            </w:r>
            <w:r>
              <w:rPr>
                <w:rFonts w:hint="eastAsia"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未划定准保护区的集中式饮用水水源，其保护区以外的补给径流区</w:t>
            </w:r>
            <w:r>
              <w:rPr>
                <w:rFonts w:hint="eastAsia"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分散式饮用水水源地</w:t>
            </w:r>
            <w:r>
              <w:rPr>
                <w:rFonts w:hint="eastAsia"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特殊地下水资源</w:t>
            </w:r>
            <w:r>
              <w:rPr>
                <w:rFonts w:hint="eastAsia"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如热水、矿泉水、温泉等</w:t>
            </w:r>
            <w:r>
              <w:rPr>
                <w:rFonts w:hint="eastAsia" w:ascii="Times New Roman" w:hAnsi="Times New Roman" w:eastAsia="宋体" w:cs="Times New Roman"/>
                <w:snapToGrid w:val="0"/>
                <w:color w:val="0000FF"/>
                <w:sz w:val="21"/>
                <w:szCs w:val="21"/>
                <w:lang w:eastAsia="zh-CN"/>
              </w:rPr>
              <w:t>）</w:t>
            </w:r>
            <w:r>
              <w:rPr>
                <w:rFonts w:hint="default" w:ascii="Times New Roman" w:hAnsi="Times New Roman" w:eastAsia="宋体" w:cs="Times New Roman"/>
                <w:snapToGrid w:val="0"/>
                <w:color w:val="0000FF"/>
                <w:sz w:val="21"/>
                <w:szCs w:val="21"/>
              </w:rPr>
              <w:t>保护区以外的分布区等其他未列入上述敏感分级的环境敏感区</w:t>
            </w:r>
            <w:r>
              <w:rPr>
                <w:rFonts w:hint="eastAsia" w:ascii="Times New Roman" w:hAnsi="Times New Roman" w:eastAsia="宋体" w:cs="Times New Roman"/>
                <w:snapToGrid w:val="0"/>
                <w:color w:val="0000FF"/>
                <w:sz w:val="21"/>
                <w:szCs w:val="21"/>
                <w:vertAlign w:val="superscript"/>
                <w:lang w:val="en-US" w:eastAsia="zh-CN"/>
              </w:rPr>
              <w:t>a</w:t>
            </w:r>
          </w:p>
        </w:tc>
      </w:tr>
      <w:tr w14:paraId="6623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14:paraId="6DDD88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低敏感</w:t>
            </w:r>
            <w:r>
              <w:rPr>
                <w:rFonts w:hint="eastAsia" w:ascii="Times New Roman" w:hAnsi="Times New Roman" w:eastAsia="宋体" w:cs="Times New Roman"/>
                <w:snapToGrid w:val="0"/>
                <w:color w:val="0000FF"/>
                <w:sz w:val="21"/>
                <w:szCs w:val="21"/>
                <w:lang w:val="en-US" w:eastAsia="zh-CN"/>
              </w:rPr>
              <w:t>G</w:t>
            </w:r>
            <w:r>
              <w:rPr>
                <w:rFonts w:hint="default" w:ascii="Times New Roman" w:hAnsi="Times New Roman" w:eastAsia="宋体" w:cs="Times New Roman"/>
                <w:snapToGrid w:val="0"/>
                <w:color w:val="0000FF"/>
                <w:sz w:val="21"/>
                <w:szCs w:val="21"/>
              </w:rPr>
              <w:t>3</w:t>
            </w:r>
          </w:p>
        </w:tc>
        <w:tc>
          <w:tcPr>
            <w:tcW w:w="3885" w:type="pct"/>
            <w:vAlign w:val="center"/>
          </w:tcPr>
          <w:p w14:paraId="5DDEDE4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snapToGrid w:val="0"/>
                <w:color w:val="0000FF"/>
                <w:sz w:val="21"/>
                <w:szCs w:val="21"/>
              </w:rPr>
            </w:pPr>
            <w:r>
              <w:rPr>
                <w:rFonts w:hint="default" w:ascii="Times New Roman" w:hAnsi="Times New Roman" w:eastAsia="宋体" w:cs="Times New Roman"/>
                <w:snapToGrid w:val="0"/>
                <w:color w:val="0000FF"/>
                <w:sz w:val="21"/>
                <w:szCs w:val="21"/>
              </w:rPr>
              <w:t>上述地区之外的其他地区</w:t>
            </w:r>
          </w:p>
        </w:tc>
      </w:tr>
      <w:tr w14:paraId="65E6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5CE9262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snapToGrid w:val="0"/>
                <w:color w:val="0000FF"/>
                <w:sz w:val="21"/>
                <w:szCs w:val="21"/>
                <w:lang w:val="en-US" w:eastAsia="zh-CN"/>
              </w:rPr>
            </w:pPr>
            <w:r>
              <w:rPr>
                <w:rFonts w:hint="eastAsia" w:ascii="Times New Roman" w:hAnsi="Times New Roman" w:eastAsia="宋体" w:cs="Times New Roman"/>
                <w:snapToGrid w:val="0"/>
                <w:color w:val="0000FF"/>
                <w:sz w:val="21"/>
                <w:szCs w:val="21"/>
                <w:vertAlign w:val="superscript"/>
                <w:lang w:val="en-US" w:eastAsia="zh-CN"/>
              </w:rPr>
              <w:t>a</w:t>
            </w:r>
            <w:r>
              <w:rPr>
                <w:rFonts w:hint="eastAsia" w:ascii="Times New Roman" w:hAnsi="Times New Roman" w:eastAsia="宋体" w:cs="Times New Roman"/>
                <w:snapToGrid w:val="0"/>
                <w:color w:val="0000FF"/>
                <w:sz w:val="21"/>
                <w:szCs w:val="21"/>
                <w:lang w:val="en-US" w:eastAsia="zh-CN"/>
              </w:rPr>
              <w:t>“环境敏感区”是指《建设项目环境影响评价分类管理名录》中所界定的涉及地下水的环境敏感区</w:t>
            </w:r>
          </w:p>
        </w:tc>
      </w:tr>
    </w:tbl>
    <w:p w14:paraId="49BFCA68">
      <w:pPr>
        <w:pStyle w:val="10"/>
        <w:rPr>
          <w:rFonts w:hint="default" w:ascii="Times New Roman" w:hAnsi="Times New Roman" w:eastAsia="宋体" w:cs="Times New Roman"/>
          <w:color w:val="0000FF"/>
          <w:kern w:val="2"/>
          <w:sz w:val="28"/>
          <w:szCs w:val="28"/>
          <w:highlight w:val="none"/>
          <w:lang w:val="en-US" w:eastAsia="zh-CN" w:bidi="ar-SA"/>
        </w:rPr>
      </w:pPr>
      <w:r>
        <w:rPr>
          <w:rFonts w:hint="default" w:ascii="Times New Roman" w:hAnsi="Times New Roman" w:eastAsia="宋体" w:cs="Times New Roman"/>
          <w:color w:val="0000FF"/>
          <w:kern w:val="2"/>
          <w:sz w:val="28"/>
          <w:szCs w:val="28"/>
          <w:highlight w:val="none"/>
          <w:lang w:val="en-US" w:eastAsia="zh-CN" w:bidi="ar-SA"/>
        </w:rPr>
        <w:t>根据现场调查，判定建设项目地</w:t>
      </w:r>
      <w:r>
        <w:rPr>
          <w:rFonts w:hint="eastAsia" w:ascii="Times New Roman" w:hAnsi="Times New Roman" w:eastAsia="宋体" w:cs="Times New Roman"/>
          <w:color w:val="0000FF"/>
          <w:kern w:val="2"/>
          <w:sz w:val="28"/>
          <w:szCs w:val="28"/>
          <w:highlight w:val="none"/>
          <w:lang w:val="en-US" w:eastAsia="zh-CN" w:bidi="ar-SA"/>
        </w:rPr>
        <w:t>下</w:t>
      </w:r>
      <w:r>
        <w:rPr>
          <w:rFonts w:hint="default" w:ascii="Times New Roman" w:hAnsi="Times New Roman" w:eastAsia="宋体" w:cs="Times New Roman"/>
          <w:color w:val="0000FF"/>
          <w:kern w:val="2"/>
          <w:sz w:val="28"/>
          <w:szCs w:val="28"/>
          <w:highlight w:val="none"/>
          <w:lang w:val="en-US" w:eastAsia="zh-CN" w:bidi="ar-SA"/>
        </w:rPr>
        <w:t>水程度为低敏感</w:t>
      </w:r>
      <w:r>
        <w:rPr>
          <w:rFonts w:hint="eastAsia" w:ascii="Times New Roman" w:hAnsi="Times New Roman" w:eastAsia="宋体" w:cs="Times New Roman"/>
          <w:color w:val="0000FF"/>
          <w:kern w:val="2"/>
          <w:sz w:val="28"/>
          <w:szCs w:val="28"/>
          <w:highlight w:val="none"/>
          <w:lang w:val="en-US" w:eastAsia="zh-CN" w:bidi="ar-SA"/>
        </w:rPr>
        <w:t>G</w:t>
      </w:r>
      <w:r>
        <w:rPr>
          <w:rFonts w:hint="default" w:ascii="Times New Roman" w:hAnsi="Times New Roman" w:eastAsia="宋体" w:cs="Times New Roman"/>
          <w:color w:val="0000FF"/>
          <w:kern w:val="2"/>
          <w:sz w:val="28"/>
          <w:szCs w:val="28"/>
          <w:highlight w:val="none"/>
          <w:lang w:val="en-US" w:eastAsia="zh-CN" w:bidi="ar-SA"/>
        </w:rPr>
        <w:t>3。</w:t>
      </w:r>
    </w:p>
    <w:p w14:paraId="6A26CFED">
      <w:pPr>
        <w:pStyle w:val="58"/>
        <w:keepNext w:val="0"/>
        <w:keepLines w:val="0"/>
        <w:pageBreakBefore w:val="0"/>
        <w:widowControl w:val="0"/>
        <w:kinsoku/>
        <w:wordWrap/>
        <w:overflowPunct/>
        <w:bidi w:val="0"/>
        <w:spacing w:line="360" w:lineRule="auto"/>
        <w:ind w:left="0" w:leftChars="0" w:firstLine="0" w:firstLineChars="0"/>
        <w:jc w:val="center"/>
        <w:textAlignment w:val="auto"/>
        <w:rPr>
          <w:rFonts w:hint="default" w:ascii="Times New Roman" w:hAnsi="Times New Roman" w:eastAsia="宋体" w:cs="Times New Roman"/>
          <w:b/>
          <w:color w:val="0000FF"/>
          <w:kern w:val="2"/>
          <w:sz w:val="21"/>
          <w:szCs w:val="21"/>
          <w:lang w:val="en-US" w:eastAsia="zh-CN" w:bidi="ar-SA"/>
        </w:rPr>
      </w:pPr>
      <w:r>
        <w:rPr>
          <w:rFonts w:hint="default" w:ascii="Times New Roman" w:hAnsi="Times New Roman" w:eastAsia="宋体" w:cs="Times New Roman"/>
          <w:b/>
          <w:color w:val="0000FF"/>
          <w:kern w:val="2"/>
          <w:sz w:val="21"/>
          <w:szCs w:val="21"/>
          <w:lang w:val="en-US" w:eastAsia="zh-CN" w:bidi="ar-SA"/>
        </w:rPr>
        <w:t>表4-</w:t>
      </w:r>
      <w:r>
        <w:rPr>
          <w:rFonts w:hint="eastAsia" w:ascii="Times New Roman" w:hAnsi="Times New Roman" w:cs="Times New Roman"/>
          <w:b/>
          <w:color w:val="0000FF"/>
          <w:kern w:val="2"/>
          <w:sz w:val="21"/>
          <w:szCs w:val="21"/>
          <w:lang w:val="en-US" w:eastAsia="zh-CN" w:bidi="ar-SA"/>
        </w:rPr>
        <w:t>11</w:t>
      </w:r>
      <w:r>
        <w:rPr>
          <w:rFonts w:hint="default" w:ascii="Times New Roman" w:hAnsi="Times New Roman" w:eastAsia="宋体" w:cs="Times New Roman"/>
          <w:b/>
          <w:color w:val="0000FF"/>
          <w:kern w:val="2"/>
          <w:sz w:val="21"/>
          <w:szCs w:val="21"/>
          <w:lang w:val="en-US" w:eastAsia="zh-CN" w:bidi="ar-SA"/>
        </w:rPr>
        <w:t xml:space="preserve">  </w:t>
      </w:r>
      <w:r>
        <w:rPr>
          <w:rFonts w:hint="eastAsia" w:ascii="Times New Roman" w:hAnsi="Times New Roman" w:eastAsia="宋体" w:cs="Times New Roman"/>
          <w:b/>
          <w:color w:val="0000FF"/>
          <w:kern w:val="2"/>
          <w:sz w:val="21"/>
          <w:szCs w:val="21"/>
          <w:lang w:val="en-US" w:eastAsia="zh-CN" w:bidi="ar-SA"/>
        </w:rPr>
        <w:t>包气带防污性能</w:t>
      </w:r>
      <w:r>
        <w:rPr>
          <w:rFonts w:hint="default" w:ascii="Times New Roman" w:hAnsi="Times New Roman" w:eastAsia="宋体" w:cs="Times New Roman"/>
          <w:b/>
          <w:color w:val="0000FF"/>
          <w:kern w:val="2"/>
          <w:sz w:val="21"/>
          <w:szCs w:val="21"/>
          <w:lang w:val="en-US" w:eastAsia="zh-CN" w:bidi="ar-SA"/>
        </w:rPr>
        <w:t>分级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7783"/>
      </w:tblGrid>
      <w:tr w14:paraId="1DE9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Align w:val="center"/>
          </w:tcPr>
          <w:p w14:paraId="63504ED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snapToGrid w:val="0"/>
                <w:color w:val="0000FF"/>
                <w:sz w:val="21"/>
                <w:szCs w:val="21"/>
              </w:rPr>
            </w:pPr>
            <w:r>
              <w:rPr>
                <w:rFonts w:hint="default" w:ascii="Times New Roman" w:hAnsi="Times New Roman" w:eastAsia="宋体" w:cs="Times New Roman"/>
                <w:b/>
                <w:snapToGrid w:val="0"/>
                <w:color w:val="0000FF"/>
                <w:sz w:val="21"/>
                <w:szCs w:val="21"/>
              </w:rPr>
              <w:t>分级</w:t>
            </w:r>
          </w:p>
        </w:tc>
        <w:tc>
          <w:tcPr>
            <w:tcW w:w="4294" w:type="pct"/>
            <w:vAlign w:val="center"/>
          </w:tcPr>
          <w:p w14:paraId="0D51A67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snapToGrid w:val="0"/>
                <w:color w:val="0000FF"/>
                <w:sz w:val="21"/>
                <w:szCs w:val="21"/>
                <w:lang w:eastAsia="zh-CN"/>
              </w:rPr>
            </w:pPr>
            <w:r>
              <w:rPr>
                <w:rFonts w:hint="eastAsia" w:ascii="Times New Roman" w:hAnsi="Times New Roman" w:eastAsia="宋体" w:cs="Times New Roman"/>
                <w:b/>
                <w:snapToGrid w:val="0"/>
                <w:color w:val="0000FF"/>
                <w:sz w:val="21"/>
                <w:szCs w:val="21"/>
                <w:lang w:eastAsia="zh-CN"/>
              </w:rPr>
              <w:t>包气带岩土的渗透性能</w:t>
            </w:r>
          </w:p>
        </w:tc>
      </w:tr>
      <w:tr w14:paraId="1BF8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Align w:val="center"/>
          </w:tcPr>
          <w:p w14:paraId="6CEF1E5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 w:val="21"/>
                <w:szCs w:val="21"/>
                <w:lang w:val="en-US"/>
              </w:rPr>
            </w:pPr>
            <w:r>
              <w:rPr>
                <w:rFonts w:hint="eastAsia" w:ascii="Times New Roman" w:hAnsi="Times New Roman" w:eastAsia="宋体" w:cs="Times New Roman"/>
                <w:snapToGrid w:val="0"/>
                <w:color w:val="0000FF"/>
                <w:sz w:val="21"/>
                <w:szCs w:val="21"/>
                <w:lang w:val="en-US" w:eastAsia="zh-CN"/>
              </w:rPr>
              <w:t>D3</w:t>
            </w:r>
          </w:p>
        </w:tc>
        <w:tc>
          <w:tcPr>
            <w:tcW w:w="4294" w:type="pct"/>
            <w:vAlign w:val="center"/>
          </w:tcPr>
          <w:p w14:paraId="122FF49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 w:val="21"/>
                <w:szCs w:val="21"/>
                <w:lang w:val="en-US" w:eastAsia="zh-CN"/>
              </w:rPr>
            </w:pPr>
            <w:r>
              <w:rPr>
                <w:rFonts w:hint="eastAsia" w:ascii="Times New Roman" w:hAnsi="Times New Roman" w:eastAsia="宋体" w:cs="Times New Roman"/>
                <w:snapToGrid w:val="0"/>
                <w:color w:val="0000FF"/>
                <w:sz w:val="21"/>
                <w:szCs w:val="21"/>
                <w:lang w:val="en-US" w:eastAsia="zh-CN"/>
              </w:rPr>
              <w:t>Mb≥1.0m，K≤1.0×10</w:t>
            </w:r>
            <w:r>
              <w:rPr>
                <w:rFonts w:hint="eastAsia" w:ascii="Times New Roman" w:hAnsi="Times New Roman" w:eastAsia="宋体" w:cs="Times New Roman"/>
                <w:snapToGrid w:val="0"/>
                <w:color w:val="0000FF"/>
                <w:sz w:val="21"/>
                <w:szCs w:val="21"/>
                <w:vertAlign w:val="superscript"/>
                <w:lang w:val="en-US" w:eastAsia="zh-CN"/>
              </w:rPr>
              <w:t>-6</w:t>
            </w:r>
            <w:r>
              <w:rPr>
                <w:rFonts w:hint="eastAsia" w:ascii="Times New Roman" w:hAnsi="Times New Roman" w:eastAsia="宋体" w:cs="Times New Roman"/>
                <w:snapToGrid w:val="0"/>
                <w:color w:val="0000FF"/>
                <w:sz w:val="21"/>
                <w:szCs w:val="21"/>
                <w:lang w:val="en-US" w:eastAsia="zh-CN"/>
              </w:rPr>
              <w:t>cm/s，且分布连续、稳定</w:t>
            </w:r>
          </w:p>
        </w:tc>
      </w:tr>
      <w:tr w14:paraId="2838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Align w:val="center"/>
          </w:tcPr>
          <w:p w14:paraId="73A55C1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 w:val="21"/>
                <w:szCs w:val="21"/>
              </w:rPr>
            </w:pPr>
            <w:r>
              <w:rPr>
                <w:rFonts w:hint="eastAsia" w:ascii="Times New Roman" w:hAnsi="Times New Roman" w:eastAsia="宋体" w:cs="Times New Roman"/>
                <w:snapToGrid w:val="0"/>
                <w:color w:val="0000FF"/>
                <w:sz w:val="21"/>
                <w:szCs w:val="21"/>
                <w:lang w:val="en-US" w:eastAsia="zh-CN"/>
              </w:rPr>
              <w:t>D</w:t>
            </w:r>
            <w:r>
              <w:rPr>
                <w:rFonts w:hint="default" w:ascii="Times New Roman" w:hAnsi="Times New Roman" w:eastAsia="宋体" w:cs="Times New Roman"/>
                <w:snapToGrid w:val="0"/>
                <w:color w:val="0000FF"/>
                <w:sz w:val="21"/>
                <w:szCs w:val="21"/>
              </w:rPr>
              <w:t>2</w:t>
            </w:r>
          </w:p>
        </w:tc>
        <w:tc>
          <w:tcPr>
            <w:tcW w:w="4294" w:type="pct"/>
            <w:vAlign w:val="center"/>
          </w:tcPr>
          <w:p w14:paraId="52AF3F1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napToGrid w:val="0"/>
                <w:color w:val="0000FF"/>
                <w:sz w:val="21"/>
                <w:szCs w:val="21"/>
                <w:lang w:val="en-US" w:eastAsia="zh-CN"/>
              </w:rPr>
            </w:pPr>
            <w:r>
              <w:rPr>
                <w:rFonts w:hint="eastAsia" w:ascii="Times New Roman" w:hAnsi="Times New Roman" w:eastAsia="宋体" w:cs="Times New Roman"/>
                <w:snapToGrid w:val="0"/>
                <w:color w:val="0000FF"/>
                <w:sz w:val="21"/>
                <w:szCs w:val="21"/>
                <w:lang w:val="en-US" w:eastAsia="zh-CN"/>
              </w:rPr>
              <w:t>0.5m≤Mb＜1.0m，K≤1.0×10</w:t>
            </w:r>
            <w:r>
              <w:rPr>
                <w:rFonts w:hint="eastAsia" w:ascii="Times New Roman" w:hAnsi="Times New Roman" w:eastAsia="宋体" w:cs="Times New Roman"/>
                <w:snapToGrid w:val="0"/>
                <w:color w:val="0000FF"/>
                <w:sz w:val="21"/>
                <w:szCs w:val="21"/>
                <w:vertAlign w:val="superscript"/>
                <w:lang w:val="en-US" w:eastAsia="zh-CN"/>
              </w:rPr>
              <w:t>-6</w:t>
            </w:r>
            <w:r>
              <w:rPr>
                <w:rFonts w:hint="eastAsia" w:ascii="Times New Roman" w:hAnsi="Times New Roman" w:eastAsia="宋体" w:cs="Times New Roman"/>
                <w:snapToGrid w:val="0"/>
                <w:color w:val="0000FF"/>
                <w:sz w:val="21"/>
                <w:szCs w:val="21"/>
                <w:lang w:val="en-US" w:eastAsia="zh-CN"/>
              </w:rPr>
              <w:t>cm/s，且分布连续、稳定</w:t>
            </w:r>
          </w:p>
          <w:p w14:paraId="3DA5AEFD">
            <w:pPr>
              <w:pStyle w:val="25"/>
              <w:jc w:val="center"/>
              <w:rPr>
                <w:rFonts w:hint="default"/>
                <w:color w:val="0000FF"/>
                <w:lang w:val="en-US" w:eastAsia="zh-CN"/>
              </w:rPr>
            </w:pPr>
            <w:r>
              <w:rPr>
                <w:rFonts w:hint="eastAsia" w:ascii="Times New Roman" w:hAnsi="Times New Roman" w:eastAsia="宋体" w:cs="Times New Roman"/>
                <w:snapToGrid w:val="0"/>
                <w:color w:val="0000FF"/>
                <w:sz w:val="21"/>
                <w:szCs w:val="21"/>
                <w:lang w:val="en-US" w:eastAsia="zh-CN"/>
              </w:rPr>
              <w:t>Mb≥1.0m，1.0×10</w:t>
            </w:r>
            <w:r>
              <w:rPr>
                <w:rFonts w:hint="eastAsia" w:ascii="Times New Roman" w:hAnsi="Times New Roman" w:eastAsia="宋体" w:cs="Times New Roman"/>
                <w:snapToGrid w:val="0"/>
                <w:color w:val="0000FF"/>
                <w:sz w:val="21"/>
                <w:szCs w:val="21"/>
                <w:vertAlign w:val="superscript"/>
                <w:lang w:val="en-US" w:eastAsia="zh-CN"/>
              </w:rPr>
              <w:t>-6</w:t>
            </w:r>
            <w:r>
              <w:rPr>
                <w:rFonts w:hint="eastAsia" w:ascii="Times New Roman" w:hAnsi="Times New Roman" w:eastAsia="宋体" w:cs="Times New Roman"/>
                <w:snapToGrid w:val="0"/>
                <w:color w:val="0000FF"/>
                <w:sz w:val="21"/>
                <w:szCs w:val="21"/>
                <w:lang w:val="en-US" w:eastAsia="zh-CN"/>
              </w:rPr>
              <w:t>cm/s＜K≤1.0×10</w:t>
            </w:r>
            <w:r>
              <w:rPr>
                <w:rFonts w:hint="eastAsia" w:ascii="Times New Roman" w:hAnsi="Times New Roman" w:eastAsia="宋体" w:cs="Times New Roman"/>
                <w:snapToGrid w:val="0"/>
                <w:color w:val="0000FF"/>
                <w:sz w:val="21"/>
                <w:szCs w:val="21"/>
                <w:vertAlign w:val="superscript"/>
                <w:lang w:val="en-US" w:eastAsia="zh-CN"/>
              </w:rPr>
              <w:t>-4</w:t>
            </w:r>
            <w:r>
              <w:rPr>
                <w:rFonts w:hint="eastAsia" w:ascii="Times New Roman" w:hAnsi="Times New Roman" w:eastAsia="宋体" w:cs="Times New Roman"/>
                <w:snapToGrid w:val="0"/>
                <w:color w:val="0000FF"/>
                <w:sz w:val="21"/>
                <w:szCs w:val="21"/>
                <w:lang w:val="en-US" w:eastAsia="zh-CN"/>
              </w:rPr>
              <w:t>cm/s，且分布连续、稳定</w:t>
            </w:r>
          </w:p>
        </w:tc>
      </w:tr>
      <w:tr w14:paraId="1D9B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Align w:val="center"/>
          </w:tcPr>
          <w:p w14:paraId="3B6FB7C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napToGrid w:val="0"/>
                <w:color w:val="0000FF"/>
                <w:sz w:val="21"/>
                <w:szCs w:val="21"/>
                <w:lang w:val="en-US" w:eastAsia="zh-CN"/>
              </w:rPr>
            </w:pPr>
            <w:r>
              <w:rPr>
                <w:rFonts w:hint="eastAsia" w:ascii="Times New Roman" w:hAnsi="Times New Roman" w:eastAsia="宋体" w:cs="Times New Roman"/>
                <w:snapToGrid w:val="0"/>
                <w:color w:val="0000FF"/>
                <w:sz w:val="21"/>
                <w:szCs w:val="21"/>
                <w:lang w:val="en-US" w:eastAsia="zh-CN"/>
              </w:rPr>
              <w:t>D1</w:t>
            </w:r>
          </w:p>
        </w:tc>
        <w:tc>
          <w:tcPr>
            <w:tcW w:w="4294" w:type="pct"/>
            <w:vAlign w:val="center"/>
          </w:tcPr>
          <w:p w14:paraId="3E0D171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napToGrid w:val="0"/>
                <w:color w:val="0000FF"/>
                <w:sz w:val="21"/>
                <w:szCs w:val="21"/>
                <w:lang w:val="en-US" w:eastAsia="zh-CN"/>
              </w:rPr>
            </w:pPr>
            <w:r>
              <w:rPr>
                <w:rFonts w:hint="eastAsia" w:ascii="Times New Roman" w:hAnsi="Times New Roman" w:eastAsia="宋体" w:cs="Times New Roman"/>
                <w:snapToGrid w:val="0"/>
                <w:color w:val="0000FF"/>
                <w:sz w:val="21"/>
                <w:szCs w:val="21"/>
                <w:lang w:val="en-US" w:eastAsia="zh-CN"/>
              </w:rPr>
              <w:t>岩（土）层不满足上述“D2”和“D3”条件</w:t>
            </w:r>
          </w:p>
        </w:tc>
      </w:tr>
      <w:tr w14:paraId="5720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1B475678">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Times New Roman" w:hAnsi="Times New Roman" w:eastAsia="宋体" w:cs="Times New Roman"/>
                <w:snapToGrid w:val="0"/>
                <w:color w:val="0000FF"/>
                <w:sz w:val="21"/>
                <w:szCs w:val="21"/>
                <w:lang w:val="en-US" w:eastAsia="zh-CN"/>
              </w:rPr>
            </w:pPr>
            <w:r>
              <w:rPr>
                <w:rFonts w:hint="eastAsia" w:ascii="Times New Roman" w:hAnsi="Times New Roman" w:eastAsia="宋体" w:cs="Times New Roman"/>
                <w:snapToGrid w:val="0"/>
                <w:color w:val="0000FF"/>
                <w:sz w:val="21"/>
                <w:szCs w:val="21"/>
                <w:lang w:val="en-US" w:eastAsia="zh-CN"/>
              </w:rPr>
              <w:t>Mb：岩土层单层厚度。</w:t>
            </w:r>
          </w:p>
          <w:p w14:paraId="4BBF0CAF">
            <w:pPr>
              <w:pStyle w:val="25"/>
              <w:keepNext w:val="0"/>
              <w:keepLines w:val="0"/>
              <w:pageBreakBefore w:val="0"/>
              <w:widowControl w:val="0"/>
              <w:kinsoku/>
              <w:wordWrap/>
              <w:overflowPunct/>
              <w:topLinePunct w:val="0"/>
              <w:bidi w:val="0"/>
              <w:adjustRightInd/>
              <w:snapToGrid/>
              <w:spacing w:line="320" w:lineRule="exact"/>
              <w:textAlignment w:val="auto"/>
              <w:rPr>
                <w:rFonts w:hint="default"/>
                <w:color w:val="0000FF"/>
                <w:lang w:val="en-US" w:eastAsia="zh-CN"/>
              </w:rPr>
            </w:pPr>
            <w:r>
              <w:rPr>
                <w:rFonts w:hint="eastAsia" w:ascii="Times New Roman" w:hAnsi="Times New Roman" w:eastAsia="宋体" w:cs="Times New Roman"/>
                <w:snapToGrid w:val="0"/>
                <w:color w:val="0000FF"/>
                <w:sz w:val="21"/>
                <w:szCs w:val="21"/>
                <w:lang w:val="en-US" w:eastAsia="zh-CN"/>
              </w:rPr>
              <w:t>K：渗透系数。</w:t>
            </w:r>
          </w:p>
        </w:tc>
      </w:tr>
    </w:tbl>
    <w:p w14:paraId="4FBD04E6">
      <w:pPr>
        <w:adjustRightInd w:val="0"/>
        <w:snapToGrid w:val="0"/>
        <w:spacing w:line="360" w:lineRule="auto"/>
        <w:jc w:val="both"/>
        <w:rPr>
          <w:rFonts w:hint="eastAsia" w:ascii="Times New Roman" w:hAnsi="Times New Roman" w:eastAsia="宋体" w:cs="Times New Roman"/>
          <w:color w:val="0000FF"/>
          <w:kern w:val="2"/>
          <w:sz w:val="28"/>
          <w:szCs w:val="28"/>
          <w:highlight w:val="none"/>
          <w:lang w:val="en-US" w:eastAsia="zh-CN" w:bidi="ar-SA"/>
        </w:rPr>
      </w:pPr>
      <w:r>
        <w:rPr>
          <w:rFonts w:hint="default" w:ascii="Times New Roman" w:hAnsi="Times New Roman" w:eastAsia="宋体" w:cs="Times New Roman"/>
          <w:color w:val="0000FF"/>
          <w:kern w:val="2"/>
          <w:sz w:val="28"/>
          <w:szCs w:val="28"/>
          <w:highlight w:val="none"/>
          <w:lang w:val="en-US" w:eastAsia="zh-CN" w:bidi="ar-SA"/>
        </w:rPr>
        <w:t>根据现场调查，</w:t>
      </w:r>
      <w:r>
        <w:rPr>
          <w:rFonts w:hint="eastAsia" w:ascii="Times New Roman" w:hAnsi="Times New Roman" w:eastAsia="宋体" w:cs="Times New Roman"/>
          <w:color w:val="0000FF"/>
          <w:kern w:val="2"/>
          <w:sz w:val="28"/>
          <w:szCs w:val="28"/>
          <w:highlight w:val="none"/>
          <w:lang w:val="en-US" w:eastAsia="zh-CN" w:bidi="ar-SA"/>
        </w:rPr>
        <w:t>判定建设项目包气带岩土的渗透性能为D2。</w:t>
      </w:r>
    </w:p>
    <w:p w14:paraId="1CB5FAF7">
      <w:pPr>
        <w:pStyle w:val="25"/>
        <w:ind w:firstLine="560" w:firstLineChars="200"/>
        <w:rPr>
          <w:rFonts w:hint="default"/>
          <w:color w:val="0000FF"/>
          <w:lang w:val="en-US" w:eastAsia="zh-CN"/>
        </w:rPr>
      </w:pPr>
      <w:r>
        <w:rPr>
          <w:rFonts w:hint="eastAsia" w:ascii="Times New Roman" w:hAnsi="Times New Roman" w:eastAsia="宋体" w:cs="Times New Roman"/>
          <w:color w:val="0000FF"/>
          <w:kern w:val="2"/>
          <w:sz w:val="28"/>
          <w:szCs w:val="28"/>
          <w:highlight w:val="none"/>
          <w:lang w:val="en-US" w:eastAsia="zh-CN" w:bidi="ar-SA"/>
        </w:rPr>
        <w:t>综上所述，建设项目厂区周边无地下水体，建设项目地下水程度为低敏感G3，包气带防污性能分级为D2，判定建设项目地下水环境敏感程度分级为E3。</w:t>
      </w:r>
    </w:p>
    <w:p w14:paraId="511E6AA4">
      <w:pPr>
        <w:pStyle w:val="10"/>
        <w:ind w:left="0" w:leftChars="0" w:firstLine="0" w:firstLineChars="0"/>
        <w:outlineLvl w:val="1"/>
        <w:rPr>
          <w:rFonts w:hint="default"/>
          <w:color w:val="0000FF"/>
          <w:lang w:val="en-US" w:eastAsia="zh-CN"/>
        </w:rPr>
      </w:pPr>
      <w:r>
        <w:rPr>
          <w:rFonts w:hint="eastAsia" w:ascii="Times New Roman" w:hAnsi="Times New Roman" w:eastAsia="宋体" w:cs="Times New Roman"/>
          <w:b/>
          <w:bCs/>
          <w:color w:val="0000FF"/>
          <w:kern w:val="2"/>
          <w:sz w:val="28"/>
          <w:szCs w:val="28"/>
          <w:lang w:val="en-US" w:eastAsia="zh-CN" w:bidi="ar-SA"/>
        </w:rPr>
        <w:t>4.4 建设项目环境风险潜势判断</w:t>
      </w:r>
    </w:p>
    <w:p w14:paraId="4F51072B">
      <w:pPr>
        <w:adjustRightInd w:val="0"/>
        <w:snapToGrid w:val="0"/>
        <w:spacing w:line="360" w:lineRule="auto"/>
        <w:ind w:left="0" w:leftChars="0" w:firstLine="560" w:firstLineChars="200"/>
        <w:jc w:val="left"/>
        <w:outlineLvl w:val="9"/>
        <w:rPr>
          <w:rFonts w:hint="default" w:ascii="Times New Roman" w:hAnsi="Times New Roman" w:eastAsia="宋体" w:cs="Times New Roman"/>
          <w:b/>
          <w:bCs/>
          <w:color w:val="0000FF"/>
          <w:sz w:val="28"/>
          <w:szCs w:val="28"/>
          <w:lang w:val="en-US" w:eastAsia="zh-CN"/>
        </w:rPr>
      </w:pPr>
      <w:r>
        <w:rPr>
          <w:rFonts w:hint="default" w:ascii="宋体" w:hAnsi="宋体" w:eastAsia="宋体" w:cs="宋体"/>
          <w:color w:val="0000FF"/>
          <w:kern w:val="0"/>
          <w:sz w:val="28"/>
          <w:szCs w:val="28"/>
          <w:lang w:val="en-US" w:eastAsia="zh-CN" w:bidi="ar"/>
        </w:rPr>
        <w:t>根据建设项目涉及的物质和工艺系统的危险性及其所在地的环境敏感程度，结合事故情形下环境影响途径，确定大气环境风险潜势均为Ⅱ级，地表水、地下水环境风险潜势均为Ⅱ级</w:t>
      </w:r>
      <w:r>
        <w:rPr>
          <w:rFonts w:hint="eastAsia" w:ascii="宋体" w:hAnsi="宋体" w:cs="宋体"/>
          <w:color w:val="0000FF"/>
          <w:kern w:val="0"/>
          <w:sz w:val="28"/>
          <w:szCs w:val="28"/>
          <w:lang w:val="en-US" w:eastAsia="zh-CN" w:bidi="ar"/>
        </w:rPr>
        <w:t>，因此本项目的环境风险潜势判定为Ⅱ级</w:t>
      </w:r>
      <w:r>
        <w:rPr>
          <w:rFonts w:hint="default" w:ascii="宋体" w:hAnsi="宋体" w:eastAsia="宋体" w:cs="宋体"/>
          <w:color w:val="0000FF"/>
          <w:kern w:val="0"/>
          <w:sz w:val="28"/>
          <w:szCs w:val="28"/>
          <w:lang w:val="en-US" w:eastAsia="zh-CN" w:bidi="ar"/>
        </w:rPr>
        <w:t>。</w:t>
      </w:r>
    </w:p>
    <w:p w14:paraId="1E086C24">
      <w:pPr>
        <w:adjustRightInd w:val="0"/>
        <w:snapToGrid w:val="0"/>
        <w:spacing w:line="360" w:lineRule="auto"/>
        <w:ind w:left="0" w:leftChars="0" w:firstLine="0" w:firstLineChars="0"/>
        <w:jc w:val="left"/>
        <w:outlineLvl w:val="1"/>
        <w:rPr>
          <w:rFonts w:hint="default" w:ascii="Times New Roman" w:hAnsi="Times New Roman" w:eastAsia="宋体" w:cs="Times New Roman"/>
          <w:b/>
          <w:bCs/>
          <w:color w:val="0000FF"/>
          <w:spacing w:val="0"/>
          <w:kern w:val="2"/>
          <w:sz w:val="28"/>
          <w:szCs w:val="28"/>
          <w:highlight w:val="none"/>
          <w:u w:val="none"/>
          <w:lang w:val="en-US" w:eastAsia="zh-CN" w:bidi="ar-SA"/>
        </w:rPr>
      </w:pPr>
      <w:bookmarkStart w:id="27" w:name="_Toc25919"/>
      <w:r>
        <w:rPr>
          <w:rFonts w:hint="default" w:ascii="Times New Roman" w:hAnsi="Times New Roman" w:eastAsia="宋体" w:cs="Times New Roman"/>
          <w:b/>
          <w:bCs/>
          <w:color w:val="0000FF"/>
          <w:sz w:val="28"/>
          <w:szCs w:val="28"/>
          <w:lang w:val="en-US" w:eastAsia="zh-CN"/>
        </w:rPr>
        <w:t>4.</w:t>
      </w:r>
      <w:r>
        <w:rPr>
          <w:rFonts w:hint="eastAsia" w:cs="Times New Roman"/>
          <w:b/>
          <w:bCs/>
          <w:color w:val="0000FF"/>
          <w:sz w:val="28"/>
          <w:szCs w:val="28"/>
          <w:lang w:val="en-US" w:eastAsia="zh-CN"/>
        </w:rPr>
        <w:t>5</w:t>
      </w:r>
      <w:r>
        <w:rPr>
          <w:rFonts w:hint="default" w:ascii="Times New Roman" w:hAnsi="Times New Roman" w:eastAsia="宋体" w:cs="Times New Roman"/>
          <w:b/>
          <w:bCs/>
          <w:color w:val="0000FF"/>
          <w:spacing w:val="0"/>
          <w:kern w:val="2"/>
          <w:sz w:val="28"/>
          <w:szCs w:val="28"/>
          <w:highlight w:val="none"/>
          <w:u w:val="none"/>
          <w:lang w:val="en-US" w:eastAsia="zh-CN" w:bidi="ar-SA"/>
        </w:rPr>
        <w:t>环境风险评价等级</w:t>
      </w:r>
      <w:bookmarkEnd w:id="27"/>
    </w:p>
    <w:p w14:paraId="38276703">
      <w:pPr>
        <w:adjustRightInd w:val="0"/>
        <w:snapToGrid w:val="0"/>
        <w:spacing w:line="360" w:lineRule="auto"/>
        <w:ind w:firstLine="420"/>
        <w:jc w:val="left"/>
        <w:outlineLvl w:val="9"/>
        <w:rPr>
          <w:rFonts w:hint="default" w:ascii="Times New Roman" w:hAnsi="Times New Roman" w:eastAsia="宋体" w:cs="Times New Roman"/>
          <w:color w:val="0000FF"/>
          <w:spacing w:val="0"/>
          <w:kern w:val="2"/>
          <w:sz w:val="28"/>
          <w:szCs w:val="28"/>
          <w:highlight w:val="none"/>
          <w:u w:val="none"/>
          <w:lang w:val="zh-CN" w:eastAsia="zh-CN" w:bidi="ar-SA"/>
        </w:rPr>
      </w:pPr>
      <w:r>
        <w:rPr>
          <w:rFonts w:hint="default" w:ascii="Times New Roman" w:hAnsi="Times New Roman" w:eastAsia="宋体" w:cs="Times New Roman"/>
          <w:color w:val="0000FF"/>
          <w:spacing w:val="0"/>
          <w:kern w:val="2"/>
          <w:sz w:val="28"/>
          <w:szCs w:val="28"/>
          <w:highlight w:val="none"/>
          <w:u w:val="none"/>
          <w:lang w:val="zh-CN" w:eastAsia="zh-CN" w:bidi="ar-SA"/>
        </w:rPr>
        <w:t>根据《建设项目环境风险评价技术导则》（HJ 169-2018），建设项目涉及的物质及工艺系统危险性和所在地的环境敏感性确定环境风险潜势，按照表确定评价工作等级。</w:t>
      </w:r>
    </w:p>
    <w:p w14:paraId="576CA84B">
      <w:pPr>
        <w:pStyle w:val="51"/>
        <w:kinsoku/>
        <w:overflowPunct/>
        <w:bidi w:val="0"/>
        <w:ind w:left="0" w:leftChars="0" w:right="0"/>
        <w:jc w:val="center"/>
        <w:rPr>
          <w:rFonts w:hint="default" w:ascii="Times New Roman" w:hAnsi="Times New Roman" w:eastAsia="宋体" w:cs="Times New Roman"/>
          <w:b/>
          <w:snapToGrid/>
          <w:color w:val="0000FF"/>
          <w:kern w:val="0"/>
          <w:sz w:val="21"/>
          <w:szCs w:val="21"/>
          <w:highlight w:val="none"/>
          <w:lang w:val="en-US" w:eastAsia="zh-CN" w:bidi="ar-SA"/>
        </w:rPr>
      </w:pPr>
      <w:r>
        <w:rPr>
          <w:rFonts w:hint="default" w:ascii="Times New Roman" w:hAnsi="Times New Roman" w:eastAsia="宋体" w:cs="Times New Roman"/>
          <w:b/>
          <w:snapToGrid/>
          <w:color w:val="0000FF"/>
          <w:kern w:val="0"/>
          <w:sz w:val="21"/>
          <w:szCs w:val="21"/>
          <w:highlight w:val="none"/>
          <w:lang w:val="en-US" w:eastAsia="zh-CN" w:bidi="ar-SA"/>
        </w:rPr>
        <w:t>表</w:t>
      </w:r>
      <w:r>
        <w:rPr>
          <w:rFonts w:hint="default" w:ascii="Times New Roman" w:hAnsi="Times New Roman" w:cs="Times New Roman"/>
          <w:b/>
          <w:snapToGrid/>
          <w:color w:val="0000FF"/>
          <w:kern w:val="0"/>
          <w:sz w:val="21"/>
          <w:szCs w:val="21"/>
          <w:highlight w:val="none"/>
          <w:lang w:val="en-US" w:eastAsia="zh-CN" w:bidi="ar-SA"/>
        </w:rPr>
        <w:t>4</w:t>
      </w:r>
      <w:r>
        <w:rPr>
          <w:rFonts w:hint="default" w:ascii="Times New Roman" w:hAnsi="Times New Roman" w:eastAsia="宋体" w:cs="Times New Roman"/>
          <w:b/>
          <w:snapToGrid/>
          <w:color w:val="0000FF"/>
          <w:kern w:val="0"/>
          <w:sz w:val="21"/>
          <w:szCs w:val="21"/>
          <w:highlight w:val="none"/>
          <w:lang w:val="en-US" w:eastAsia="zh-CN" w:bidi="ar-SA"/>
        </w:rPr>
        <w:t>-</w:t>
      </w:r>
      <w:r>
        <w:rPr>
          <w:rFonts w:hint="eastAsia" w:ascii="Times New Roman" w:hAnsi="Times New Roman" w:cs="Times New Roman"/>
          <w:b/>
          <w:snapToGrid/>
          <w:color w:val="0000FF"/>
          <w:kern w:val="0"/>
          <w:sz w:val="21"/>
          <w:szCs w:val="21"/>
          <w:highlight w:val="none"/>
          <w:lang w:val="en-US" w:eastAsia="zh-CN" w:bidi="ar-SA"/>
        </w:rPr>
        <w:t>9</w:t>
      </w:r>
      <w:r>
        <w:rPr>
          <w:rFonts w:hint="default" w:ascii="Times New Roman" w:hAnsi="Times New Roman" w:eastAsia="宋体" w:cs="Times New Roman"/>
          <w:b/>
          <w:snapToGrid/>
          <w:color w:val="0000FF"/>
          <w:kern w:val="0"/>
          <w:sz w:val="21"/>
          <w:szCs w:val="21"/>
          <w:highlight w:val="none"/>
          <w:lang w:val="en-US" w:eastAsia="zh-CN" w:bidi="ar-SA"/>
        </w:rPr>
        <w:t xml:space="preserve">   环境风险评价工作等级划分</w:t>
      </w:r>
    </w:p>
    <w:tbl>
      <w:tblPr>
        <w:tblStyle w:val="2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06"/>
        <w:gridCol w:w="1678"/>
        <w:gridCol w:w="1866"/>
        <w:gridCol w:w="1684"/>
        <w:gridCol w:w="1684"/>
      </w:tblGrid>
      <w:tr w14:paraId="35C0C8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4" w:hRule="atLeast"/>
          <w:jc w:val="center"/>
        </w:trPr>
        <w:tc>
          <w:tcPr>
            <w:tcW w:w="1506" w:type="dxa"/>
            <w:tcBorders>
              <w:tl2br w:val="nil"/>
              <w:tr2bl w:val="nil"/>
            </w:tcBorders>
            <w:noWrap w:val="0"/>
            <w:vAlign w:val="center"/>
          </w:tcPr>
          <w:p w14:paraId="2212B807">
            <w:pPr>
              <w:pStyle w:val="52"/>
              <w:kinsoku/>
              <w:overflowPunct/>
              <w:bidi w:val="0"/>
              <w:ind w:left="0" w:leftChars="0" w:right="0"/>
              <w:jc w:val="both"/>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环境风险潜势</w:t>
            </w:r>
          </w:p>
        </w:tc>
        <w:tc>
          <w:tcPr>
            <w:tcW w:w="1678" w:type="dxa"/>
            <w:tcBorders>
              <w:tl2br w:val="nil"/>
              <w:tr2bl w:val="nil"/>
            </w:tcBorders>
            <w:noWrap w:val="0"/>
            <w:vAlign w:val="center"/>
          </w:tcPr>
          <w:p w14:paraId="2F87C704">
            <w:pPr>
              <w:pStyle w:val="52"/>
              <w:kinsoku/>
              <w:overflowPunct/>
              <w:bidi w:val="0"/>
              <w:ind w:left="0" w:leftChars="0" w:right="0"/>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Ⅳ、Ⅳ</w:t>
            </w:r>
            <w:r>
              <w:rPr>
                <w:rFonts w:hint="default" w:ascii="Times New Roman" w:hAnsi="Times New Roman" w:eastAsia="宋体" w:cs="Times New Roman"/>
                <w:color w:val="0000FF"/>
                <w:highlight w:val="none"/>
                <w:vertAlign w:val="superscript"/>
              </w:rPr>
              <w:t>+</w:t>
            </w:r>
          </w:p>
        </w:tc>
        <w:tc>
          <w:tcPr>
            <w:tcW w:w="1866" w:type="dxa"/>
            <w:tcBorders>
              <w:tl2br w:val="nil"/>
              <w:tr2bl w:val="nil"/>
            </w:tcBorders>
            <w:noWrap w:val="0"/>
            <w:vAlign w:val="center"/>
          </w:tcPr>
          <w:p w14:paraId="770FB554">
            <w:pPr>
              <w:pStyle w:val="52"/>
              <w:kinsoku/>
              <w:overflowPunct/>
              <w:bidi w:val="0"/>
              <w:ind w:left="0" w:leftChars="0" w:right="0"/>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Ⅲ</w:t>
            </w:r>
          </w:p>
        </w:tc>
        <w:tc>
          <w:tcPr>
            <w:tcW w:w="1684" w:type="dxa"/>
            <w:tcBorders>
              <w:tl2br w:val="nil"/>
              <w:tr2bl w:val="nil"/>
            </w:tcBorders>
            <w:noWrap w:val="0"/>
            <w:vAlign w:val="center"/>
          </w:tcPr>
          <w:p w14:paraId="7CC0A7D8">
            <w:pPr>
              <w:pStyle w:val="52"/>
              <w:kinsoku/>
              <w:overflowPunct/>
              <w:bidi w:val="0"/>
              <w:ind w:left="0" w:leftChars="0" w:right="0"/>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Ⅱ</w:t>
            </w:r>
          </w:p>
        </w:tc>
        <w:tc>
          <w:tcPr>
            <w:tcW w:w="1684" w:type="dxa"/>
            <w:tcBorders>
              <w:tl2br w:val="nil"/>
              <w:tr2bl w:val="nil"/>
            </w:tcBorders>
            <w:noWrap w:val="0"/>
            <w:vAlign w:val="center"/>
          </w:tcPr>
          <w:p w14:paraId="505AE17F">
            <w:pPr>
              <w:pStyle w:val="52"/>
              <w:kinsoku/>
              <w:overflowPunct/>
              <w:bidi w:val="0"/>
              <w:ind w:left="0" w:leftChars="0" w:right="0"/>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Ⅰ</w:t>
            </w:r>
          </w:p>
        </w:tc>
      </w:tr>
      <w:tr w14:paraId="083F75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4" w:hRule="atLeast"/>
          <w:jc w:val="center"/>
        </w:trPr>
        <w:tc>
          <w:tcPr>
            <w:tcW w:w="1506" w:type="dxa"/>
            <w:tcBorders>
              <w:tl2br w:val="nil"/>
              <w:tr2bl w:val="nil"/>
            </w:tcBorders>
            <w:noWrap w:val="0"/>
            <w:vAlign w:val="center"/>
          </w:tcPr>
          <w:p w14:paraId="0D4C69B8">
            <w:pPr>
              <w:kinsoku/>
              <w:overflowPunct/>
              <w:bidi w:val="0"/>
              <w:spacing w:line="240" w:lineRule="auto"/>
              <w:ind w:left="0" w:leftChars="0" w:right="0" w:firstLine="0" w:firstLineChars="0"/>
              <w:jc w:val="left"/>
              <w:rPr>
                <w:rFonts w:hint="default" w:ascii="Times New Roman" w:hAnsi="Times New Roman" w:eastAsia="宋体" w:cs="Times New Roman"/>
                <w:color w:val="0000FF"/>
                <w:sz w:val="21"/>
                <w:highlight w:val="none"/>
              </w:rPr>
            </w:pPr>
            <w:r>
              <w:rPr>
                <w:rFonts w:hint="default" w:ascii="Times New Roman" w:hAnsi="Times New Roman" w:eastAsia="宋体" w:cs="Times New Roman"/>
                <w:color w:val="0000FF"/>
                <w:sz w:val="21"/>
                <w:highlight w:val="none"/>
              </w:rPr>
              <w:t>评价工作等级</w:t>
            </w:r>
          </w:p>
        </w:tc>
        <w:tc>
          <w:tcPr>
            <w:tcW w:w="1678" w:type="dxa"/>
            <w:tcBorders>
              <w:tl2br w:val="nil"/>
              <w:tr2bl w:val="nil"/>
            </w:tcBorders>
            <w:noWrap w:val="0"/>
            <w:vAlign w:val="center"/>
          </w:tcPr>
          <w:p w14:paraId="55EB1F70">
            <w:pPr>
              <w:kinsoku/>
              <w:overflowPunct/>
              <w:bidi w:val="0"/>
              <w:spacing w:line="240" w:lineRule="auto"/>
              <w:ind w:left="0" w:leftChars="0" w:right="0" w:firstLine="0" w:firstLineChars="0"/>
              <w:jc w:val="center"/>
              <w:rPr>
                <w:rFonts w:hint="default" w:ascii="Times New Roman" w:hAnsi="Times New Roman" w:eastAsia="宋体" w:cs="Times New Roman"/>
                <w:color w:val="0000FF"/>
                <w:sz w:val="21"/>
                <w:highlight w:val="none"/>
              </w:rPr>
            </w:pPr>
            <w:r>
              <w:rPr>
                <w:rFonts w:hint="default" w:ascii="Times New Roman" w:hAnsi="Times New Roman" w:eastAsia="宋体" w:cs="Times New Roman"/>
                <w:color w:val="0000FF"/>
                <w:sz w:val="21"/>
                <w:highlight w:val="none"/>
              </w:rPr>
              <w:t>一</w:t>
            </w:r>
          </w:p>
        </w:tc>
        <w:tc>
          <w:tcPr>
            <w:tcW w:w="1866" w:type="dxa"/>
            <w:tcBorders>
              <w:tl2br w:val="nil"/>
              <w:tr2bl w:val="nil"/>
            </w:tcBorders>
            <w:noWrap w:val="0"/>
            <w:vAlign w:val="center"/>
          </w:tcPr>
          <w:p w14:paraId="50B6E053">
            <w:pPr>
              <w:kinsoku/>
              <w:overflowPunct/>
              <w:bidi w:val="0"/>
              <w:spacing w:line="240" w:lineRule="auto"/>
              <w:ind w:left="0" w:leftChars="0" w:right="0" w:firstLine="0" w:firstLineChars="0"/>
              <w:jc w:val="center"/>
              <w:rPr>
                <w:rFonts w:hint="default" w:ascii="Times New Roman" w:hAnsi="Times New Roman" w:eastAsia="宋体" w:cs="Times New Roman"/>
                <w:color w:val="0000FF"/>
                <w:sz w:val="21"/>
                <w:highlight w:val="none"/>
              </w:rPr>
            </w:pPr>
            <w:r>
              <w:rPr>
                <w:rFonts w:hint="default" w:ascii="Times New Roman" w:hAnsi="Times New Roman" w:eastAsia="宋体" w:cs="Times New Roman"/>
                <w:color w:val="0000FF"/>
                <w:sz w:val="21"/>
                <w:highlight w:val="none"/>
              </w:rPr>
              <w:t>二</w:t>
            </w:r>
          </w:p>
        </w:tc>
        <w:tc>
          <w:tcPr>
            <w:tcW w:w="1684" w:type="dxa"/>
            <w:tcBorders>
              <w:tl2br w:val="nil"/>
              <w:tr2bl w:val="nil"/>
            </w:tcBorders>
            <w:noWrap w:val="0"/>
            <w:vAlign w:val="center"/>
          </w:tcPr>
          <w:p w14:paraId="158CE3AD">
            <w:pPr>
              <w:kinsoku/>
              <w:overflowPunct/>
              <w:bidi w:val="0"/>
              <w:spacing w:line="240" w:lineRule="auto"/>
              <w:ind w:left="0" w:leftChars="0" w:right="0" w:firstLine="0" w:firstLineChars="0"/>
              <w:jc w:val="center"/>
              <w:rPr>
                <w:rFonts w:hint="default" w:ascii="Times New Roman" w:hAnsi="Times New Roman" w:eastAsia="宋体" w:cs="Times New Roman"/>
                <w:color w:val="0000FF"/>
                <w:sz w:val="21"/>
                <w:highlight w:val="none"/>
              </w:rPr>
            </w:pPr>
            <w:r>
              <w:rPr>
                <w:rFonts w:hint="default" w:ascii="Times New Roman" w:hAnsi="Times New Roman" w:eastAsia="宋体" w:cs="Times New Roman"/>
                <w:color w:val="0000FF"/>
                <w:sz w:val="21"/>
                <w:highlight w:val="none"/>
              </w:rPr>
              <w:t>三</w:t>
            </w:r>
          </w:p>
        </w:tc>
        <w:tc>
          <w:tcPr>
            <w:tcW w:w="1684" w:type="dxa"/>
            <w:tcBorders>
              <w:tl2br w:val="nil"/>
              <w:tr2bl w:val="nil"/>
            </w:tcBorders>
            <w:noWrap w:val="0"/>
            <w:vAlign w:val="center"/>
          </w:tcPr>
          <w:p w14:paraId="63CF089F">
            <w:pPr>
              <w:kinsoku/>
              <w:overflowPunct/>
              <w:bidi w:val="0"/>
              <w:spacing w:line="240" w:lineRule="auto"/>
              <w:ind w:left="0" w:leftChars="0" w:right="0" w:firstLine="0" w:firstLineChars="0"/>
              <w:jc w:val="center"/>
              <w:rPr>
                <w:rFonts w:hint="default" w:ascii="Times New Roman" w:hAnsi="Times New Roman" w:eastAsia="宋体" w:cs="Times New Roman"/>
                <w:color w:val="0000FF"/>
                <w:sz w:val="21"/>
                <w:highlight w:val="none"/>
              </w:rPr>
            </w:pPr>
            <w:r>
              <w:rPr>
                <w:rFonts w:hint="default" w:ascii="Times New Roman" w:hAnsi="Times New Roman" w:eastAsia="宋体" w:cs="Times New Roman"/>
                <w:color w:val="0000FF"/>
                <w:sz w:val="21"/>
                <w:highlight w:val="none"/>
              </w:rPr>
              <w:t>简单分析a</w:t>
            </w:r>
          </w:p>
        </w:tc>
      </w:tr>
      <w:tr w14:paraId="7088B3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3" w:hRule="atLeast"/>
          <w:jc w:val="center"/>
        </w:trPr>
        <w:tc>
          <w:tcPr>
            <w:tcW w:w="8418" w:type="dxa"/>
            <w:gridSpan w:val="5"/>
            <w:tcBorders>
              <w:tl2br w:val="nil"/>
              <w:tr2bl w:val="nil"/>
            </w:tcBorders>
            <w:noWrap w:val="0"/>
            <w:vAlign w:val="center"/>
          </w:tcPr>
          <w:p w14:paraId="33271342">
            <w:pPr>
              <w:kinsoku/>
              <w:overflowPunct/>
              <w:bidi w:val="0"/>
              <w:spacing w:line="240" w:lineRule="auto"/>
              <w:ind w:left="0" w:leftChars="0" w:right="0" w:firstLine="0" w:firstLineChars="0"/>
              <w:jc w:val="left"/>
              <w:rPr>
                <w:rFonts w:hint="default" w:ascii="Times New Roman" w:hAnsi="Times New Roman" w:eastAsia="宋体" w:cs="Times New Roman"/>
                <w:color w:val="0000FF"/>
                <w:sz w:val="21"/>
                <w:highlight w:val="none"/>
              </w:rPr>
            </w:pPr>
            <w:r>
              <w:rPr>
                <w:rFonts w:hint="default" w:ascii="Times New Roman" w:hAnsi="Times New Roman" w:eastAsia="宋体" w:cs="Times New Roman"/>
                <w:color w:val="0000FF"/>
                <w:sz w:val="21"/>
                <w:highlight w:val="none"/>
              </w:rPr>
              <w:t>a是相对于详细评价工作内容而言，在描述危险物质、环境影响途径、环境危害后果、风险防范措施等方面给出定性的说明，详见HJ</w:t>
            </w:r>
            <w:r>
              <w:rPr>
                <w:rFonts w:hint="default" w:ascii="Times New Roman" w:hAnsi="Times New Roman" w:eastAsia="宋体" w:cs="Times New Roman"/>
                <w:color w:val="0000FF"/>
                <w:sz w:val="21"/>
                <w:highlight w:val="none"/>
                <w:lang w:val="en-US" w:eastAsia="zh-CN"/>
              </w:rPr>
              <w:t xml:space="preserve"> </w:t>
            </w:r>
            <w:r>
              <w:rPr>
                <w:rFonts w:hint="default" w:ascii="Times New Roman" w:hAnsi="Times New Roman" w:eastAsia="宋体" w:cs="Times New Roman"/>
                <w:color w:val="0000FF"/>
                <w:sz w:val="21"/>
                <w:highlight w:val="none"/>
              </w:rPr>
              <w:t>169-2018附录A。</w:t>
            </w:r>
          </w:p>
        </w:tc>
      </w:tr>
    </w:tbl>
    <w:p w14:paraId="7159ABA8">
      <w:pPr>
        <w:pStyle w:val="30"/>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0000FF"/>
          <w:spacing w:val="0"/>
          <w:kern w:val="2"/>
          <w:sz w:val="28"/>
          <w:szCs w:val="28"/>
          <w:highlight w:val="none"/>
          <w:u w:val="none"/>
          <w:lang w:val="en-US" w:eastAsia="zh-CN" w:bidi="ar-SA"/>
        </w:rPr>
        <w:t>按照《建设项目环境风险评价技术导则》（HJ169-2018）判定，确定大气环境风险评价工作等级为</w:t>
      </w:r>
      <w:r>
        <w:rPr>
          <w:rFonts w:hint="eastAsia" w:eastAsia="宋体" w:cs="Times New Roman"/>
          <w:color w:val="0000FF"/>
          <w:spacing w:val="0"/>
          <w:kern w:val="2"/>
          <w:sz w:val="28"/>
          <w:szCs w:val="28"/>
          <w:highlight w:val="none"/>
          <w:u w:val="none"/>
          <w:lang w:val="en-US" w:eastAsia="zh-CN" w:bidi="ar-SA"/>
        </w:rPr>
        <w:t>三</w:t>
      </w:r>
      <w:r>
        <w:rPr>
          <w:rFonts w:hint="eastAsia" w:ascii="Times New Roman" w:hAnsi="Times New Roman" w:eastAsia="宋体" w:cs="Times New Roman"/>
          <w:color w:val="0000FF"/>
          <w:spacing w:val="0"/>
          <w:kern w:val="2"/>
          <w:sz w:val="28"/>
          <w:szCs w:val="28"/>
          <w:highlight w:val="none"/>
          <w:u w:val="none"/>
          <w:lang w:val="en-US" w:eastAsia="zh-CN" w:bidi="ar-SA"/>
        </w:rPr>
        <w:t>级，地表水和地下水环境风险评价工作等级为</w:t>
      </w:r>
      <w:r>
        <w:rPr>
          <w:rFonts w:hint="eastAsia" w:eastAsia="宋体" w:cs="Times New Roman"/>
          <w:color w:val="0000FF"/>
          <w:spacing w:val="0"/>
          <w:kern w:val="2"/>
          <w:sz w:val="28"/>
          <w:szCs w:val="28"/>
          <w:highlight w:val="none"/>
          <w:u w:val="none"/>
          <w:lang w:val="en-US" w:eastAsia="zh-CN" w:bidi="ar-SA"/>
        </w:rPr>
        <w:t>三</w:t>
      </w:r>
      <w:r>
        <w:rPr>
          <w:rFonts w:hint="eastAsia" w:ascii="Times New Roman" w:hAnsi="Times New Roman" w:eastAsia="宋体" w:cs="Times New Roman"/>
          <w:color w:val="0000FF"/>
          <w:spacing w:val="0"/>
          <w:kern w:val="2"/>
          <w:sz w:val="28"/>
          <w:szCs w:val="28"/>
          <w:highlight w:val="none"/>
          <w:u w:val="none"/>
          <w:lang w:val="en-US" w:eastAsia="zh-CN" w:bidi="ar-SA"/>
        </w:rPr>
        <w:t>级。</w:t>
      </w:r>
    </w:p>
    <w:p w14:paraId="3756B96C">
      <w:pPr>
        <w:rPr>
          <w:rFonts w:hint="eastAsia" w:ascii="Times New Roman" w:hAnsi="Times New Roman" w:eastAsia="宋体" w:cs="Times New Roman"/>
          <w:b/>
          <w:bCs/>
          <w:sz w:val="28"/>
          <w:szCs w:val="28"/>
          <w:lang w:val="en-US" w:eastAsia="zh-CN"/>
        </w:rPr>
      </w:pPr>
      <w:bookmarkStart w:id="28" w:name="_Toc2169"/>
      <w:r>
        <w:rPr>
          <w:rFonts w:hint="eastAsia" w:ascii="Times New Roman" w:hAnsi="Times New Roman" w:eastAsia="宋体" w:cs="Times New Roman"/>
          <w:b/>
          <w:bCs/>
          <w:sz w:val="28"/>
          <w:szCs w:val="28"/>
          <w:lang w:val="en-US" w:eastAsia="zh-CN"/>
        </w:rPr>
        <w:br w:type="page"/>
      </w:r>
    </w:p>
    <w:p w14:paraId="13BF5120">
      <w:pPr>
        <w:ind w:left="0" w:leftChars="0" w:firstLine="0" w:firstLineChars="0"/>
        <w:jc w:val="center"/>
        <w:outlineLvl w:val="0"/>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5.环境风险识别</w:t>
      </w:r>
      <w:bookmarkEnd w:id="28"/>
    </w:p>
    <w:p w14:paraId="11E548D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outlineLvl w:val="1"/>
        <w:rPr>
          <w:rFonts w:hint="default" w:ascii="Times New Roman" w:hAnsi="Times New Roman" w:eastAsia="宋体" w:cs="Times New Roman"/>
          <w:b/>
          <w:bCs/>
          <w:color w:val="auto"/>
          <w:spacing w:val="0"/>
          <w:kern w:val="2"/>
          <w:sz w:val="28"/>
          <w:szCs w:val="28"/>
          <w:highlight w:val="none"/>
          <w:u w:val="none"/>
          <w:lang w:val="en-US" w:eastAsia="zh-CN" w:bidi="ar-SA"/>
        </w:rPr>
      </w:pPr>
      <w:bookmarkStart w:id="29" w:name="_Toc4092"/>
      <w:r>
        <w:rPr>
          <w:rFonts w:hint="default" w:ascii="Times New Roman" w:hAnsi="Times New Roman" w:eastAsia="宋体" w:cs="Times New Roman"/>
          <w:b/>
          <w:bCs/>
          <w:color w:val="auto"/>
          <w:spacing w:val="0"/>
          <w:kern w:val="2"/>
          <w:sz w:val="28"/>
          <w:szCs w:val="28"/>
          <w:highlight w:val="none"/>
          <w:u w:val="none"/>
          <w:lang w:val="en-US" w:eastAsia="zh-CN" w:bidi="ar-SA"/>
        </w:rPr>
        <w:t>5.1物质风险识别</w:t>
      </w:r>
      <w:bookmarkEnd w:id="29"/>
    </w:p>
    <w:p w14:paraId="56AB7FBC">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8"/>
        </w:rPr>
        <w:t>根据危险源的辨识，本项目</w:t>
      </w:r>
      <w:r>
        <w:rPr>
          <w:rFonts w:hint="default" w:ascii="Times New Roman" w:hAnsi="Times New Roman" w:eastAsia="宋体" w:cs="Times New Roman"/>
          <w:color w:val="auto"/>
          <w:spacing w:val="0"/>
          <w:kern w:val="2"/>
          <w:sz w:val="28"/>
          <w:szCs w:val="28"/>
          <w:highlight w:val="none"/>
          <w:u w:val="none"/>
          <w:lang w:val="en-US" w:eastAsia="zh-CN" w:bidi="ar-SA"/>
        </w:rPr>
        <w:t>危险源中</w:t>
      </w:r>
      <w:r>
        <w:rPr>
          <w:rFonts w:hint="default" w:ascii="Times New Roman" w:hAnsi="Times New Roman" w:eastAsia="宋体" w:cs="Times New Roman"/>
          <w:color w:val="000000"/>
          <w:sz w:val="28"/>
        </w:rPr>
        <w:t>的主要危险物质为：</w:t>
      </w:r>
      <w:r>
        <w:rPr>
          <w:rFonts w:hint="default" w:ascii="Times New Roman" w:hAnsi="Times New Roman" w:eastAsia="宋体" w:cs="Times New Roman"/>
          <w:color w:val="000000"/>
          <w:sz w:val="28"/>
          <w:lang w:val="en-US" w:eastAsia="zh-CN"/>
        </w:rPr>
        <w:t>硝酸</w:t>
      </w:r>
      <w:r>
        <w:rPr>
          <w:rFonts w:hint="default" w:ascii="Times New Roman" w:hAnsi="Times New Roman" w:eastAsia="宋体" w:cs="Times New Roman"/>
          <w:color w:val="000000"/>
          <w:sz w:val="28"/>
        </w:rPr>
        <w:t>，其理化性质</w:t>
      </w:r>
      <w:r>
        <w:rPr>
          <w:rFonts w:hint="default" w:ascii="Times New Roman" w:hAnsi="Times New Roman" w:eastAsia="宋体" w:cs="Times New Roman"/>
          <w:color w:val="000000"/>
          <w:sz w:val="28"/>
          <w:lang w:eastAsia="zh-CN"/>
        </w:rPr>
        <w:t>详见</w:t>
      </w:r>
      <w:r>
        <w:rPr>
          <w:rFonts w:hint="default" w:ascii="Times New Roman" w:hAnsi="Times New Roman" w:eastAsia="宋体" w:cs="Times New Roman"/>
          <w:color w:val="000000"/>
          <w:sz w:val="28"/>
        </w:rPr>
        <w:t>下表。</w:t>
      </w:r>
    </w:p>
    <w:p w14:paraId="684EE7A4">
      <w:pPr>
        <w:jc w:val="center"/>
        <w:rPr>
          <w:rFonts w:hint="default" w:ascii="Times New Roman" w:hAnsi="Times New Roman" w:eastAsia="宋体" w:cs="Times New Roman"/>
        </w:rPr>
      </w:pPr>
      <w:r>
        <w:rPr>
          <w:rFonts w:hint="default" w:ascii="Times New Roman" w:hAnsi="Times New Roman" w:eastAsia="宋体" w:cs="Times New Roman"/>
          <w:b/>
          <w:color w:val="auto"/>
          <w:sz w:val="21"/>
          <w:szCs w:val="21"/>
          <w:lang w:eastAsia="zh-CN"/>
        </w:rPr>
        <w:t>表</w:t>
      </w:r>
      <w:r>
        <w:rPr>
          <w:rFonts w:hint="default" w:ascii="Times New Roman" w:hAnsi="Times New Roman" w:eastAsia="宋体" w:cs="Times New Roman"/>
          <w:b/>
          <w:color w:val="auto"/>
          <w:sz w:val="21"/>
          <w:szCs w:val="21"/>
          <w:lang w:val="en-US" w:eastAsia="zh-CN"/>
        </w:rPr>
        <w:t>5-1  硝酸的理化性质及危险特性表</w:t>
      </w:r>
    </w:p>
    <w:tbl>
      <w:tblPr>
        <w:tblStyle w:val="57"/>
        <w:tblW w:w="86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1695"/>
        <w:gridCol w:w="870"/>
        <w:gridCol w:w="166"/>
        <w:gridCol w:w="161"/>
        <w:gridCol w:w="1540"/>
        <w:gridCol w:w="948"/>
        <w:gridCol w:w="177"/>
        <w:gridCol w:w="1352"/>
        <w:gridCol w:w="981"/>
      </w:tblGrid>
      <w:tr w14:paraId="74547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23" w:type="dxa"/>
            <w:vMerge w:val="restart"/>
            <w:tcBorders>
              <w:left w:val="single" w:color="000000" w:sz="4" w:space="0"/>
              <w:bottom w:val="nil"/>
              <w:right w:val="single" w:color="000000" w:sz="4" w:space="0"/>
            </w:tcBorders>
            <w:vAlign w:val="center"/>
          </w:tcPr>
          <w:p w14:paraId="09EE6F7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标识</w:t>
            </w:r>
          </w:p>
        </w:tc>
        <w:tc>
          <w:tcPr>
            <w:tcW w:w="5380" w:type="dxa"/>
            <w:gridSpan w:val="6"/>
            <w:tcBorders>
              <w:left w:val="single" w:color="000000" w:sz="4" w:space="0"/>
              <w:right w:val="single" w:color="000000" w:sz="4" w:space="0"/>
            </w:tcBorders>
            <w:vAlign w:val="center"/>
          </w:tcPr>
          <w:p w14:paraId="13AA085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中文名：硝酸；硝酸氢；硝漒水</w:t>
            </w:r>
          </w:p>
        </w:tc>
        <w:tc>
          <w:tcPr>
            <w:tcW w:w="2510" w:type="dxa"/>
            <w:gridSpan w:val="3"/>
            <w:tcBorders>
              <w:left w:val="single" w:color="000000" w:sz="4" w:space="0"/>
              <w:right w:val="single" w:color="000000" w:sz="4" w:space="0"/>
            </w:tcBorders>
            <w:vAlign w:val="center"/>
          </w:tcPr>
          <w:p w14:paraId="1DBD595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危险货物编号：81002</w:t>
            </w:r>
          </w:p>
        </w:tc>
      </w:tr>
      <w:tr w14:paraId="4887A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23" w:type="dxa"/>
            <w:vMerge w:val="continue"/>
            <w:tcBorders>
              <w:top w:val="nil"/>
              <w:left w:val="single" w:color="000000" w:sz="4" w:space="0"/>
              <w:right w:val="single" w:color="000000" w:sz="4" w:space="0"/>
            </w:tcBorders>
            <w:vAlign w:val="center"/>
          </w:tcPr>
          <w:p w14:paraId="6BCB709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p>
        </w:tc>
        <w:tc>
          <w:tcPr>
            <w:tcW w:w="2731" w:type="dxa"/>
            <w:gridSpan w:val="3"/>
            <w:tcBorders>
              <w:left w:val="single" w:color="000000" w:sz="4" w:space="0"/>
              <w:right w:val="single" w:color="000000" w:sz="4" w:space="0"/>
            </w:tcBorders>
            <w:vAlign w:val="center"/>
          </w:tcPr>
          <w:p w14:paraId="6EDC57E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分子式：HNO</w:t>
            </w:r>
            <w:r>
              <w:rPr>
                <w:rFonts w:hint="default" w:ascii="Times New Roman" w:hAnsi="Times New Roman" w:eastAsia="宋体" w:cs="Times New Roman"/>
                <w:color w:val="auto"/>
                <w:kern w:val="2"/>
                <w:sz w:val="21"/>
                <w:szCs w:val="21"/>
                <w:vertAlign w:val="subscript"/>
                <w:lang w:val="zh-CN" w:eastAsia="zh-CN" w:bidi="ar-SA"/>
              </w:rPr>
              <w:t>3</w:t>
            </w:r>
          </w:p>
        </w:tc>
        <w:tc>
          <w:tcPr>
            <w:tcW w:w="2649" w:type="dxa"/>
            <w:gridSpan w:val="3"/>
            <w:tcBorders>
              <w:left w:val="single" w:color="000000" w:sz="4" w:space="0"/>
              <w:right w:val="single" w:color="000000" w:sz="4" w:space="0"/>
            </w:tcBorders>
            <w:vAlign w:val="center"/>
          </w:tcPr>
          <w:p w14:paraId="7A47D62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分子量：63.01</w:t>
            </w:r>
          </w:p>
        </w:tc>
        <w:tc>
          <w:tcPr>
            <w:tcW w:w="2510" w:type="dxa"/>
            <w:gridSpan w:val="3"/>
            <w:tcBorders>
              <w:left w:val="single" w:color="000000" w:sz="4" w:space="0"/>
              <w:right w:val="single" w:color="000000" w:sz="4" w:space="0"/>
            </w:tcBorders>
            <w:vAlign w:val="center"/>
          </w:tcPr>
          <w:p w14:paraId="43884DE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CAS号：7697-37-2</w:t>
            </w:r>
          </w:p>
        </w:tc>
      </w:tr>
      <w:tr w14:paraId="5FDC0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23" w:type="dxa"/>
            <w:vMerge w:val="restart"/>
            <w:tcBorders>
              <w:left w:val="single" w:color="000000" w:sz="4" w:space="0"/>
              <w:bottom w:val="nil"/>
              <w:right w:val="single" w:color="000000" w:sz="4" w:space="0"/>
            </w:tcBorders>
            <w:vAlign w:val="center"/>
          </w:tcPr>
          <w:p w14:paraId="1F29D2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理</w:t>
            </w:r>
            <w:r>
              <w:rPr>
                <w:rFonts w:hint="default" w:ascii="Times New Roman" w:hAnsi="Times New Roman" w:eastAsia="宋体" w:cs="Times New Roman"/>
                <w:color w:val="auto"/>
                <w:spacing w:val="1"/>
                <w:sz w:val="24"/>
                <w:szCs w:val="24"/>
              </w:rPr>
              <w:t>化性质</w:t>
            </w:r>
          </w:p>
        </w:tc>
        <w:tc>
          <w:tcPr>
            <w:tcW w:w="1695" w:type="dxa"/>
            <w:tcBorders>
              <w:left w:val="single" w:color="000000" w:sz="4" w:space="0"/>
              <w:right w:val="single" w:color="000000" w:sz="4" w:space="0"/>
            </w:tcBorders>
            <w:vAlign w:val="center"/>
          </w:tcPr>
          <w:p w14:paraId="1082D1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外观与性状</w:t>
            </w:r>
          </w:p>
        </w:tc>
        <w:tc>
          <w:tcPr>
            <w:tcW w:w="6195" w:type="dxa"/>
            <w:gridSpan w:val="8"/>
            <w:tcBorders>
              <w:left w:val="single" w:color="000000" w:sz="4" w:space="0"/>
              <w:right w:val="single" w:color="000000" w:sz="4" w:space="0"/>
            </w:tcBorders>
            <w:vAlign w:val="center"/>
          </w:tcPr>
          <w:p w14:paraId="696A143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纯品为无色透明发烟液体，有酸味。</w:t>
            </w:r>
          </w:p>
        </w:tc>
      </w:tr>
      <w:tr w14:paraId="0BD58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23" w:type="dxa"/>
            <w:vMerge w:val="continue"/>
            <w:tcBorders>
              <w:top w:val="nil"/>
              <w:left w:val="single" w:color="000000" w:sz="4" w:space="0"/>
              <w:bottom w:val="nil"/>
              <w:right w:val="single" w:color="000000" w:sz="4" w:space="0"/>
            </w:tcBorders>
            <w:vAlign w:val="center"/>
          </w:tcPr>
          <w:p w14:paraId="3703C7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p>
        </w:tc>
        <w:tc>
          <w:tcPr>
            <w:tcW w:w="1695" w:type="dxa"/>
            <w:tcBorders>
              <w:left w:val="single" w:color="000000" w:sz="4" w:space="0"/>
              <w:right w:val="single" w:color="000000" w:sz="4" w:space="0"/>
            </w:tcBorders>
            <w:vAlign w:val="center"/>
          </w:tcPr>
          <w:p w14:paraId="4FAABAD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熔点（℃）</w:t>
            </w:r>
          </w:p>
        </w:tc>
        <w:tc>
          <w:tcPr>
            <w:tcW w:w="870" w:type="dxa"/>
            <w:tcBorders>
              <w:left w:val="single" w:color="000000" w:sz="4" w:space="0"/>
              <w:right w:val="single" w:color="000000" w:sz="4" w:space="0"/>
            </w:tcBorders>
            <w:vAlign w:val="center"/>
          </w:tcPr>
          <w:p w14:paraId="339F7E1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-42</w:t>
            </w:r>
          </w:p>
        </w:tc>
        <w:tc>
          <w:tcPr>
            <w:tcW w:w="1867" w:type="dxa"/>
            <w:gridSpan w:val="3"/>
            <w:tcBorders>
              <w:left w:val="single" w:color="000000" w:sz="4" w:space="0"/>
              <w:right w:val="single" w:color="000000" w:sz="4" w:space="0"/>
            </w:tcBorders>
            <w:vAlign w:val="center"/>
          </w:tcPr>
          <w:p w14:paraId="2E3228B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相对密度（水=1）</w:t>
            </w:r>
          </w:p>
        </w:tc>
        <w:tc>
          <w:tcPr>
            <w:tcW w:w="948" w:type="dxa"/>
            <w:tcBorders>
              <w:left w:val="single" w:color="000000" w:sz="4" w:space="0"/>
              <w:right w:val="single" w:color="000000" w:sz="4" w:space="0"/>
            </w:tcBorders>
            <w:vAlign w:val="center"/>
          </w:tcPr>
          <w:p w14:paraId="4591AB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zh-CN" w:eastAsia="zh-CN" w:bidi="ar-SA"/>
              </w:rPr>
              <w:t>1.</w:t>
            </w:r>
            <w:r>
              <w:rPr>
                <w:rFonts w:hint="eastAsia" w:cs="Times New Roman"/>
                <w:color w:val="auto"/>
                <w:kern w:val="2"/>
                <w:sz w:val="21"/>
                <w:szCs w:val="21"/>
                <w:lang w:val="en-US" w:eastAsia="zh-CN" w:bidi="ar-SA"/>
              </w:rPr>
              <w:t>34</w:t>
            </w:r>
          </w:p>
        </w:tc>
        <w:tc>
          <w:tcPr>
            <w:tcW w:w="1529" w:type="dxa"/>
            <w:gridSpan w:val="2"/>
            <w:tcBorders>
              <w:left w:val="single" w:color="000000" w:sz="4" w:space="0"/>
              <w:right w:val="single" w:color="000000" w:sz="4" w:space="0"/>
            </w:tcBorders>
            <w:vAlign w:val="center"/>
          </w:tcPr>
          <w:p w14:paraId="752CC01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相对密度（空气=1）</w:t>
            </w:r>
          </w:p>
        </w:tc>
        <w:tc>
          <w:tcPr>
            <w:tcW w:w="981" w:type="dxa"/>
            <w:tcBorders>
              <w:left w:val="single" w:color="000000" w:sz="4" w:space="0"/>
              <w:right w:val="single" w:color="000000" w:sz="4" w:space="0"/>
            </w:tcBorders>
            <w:vAlign w:val="center"/>
          </w:tcPr>
          <w:p w14:paraId="5947C8A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2.17</w:t>
            </w:r>
          </w:p>
        </w:tc>
      </w:tr>
      <w:tr w14:paraId="48E5E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23" w:type="dxa"/>
            <w:vMerge w:val="continue"/>
            <w:tcBorders>
              <w:top w:val="nil"/>
              <w:left w:val="single" w:color="000000" w:sz="4" w:space="0"/>
              <w:bottom w:val="nil"/>
              <w:right w:val="single" w:color="000000" w:sz="4" w:space="0"/>
            </w:tcBorders>
            <w:vAlign w:val="center"/>
          </w:tcPr>
          <w:p w14:paraId="75A1FD9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p>
        </w:tc>
        <w:tc>
          <w:tcPr>
            <w:tcW w:w="1695" w:type="dxa"/>
            <w:tcBorders>
              <w:left w:val="single" w:color="000000" w:sz="4" w:space="0"/>
              <w:right w:val="single" w:color="000000" w:sz="4" w:space="0"/>
            </w:tcBorders>
            <w:vAlign w:val="center"/>
          </w:tcPr>
          <w:p w14:paraId="1B42EE6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沸点（℃）</w:t>
            </w:r>
          </w:p>
        </w:tc>
        <w:tc>
          <w:tcPr>
            <w:tcW w:w="870" w:type="dxa"/>
            <w:tcBorders>
              <w:left w:val="single" w:color="000000" w:sz="4" w:space="0"/>
              <w:right w:val="single" w:color="000000" w:sz="4" w:space="0"/>
            </w:tcBorders>
            <w:vAlign w:val="center"/>
          </w:tcPr>
          <w:p w14:paraId="25D48B7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86</w:t>
            </w:r>
          </w:p>
        </w:tc>
        <w:tc>
          <w:tcPr>
            <w:tcW w:w="2815" w:type="dxa"/>
            <w:gridSpan w:val="4"/>
            <w:tcBorders>
              <w:left w:val="single" w:color="000000" w:sz="4" w:space="0"/>
              <w:right w:val="single" w:color="000000" w:sz="4" w:space="0"/>
            </w:tcBorders>
            <w:vAlign w:val="center"/>
          </w:tcPr>
          <w:p w14:paraId="6AD5E51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饱和蒸汽压（kPa）</w:t>
            </w:r>
          </w:p>
        </w:tc>
        <w:tc>
          <w:tcPr>
            <w:tcW w:w="2510" w:type="dxa"/>
            <w:gridSpan w:val="3"/>
            <w:tcBorders>
              <w:left w:val="single" w:color="000000" w:sz="4" w:space="0"/>
              <w:right w:val="single" w:color="000000" w:sz="4" w:space="0"/>
            </w:tcBorders>
            <w:vAlign w:val="center"/>
          </w:tcPr>
          <w:p w14:paraId="652064A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4.4/20℃</w:t>
            </w:r>
          </w:p>
        </w:tc>
      </w:tr>
      <w:tr w14:paraId="40FFC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23" w:type="dxa"/>
            <w:vMerge w:val="continue"/>
            <w:tcBorders>
              <w:top w:val="nil"/>
              <w:left w:val="single" w:color="000000" w:sz="4" w:space="0"/>
              <w:bottom w:val="single" w:color="auto" w:sz="4" w:space="0"/>
              <w:right w:val="single" w:color="000000" w:sz="4" w:space="0"/>
            </w:tcBorders>
            <w:vAlign w:val="center"/>
          </w:tcPr>
          <w:p w14:paraId="37BAF46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p>
        </w:tc>
        <w:tc>
          <w:tcPr>
            <w:tcW w:w="1695" w:type="dxa"/>
            <w:tcBorders>
              <w:left w:val="single" w:color="000000" w:sz="4" w:space="0"/>
              <w:bottom w:val="single" w:color="auto" w:sz="4" w:space="0"/>
              <w:right w:val="single" w:color="000000" w:sz="4" w:space="0"/>
            </w:tcBorders>
            <w:vAlign w:val="center"/>
          </w:tcPr>
          <w:p w14:paraId="44407D8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溶解性</w:t>
            </w:r>
          </w:p>
        </w:tc>
        <w:tc>
          <w:tcPr>
            <w:tcW w:w="6195" w:type="dxa"/>
            <w:gridSpan w:val="8"/>
            <w:tcBorders>
              <w:left w:val="single" w:color="000000" w:sz="4" w:space="0"/>
              <w:right w:val="single" w:color="000000" w:sz="4" w:space="0"/>
            </w:tcBorders>
            <w:vAlign w:val="center"/>
          </w:tcPr>
          <w:p w14:paraId="6ADC870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与水混溶。</w:t>
            </w:r>
          </w:p>
        </w:tc>
      </w:tr>
      <w:tr w14:paraId="19283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23" w:type="dxa"/>
            <w:vMerge w:val="restart"/>
            <w:tcBorders>
              <w:top w:val="single" w:color="auto" w:sz="4" w:space="0"/>
              <w:left w:val="single" w:color="auto" w:sz="4" w:space="0"/>
              <w:bottom w:val="single" w:color="auto" w:sz="4" w:space="0"/>
              <w:right w:val="single" w:color="auto" w:sz="4" w:space="0"/>
            </w:tcBorders>
            <w:vAlign w:val="center"/>
          </w:tcPr>
          <w:p w14:paraId="21DC077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毒性及健康</w:t>
            </w:r>
            <w:r>
              <w:rPr>
                <w:rFonts w:hint="default" w:ascii="Times New Roman" w:hAnsi="Times New Roman" w:eastAsia="宋体" w:cs="Times New Roman"/>
                <w:color w:val="auto"/>
                <w:sz w:val="24"/>
                <w:szCs w:val="24"/>
              </w:rPr>
              <w:t>危害</w:t>
            </w:r>
          </w:p>
        </w:tc>
        <w:tc>
          <w:tcPr>
            <w:tcW w:w="1695" w:type="dxa"/>
            <w:tcBorders>
              <w:top w:val="single" w:color="auto" w:sz="4" w:space="0"/>
              <w:left w:val="single" w:color="auto" w:sz="4" w:space="0"/>
              <w:bottom w:val="single" w:color="auto" w:sz="4" w:space="0"/>
              <w:right w:val="single" w:color="auto" w:sz="4" w:space="0"/>
            </w:tcBorders>
            <w:vAlign w:val="center"/>
          </w:tcPr>
          <w:p w14:paraId="252096F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健康危害</w:t>
            </w:r>
          </w:p>
        </w:tc>
        <w:tc>
          <w:tcPr>
            <w:tcW w:w="6195" w:type="dxa"/>
            <w:gridSpan w:val="8"/>
            <w:tcBorders>
              <w:left w:val="single" w:color="auto" w:sz="4" w:space="0"/>
              <w:right w:val="single" w:color="000000" w:sz="4" w:space="0"/>
            </w:tcBorders>
            <w:vAlign w:val="center"/>
          </w:tcPr>
          <w:p w14:paraId="158FA6D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其蒸气有刺激作用，引起粘膜和上呼吸道的刺激症状。如流泪、咽喉刺激感、呛咳、并伴有头痛、头晕、胸闷等。长期接触可引起牙齿酸蚀症，皮肤接触引起灼伤。口服硝酸，引起上消化道剧痛、烧灼伤以至形成溃疡；严重者可能有胃穿孔、腹膜炎、喉痉挛、肾损害、休克以至窒息等。</w:t>
            </w:r>
          </w:p>
        </w:tc>
      </w:tr>
      <w:tr w14:paraId="76C58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23" w:type="dxa"/>
            <w:vMerge w:val="continue"/>
            <w:tcBorders>
              <w:top w:val="single" w:color="auto" w:sz="4" w:space="0"/>
              <w:left w:val="single" w:color="auto" w:sz="4" w:space="0"/>
              <w:right w:val="single" w:color="000000" w:sz="4" w:space="0"/>
            </w:tcBorders>
            <w:vAlign w:val="center"/>
          </w:tcPr>
          <w:p w14:paraId="0BFE26C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p>
        </w:tc>
        <w:tc>
          <w:tcPr>
            <w:tcW w:w="1695" w:type="dxa"/>
            <w:tcBorders>
              <w:top w:val="single" w:color="auto" w:sz="4" w:space="0"/>
              <w:left w:val="single" w:color="000000" w:sz="4" w:space="0"/>
              <w:right w:val="single" w:color="000000" w:sz="4" w:space="0"/>
            </w:tcBorders>
            <w:vAlign w:val="center"/>
          </w:tcPr>
          <w:p w14:paraId="7C3F8C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急救方法</w:t>
            </w:r>
          </w:p>
        </w:tc>
        <w:tc>
          <w:tcPr>
            <w:tcW w:w="6195" w:type="dxa"/>
            <w:gridSpan w:val="8"/>
            <w:tcBorders>
              <w:left w:val="single" w:color="000000" w:sz="4" w:space="0"/>
              <w:right w:val="single" w:color="000000" w:sz="4" w:space="0"/>
            </w:tcBorders>
            <w:vAlign w:val="center"/>
          </w:tcPr>
          <w:p w14:paraId="3F5D94C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皮肤接触：立即用水冲洗至少15分钟。或用2%碳酸氢钠溶液冲洗。若有灼伤，就医治疗。眼睛接触：立即提起眼睑，用流动清水或生理盐水冲洗至少15分钟。就医。吸入：迅速脱离现场至空气新鲜处。呼吸困难时给输氧。给予2%～4%碳酸氢钠溶液雾化吸入。就医。食入：误服者给牛奶、蛋清、植物油等口服，不可催吐。立即就医。</w:t>
            </w:r>
          </w:p>
        </w:tc>
      </w:tr>
      <w:tr w14:paraId="76C1B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23" w:type="dxa"/>
            <w:vMerge w:val="restart"/>
            <w:tcBorders>
              <w:left w:val="single" w:color="000000" w:sz="4" w:space="0"/>
              <w:bottom w:val="nil"/>
              <w:right w:val="single" w:color="000000" w:sz="4" w:space="0"/>
            </w:tcBorders>
            <w:vAlign w:val="center"/>
          </w:tcPr>
          <w:p w14:paraId="6F414F2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燃烧爆炸危</w:t>
            </w:r>
            <w:r>
              <w:rPr>
                <w:rFonts w:hint="default" w:ascii="Times New Roman" w:hAnsi="Times New Roman" w:eastAsia="宋体" w:cs="Times New Roman"/>
                <w:color w:val="auto"/>
                <w:sz w:val="24"/>
                <w:szCs w:val="24"/>
              </w:rPr>
              <w:t>险性</w:t>
            </w:r>
          </w:p>
        </w:tc>
        <w:tc>
          <w:tcPr>
            <w:tcW w:w="1695" w:type="dxa"/>
            <w:tcBorders>
              <w:left w:val="single" w:color="000000" w:sz="4" w:space="0"/>
              <w:right w:val="single" w:color="000000" w:sz="4" w:space="0"/>
            </w:tcBorders>
            <w:vAlign w:val="center"/>
          </w:tcPr>
          <w:p w14:paraId="4802D5D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燃烧性</w:t>
            </w:r>
          </w:p>
        </w:tc>
        <w:tc>
          <w:tcPr>
            <w:tcW w:w="1197" w:type="dxa"/>
            <w:gridSpan w:val="3"/>
            <w:tcBorders>
              <w:left w:val="single" w:color="000000" w:sz="4" w:space="0"/>
              <w:right w:val="single" w:color="000000" w:sz="4" w:space="0"/>
            </w:tcBorders>
            <w:vAlign w:val="center"/>
          </w:tcPr>
          <w:p w14:paraId="14DF5DB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不燃</w:t>
            </w:r>
          </w:p>
        </w:tc>
        <w:tc>
          <w:tcPr>
            <w:tcW w:w="2665" w:type="dxa"/>
            <w:gridSpan w:val="3"/>
            <w:tcBorders>
              <w:left w:val="single" w:color="000000" w:sz="4" w:space="0"/>
              <w:right w:val="single" w:color="000000" w:sz="4" w:space="0"/>
            </w:tcBorders>
            <w:vAlign w:val="center"/>
          </w:tcPr>
          <w:p w14:paraId="48C8576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燃烧分解物</w:t>
            </w:r>
          </w:p>
        </w:tc>
        <w:tc>
          <w:tcPr>
            <w:tcW w:w="2333" w:type="dxa"/>
            <w:gridSpan w:val="2"/>
            <w:tcBorders>
              <w:left w:val="single" w:color="000000" w:sz="4" w:space="0"/>
              <w:right w:val="single" w:color="000000" w:sz="4" w:space="0"/>
            </w:tcBorders>
            <w:vAlign w:val="center"/>
          </w:tcPr>
          <w:p w14:paraId="36C4019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氧化氮</w:t>
            </w:r>
          </w:p>
        </w:tc>
      </w:tr>
      <w:tr w14:paraId="6E9D0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23" w:type="dxa"/>
            <w:vMerge w:val="continue"/>
            <w:tcBorders>
              <w:top w:val="nil"/>
              <w:left w:val="single" w:color="000000" w:sz="4" w:space="0"/>
              <w:bottom w:val="nil"/>
              <w:right w:val="single" w:color="000000" w:sz="4" w:space="0"/>
            </w:tcBorders>
            <w:textDirection w:val="tbRlV"/>
            <w:vAlign w:val="center"/>
          </w:tcPr>
          <w:p w14:paraId="0EF5DD8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p>
        </w:tc>
        <w:tc>
          <w:tcPr>
            <w:tcW w:w="1695" w:type="dxa"/>
            <w:tcBorders>
              <w:left w:val="single" w:color="000000" w:sz="4" w:space="0"/>
              <w:right w:val="single" w:color="000000" w:sz="4" w:space="0"/>
            </w:tcBorders>
            <w:vAlign w:val="center"/>
          </w:tcPr>
          <w:p w14:paraId="1E406F3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危险特性</w:t>
            </w:r>
          </w:p>
        </w:tc>
        <w:tc>
          <w:tcPr>
            <w:tcW w:w="6195" w:type="dxa"/>
            <w:gridSpan w:val="8"/>
            <w:tcBorders>
              <w:left w:val="single" w:color="000000" w:sz="4" w:space="0"/>
              <w:right w:val="single" w:color="000000" w:sz="4" w:space="0"/>
            </w:tcBorders>
            <w:vAlign w:val="center"/>
          </w:tcPr>
          <w:p w14:paraId="2AF72EF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强氧化剂。能与多种物质如金属粉末、电石、硫化氢、松节油等猛烈反应，甚至发生爆炸。与还原剂、可燃物如糖、纤维素、木屑、棉花、稻草或废纱头等接触，引起燃烧并散发出剧毒的棕色烟雾。具有强腐蚀性。</w:t>
            </w:r>
          </w:p>
        </w:tc>
      </w:tr>
      <w:tr w14:paraId="36A8B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23" w:type="dxa"/>
            <w:vMerge w:val="continue"/>
            <w:tcBorders>
              <w:top w:val="nil"/>
              <w:left w:val="single" w:color="000000" w:sz="4" w:space="0"/>
              <w:bottom w:val="nil"/>
              <w:right w:val="single" w:color="000000" w:sz="4" w:space="0"/>
            </w:tcBorders>
            <w:textDirection w:val="tbRlV"/>
            <w:vAlign w:val="center"/>
          </w:tcPr>
          <w:p w14:paraId="110DA38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p>
        </w:tc>
        <w:tc>
          <w:tcPr>
            <w:tcW w:w="1695" w:type="dxa"/>
            <w:tcBorders>
              <w:left w:val="single" w:color="000000" w:sz="4" w:space="0"/>
              <w:right w:val="single" w:color="000000" w:sz="4" w:space="0"/>
            </w:tcBorders>
            <w:vAlign w:val="center"/>
          </w:tcPr>
          <w:p w14:paraId="4E089C1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储运条件与泄漏处理</w:t>
            </w:r>
          </w:p>
        </w:tc>
        <w:tc>
          <w:tcPr>
            <w:tcW w:w="6195" w:type="dxa"/>
            <w:gridSpan w:val="8"/>
            <w:tcBorders>
              <w:left w:val="single" w:color="000000" w:sz="4" w:space="0"/>
              <w:right w:val="single" w:color="000000" w:sz="4" w:space="0"/>
            </w:tcBorders>
            <w:vAlign w:val="center"/>
          </w:tcPr>
          <w:p w14:paraId="475BB6A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储运条件：储存于阴凉、干燥、通风处。应与易燃、可燃物，碱类、金属粉末等分开存放。不可混储混运。搬运时要轻装轻卸，防止包装及容器损坏。分装和搬运作业要注意个人防护。运输按规定路线行驶，勿在居民区和人口稠密区停留。</w:t>
            </w:r>
          </w:p>
          <w:p w14:paraId="4C948E6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泄漏处理：迅速撤离泄漏污染区人员至安全区，并进行隔离，严格限制出入。建议应急处理人员戴自给正压式呼吸器，穿防酸碱工作服。从上风处进入现场。尽可能切断泄漏源。防止流入下水道、排洪沟等限制性空间。不要直接接触泄漏物，勿使泄漏物与可燃物质（木材、纸、油等）接触，在确保安全情况下堵漏。喷水雾能减少蒸发但不要使水进入储存容器内。小量泄漏：将地面撒上苏打灰，然后用大量水冲洗，洗水稀释后放入废水系统。大量泄漏：构筑围堤或挖坑收容。喷雾状水冷却和稀释蒸汽、保护现场人员、把泄漏物稀释成不燃物。用泵转移至槽车或专用收集器内，回收或运至废物处理场所处置。</w:t>
            </w:r>
          </w:p>
        </w:tc>
      </w:tr>
      <w:tr w14:paraId="6CB60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23" w:type="dxa"/>
            <w:vMerge w:val="continue"/>
            <w:tcBorders>
              <w:top w:val="nil"/>
              <w:left w:val="single" w:color="000000" w:sz="4" w:space="0"/>
              <w:right w:val="single" w:color="000000" w:sz="4" w:space="0"/>
            </w:tcBorders>
            <w:textDirection w:val="tbRlV"/>
            <w:vAlign w:val="center"/>
          </w:tcPr>
          <w:p w14:paraId="1D71CD0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p>
        </w:tc>
        <w:tc>
          <w:tcPr>
            <w:tcW w:w="1695" w:type="dxa"/>
            <w:tcBorders>
              <w:left w:val="single" w:color="000000" w:sz="4" w:space="0"/>
              <w:right w:val="single" w:color="000000" w:sz="4" w:space="0"/>
            </w:tcBorders>
            <w:vAlign w:val="center"/>
          </w:tcPr>
          <w:p w14:paraId="0412633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灭火方法</w:t>
            </w:r>
          </w:p>
        </w:tc>
        <w:tc>
          <w:tcPr>
            <w:tcW w:w="6195" w:type="dxa"/>
            <w:gridSpan w:val="8"/>
            <w:tcBorders>
              <w:left w:val="single" w:color="000000" w:sz="4" w:space="0"/>
              <w:right w:val="single" w:color="000000" w:sz="4" w:space="0"/>
            </w:tcBorders>
            <w:vAlign w:val="center"/>
          </w:tcPr>
          <w:p w14:paraId="363E6C5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用二氧化碳、砂土、雾状水、火场周围可用的灭火介质灭火。</w:t>
            </w:r>
          </w:p>
        </w:tc>
      </w:tr>
    </w:tbl>
    <w:p w14:paraId="1DCA612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outlineLvl w:val="1"/>
        <w:rPr>
          <w:rFonts w:hint="eastAsia" w:ascii="Times New Roman" w:hAnsi="Times New Roman" w:eastAsia="宋体" w:cs="Times New Roman"/>
          <w:b/>
          <w:bCs/>
          <w:color w:val="auto"/>
          <w:spacing w:val="0"/>
          <w:kern w:val="2"/>
          <w:sz w:val="28"/>
          <w:szCs w:val="28"/>
          <w:highlight w:val="none"/>
          <w:u w:val="none"/>
          <w:lang w:val="en-US" w:eastAsia="zh-CN" w:bidi="ar-SA"/>
        </w:rPr>
      </w:pPr>
      <w:bookmarkStart w:id="30" w:name="_Toc17421"/>
      <w:r>
        <w:rPr>
          <w:rFonts w:hint="eastAsia" w:ascii="Times New Roman" w:hAnsi="Times New Roman" w:eastAsia="宋体" w:cs="Times New Roman"/>
          <w:b/>
          <w:bCs/>
          <w:color w:val="auto"/>
          <w:spacing w:val="0"/>
          <w:kern w:val="2"/>
          <w:sz w:val="28"/>
          <w:szCs w:val="28"/>
          <w:highlight w:val="none"/>
          <w:u w:val="none"/>
          <w:lang w:val="en-US" w:eastAsia="zh-CN" w:bidi="ar-SA"/>
        </w:rPr>
        <w:t>5.2事故伴生次生污染分析</w:t>
      </w:r>
      <w:bookmarkEnd w:id="30"/>
    </w:p>
    <w:p w14:paraId="701C1C1A">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default" w:ascii="Times New Roman" w:hAnsi="Times New Roman" w:eastAsia="宋体" w:cs="Times New Roman"/>
          <w:color w:val="000000"/>
          <w:sz w:val="28"/>
        </w:rPr>
      </w:pPr>
      <w:r>
        <w:rPr>
          <w:rFonts w:hint="eastAsia" w:ascii="Times New Roman" w:hAnsi="Times New Roman" w:eastAsia="宋体" w:cs="Times New Roman"/>
          <w:color w:val="000000"/>
          <w:sz w:val="28"/>
          <w:lang w:val="en-US" w:eastAsia="zh-CN"/>
        </w:rPr>
        <w:t xml:space="preserve">在发生泄漏、爆炸事故处理过程中，会产生以下伴生/次生污染，储罐涉及的危险因素主要为储罐泄漏引起的爆炸。事故处理过程的伴生/次生污染主要涉及废气有毒有害物质的产生、消防水的收集、事故处理后的泄漏物的回收等。 </w:t>
      </w:r>
    </w:p>
    <w:p w14:paraId="095DAF02">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eastAsia" w:ascii="Times New Roman" w:hAnsi="Times New Roman" w:eastAsia="宋体" w:cs="Times New Roman"/>
          <w:color w:val="000000"/>
          <w:sz w:val="28"/>
          <w:lang w:val="en-US" w:eastAsia="zh-CN"/>
        </w:rPr>
      </w:pPr>
      <w:r>
        <w:rPr>
          <w:rFonts w:hint="eastAsia" w:ascii="Times New Roman" w:hAnsi="Times New Roman" w:eastAsia="宋体" w:cs="Times New Roman"/>
          <w:color w:val="000000"/>
          <w:sz w:val="28"/>
          <w:lang w:val="en-US" w:eastAsia="zh-CN"/>
        </w:rPr>
        <w:t>①硝酸泄露后其蒸汽有刺激作用，引起黏膜和上呼吸道的刺激症状。</w:t>
      </w:r>
    </w:p>
    <w:p w14:paraId="03B7E33A">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eastAsia" w:ascii="Times New Roman" w:hAnsi="Times New Roman" w:eastAsia="宋体" w:cs="Times New Roman"/>
          <w:color w:val="000000"/>
          <w:sz w:val="28"/>
          <w:lang w:val="en-US" w:eastAsia="zh-CN"/>
        </w:rPr>
      </w:pPr>
      <w:r>
        <w:rPr>
          <w:rFonts w:hint="eastAsia" w:ascii="Times New Roman" w:hAnsi="Times New Roman" w:eastAsia="宋体" w:cs="Times New Roman"/>
          <w:color w:val="000000"/>
          <w:sz w:val="28"/>
          <w:lang w:val="en-US" w:eastAsia="zh-CN"/>
        </w:rPr>
        <w:t>②硝酸属于强氧化剂，能与多种物质如金属粉末、电石、硫化氢、松节油等猛烈反应，甚至发生爆炸。与还原剂、可燃物如糖、纤维素、木屑、棉花、稻草或废纱头等接触，引起燃烧并散发出剧毒的棕色烟雾。具有强腐蚀性。其中浓硝酸烟雾可释放出五氧化二氮（硝酐）遇水蒸气形成酸雾，可迅速分而形成二氧化氮，浓硝酸加热时产生硝酸蒸气，也可分解产生二氧化氮，吸入后可引起急性氮氧化物中毒。</w:t>
      </w:r>
    </w:p>
    <w:p w14:paraId="3E400409">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default" w:ascii="Times New Roman" w:hAnsi="Times New Roman" w:eastAsia="宋体" w:cs="Times New Roman"/>
          <w:color w:val="000000"/>
          <w:sz w:val="28"/>
        </w:rPr>
      </w:pPr>
      <w:r>
        <w:rPr>
          <w:rFonts w:hint="eastAsia" w:ascii="Times New Roman" w:hAnsi="Times New Roman" w:eastAsia="宋体" w:cs="Times New Roman"/>
          <w:color w:val="000000"/>
          <w:sz w:val="28"/>
          <w:lang w:val="en-US" w:eastAsia="zh-CN"/>
        </w:rPr>
        <w:t xml:space="preserve">③消防污水，消防产生的污水含有大量的石油类物质； </w:t>
      </w:r>
    </w:p>
    <w:p w14:paraId="0C8DC038">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default" w:ascii="Times New Roman" w:hAnsi="Times New Roman" w:eastAsia="宋体" w:cs="Times New Roman"/>
          <w:color w:val="000000"/>
          <w:sz w:val="28"/>
        </w:rPr>
      </w:pPr>
      <w:r>
        <w:rPr>
          <w:rFonts w:hint="eastAsia" w:ascii="宋体" w:hAnsi="宋体" w:eastAsia="宋体" w:cs="宋体"/>
          <w:color w:val="000000"/>
          <w:sz w:val="28"/>
          <w:lang w:val="en-US" w:eastAsia="zh-CN"/>
        </w:rPr>
        <w:t>④</w:t>
      </w:r>
      <w:r>
        <w:rPr>
          <w:rFonts w:hint="eastAsia" w:ascii="Times New Roman" w:hAnsi="Times New Roman" w:eastAsia="宋体" w:cs="Times New Roman"/>
          <w:color w:val="000000"/>
          <w:sz w:val="28"/>
          <w:lang w:val="en-US" w:eastAsia="zh-CN"/>
        </w:rPr>
        <w:t>液体废物料（事故处理后的回收泄漏物）。</w:t>
      </w:r>
    </w:p>
    <w:p w14:paraId="49E6F97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outlineLvl w:val="1"/>
        <w:rPr>
          <w:rFonts w:hint="eastAsia" w:ascii="Times New Roman" w:hAnsi="Times New Roman" w:eastAsia="宋体" w:cs="Times New Roman"/>
          <w:b/>
          <w:bCs/>
          <w:color w:val="auto"/>
          <w:spacing w:val="0"/>
          <w:kern w:val="2"/>
          <w:sz w:val="28"/>
          <w:szCs w:val="28"/>
          <w:highlight w:val="none"/>
          <w:u w:val="none"/>
          <w:lang w:val="en-US" w:eastAsia="zh-CN" w:bidi="ar-SA"/>
        </w:rPr>
      </w:pPr>
      <w:bookmarkStart w:id="31" w:name="_Toc11643"/>
      <w:r>
        <w:rPr>
          <w:rFonts w:hint="eastAsia" w:ascii="Times New Roman" w:hAnsi="Times New Roman" w:eastAsia="宋体" w:cs="Times New Roman"/>
          <w:b/>
          <w:bCs/>
          <w:color w:val="auto"/>
          <w:spacing w:val="0"/>
          <w:kern w:val="2"/>
          <w:sz w:val="28"/>
          <w:szCs w:val="28"/>
          <w:highlight w:val="none"/>
          <w:u w:val="none"/>
          <w:lang w:val="en-US" w:eastAsia="zh-CN" w:bidi="ar-SA"/>
        </w:rPr>
        <w:t>5.3扩散途径识别</w:t>
      </w:r>
      <w:bookmarkEnd w:id="31"/>
    </w:p>
    <w:p w14:paraId="576A898C">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eastAsia" w:ascii="Times New Roman" w:hAnsi="Times New Roman" w:eastAsia="宋体" w:cs="Times New Roman"/>
          <w:color w:val="000000"/>
          <w:sz w:val="28"/>
          <w:lang w:val="en-US" w:eastAsia="zh-CN"/>
        </w:rPr>
      </w:pPr>
      <w:r>
        <w:rPr>
          <w:rFonts w:hint="eastAsia" w:ascii="Times New Roman" w:hAnsi="Times New Roman" w:eastAsia="宋体" w:cs="Times New Roman"/>
          <w:color w:val="000000"/>
          <w:sz w:val="28"/>
          <w:lang w:val="en-US" w:eastAsia="zh-CN"/>
        </w:rPr>
        <w:t xml:space="preserve">本项目生产过程中涉及的主要有毒有害物质为硝酸。 </w:t>
      </w:r>
    </w:p>
    <w:p w14:paraId="65BDA5D9">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eastAsia" w:ascii="Times New Roman" w:hAnsi="Times New Roman" w:eastAsia="宋体" w:cs="Times New Roman"/>
          <w:color w:val="000000"/>
          <w:sz w:val="28"/>
          <w:lang w:val="en-US" w:eastAsia="zh-CN"/>
        </w:rPr>
      </w:pPr>
      <w:r>
        <w:rPr>
          <w:rFonts w:hint="eastAsia" w:ascii="Times New Roman" w:hAnsi="Times New Roman" w:eastAsia="宋体" w:cs="Times New Roman"/>
          <w:color w:val="000000"/>
          <w:sz w:val="28"/>
          <w:lang w:val="en-US" w:eastAsia="zh-CN"/>
        </w:rPr>
        <w:t xml:space="preserve">本项目毒害物质扩散途径主要有以下几个方面： </w:t>
      </w:r>
    </w:p>
    <w:p w14:paraId="014DFCE8">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eastAsia" w:ascii="Times New Roman" w:hAnsi="Times New Roman" w:eastAsia="宋体" w:cs="Times New Roman"/>
          <w:color w:val="000000"/>
          <w:sz w:val="28"/>
          <w:lang w:val="en-US" w:eastAsia="zh-CN"/>
        </w:rPr>
      </w:pPr>
      <w:r>
        <w:rPr>
          <w:rFonts w:hint="eastAsia" w:ascii="Times New Roman" w:hAnsi="Times New Roman" w:eastAsia="宋体" w:cs="Times New Roman"/>
          <w:color w:val="000000"/>
          <w:sz w:val="28"/>
          <w:lang w:val="en-US" w:eastAsia="zh-CN"/>
        </w:rPr>
        <w:t xml:space="preserve">①大气扩散：有毒有害物质泄漏后直接进入大气环境或挥发进入大气环境，或者易燃 易爆物质泄漏发生火灾爆炸事故时伴生污染物进入大气环境，通过大气扩散对项目周围环境造成危害。 </w:t>
      </w:r>
    </w:p>
    <w:p w14:paraId="6829944E">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eastAsia" w:ascii="Times New Roman" w:hAnsi="Times New Roman" w:eastAsia="宋体" w:cs="Times New Roman"/>
          <w:color w:val="000000"/>
          <w:sz w:val="28"/>
          <w:lang w:val="en-US" w:eastAsia="zh-CN"/>
        </w:rPr>
      </w:pPr>
      <w:r>
        <w:rPr>
          <w:rFonts w:hint="eastAsia" w:ascii="Times New Roman" w:hAnsi="Times New Roman" w:eastAsia="宋体" w:cs="Times New Roman"/>
          <w:color w:val="000000"/>
          <w:sz w:val="28"/>
          <w:lang w:val="en-US" w:eastAsia="zh-CN"/>
        </w:rPr>
        <w:t xml:space="preserve">②水环境扩散：本项目易燃易爆物质发生火灾事故时产生的消防废水或者泄漏的硝酸未能得到有效收集而进入清净下水系统或雨排系统，通过排水系统排放入外环境，可能会对周围地表水体等造成影响。 </w:t>
      </w:r>
    </w:p>
    <w:p w14:paraId="4935BE9B">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eastAsia" w:ascii="Times New Roman" w:hAnsi="Times New Roman" w:eastAsia="宋体" w:cs="Times New Roman"/>
          <w:color w:val="000000"/>
          <w:sz w:val="28"/>
          <w:lang w:val="en-US" w:eastAsia="zh-CN"/>
        </w:rPr>
      </w:pPr>
      <w:r>
        <w:rPr>
          <w:rFonts w:hint="eastAsia" w:ascii="Times New Roman" w:hAnsi="Times New Roman" w:eastAsia="宋体" w:cs="Times New Roman"/>
          <w:color w:val="000000"/>
          <w:sz w:val="28"/>
          <w:lang w:val="en-US" w:eastAsia="zh-CN"/>
        </w:rPr>
        <w:t>③土壤扩散：本项目液态危险物质泄漏后聚积地面，通过地面渗透进入土壤/地下含水层对土壤环境/地下水环境造成风险事故。</w:t>
      </w:r>
    </w:p>
    <w:p w14:paraId="6DC827A4">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eastAsia" w:ascii="Times New Roman" w:hAnsi="Times New Roman" w:eastAsia="宋体" w:cs="Times New Roman"/>
          <w:color w:val="000000"/>
          <w:sz w:val="28"/>
          <w:lang w:val="en-US" w:eastAsia="zh-CN"/>
        </w:rPr>
      </w:pPr>
      <w:r>
        <w:rPr>
          <w:rFonts w:hint="eastAsia" w:ascii="Times New Roman" w:hAnsi="Times New Roman" w:eastAsia="宋体" w:cs="Times New Roman"/>
          <w:color w:val="000000"/>
          <w:sz w:val="28"/>
          <w:lang w:val="en-US" w:eastAsia="zh-CN"/>
        </w:rPr>
        <w:t>本项目发生风险事故时有毒有害物质扩散途径详见表5-2。</w:t>
      </w:r>
    </w:p>
    <w:p w14:paraId="2EC77BFF">
      <w:pPr>
        <w:pStyle w:val="25"/>
        <w:jc w:val="center"/>
        <w:rPr>
          <w:rFonts w:hint="default"/>
          <w:lang w:val="en-US" w:eastAsia="zh-CN"/>
        </w:rPr>
      </w:pPr>
      <w:r>
        <w:rPr>
          <w:rFonts w:hint="default" w:ascii="Times New Roman" w:hAnsi="Times New Roman" w:eastAsia="宋体" w:cs="Times New Roman"/>
          <w:b/>
          <w:color w:val="auto"/>
          <w:sz w:val="21"/>
          <w:szCs w:val="21"/>
          <w:lang w:eastAsia="zh-CN"/>
        </w:rPr>
        <w:t>表</w:t>
      </w:r>
      <w:r>
        <w:rPr>
          <w:rFonts w:hint="default" w:ascii="Times New Roman" w:hAnsi="Times New Roman" w:eastAsia="宋体" w:cs="Times New Roman"/>
          <w:b/>
          <w:color w:val="auto"/>
          <w:sz w:val="21"/>
          <w:szCs w:val="21"/>
          <w:lang w:val="en-US" w:eastAsia="zh-CN"/>
        </w:rPr>
        <w:t>5-</w:t>
      </w:r>
      <w:r>
        <w:rPr>
          <w:rFonts w:hint="eastAsia" w:ascii="Times New Roman" w:hAnsi="Times New Roman" w:eastAsia="宋体" w:cs="Times New Roman"/>
          <w:b/>
          <w:color w:val="auto"/>
          <w:sz w:val="21"/>
          <w:szCs w:val="21"/>
          <w:lang w:val="en-US" w:eastAsia="zh-CN"/>
        </w:rPr>
        <w:t>2     有毒有害物质扩散途径识别</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0"/>
      </w:tblGrid>
      <w:tr w14:paraId="5F78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14:paraId="1E59D359">
            <w:pPr>
              <w:pStyle w:val="25"/>
              <w:jc w:val="center"/>
              <w:rPr>
                <w:rFonts w:hint="eastAsia" w:eastAsia="宋体"/>
                <w:b/>
                <w:bCs/>
                <w:vertAlign w:val="baseline"/>
                <w:lang w:eastAsia="zh-CN"/>
              </w:rPr>
            </w:pPr>
            <w:r>
              <w:rPr>
                <w:rFonts w:hint="eastAsia"/>
                <w:b/>
                <w:bCs/>
                <w:vertAlign w:val="baseline"/>
                <w:lang w:eastAsia="zh-CN"/>
              </w:rPr>
              <w:t>环境要素</w:t>
            </w:r>
          </w:p>
        </w:tc>
        <w:tc>
          <w:tcPr>
            <w:tcW w:w="3020" w:type="dxa"/>
            <w:vAlign w:val="center"/>
          </w:tcPr>
          <w:p w14:paraId="683B5E9E">
            <w:pPr>
              <w:pStyle w:val="25"/>
              <w:jc w:val="center"/>
              <w:rPr>
                <w:rFonts w:hint="eastAsia" w:eastAsia="宋体"/>
                <w:b/>
                <w:bCs/>
                <w:vertAlign w:val="baseline"/>
                <w:lang w:eastAsia="zh-CN"/>
              </w:rPr>
            </w:pPr>
            <w:r>
              <w:rPr>
                <w:rFonts w:hint="eastAsia"/>
                <w:b/>
                <w:bCs/>
                <w:vertAlign w:val="baseline"/>
                <w:lang w:eastAsia="zh-CN"/>
              </w:rPr>
              <w:t>泄露事故</w:t>
            </w:r>
          </w:p>
        </w:tc>
        <w:tc>
          <w:tcPr>
            <w:tcW w:w="3020" w:type="dxa"/>
            <w:vAlign w:val="center"/>
          </w:tcPr>
          <w:p w14:paraId="14591E24">
            <w:pPr>
              <w:pStyle w:val="25"/>
              <w:jc w:val="center"/>
              <w:rPr>
                <w:rFonts w:hint="eastAsia" w:eastAsia="宋体"/>
                <w:b/>
                <w:bCs/>
                <w:vertAlign w:val="baseline"/>
                <w:lang w:eastAsia="zh-CN"/>
              </w:rPr>
            </w:pPr>
            <w:r>
              <w:rPr>
                <w:rFonts w:hint="eastAsia"/>
                <w:b/>
                <w:bCs/>
                <w:vertAlign w:val="baseline"/>
                <w:lang w:eastAsia="zh-CN"/>
              </w:rPr>
              <w:t>火灾爆炸事故</w:t>
            </w:r>
          </w:p>
        </w:tc>
      </w:tr>
      <w:tr w14:paraId="1D52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14:paraId="56C3888D">
            <w:pPr>
              <w:pStyle w:val="25"/>
              <w:jc w:val="center"/>
              <w:rPr>
                <w:rFonts w:hint="eastAsia" w:eastAsia="宋体"/>
                <w:vertAlign w:val="baseline"/>
                <w:lang w:eastAsia="zh-CN"/>
              </w:rPr>
            </w:pPr>
            <w:r>
              <w:rPr>
                <w:rFonts w:hint="eastAsia"/>
                <w:vertAlign w:val="baseline"/>
                <w:lang w:eastAsia="zh-CN"/>
              </w:rPr>
              <w:t>大气环境</w:t>
            </w:r>
          </w:p>
        </w:tc>
        <w:tc>
          <w:tcPr>
            <w:tcW w:w="3020" w:type="dxa"/>
            <w:vAlign w:val="center"/>
          </w:tcPr>
          <w:p w14:paraId="5526F7ED">
            <w:pPr>
              <w:pStyle w:val="25"/>
              <w:jc w:val="center"/>
              <w:rPr>
                <w:rFonts w:hint="default"/>
                <w:vertAlign w:val="baseline"/>
              </w:rPr>
            </w:pPr>
            <w:r>
              <w:rPr>
                <w:rFonts w:hint="default" w:ascii="Arial" w:hAnsi="Arial" w:cs="Arial"/>
                <w:vertAlign w:val="baseline"/>
              </w:rPr>
              <w:t>√</w:t>
            </w:r>
          </w:p>
        </w:tc>
        <w:tc>
          <w:tcPr>
            <w:tcW w:w="3020" w:type="dxa"/>
            <w:vAlign w:val="center"/>
          </w:tcPr>
          <w:p w14:paraId="21F459AF">
            <w:pPr>
              <w:keepNext w:val="0"/>
              <w:keepLines w:val="0"/>
              <w:suppressLineNumbers w:val="0"/>
              <w:spacing w:before="0" w:beforeAutospacing="0" w:after="0" w:afterAutospacing="0"/>
              <w:ind w:left="0" w:right="0" w:firstLine="480" w:firstLineChars="200"/>
              <w:jc w:val="center"/>
              <w:rPr>
                <w:rFonts w:hint="default"/>
                <w:vertAlign w:val="baseline"/>
              </w:rPr>
            </w:pPr>
            <w:r>
              <w:rPr>
                <w:rFonts w:hint="default" w:ascii="Arial" w:hAnsi="Arial" w:cs="Arial"/>
                <w:vertAlign w:val="baseline"/>
              </w:rPr>
              <w:t>√</w:t>
            </w:r>
          </w:p>
        </w:tc>
      </w:tr>
      <w:tr w14:paraId="000E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14:paraId="1FFED2B8">
            <w:pPr>
              <w:pStyle w:val="25"/>
              <w:jc w:val="center"/>
              <w:rPr>
                <w:rFonts w:hint="eastAsia" w:eastAsia="宋体"/>
                <w:vertAlign w:val="baseline"/>
                <w:lang w:eastAsia="zh-CN"/>
              </w:rPr>
            </w:pPr>
            <w:r>
              <w:rPr>
                <w:rFonts w:hint="eastAsia"/>
                <w:vertAlign w:val="baseline"/>
                <w:lang w:eastAsia="zh-CN"/>
              </w:rPr>
              <w:t>地下水环境</w:t>
            </w:r>
          </w:p>
        </w:tc>
        <w:tc>
          <w:tcPr>
            <w:tcW w:w="3020" w:type="dxa"/>
            <w:vAlign w:val="center"/>
          </w:tcPr>
          <w:p w14:paraId="04B100E2">
            <w:pPr>
              <w:pStyle w:val="25"/>
              <w:jc w:val="center"/>
              <w:rPr>
                <w:rFonts w:hint="default"/>
                <w:vertAlign w:val="baseline"/>
              </w:rPr>
            </w:pPr>
            <w:r>
              <w:rPr>
                <w:rFonts w:hint="default" w:ascii="Arial" w:hAnsi="Arial" w:cs="Arial"/>
                <w:vertAlign w:val="baseline"/>
              </w:rPr>
              <w:t>√</w:t>
            </w:r>
          </w:p>
        </w:tc>
        <w:tc>
          <w:tcPr>
            <w:tcW w:w="3020" w:type="dxa"/>
            <w:vAlign w:val="center"/>
          </w:tcPr>
          <w:p w14:paraId="456F5254">
            <w:pPr>
              <w:keepNext w:val="0"/>
              <w:keepLines w:val="0"/>
              <w:suppressLineNumbers w:val="0"/>
              <w:spacing w:before="0" w:beforeAutospacing="0" w:after="0" w:afterAutospacing="0"/>
              <w:ind w:left="0" w:right="0" w:firstLine="480" w:firstLineChars="200"/>
              <w:jc w:val="center"/>
              <w:rPr>
                <w:rFonts w:hint="default"/>
                <w:vertAlign w:val="baseline"/>
              </w:rPr>
            </w:pPr>
            <w:r>
              <w:rPr>
                <w:rFonts w:hint="default" w:ascii="Arial" w:hAnsi="Arial" w:cs="Arial"/>
                <w:vertAlign w:val="baseline"/>
              </w:rPr>
              <w:t>√</w:t>
            </w:r>
          </w:p>
        </w:tc>
      </w:tr>
      <w:tr w14:paraId="5D12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14:paraId="139C3F70">
            <w:pPr>
              <w:pStyle w:val="25"/>
              <w:jc w:val="center"/>
              <w:rPr>
                <w:rFonts w:hint="eastAsia" w:eastAsia="宋体"/>
                <w:vertAlign w:val="baseline"/>
                <w:lang w:eastAsia="zh-CN"/>
              </w:rPr>
            </w:pPr>
            <w:r>
              <w:rPr>
                <w:rFonts w:hint="eastAsia"/>
                <w:vertAlign w:val="baseline"/>
                <w:lang w:eastAsia="zh-CN"/>
              </w:rPr>
              <w:t>土壤环境</w:t>
            </w:r>
          </w:p>
        </w:tc>
        <w:tc>
          <w:tcPr>
            <w:tcW w:w="3020" w:type="dxa"/>
            <w:vAlign w:val="center"/>
          </w:tcPr>
          <w:p w14:paraId="55A6C1FC">
            <w:pPr>
              <w:pStyle w:val="25"/>
              <w:jc w:val="center"/>
              <w:rPr>
                <w:rFonts w:hint="default"/>
                <w:vertAlign w:val="baseline"/>
              </w:rPr>
            </w:pPr>
            <w:r>
              <w:rPr>
                <w:rFonts w:hint="default" w:ascii="Arial" w:hAnsi="Arial" w:cs="Arial"/>
                <w:vertAlign w:val="baseline"/>
              </w:rPr>
              <w:t>√</w:t>
            </w:r>
          </w:p>
        </w:tc>
        <w:tc>
          <w:tcPr>
            <w:tcW w:w="3020" w:type="dxa"/>
            <w:vAlign w:val="center"/>
          </w:tcPr>
          <w:p w14:paraId="1848214C">
            <w:pPr>
              <w:keepNext w:val="0"/>
              <w:keepLines w:val="0"/>
              <w:suppressLineNumbers w:val="0"/>
              <w:spacing w:before="0" w:beforeAutospacing="0" w:after="0" w:afterAutospacing="0"/>
              <w:ind w:left="0" w:right="0" w:firstLine="480" w:firstLineChars="200"/>
              <w:jc w:val="center"/>
              <w:rPr>
                <w:rFonts w:hint="default"/>
                <w:vertAlign w:val="baseline"/>
              </w:rPr>
            </w:pPr>
            <w:r>
              <w:rPr>
                <w:rFonts w:hint="default" w:ascii="Arial" w:hAnsi="Arial" w:cs="Arial"/>
                <w:vertAlign w:val="baseline"/>
              </w:rPr>
              <w:t>√</w:t>
            </w:r>
          </w:p>
        </w:tc>
      </w:tr>
    </w:tbl>
    <w:p w14:paraId="61324DB0">
      <w:pPr>
        <w:keepNext w:val="0"/>
        <w:keepLines w:val="0"/>
        <w:widowControl/>
        <w:suppressLineNumbers w:val="0"/>
        <w:ind w:left="0" w:leftChars="0" w:firstLine="0" w:firstLineChars="0"/>
        <w:jc w:val="left"/>
        <w:outlineLvl w:val="1"/>
      </w:pPr>
      <w:bookmarkStart w:id="32" w:name="_Toc28672"/>
      <w:r>
        <w:rPr>
          <w:rFonts w:hint="eastAsia" w:ascii="Times New Roman" w:hAnsi="Times New Roman" w:eastAsia="宋体" w:cs="Times New Roman"/>
          <w:b/>
          <w:bCs/>
          <w:color w:val="auto"/>
          <w:spacing w:val="0"/>
          <w:kern w:val="2"/>
          <w:sz w:val="28"/>
          <w:szCs w:val="28"/>
          <w:highlight w:val="none"/>
          <w:u w:val="none"/>
          <w:lang w:val="en-US" w:eastAsia="zh-CN" w:bidi="ar-SA"/>
        </w:rPr>
        <w:t>5.4环境风险识别结果</w:t>
      </w:r>
      <w:bookmarkEnd w:id="32"/>
      <w:r>
        <w:rPr>
          <w:rFonts w:hint="eastAsia" w:ascii="宋体" w:hAnsi="宋体" w:eastAsia="宋体" w:cs="宋体"/>
          <w:b/>
          <w:bCs/>
          <w:color w:val="000000"/>
          <w:kern w:val="0"/>
          <w:sz w:val="24"/>
          <w:szCs w:val="24"/>
          <w:lang w:val="en-US" w:eastAsia="zh-CN" w:bidi="ar"/>
        </w:rPr>
        <w:t xml:space="preserve"> </w:t>
      </w:r>
    </w:p>
    <w:p w14:paraId="0D57901F">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eastAsia" w:ascii="Times New Roman" w:hAnsi="Times New Roman" w:eastAsia="宋体" w:cs="Times New Roman"/>
          <w:color w:val="000000"/>
          <w:sz w:val="28"/>
          <w:lang w:val="en-US" w:eastAsia="zh-CN"/>
        </w:rPr>
      </w:pPr>
      <w:r>
        <w:rPr>
          <w:rFonts w:hint="eastAsia" w:ascii="Times New Roman" w:hAnsi="Times New Roman" w:eastAsia="宋体" w:cs="Times New Roman"/>
          <w:color w:val="000000"/>
          <w:sz w:val="28"/>
          <w:lang w:val="en-US" w:eastAsia="zh-CN"/>
        </w:rPr>
        <w:t xml:space="preserve">储罐发生物料泄漏燃烧时次生的废气影响范围和程度较大，需要进行评价。 除火灾爆炸性物质外，项目涉及有毒物质，其发生泄漏危害后，受影响范围和程度较大，因此对本项目涉及的有毒物质泄漏后的环境影响范围及程度进行评价。 </w:t>
      </w:r>
    </w:p>
    <w:p w14:paraId="2D7DF9DA">
      <w:pPr>
        <w:rPr>
          <w:rFonts w:hint="eastAsia" w:ascii="Times New Roman" w:hAnsi="Times New Roman" w:eastAsia="宋体" w:cs="Times New Roman"/>
          <w:b/>
          <w:bCs/>
          <w:color w:val="auto"/>
          <w:spacing w:val="0"/>
          <w:kern w:val="2"/>
          <w:sz w:val="28"/>
          <w:szCs w:val="28"/>
          <w:highlight w:val="none"/>
          <w:u w:val="none"/>
          <w:lang w:val="en-US" w:eastAsia="zh-CN" w:bidi="ar-SA"/>
        </w:rPr>
      </w:pPr>
      <w:bookmarkStart w:id="33" w:name="_Toc15602"/>
      <w:r>
        <w:rPr>
          <w:rFonts w:hint="eastAsia" w:ascii="Times New Roman" w:hAnsi="Times New Roman" w:eastAsia="宋体" w:cs="Times New Roman"/>
          <w:b/>
          <w:bCs/>
          <w:color w:val="auto"/>
          <w:spacing w:val="0"/>
          <w:kern w:val="2"/>
          <w:sz w:val="28"/>
          <w:szCs w:val="28"/>
          <w:highlight w:val="none"/>
          <w:u w:val="none"/>
          <w:lang w:val="en-US" w:eastAsia="zh-CN" w:bidi="ar-SA"/>
        </w:rPr>
        <w:br w:type="page"/>
      </w:r>
    </w:p>
    <w:p w14:paraId="586FD740">
      <w:pPr>
        <w:keepNext w:val="0"/>
        <w:keepLines w:val="0"/>
        <w:widowControl/>
        <w:suppressLineNumbers w:val="0"/>
        <w:ind w:left="0" w:leftChars="0" w:firstLine="0" w:firstLineChars="0"/>
        <w:jc w:val="center"/>
        <w:outlineLvl w:val="0"/>
        <w:rPr>
          <w:rFonts w:hint="eastAsia" w:ascii="Times New Roman" w:hAnsi="Times New Roman" w:eastAsia="宋体" w:cs="Times New Roman"/>
          <w:b/>
          <w:bCs/>
          <w:color w:val="auto"/>
          <w:spacing w:val="0"/>
          <w:kern w:val="2"/>
          <w:sz w:val="28"/>
          <w:szCs w:val="28"/>
          <w:highlight w:val="none"/>
          <w:u w:val="none"/>
          <w:lang w:val="en-US" w:eastAsia="zh-CN" w:bidi="ar-SA"/>
        </w:rPr>
      </w:pPr>
      <w:r>
        <w:rPr>
          <w:rFonts w:hint="eastAsia" w:ascii="Times New Roman" w:hAnsi="Times New Roman" w:eastAsia="宋体" w:cs="Times New Roman"/>
          <w:b/>
          <w:bCs/>
          <w:color w:val="auto"/>
          <w:spacing w:val="0"/>
          <w:kern w:val="2"/>
          <w:sz w:val="28"/>
          <w:szCs w:val="28"/>
          <w:highlight w:val="none"/>
          <w:u w:val="none"/>
          <w:lang w:val="en-US" w:eastAsia="zh-CN" w:bidi="ar-SA"/>
        </w:rPr>
        <w:t>6.风险事故情形设定</w:t>
      </w:r>
      <w:bookmarkEnd w:id="33"/>
    </w:p>
    <w:p w14:paraId="3018EF1F">
      <w:pPr>
        <w:keepNext w:val="0"/>
        <w:keepLines w:val="0"/>
        <w:pageBreakBefore w:val="0"/>
        <w:widowControl w:val="0"/>
        <w:kinsoku/>
        <w:wordWrap/>
        <w:overflowPunct/>
        <w:topLinePunct w:val="0"/>
        <w:autoSpaceDE/>
        <w:autoSpaceDN/>
        <w:bidi w:val="0"/>
        <w:snapToGrid w:val="0"/>
        <w:spacing w:line="360" w:lineRule="auto"/>
        <w:ind w:firstLine="570"/>
        <w:textAlignment w:val="auto"/>
        <w:rPr>
          <w:rFonts w:hint="eastAsia" w:ascii="Times New Roman" w:hAnsi="Times New Roman" w:eastAsia="宋体" w:cs="Times New Roman"/>
          <w:color w:val="000000"/>
          <w:sz w:val="28"/>
          <w:lang w:val="en-US" w:eastAsia="zh-CN"/>
        </w:rPr>
      </w:pPr>
      <w:r>
        <w:rPr>
          <w:rFonts w:hint="eastAsia" w:ascii="Times New Roman" w:hAnsi="Times New Roman" w:eastAsia="宋体" w:cs="Times New Roman"/>
          <w:color w:val="000000"/>
          <w:sz w:val="28"/>
          <w:lang w:val="en-US" w:eastAsia="zh-CN"/>
        </w:rPr>
        <w:t>根据《建设项目环境风险评价技术导则》（</w:t>
      </w:r>
      <w:r>
        <w:rPr>
          <w:rFonts w:hint="default" w:ascii="Times New Roman" w:hAnsi="Times New Roman" w:eastAsia="宋体" w:cs="Times New Roman"/>
          <w:color w:val="000000"/>
          <w:sz w:val="28"/>
          <w:lang w:val="en-US" w:eastAsia="zh-CN"/>
        </w:rPr>
        <w:t>HJ169-2018</w:t>
      </w:r>
      <w:r>
        <w:rPr>
          <w:rFonts w:hint="eastAsia" w:ascii="Times New Roman" w:hAnsi="Times New Roman" w:eastAsia="宋体" w:cs="Times New Roman"/>
          <w:color w:val="000000"/>
          <w:sz w:val="28"/>
          <w:lang w:val="en-US" w:eastAsia="zh-CN"/>
        </w:rPr>
        <w:t>）的要求，风险事故情形的设定是在风险识别的基础上，选择对环境影响较大并具有代表性的事故类型，设定风险事故情形。</w:t>
      </w:r>
    </w:p>
    <w:p w14:paraId="2267B37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outlineLvl w:val="1"/>
        <w:rPr>
          <w:rFonts w:hint="eastAsia" w:ascii="Times New Roman" w:hAnsi="Times New Roman" w:eastAsia="宋体" w:cs="Times New Roman"/>
          <w:b/>
          <w:bCs/>
          <w:color w:val="auto"/>
          <w:spacing w:val="0"/>
          <w:kern w:val="2"/>
          <w:sz w:val="28"/>
          <w:szCs w:val="28"/>
          <w:highlight w:val="none"/>
          <w:u w:val="none"/>
          <w:lang w:val="en-US" w:eastAsia="zh-CN" w:bidi="ar-SA"/>
        </w:rPr>
      </w:pPr>
      <w:bookmarkStart w:id="34" w:name="_Toc9672"/>
      <w:r>
        <w:rPr>
          <w:rFonts w:hint="eastAsia" w:ascii="Times New Roman" w:hAnsi="Times New Roman" w:eastAsia="宋体" w:cs="Times New Roman"/>
          <w:b/>
          <w:bCs/>
          <w:color w:val="auto"/>
          <w:spacing w:val="0"/>
          <w:kern w:val="2"/>
          <w:sz w:val="28"/>
          <w:szCs w:val="28"/>
          <w:highlight w:val="none"/>
          <w:u w:val="none"/>
          <w:lang w:val="en-US" w:eastAsia="zh-CN" w:bidi="ar-SA"/>
        </w:rPr>
        <w:t>6.1风险事故类型</w:t>
      </w:r>
      <w:bookmarkEnd w:id="34"/>
    </w:p>
    <w:p w14:paraId="46D53032">
      <w:pPr>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项目由于其所贮存部分物料属易燃易爆，燃烧热值高，罐区储量大，储罐的泄漏、火灾爆炸是其主要潜在事故。</w:t>
      </w:r>
    </w:p>
    <w:p w14:paraId="5F5D554C">
      <w:pPr>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根据对本项目的分析及同类项目类比调查分析，风险类型确定为：毒物泄漏及火灾爆炸，见表6-1。不考虑自然灾害如地震、洪水、台风等所引起的事故风险。</w:t>
      </w:r>
    </w:p>
    <w:p w14:paraId="5871A55E">
      <w:pPr>
        <w:pStyle w:val="25"/>
        <w:jc w:val="center"/>
        <w:rPr>
          <w:rFonts w:hint="default"/>
          <w:lang w:val="en-US" w:eastAsia="zh-CN"/>
        </w:rPr>
      </w:pPr>
      <w:r>
        <w:rPr>
          <w:rFonts w:hint="default" w:ascii="Times New Roman" w:hAnsi="Times New Roman" w:eastAsia="宋体" w:cs="Times New Roman"/>
          <w:b/>
          <w:color w:val="auto"/>
          <w:sz w:val="21"/>
          <w:szCs w:val="21"/>
          <w:lang w:eastAsia="zh-CN"/>
        </w:rPr>
        <w:t>表</w:t>
      </w:r>
      <w:r>
        <w:rPr>
          <w:rFonts w:hint="eastAsia"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lang w:val="en-US" w:eastAsia="zh-CN"/>
        </w:rPr>
        <w:t>-</w:t>
      </w:r>
      <w:r>
        <w:rPr>
          <w:rFonts w:hint="eastAsia" w:ascii="Times New Roman" w:hAnsi="Times New Roman" w:eastAsia="宋体" w:cs="Times New Roman"/>
          <w:b/>
          <w:color w:val="auto"/>
          <w:sz w:val="21"/>
          <w:szCs w:val="21"/>
          <w:lang w:val="en-US" w:eastAsia="zh-CN"/>
        </w:rPr>
        <w:t>1    风险类型</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26EF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5EB36DB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pacing w:val="0"/>
                <w:kern w:val="2"/>
                <w:sz w:val="21"/>
                <w:szCs w:val="21"/>
                <w:highlight w:val="none"/>
                <w:u w:val="none"/>
                <w:vertAlign w:val="baseline"/>
                <w:lang w:val="zh-CN" w:eastAsia="zh-CN" w:bidi="ar-SA"/>
              </w:rPr>
            </w:pPr>
            <w:r>
              <w:rPr>
                <w:rFonts w:hint="eastAsia" w:ascii="Times New Roman" w:hAnsi="Times New Roman" w:eastAsia="宋体" w:cs="Times New Roman"/>
                <w:b/>
                <w:bCs/>
                <w:color w:val="auto"/>
                <w:spacing w:val="0"/>
                <w:kern w:val="2"/>
                <w:sz w:val="21"/>
                <w:szCs w:val="21"/>
                <w:highlight w:val="none"/>
                <w:u w:val="none"/>
                <w:lang w:val="zh-CN" w:eastAsia="zh-CN" w:bidi="ar-SA"/>
              </w:rPr>
              <w:t>危害类型</w:t>
            </w:r>
            <w:r>
              <w:rPr>
                <w:rFonts w:hint="default" w:ascii="Times New Roman" w:hAnsi="Times New Roman" w:eastAsia="宋体" w:cs="Times New Roman"/>
                <w:b/>
                <w:bCs/>
                <w:color w:val="auto"/>
                <w:spacing w:val="0"/>
                <w:kern w:val="2"/>
                <w:sz w:val="21"/>
                <w:szCs w:val="21"/>
                <w:highlight w:val="none"/>
                <w:u w:val="none"/>
                <w:lang w:val="zh-CN" w:eastAsia="zh-CN" w:bidi="ar-SA"/>
              </w:rPr>
              <w:br w:type="page"/>
            </w:r>
          </w:p>
        </w:tc>
        <w:tc>
          <w:tcPr>
            <w:tcW w:w="4530" w:type="dxa"/>
            <w:vAlign w:val="center"/>
          </w:tcPr>
          <w:p w14:paraId="0BC029C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pacing w:val="0"/>
                <w:kern w:val="2"/>
                <w:sz w:val="21"/>
                <w:szCs w:val="21"/>
                <w:highlight w:val="none"/>
                <w:u w:val="none"/>
                <w:vertAlign w:val="baseline"/>
                <w:lang w:val="zh-CN" w:eastAsia="zh-CN" w:bidi="ar-SA"/>
              </w:rPr>
            </w:pPr>
            <w:r>
              <w:rPr>
                <w:rFonts w:hint="eastAsia" w:ascii="Times New Roman" w:hAnsi="Times New Roman" w:eastAsia="宋体" w:cs="Times New Roman"/>
                <w:b/>
                <w:bCs/>
                <w:color w:val="auto"/>
                <w:spacing w:val="0"/>
                <w:kern w:val="2"/>
                <w:sz w:val="21"/>
                <w:szCs w:val="21"/>
                <w:highlight w:val="none"/>
                <w:u w:val="none"/>
                <w:vertAlign w:val="baseline"/>
                <w:lang w:val="zh-CN" w:eastAsia="zh-CN" w:bidi="ar-SA"/>
              </w:rPr>
              <w:t>储存物料</w:t>
            </w:r>
          </w:p>
        </w:tc>
      </w:tr>
      <w:tr w14:paraId="7460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0D8179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kern w:val="2"/>
                <w:sz w:val="21"/>
                <w:szCs w:val="21"/>
                <w:highlight w:val="none"/>
                <w:u w:val="none"/>
                <w:vertAlign w:val="baseline"/>
                <w:lang w:val="zh-CN" w:eastAsia="zh-CN" w:bidi="ar-SA"/>
              </w:rPr>
            </w:pPr>
            <w:r>
              <w:rPr>
                <w:rFonts w:hint="eastAsia" w:ascii="Times New Roman" w:hAnsi="Times New Roman" w:eastAsia="宋体" w:cs="Times New Roman"/>
                <w:color w:val="auto"/>
                <w:spacing w:val="0"/>
                <w:kern w:val="2"/>
                <w:sz w:val="21"/>
                <w:szCs w:val="21"/>
                <w:highlight w:val="none"/>
                <w:u w:val="none"/>
                <w:vertAlign w:val="baseline"/>
                <w:lang w:val="zh-CN" w:eastAsia="zh-CN" w:bidi="ar-SA"/>
              </w:rPr>
              <w:t>有毒物质泄露</w:t>
            </w:r>
          </w:p>
        </w:tc>
        <w:tc>
          <w:tcPr>
            <w:tcW w:w="4530" w:type="dxa"/>
            <w:vAlign w:val="center"/>
          </w:tcPr>
          <w:p w14:paraId="301DAF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kern w:val="2"/>
                <w:sz w:val="21"/>
                <w:szCs w:val="21"/>
                <w:highlight w:val="none"/>
                <w:u w:val="none"/>
                <w:vertAlign w:val="baseline"/>
                <w:lang w:val="zh-CN" w:eastAsia="zh-CN" w:bidi="ar-SA"/>
              </w:rPr>
            </w:pPr>
            <w:r>
              <w:rPr>
                <w:rFonts w:hint="eastAsia" w:ascii="Times New Roman" w:hAnsi="Times New Roman" w:eastAsia="宋体" w:cs="Times New Roman"/>
                <w:color w:val="auto"/>
                <w:spacing w:val="0"/>
                <w:kern w:val="2"/>
                <w:sz w:val="21"/>
                <w:szCs w:val="21"/>
                <w:highlight w:val="none"/>
                <w:u w:val="none"/>
                <w:vertAlign w:val="baseline"/>
                <w:lang w:val="zh-CN" w:eastAsia="zh-CN" w:bidi="ar-SA"/>
              </w:rPr>
              <w:t>硝酸</w:t>
            </w:r>
          </w:p>
        </w:tc>
      </w:tr>
      <w:tr w14:paraId="69BB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1C81B3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kern w:val="2"/>
                <w:sz w:val="21"/>
                <w:szCs w:val="21"/>
                <w:highlight w:val="none"/>
                <w:u w:val="none"/>
                <w:vertAlign w:val="baseline"/>
                <w:lang w:val="zh-CN" w:eastAsia="zh-CN" w:bidi="ar-SA"/>
              </w:rPr>
            </w:pPr>
            <w:r>
              <w:rPr>
                <w:rFonts w:hint="eastAsia" w:ascii="Times New Roman" w:hAnsi="Times New Roman" w:eastAsia="宋体" w:cs="Times New Roman"/>
                <w:color w:val="auto"/>
                <w:spacing w:val="0"/>
                <w:kern w:val="2"/>
                <w:sz w:val="21"/>
                <w:szCs w:val="21"/>
                <w:highlight w:val="none"/>
                <w:u w:val="none"/>
                <w:vertAlign w:val="baseline"/>
                <w:lang w:val="zh-CN" w:eastAsia="zh-CN" w:bidi="ar-SA"/>
              </w:rPr>
              <w:t>火灾、爆炸</w:t>
            </w:r>
          </w:p>
        </w:tc>
        <w:tc>
          <w:tcPr>
            <w:tcW w:w="4530" w:type="dxa"/>
            <w:vAlign w:val="center"/>
          </w:tcPr>
          <w:p w14:paraId="3DB1DC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kern w:val="2"/>
                <w:sz w:val="21"/>
                <w:szCs w:val="21"/>
                <w:highlight w:val="none"/>
                <w:u w:val="none"/>
                <w:vertAlign w:val="baseline"/>
                <w:lang w:val="zh-CN" w:eastAsia="zh-CN" w:bidi="ar-SA"/>
              </w:rPr>
            </w:pPr>
            <w:r>
              <w:rPr>
                <w:rFonts w:hint="eastAsia" w:ascii="Times New Roman" w:hAnsi="Times New Roman" w:eastAsia="宋体" w:cs="Times New Roman"/>
                <w:color w:val="auto"/>
                <w:spacing w:val="0"/>
                <w:kern w:val="2"/>
                <w:sz w:val="21"/>
                <w:szCs w:val="21"/>
                <w:highlight w:val="none"/>
                <w:u w:val="none"/>
                <w:vertAlign w:val="baseline"/>
                <w:lang w:val="zh-CN" w:eastAsia="zh-CN" w:bidi="ar-SA"/>
              </w:rPr>
              <w:t>硝酸</w:t>
            </w:r>
          </w:p>
        </w:tc>
      </w:tr>
    </w:tbl>
    <w:p w14:paraId="5DE9AF7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outlineLvl w:val="1"/>
        <w:rPr>
          <w:rFonts w:hint="eastAsia" w:ascii="Times New Roman" w:hAnsi="Times New Roman" w:eastAsia="宋体" w:cs="Times New Roman"/>
          <w:b/>
          <w:bCs/>
          <w:color w:val="auto"/>
          <w:spacing w:val="0"/>
          <w:kern w:val="2"/>
          <w:sz w:val="28"/>
          <w:szCs w:val="28"/>
          <w:highlight w:val="none"/>
          <w:u w:val="none"/>
          <w:lang w:val="en-US" w:eastAsia="zh-CN" w:bidi="ar-SA"/>
        </w:rPr>
      </w:pPr>
      <w:bookmarkStart w:id="35" w:name="_Toc5300"/>
      <w:r>
        <w:rPr>
          <w:rFonts w:hint="eastAsia" w:ascii="Times New Roman" w:hAnsi="Times New Roman" w:eastAsia="宋体" w:cs="Times New Roman"/>
          <w:b/>
          <w:bCs/>
          <w:color w:val="auto"/>
          <w:spacing w:val="0"/>
          <w:kern w:val="2"/>
          <w:sz w:val="28"/>
          <w:szCs w:val="28"/>
          <w:highlight w:val="none"/>
          <w:u w:val="none"/>
          <w:lang w:val="en-US" w:eastAsia="zh-CN" w:bidi="ar-SA"/>
        </w:rPr>
        <w:t>6.2事故树（ETA）分析</w:t>
      </w:r>
      <w:bookmarkEnd w:id="35"/>
    </w:p>
    <w:p w14:paraId="744DA829">
      <w:pPr>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本项目主要危险物质硝酸具有毒性、腐蚀性，从而决定了项目的危害事故存在人员伤亡和环境污染的可能。不同事故引发因素、伤害机制、危害时间及空间尺度上有很大区别，并互相作用和影响，项目事故类型树状分析见图6-1。</w:t>
      </w:r>
    </w:p>
    <w:p w14:paraId="5F6806FE">
      <w:pPr>
        <w:ind w:left="0" w:leftChars="0" w:firstLine="0" w:firstLineChars="0"/>
        <w:jc w:val="center"/>
        <w:rPr>
          <w:rFonts w:hint="default"/>
          <w:lang w:val="zh-CN" w:eastAsia="zh-CN"/>
        </w:rPr>
      </w:pPr>
      <w:r>
        <w:rPr>
          <w:rFonts w:hint="default"/>
          <w:lang w:val="zh-CN" w:eastAsia="zh-CN"/>
        </w:rPr>
        <w:drawing>
          <wp:inline distT="0" distB="0" distL="114300" distR="114300">
            <wp:extent cx="5610860" cy="1939925"/>
            <wp:effectExtent l="0" t="0" r="0" b="3175"/>
            <wp:docPr id="3"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wps"/>
                    <pic:cNvPicPr>
                      <a:picLocks noChangeAspect="1"/>
                    </pic:cNvPicPr>
                  </pic:nvPicPr>
                  <pic:blipFill>
                    <a:blip r:embed="rId34"/>
                    <a:srcRect t="9929" b="7580"/>
                    <a:stretch>
                      <a:fillRect/>
                    </a:stretch>
                  </pic:blipFill>
                  <pic:spPr>
                    <a:xfrm>
                      <a:off x="0" y="0"/>
                      <a:ext cx="5610860" cy="1939925"/>
                    </a:xfrm>
                    <a:prstGeom prst="rect">
                      <a:avLst/>
                    </a:prstGeom>
                  </pic:spPr>
                </pic:pic>
              </a:graphicData>
            </a:graphic>
          </wp:inline>
        </w:drawing>
      </w:r>
    </w:p>
    <w:p w14:paraId="2D848046">
      <w:pPr>
        <w:pStyle w:val="25"/>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zh-CN" w:eastAsia="zh-CN"/>
        </w:rPr>
        <w:t>图</w:t>
      </w:r>
      <w:r>
        <w:rPr>
          <w:rFonts w:hint="eastAsia" w:ascii="Times New Roman" w:hAnsi="Times New Roman" w:eastAsia="宋体" w:cs="Times New Roman"/>
          <w:b/>
          <w:color w:val="auto"/>
          <w:sz w:val="21"/>
          <w:szCs w:val="21"/>
          <w:lang w:val="en-US" w:eastAsia="zh-CN"/>
        </w:rPr>
        <w:t>6-1   本项目事故类型树状图</w:t>
      </w:r>
    </w:p>
    <w:p w14:paraId="439E4887">
      <w:pPr>
        <w:pStyle w:val="30"/>
        <w:ind w:left="0" w:leftChars="0" w:firstLine="0" w:firstLineChars="0"/>
        <w:outlineLvl w:val="1"/>
        <w:rPr>
          <w:rFonts w:hint="eastAsia" w:ascii="Times New Roman" w:hAnsi="Times New Roman" w:eastAsia="宋体" w:cs="Times New Roman"/>
          <w:b/>
          <w:bCs/>
          <w:color w:val="auto"/>
          <w:spacing w:val="0"/>
          <w:kern w:val="2"/>
          <w:sz w:val="28"/>
          <w:szCs w:val="28"/>
          <w:highlight w:val="none"/>
          <w:u w:val="none"/>
          <w:lang w:val="en-US" w:eastAsia="zh-CN" w:bidi="ar-SA"/>
        </w:rPr>
      </w:pPr>
      <w:bookmarkStart w:id="36" w:name="_Toc16981"/>
      <w:r>
        <w:rPr>
          <w:rFonts w:hint="eastAsia" w:ascii="Times New Roman" w:hAnsi="Times New Roman" w:eastAsia="宋体" w:cs="Times New Roman"/>
          <w:b/>
          <w:bCs/>
          <w:color w:val="auto"/>
          <w:spacing w:val="0"/>
          <w:kern w:val="2"/>
          <w:sz w:val="28"/>
          <w:szCs w:val="28"/>
          <w:highlight w:val="none"/>
          <w:u w:val="none"/>
          <w:lang w:val="en-US" w:eastAsia="zh-CN" w:bidi="ar-SA"/>
        </w:rPr>
        <w:t>6.3最大可信事故确定</w:t>
      </w:r>
      <w:bookmarkEnd w:id="36"/>
    </w:p>
    <w:p w14:paraId="62C91D63">
      <w:pPr>
        <w:pStyle w:val="30"/>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outlineLvl w:val="9"/>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 xml:space="preserve">危险源发生事故均属于不可预见性，引发事故的因素较多且由于污染物排放的差异，对风险事故概率及事故危害的量化难度较大。 </w:t>
      </w:r>
    </w:p>
    <w:p w14:paraId="54215AF4">
      <w:pPr>
        <w:pStyle w:val="30"/>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outlineLvl w:val="9"/>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 xml:space="preserve">根据项目特点，结合前面风险识别的相关内容，本项目营运期可能造成危险物质泄漏。根据项目危险源识别和源项分析，以及危险化学品可能造成的危害程度，本次评价风险事故情形设定为储罐泄漏，进而对界外人群健康和环境影响进行分析，并对本项目生产过程中存在的潜在风险提出防范措施。 </w:t>
      </w:r>
    </w:p>
    <w:p w14:paraId="149472F6">
      <w:pPr>
        <w:pStyle w:val="30"/>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outlineLvl w:val="9"/>
        <w:rPr>
          <w:rFonts w:hint="default"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根据《建设项目环境风险评价技术导则》（HJ169-2018）附录E，泄漏频率见下表。</w:t>
      </w:r>
    </w:p>
    <w:p w14:paraId="4FD50F3A">
      <w:pPr>
        <w:ind w:left="0" w:leftChars="0" w:firstLine="0" w:firstLineChars="0"/>
        <w:jc w:val="center"/>
        <w:rPr>
          <w:rFonts w:hint="eastAsia"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eastAsia="zh-CN"/>
        </w:rPr>
        <w:t>表</w:t>
      </w:r>
      <w:r>
        <w:rPr>
          <w:rFonts w:hint="eastAsia"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lang w:val="en-US" w:eastAsia="zh-CN"/>
        </w:rPr>
        <w:t>-</w:t>
      </w:r>
      <w:r>
        <w:rPr>
          <w:rFonts w:hint="eastAsia" w:ascii="Times New Roman" w:hAnsi="Times New Roman" w:eastAsia="宋体" w:cs="Times New Roman"/>
          <w:b/>
          <w:color w:val="auto"/>
          <w:sz w:val="21"/>
          <w:szCs w:val="21"/>
          <w:lang w:val="en-US" w:eastAsia="zh-CN"/>
        </w:rPr>
        <w:t>2  不同程度事故风险发生的概率</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9"/>
        <w:gridCol w:w="3855"/>
        <w:gridCol w:w="2156"/>
      </w:tblGrid>
      <w:tr w14:paraId="16EA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9" w:type="dxa"/>
            <w:vAlign w:val="center"/>
          </w:tcPr>
          <w:p w14:paraId="338411D2">
            <w:pPr>
              <w:pStyle w:val="25"/>
              <w:jc w:val="center"/>
              <w:rPr>
                <w:rFonts w:hint="default" w:ascii="Times New Roman" w:hAnsi="Times New Roman" w:cs="Times New Roman"/>
                <w:b/>
                <w:bCs/>
                <w:sz w:val="21"/>
                <w:szCs w:val="21"/>
                <w:vertAlign w:val="baseline"/>
                <w:lang w:val="en-US"/>
              </w:rPr>
            </w:pPr>
            <w:r>
              <w:rPr>
                <w:rFonts w:hint="default" w:ascii="Times New Roman" w:hAnsi="Times New Roman" w:cs="Times New Roman"/>
                <w:b/>
                <w:bCs/>
                <w:sz w:val="21"/>
                <w:szCs w:val="21"/>
                <w:vertAlign w:val="baseline"/>
                <w:lang w:val="en-US"/>
              </w:rPr>
              <w:t>部件类型</w:t>
            </w:r>
          </w:p>
        </w:tc>
        <w:tc>
          <w:tcPr>
            <w:tcW w:w="3855" w:type="dxa"/>
            <w:vAlign w:val="center"/>
          </w:tcPr>
          <w:p w14:paraId="5EF4D62B">
            <w:pPr>
              <w:pStyle w:val="25"/>
              <w:jc w:val="center"/>
              <w:rPr>
                <w:rFonts w:hint="default" w:ascii="Times New Roman" w:hAnsi="Times New Roman" w:cs="Times New Roman"/>
                <w:b/>
                <w:bCs/>
                <w:sz w:val="21"/>
                <w:szCs w:val="21"/>
                <w:vertAlign w:val="baseline"/>
                <w:lang w:val="en-US"/>
              </w:rPr>
            </w:pPr>
            <w:r>
              <w:rPr>
                <w:rFonts w:hint="default" w:ascii="Times New Roman" w:hAnsi="Times New Roman" w:cs="Times New Roman"/>
                <w:b/>
                <w:bCs/>
                <w:sz w:val="21"/>
                <w:szCs w:val="21"/>
                <w:vertAlign w:val="baseline"/>
                <w:lang w:val="en-US"/>
              </w:rPr>
              <w:t>泄漏模式</w:t>
            </w:r>
          </w:p>
        </w:tc>
        <w:tc>
          <w:tcPr>
            <w:tcW w:w="2156" w:type="dxa"/>
            <w:vAlign w:val="center"/>
          </w:tcPr>
          <w:p w14:paraId="7328A1F9">
            <w:pPr>
              <w:pStyle w:val="25"/>
              <w:jc w:val="center"/>
              <w:rPr>
                <w:rFonts w:hint="default" w:ascii="Times New Roman" w:hAnsi="Times New Roman" w:cs="Times New Roman"/>
                <w:b/>
                <w:bCs/>
                <w:sz w:val="21"/>
                <w:szCs w:val="21"/>
                <w:vertAlign w:val="baseline"/>
                <w:lang w:val="en-US"/>
              </w:rPr>
            </w:pPr>
            <w:r>
              <w:rPr>
                <w:rFonts w:hint="default" w:ascii="Times New Roman" w:hAnsi="Times New Roman" w:eastAsia="宋体" w:cs="Times New Roman"/>
                <w:b/>
                <w:bCs/>
                <w:sz w:val="21"/>
                <w:szCs w:val="21"/>
              </w:rPr>
              <w:t>泄漏频率</w:t>
            </w:r>
          </w:p>
        </w:tc>
      </w:tr>
      <w:tr w14:paraId="6B4D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9" w:type="dxa"/>
            <w:vAlign w:val="center"/>
          </w:tcPr>
          <w:p w14:paraId="64064873">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反应器/工艺储罐/气体储罐/塔器</w:t>
            </w:r>
          </w:p>
        </w:tc>
        <w:tc>
          <w:tcPr>
            <w:tcW w:w="3855" w:type="dxa"/>
            <w:vAlign w:val="center"/>
          </w:tcPr>
          <w:p w14:paraId="62B48BC1">
            <w:pPr>
              <w:pStyle w:val="25"/>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泄漏孔径为10mm</w:t>
            </w:r>
          </w:p>
          <w:p w14:paraId="644AA5CA">
            <w:pPr>
              <w:pStyle w:val="25"/>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孔径10min 内储罐泄漏完 </w:t>
            </w:r>
          </w:p>
          <w:p w14:paraId="6F1A4BDE">
            <w:pPr>
              <w:pStyle w:val="25"/>
              <w:jc w:val="both"/>
              <w:rPr>
                <w:rFonts w:hint="default" w:ascii="Times New Roman" w:hAnsi="Times New Roman" w:cs="Times New Roman"/>
                <w:sz w:val="21"/>
                <w:szCs w:val="21"/>
                <w:vertAlign w:val="baseline"/>
                <w:lang w:val="en-US"/>
              </w:rPr>
            </w:pPr>
            <w:r>
              <w:rPr>
                <w:rFonts w:hint="default" w:ascii="Times New Roman" w:hAnsi="Times New Roman" w:eastAsia="宋体" w:cs="Times New Roman"/>
                <w:sz w:val="21"/>
                <w:szCs w:val="21"/>
              </w:rPr>
              <w:t>储罐全破裂</w:t>
            </w:r>
          </w:p>
        </w:tc>
        <w:tc>
          <w:tcPr>
            <w:tcW w:w="2156" w:type="dxa"/>
            <w:vAlign w:val="center"/>
          </w:tcPr>
          <w:p w14:paraId="274C133C">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1.00×10</w:t>
            </w:r>
            <w:r>
              <w:rPr>
                <w:rFonts w:hint="default" w:ascii="Times New Roman" w:hAnsi="Times New Roman" w:cs="Times New Roman"/>
                <w:sz w:val="21"/>
                <w:szCs w:val="21"/>
                <w:vertAlign w:val="superscript"/>
                <w:lang w:val="en-US"/>
              </w:rPr>
              <w:t>-4</w:t>
            </w:r>
            <w:r>
              <w:rPr>
                <w:rFonts w:hint="default" w:ascii="Times New Roman" w:hAnsi="Times New Roman" w:cs="Times New Roman"/>
                <w:sz w:val="21"/>
                <w:szCs w:val="21"/>
                <w:vertAlign w:val="baseline"/>
                <w:lang w:val="en-US"/>
              </w:rPr>
              <w:t>/a</w:t>
            </w:r>
          </w:p>
          <w:p w14:paraId="1A206007">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5.00×10</w:t>
            </w:r>
            <w:r>
              <w:rPr>
                <w:rFonts w:hint="default" w:ascii="Times New Roman" w:hAnsi="Times New Roman" w:cs="Times New Roman"/>
                <w:sz w:val="21"/>
                <w:szCs w:val="21"/>
                <w:vertAlign w:val="superscript"/>
                <w:lang w:val="en-US"/>
              </w:rPr>
              <w:t>-6</w:t>
            </w:r>
            <w:r>
              <w:rPr>
                <w:rFonts w:hint="default" w:ascii="Times New Roman" w:hAnsi="Times New Roman" w:cs="Times New Roman"/>
                <w:sz w:val="21"/>
                <w:szCs w:val="21"/>
                <w:vertAlign w:val="baseline"/>
                <w:lang w:val="en-US"/>
              </w:rPr>
              <w:t>/a</w:t>
            </w:r>
          </w:p>
          <w:p w14:paraId="3E44F9F6">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5.00×10</w:t>
            </w:r>
            <w:r>
              <w:rPr>
                <w:rFonts w:hint="default" w:ascii="Times New Roman" w:hAnsi="Times New Roman" w:cs="Times New Roman"/>
                <w:sz w:val="21"/>
                <w:szCs w:val="21"/>
                <w:vertAlign w:val="superscript"/>
                <w:lang w:val="en-US"/>
              </w:rPr>
              <w:t>-6</w:t>
            </w:r>
            <w:r>
              <w:rPr>
                <w:rFonts w:hint="default" w:ascii="Times New Roman" w:hAnsi="Times New Roman" w:cs="Times New Roman"/>
                <w:sz w:val="21"/>
                <w:szCs w:val="21"/>
                <w:vertAlign w:val="baseline"/>
                <w:lang w:val="en-US"/>
              </w:rPr>
              <w:t>/a</w:t>
            </w:r>
          </w:p>
        </w:tc>
      </w:tr>
      <w:tr w14:paraId="28AE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9" w:type="dxa"/>
            <w:vAlign w:val="center"/>
          </w:tcPr>
          <w:p w14:paraId="47665C7E">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常压单包容储罐</w:t>
            </w:r>
          </w:p>
        </w:tc>
        <w:tc>
          <w:tcPr>
            <w:tcW w:w="3855" w:type="dxa"/>
            <w:vAlign w:val="center"/>
          </w:tcPr>
          <w:p w14:paraId="07EA5036">
            <w:pPr>
              <w:pStyle w:val="25"/>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泄漏孔径为10mm</w:t>
            </w:r>
          </w:p>
          <w:p w14:paraId="799DDB52">
            <w:pPr>
              <w:pStyle w:val="25"/>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孔径10min 内储罐泄漏完 </w:t>
            </w:r>
          </w:p>
          <w:p w14:paraId="42910AEE">
            <w:pPr>
              <w:pStyle w:val="25"/>
              <w:jc w:val="both"/>
              <w:rPr>
                <w:rFonts w:hint="default" w:ascii="Times New Roman" w:hAnsi="Times New Roman" w:cs="Times New Roman"/>
                <w:sz w:val="21"/>
                <w:szCs w:val="21"/>
                <w:vertAlign w:val="baseline"/>
                <w:lang w:val="en-US"/>
              </w:rPr>
            </w:pPr>
            <w:r>
              <w:rPr>
                <w:rFonts w:hint="default" w:ascii="Times New Roman" w:hAnsi="Times New Roman" w:eastAsia="宋体" w:cs="Times New Roman"/>
                <w:sz w:val="21"/>
                <w:szCs w:val="21"/>
              </w:rPr>
              <w:t>储罐全破裂</w:t>
            </w:r>
          </w:p>
        </w:tc>
        <w:tc>
          <w:tcPr>
            <w:tcW w:w="2156" w:type="dxa"/>
            <w:vAlign w:val="center"/>
          </w:tcPr>
          <w:p w14:paraId="1F32128B">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1.00×10</w:t>
            </w:r>
            <w:r>
              <w:rPr>
                <w:rFonts w:hint="default" w:ascii="Times New Roman" w:hAnsi="Times New Roman" w:cs="Times New Roman"/>
                <w:sz w:val="21"/>
                <w:szCs w:val="21"/>
                <w:vertAlign w:val="superscript"/>
                <w:lang w:val="en-US"/>
              </w:rPr>
              <w:t>-4</w:t>
            </w:r>
            <w:r>
              <w:rPr>
                <w:rFonts w:hint="default" w:ascii="Times New Roman" w:hAnsi="Times New Roman" w:cs="Times New Roman"/>
                <w:sz w:val="21"/>
                <w:szCs w:val="21"/>
                <w:vertAlign w:val="baseline"/>
                <w:lang w:val="en-US"/>
              </w:rPr>
              <w:t>/a</w:t>
            </w:r>
          </w:p>
          <w:p w14:paraId="5D47AE54">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5.00×10</w:t>
            </w:r>
            <w:r>
              <w:rPr>
                <w:rFonts w:hint="default" w:ascii="Times New Roman" w:hAnsi="Times New Roman" w:cs="Times New Roman"/>
                <w:sz w:val="21"/>
                <w:szCs w:val="21"/>
                <w:vertAlign w:val="superscript"/>
                <w:lang w:val="en-US"/>
              </w:rPr>
              <w:t>-6</w:t>
            </w:r>
            <w:r>
              <w:rPr>
                <w:rFonts w:hint="default" w:ascii="Times New Roman" w:hAnsi="Times New Roman" w:cs="Times New Roman"/>
                <w:sz w:val="21"/>
                <w:szCs w:val="21"/>
                <w:vertAlign w:val="baseline"/>
                <w:lang w:val="en-US"/>
              </w:rPr>
              <w:t>/a</w:t>
            </w:r>
          </w:p>
          <w:p w14:paraId="348926B3">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5.00×10</w:t>
            </w:r>
            <w:r>
              <w:rPr>
                <w:rFonts w:hint="default" w:ascii="Times New Roman" w:hAnsi="Times New Roman" w:cs="Times New Roman"/>
                <w:sz w:val="21"/>
                <w:szCs w:val="21"/>
                <w:vertAlign w:val="superscript"/>
                <w:lang w:val="en-US"/>
              </w:rPr>
              <w:t>-6</w:t>
            </w:r>
            <w:r>
              <w:rPr>
                <w:rFonts w:hint="default" w:ascii="Times New Roman" w:hAnsi="Times New Roman" w:cs="Times New Roman"/>
                <w:sz w:val="21"/>
                <w:szCs w:val="21"/>
                <w:vertAlign w:val="baseline"/>
                <w:lang w:val="en-US"/>
              </w:rPr>
              <w:t>/a</w:t>
            </w:r>
          </w:p>
        </w:tc>
      </w:tr>
      <w:tr w14:paraId="3ACB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9" w:type="dxa"/>
            <w:vAlign w:val="center"/>
          </w:tcPr>
          <w:p w14:paraId="3456D202">
            <w:pPr>
              <w:pStyle w:val="25"/>
              <w:jc w:val="both"/>
              <w:rPr>
                <w:rFonts w:hint="default" w:ascii="Times New Roman" w:hAnsi="Times New Roman" w:cs="Times New Roman"/>
                <w:sz w:val="21"/>
                <w:szCs w:val="21"/>
                <w:vertAlign w:val="baseline"/>
                <w:lang w:val="en-US"/>
              </w:rPr>
            </w:pPr>
            <w:r>
              <w:rPr>
                <w:rFonts w:hint="default" w:ascii="Times New Roman" w:hAnsi="Times New Roman" w:eastAsia="宋体" w:cs="Times New Roman"/>
                <w:sz w:val="24"/>
                <w:szCs w:val="24"/>
              </w:rPr>
              <w:t>常压双包容储罐</w:t>
            </w:r>
          </w:p>
        </w:tc>
        <w:tc>
          <w:tcPr>
            <w:tcW w:w="3855" w:type="dxa"/>
            <w:vAlign w:val="center"/>
          </w:tcPr>
          <w:p w14:paraId="761BC913">
            <w:pPr>
              <w:pStyle w:val="25"/>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泄漏孔径为10mm</w:t>
            </w:r>
          </w:p>
          <w:p w14:paraId="126BA41C">
            <w:pPr>
              <w:pStyle w:val="25"/>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孔径10min 内储罐泄漏完 </w:t>
            </w:r>
          </w:p>
          <w:p w14:paraId="5C053ABF">
            <w:pPr>
              <w:pStyle w:val="25"/>
              <w:jc w:val="both"/>
              <w:rPr>
                <w:rFonts w:hint="default" w:ascii="Times New Roman" w:hAnsi="Times New Roman" w:cs="Times New Roman"/>
                <w:sz w:val="21"/>
                <w:szCs w:val="21"/>
                <w:vertAlign w:val="baseline"/>
                <w:lang w:val="en-US"/>
              </w:rPr>
            </w:pPr>
            <w:r>
              <w:rPr>
                <w:rFonts w:hint="default" w:ascii="Times New Roman" w:hAnsi="Times New Roman" w:eastAsia="宋体" w:cs="Times New Roman"/>
                <w:sz w:val="21"/>
                <w:szCs w:val="21"/>
              </w:rPr>
              <w:t>储罐全破裂</w:t>
            </w:r>
          </w:p>
        </w:tc>
        <w:tc>
          <w:tcPr>
            <w:tcW w:w="2156" w:type="dxa"/>
            <w:vAlign w:val="center"/>
          </w:tcPr>
          <w:p w14:paraId="209CAA68">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1.00×10</w:t>
            </w:r>
            <w:r>
              <w:rPr>
                <w:rFonts w:hint="default" w:ascii="Times New Roman" w:hAnsi="Times New Roman" w:cs="Times New Roman"/>
                <w:sz w:val="21"/>
                <w:szCs w:val="21"/>
                <w:vertAlign w:val="superscript"/>
                <w:lang w:val="en-US"/>
              </w:rPr>
              <w:t>-4</w:t>
            </w:r>
            <w:r>
              <w:rPr>
                <w:rFonts w:hint="default" w:ascii="Times New Roman" w:hAnsi="Times New Roman" w:cs="Times New Roman"/>
                <w:sz w:val="21"/>
                <w:szCs w:val="21"/>
                <w:vertAlign w:val="baseline"/>
                <w:lang w:val="en-US"/>
              </w:rPr>
              <w:t>/a</w:t>
            </w:r>
          </w:p>
          <w:p w14:paraId="20200EDF">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1.25×10</w:t>
            </w:r>
            <w:r>
              <w:rPr>
                <w:rFonts w:hint="default" w:ascii="Times New Roman" w:hAnsi="Times New Roman" w:cs="Times New Roman"/>
                <w:sz w:val="21"/>
                <w:szCs w:val="21"/>
                <w:vertAlign w:val="superscript"/>
                <w:lang w:val="en-US"/>
              </w:rPr>
              <w:t>-8/</w:t>
            </w:r>
            <w:r>
              <w:rPr>
                <w:rFonts w:hint="default" w:ascii="Times New Roman" w:hAnsi="Times New Roman" w:cs="Times New Roman"/>
                <w:sz w:val="21"/>
                <w:szCs w:val="21"/>
                <w:vertAlign w:val="baseline"/>
                <w:lang w:val="en-US"/>
              </w:rPr>
              <w:t>a</w:t>
            </w:r>
          </w:p>
          <w:p w14:paraId="05416B66">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1.25×10</w:t>
            </w:r>
            <w:r>
              <w:rPr>
                <w:rFonts w:hint="default" w:ascii="Times New Roman" w:hAnsi="Times New Roman" w:cs="Times New Roman"/>
                <w:sz w:val="21"/>
                <w:szCs w:val="21"/>
                <w:vertAlign w:val="superscript"/>
                <w:lang w:val="en-US"/>
              </w:rPr>
              <w:t>-8</w:t>
            </w:r>
            <w:r>
              <w:rPr>
                <w:rFonts w:hint="default" w:ascii="Times New Roman" w:hAnsi="Times New Roman" w:cs="Times New Roman"/>
                <w:sz w:val="21"/>
                <w:szCs w:val="21"/>
                <w:vertAlign w:val="baseline"/>
                <w:lang w:val="en-US"/>
              </w:rPr>
              <w:t>/a</w:t>
            </w:r>
          </w:p>
        </w:tc>
      </w:tr>
      <w:tr w14:paraId="2174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9" w:type="dxa"/>
            <w:vAlign w:val="center"/>
          </w:tcPr>
          <w:p w14:paraId="0BE315E8">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常压全包容储罐</w:t>
            </w:r>
          </w:p>
        </w:tc>
        <w:tc>
          <w:tcPr>
            <w:tcW w:w="3855" w:type="dxa"/>
            <w:vAlign w:val="center"/>
          </w:tcPr>
          <w:p w14:paraId="34F39BF9">
            <w:pPr>
              <w:pStyle w:val="25"/>
              <w:jc w:val="both"/>
              <w:rPr>
                <w:rFonts w:hint="default" w:ascii="Times New Roman" w:hAnsi="Times New Roman" w:cs="Times New Roman"/>
                <w:sz w:val="21"/>
                <w:szCs w:val="21"/>
                <w:vertAlign w:val="baseline"/>
                <w:lang w:val="en-US"/>
              </w:rPr>
            </w:pPr>
            <w:r>
              <w:rPr>
                <w:rFonts w:ascii="宋体" w:hAnsi="宋体" w:eastAsia="宋体" w:cs="宋体"/>
                <w:sz w:val="24"/>
                <w:szCs w:val="24"/>
              </w:rPr>
              <w:t>储罐全破裂</w:t>
            </w:r>
          </w:p>
        </w:tc>
        <w:tc>
          <w:tcPr>
            <w:tcW w:w="2156" w:type="dxa"/>
            <w:vAlign w:val="center"/>
          </w:tcPr>
          <w:p w14:paraId="6646136B">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1.00×10</w:t>
            </w:r>
            <w:r>
              <w:rPr>
                <w:rFonts w:hint="default" w:ascii="Times New Roman" w:hAnsi="Times New Roman" w:cs="Times New Roman"/>
                <w:sz w:val="21"/>
                <w:szCs w:val="21"/>
                <w:vertAlign w:val="superscript"/>
                <w:lang w:val="en-US"/>
              </w:rPr>
              <w:t>-8</w:t>
            </w:r>
            <w:r>
              <w:rPr>
                <w:rFonts w:hint="default" w:ascii="Times New Roman" w:hAnsi="Times New Roman" w:cs="Times New Roman"/>
                <w:sz w:val="21"/>
                <w:szCs w:val="21"/>
                <w:vertAlign w:val="baseline"/>
                <w:lang w:val="en-US"/>
              </w:rPr>
              <w:t>/a</w:t>
            </w:r>
          </w:p>
        </w:tc>
      </w:tr>
      <w:tr w14:paraId="4993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9" w:type="dxa"/>
            <w:vAlign w:val="center"/>
          </w:tcPr>
          <w:p w14:paraId="12739692">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内径≤75mm 的管道</w:t>
            </w:r>
          </w:p>
        </w:tc>
        <w:tc>
          <w:tcPr>
            <w:tcW w:w="3855" w:type="dxa"/>
            <w:vAlign w:val="center"/>
          </w:tcPr>
          <w:p w14:paraId="4EED40D3">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泄漏孔径为10%孔径</w:t>
            </w:r>
          </w:p>
          <w:p w14:paraId="61363A45">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全管径泄漏</w:t>
            </w:r>
          </w:p>
        </w:tc>
        <w:tc>
          <w:tcPr>
            <w:tcW w:w="2156" w:type="dxa"/>
            <w:vAlign w:val="center"/>
          </w:tcPr>
          <w:p w14:paraId="11B5F6DD">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5.00×10</w:t>
            </w:r>
            <w:r>
              <w:rPr>
                <w:rFonts w:hint="default" w:ascii="Times New Roman" w:hAnsi="Times New Roman" w:cs="Times New Roman"/>
                <w:sz w:val="21"/>
                <w:szCs w:val="21"/>
                <w:vertAlign w:val="superscript"/>
                <w:lang w:val="en-US"/>
              </w:rPr>
              <w:t>-6</w:t>
            </w:r>
            <w:r>
              <w:rPr>
                <w:rFonts w:hint="default" w:ascii="Times New Roman" w:hAnsi="Times New Roman" w:cs="Times New Roman"/>
                <w:sz w:val="21"/>
                <w:szCs w:val="21"/>
                <w:vertAlign w:val="baseline"/>
                <w:lang w:val="en-US"/>
              </w:rPr>
              <w:t>/（m·a）</w:t>
            </w:r>
          </w:p>
          <w:p w14:paraId="0E5FFF8B">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1.00×10</w:t>
            </w:r>
            <w:r>
              <w:rPr>
                <w:rFonts w:hint="default" w:ascii="Times New Roman" w:hAnsi="Times New Roman" w:cs="Times New Roman"/>
                <w:sz w:val="21"/>
                <w:szCs w:val="21"/>
                <w:vertAlign w:val="superscript"/>
                <w:lang w:val="en-US"/>
              </w:rPr>
              <w:t>-6</w:t>
            </w:r>
            <w:r>
              <w:rPr>
                <w:rFonts w:hint="default" w:ascii="Times New Roman" w:hAnsi="Times New Roman" w:cs="Times New Roman"/>
                <w:sz w:val="21"/>
                <w:szCs w:val="21"/>
                <w:vertAlign w:val="baseline"/>
                <w:lang w:val="en-US"/>
              </w:rPr>
              <w:t>/（m·a）</w:t>
            </w:r>
          </w:p>
        </w:tc>
      </w:tr>
      <w:tr w14:paraId="26EB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9" w:type="dxa"/>
            <w:vAlign w:val="center"/>
          </w:tcPr>
          <w:p w14:paraId="195CBD4E">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75mm＜内径≤150mm的管道</w:t>
            </w:r>
          </w:p>
        </w:tc>
        <w:tc>
          <w:tcPr>
            <w:tcW w:w="3855" w:type="dxa"/>
            <w:vAlign w:val="center"/>
          </w:tcPr>
          <w:p w14:paraId="1F8F89BC">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泄漏孔径为10%孔径</w:t>
            </w:r>
          </w:p>
          <w:p w14:paraId="36AB3674">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全管径泄漏</w:t>
            </w:r>
          </w:p>
        </w:tc>
        <w:tc>
          <w:tcPr>
            <w:tcW w:w="2156" w:type="dxa"/>
            <w:vAlign w:val="center"/>
          </w:tcPr>
          <w:p w14:paraId="1200A588">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2.00×10</w:t>
            </w:r>
            <w:r>
              <w:rPr>
                <w:rFonts w:hint="default" w:ascii="Times New Roman" w:hAnsi="Times New Roman" w:cs="Times New Roman"/>
                <w:sz w:val="21"/>
                <w:szCs w:val="21"/>
                <w:vertAlign w:val="superscript"/>
                <w:lang w:val="en-US"/>
              </w:rPr>
              <w:t>-6</w:t>
            </w:r>
            <w:r>
              <w:rPr>
                <w:rFonts w:hint="default" w:ascii="Times New Roman" w:hAnsi="Times New Roman" w:cs="Times New Roman"/>
                <w:sz w:val="21"/>
                <w:szCs w:val="21"/>
                <w:vertAlign w:val="baseline"/>
                <w:lang w:val="en-US"/>
              </w:rPr>
              <w:t>/（m·a）</w:t>
            </w:r>
          </w:p>
          <w:p w14:paraId="53269352">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3.00×10</w:t>
            </w:r>
            <w:r>
              <w:rPr>
                <w:rFonts w:hint="default" w:ascii="Times New Roman" w:hAnsi="Times New Roman" w:cs="Times New Roman"/>
                <w:sz w:val="21"/>
                <w:szCs w:val="21"/>
                <w:vertAlign w:val="superscript"/>
                <w:lang w:val="en-US"/>
              </w:rPr>
              <w:t>-7</w:t>
            </w:r>
            <w:r>
              <w:rPr>
                <w:rFonts w:hint="default" w:ascii="Times New Roman" w:hAnsi="Times New Roman" w:cs="Times New Roman"/>
                <w:sz w:val="21"/>
                <w:szCs w:val="21"/>
                <w:vertAlign w:val="baseline"/>
                <w:lang w:val="en-US"/>
              </w:rPr>
              <w:t>/（m·a）</w:t>
            </w:r>
          </w:p>
        </w:tc>
      </w:tr>
      <w:tr w14:paraId="266C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9" w:type="dxa"/>
            <w:vAlign w:val="center"/>
          </w:tcPr>
          <w:p w14:paraId="342629EA">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内径＞150mm 的管道</w:t>
            </w:r>
          </w:p>
        </w:tc>
        <w:tc>
          <w:tcPr>
            <w:tcW w:w="3855" w:type="dxa"/>
            <w:vAlign w:val="center"/>
          </w:tcPr>
          <w:p w14:paraId="736E8A52">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泄漏孔径为10%孔径（最大 50mm）</w:t>
            </w:r>
          </w:p>
          <w:p w14:paraId="541E9C00">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全管径泄漏</w:t>
            </w:r>
          </w:p>
        </w:tc>
        <w:tc>
          <w:tcPr>
            <w:tcW w:w="2156" w:type="dxa"/>
            <w:vAlign w:val="center"/>
          </w:tcPr>
          <w:p w14:paraId="7B8472DB">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2.40×10</w:t>
            </w:r>
            <w:r>
              <w:rPr>
                <w:rFonts w:hint="default" w:ascii="Times New Roman" w:hAnsi="Times New Roman" w:cs="Times New Roman"/>
                <w:sz w:val="21"/>
                <w:szCs w:val="21"/>
                <w:vertAlign w:val="superscript"/>
                <w:lang w:val="en-US"/>
              </w:rPr>
              <w:t>-6</w:t>
            </w:r>
            <w:r>
              <w:rPr>
                <w:rFonts w:hint="default" w:ascii="Times New Roman" w:hAnsi="Times New Roman" w:cs="Times New Roman"/>
                <w:sz w:val="21"/>
                <w:szCs w:val="21"/>
                <w:vertAlign w:val="baseline"/>
                <w:lang w:val="en-US"/>
              </w:rPr>
              <w:t>/（m·a）</w:t>
            </w:r>
          </w:p>
          <w:p w14:paraId="44452211">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1.00×10</w:t>
            </w:r>
            <w:r>
              <w:rPr>
                <w:rFonts w:hint="default" w:ascii="Times New Roman" w:hAnsi="Times New Roman" w:cs="Times New Roman"/>
                <w:sz w:val="21"/>
                <w:szCs w:val="21"/>
                <w:vertAlign w:val="superscript"/>
                <w:lang w:val="en-US"/>
              </w:rPr>
              <w:t>-7</w:t>
            </w:r>
            <w:r>
              <w:rPr>
                <w:rFonts w:hint="default" w:ascii="Times New Roman" w:hAnsi="Times New Roman" w:cs="Times New Roman"/>
                <w:sz w:val="21"/>
                <w:szCs w:val="21"/>
                <w:vertAlign w:val="baseline"/>
                <w:lang w:val="en-US"/>
              </w:rPr>
              <w:t>/（m·a）</w:t>
            </w:r>
          </w:p>
        </w:tc>
      </w:tr>
      <w:tr w14:paraId="1E26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9" w:type="dxa"/>
            <w:vAlign w:val="center"/>
          </w:tcPr>
          <w:p w14:paraId="70ADBF27">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泵体和压缩机</w:t>
            </w:r>
          </w:p>
        </w:tc>
        <w:tc>
          <w:tcPr>
            <w:tcW w:w="3855" w:type="dxa"/>
            <w:vAlign w:val="center"/>
          </w:tcPr>
          <w:p w14:paraId="7795C944">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泵体和压缩机最大连接管泄漏孔径为 10%孔径（最大 50mm）</w:t>
            </w:r>
          </w:p>
          <w:p w14:paraId="27A47177">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泵体和压缩机最大连接管全管径泄漏</w:t>
            </w:r>
          </w:p>
        </w:tc>
        <w:tc>
          <w:tcPr>
            <w:tcW w:w="2156" w:type="dxa"/>
            <w:vAlign w:val="center"/>
          </w:tcPr>
          <w:p w14:paraId="77DAA3FA">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5.00×10</w:t>
            </w:r>
            <w:r>
              <w:rPr>
                <w:rFonts w:hint="default" w:ascii="Times New Roman" w:hAnsi="Times New Roman" w:cs="Times New Roman"/>
                <w:sz w:val="21"/>
                <w:szCs w:val="21"/>
                <w:vertAlign w:val="superscript"/>
                <w:lang w:val="en-US"/>
              </w:rPr>
              <w:t>-4</w:t>
            </w:r>
            <w:r>
              <w:rPr>
                <w:rFonts w:hint="default" w:ascii="Times New Roman" w:hAnsi="Times New Roman" w:cs="Times New Roman"/>
                <w:sz w:val="21"/>
                <w:szCs w:val="21"/>
                <w:vertAlign w:val="baseline"/>
                <w:lang w:val="en-US"/>
              </w:rPr>
              <w:t>/a</w:t>
            </w:r>
          </w:p>
          <w:p w14:paraId="6B49C20F">
            <w:pPr>
              <w:keepNext w:val="0"/>
              <w:keepLines w:val="0"/>
              <w:suppressLineNumbers w:val="0"/>
              <w:spacing w:before="0" w:beforeAutospacing="0" w:after="0" w:afterAutospacing="0"/>
              <w:ind w:left="0" w:right="0"/>
              <w:rPr>
                <w:rFonts w:hint="default"/>
                <w:lang w:val="en-US"/>
              </w:rPr>
            </w:pPr>
          </w:p>
          <w:p w14:paraId="6ABFDEC0">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1.00×10</w:t>
            </w:r>
            <w:r>
              <w:rPr>
                <w:rFonts w:hint="default" w:ascii="Times New Roman" w:hAnsi="Times New Roman" w:cs="Times New Roman"/>
                <w:sz w:val="21"/>
                <w:szCs w:val="21"/>
                <w:vertAlign w:val="superscript"/>
                <w:lang w:val="en-US"/>
              </w:rPr>
              <w:t>-4</w:t>
            </w:r>
            <w:r>
              <w:rPr>
                <w:rFonts w:hint="default" w:ascii="Times New Roman" w:hAnsi="Times New Roman" w:cs="Times New Roman"/>
                <w:sz w:val="21"/>
                <w:szCs w:val="21"/>
                <w:vertAlign w:val="baseline"/>
                <w:lang w:val="en-US"/>
              </w:rPr>
              <w:t>/a</w:t>
            </w:r>
          </w:p>
        </w:tc>
      </w:tr>
      <w:tr w14:paraId="3B5D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9" w:type="dxa"/>
            <w:vAlign w:val="center"/>
          </w:tcPr>
          <w:p w14:paraId="59D26716">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装卸臂</w:t>
            </w:r>
          </w:p>
        </w:tc>
        <w:tc>
          <w:tcPr>
            <w:tcW w:w="3855" w:type="dxa"/>
            <w:vAlign w:val="center"/>
          </w:tcPr>
          <w:p w14:paraId="48B6F678">
            <w:pPr>
              <w:pStyle w:val="25"/>
              <w:jc w:val="both"/>
              <w:rPr>
                <w:rFonts w:hint="default" w:ascii="Times New Roman" w:hAnsi="Times New Roman" w:eastAsia="宋体" w:cs="Times New Roman"/>
                <w:sz w:val="21"/>
                <w:szCs w:val="21"/>
                <w:vertAlign w:val="baseline"/>
                <w:lang w:val="en-US"/>
              </w:rPr>
            </w:pPr>
            <w:r>
              <w:rPr>
                <w:rFonts w:hint="default" w:ascii="Times New Roman" w:hAnsi="Times New Roman" w:eastAsia="宋体" w:cs="Times New Roman"/>
                <w:sz w:val="21"/>
                <w:szCs w:val="21"/>
                <w:vertAlign w:val="baseline"/>
                <w:lang w:val="en-US"/>
              </w:rPr>
              <w:t xml:space="preserve">装卸臂连接管泄漏孔径为 10%孔径（最大 50mm） </w:t>
            </w:r>
          </w:p>
          <w:p w14:paraId="3DC35B42">
            <w:pPr>
              <w:pStyle w:val="25"/>
              <w:jc w:val="both"/>
              <w:rPr>
                <w:rFonts w:hint="default" w:ascii="Times New Roman" w:hAnsi="Times New Roman" w:cs="Times New Roman"/>
                <w:sz w:val="21"/>
                <w:szCs w:val="21"/>
                <w:vertAlign w:val="baseline"/>
                <w:lang w:val="en-US"/>
              </w:rPr>
            </w:pPr>
            <w:r>
              <w:rPr>
                <w:rFonts w:hint="default" w:ascii="Times New Roman" w:hAnsi="Times New Roman" w:eastAsia="宋体" w:cs="Times New Roman"/>
                <w:sz w:val="21"/>
                <w:szCs w:val="21"/>
                <w:vertAlign w:val="baseline"/>
                <w:lang w:val="en-US"/>
              </w:rPr>
              <w:t>装卸臂全管径泄漏</w:t>
            </w:r>
          </w:p>
        </w:tc>
        <w:tc>
          <w:tcPr>
            <w:tcW w:w="2156" w:type="dxa"/>
            <w:vAlign w:val="center"/>
          </w:tcPr>
          <w:p w14:paraId="6C3FBB8E">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3.00×10</w:t>
            </w:r>
            <w:r>
              <w:rPr>
                <w:rFonts w:hint="default" w:ascii="Times New Roman" w:hAnsi="Times New Roman" w:cs="Times New Roman"/>
                <w:sz w:val="21"/>
                <w:szCs w:val="21"/>
                <w:vertAlign w:val="superscript"/>
                <w:lang w:val="en-US"/>
              </w:rPr>
              <w:t>-7</w:t>
            </w:r>
            <w:r>
              <w:rPr>
                <w:rFonts w:hint="default" w:ascii="Times New Roman" w:hAnsi="Times New Roman" w:cs="Times New Roman"/>
                <w:sz w:val="21"/>
                <w:szCs w:val="21"/>
                <w:vertAlign w:val="baseline"/>
                <w:lang w:val="en-US"/>
              </w:rPr>
              <w:t>/h</w:t>
            </w:r>
          </w:p>
          <w:p w14:paraId="14A5E60B">
            <w:pPr>
              <w:keepNext w:val="0"/>
              <w:keepLines w:val="0"/>
              <w:suppressLineNumbers w:val="0"/>
              <w:spacing w:before="0" w:beforeAutospacing="0" w:after="0" w:afterAutospacing="0"/>
              <w:ind w:left="0" w:right="0"/>
              <w:rPr>
                <w:rFonts w:hint="default"/>
                <w:lang w:val="en-US"/>
              </w:rPr>
            </w:pPr>
          </w:p>
          <w:p w14:paraId="2E67E463">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3.00×10</w:t>
            </w:r>
            <w:r>
              <w:rPr>
                <w:rFonts w:hint="default" w:ascii="Times New Roman" w:hAnsi="Times New Roman" w:cs="Times New Roman"/>
                <w:sz w:val="21"/>
                <w:szCs w:val="21"/>
                <w:vertAlign w:val="superscript"/>
                <w:lang w:val="en-US"/>
              </w:rPr>
              <w:t>-8</w:t>
            </w:r>
            <w:r>
              <w:rPr>
                <w:rFonts w:hint="default" w:ascii="Times New Roman" w:hAnsi="Times New Roman" w:cs="Times New Roman"/>
                <w:sz w:val="21"/>
                <w:szCs w:val="21"/>
                <w:vertAlign w:val="baseline"/>
                <w:lang w:val="en-US"/>
              </w:rPr>
              <w:t>/h</w:t>
            </w:r>
          </w:p>
        </w:tc>
      </w:tr>
      <w:tr w14:paraId="329C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9" w:type="dxa"/>
            <w:vAlign w:val="center"/>
          </w:tcPr>
          <w:p w14:paraId="716963FD">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装卸软管</w:t>
            </w:r>
          </w:p>
        </w:tc>
        <w:tc>
          <w:tcPr>
            <w:tcW w:w="3855" w:type="dxa"/>
            <w:vAlign w:val="center"/>
          </w:tcPr>
          <w:p w14:paraId="65F00C06">
            <w:pPr>
              <w:pStyle w:val="25"/>
              <w:jc w:val="both"/>
              <w:rPr>
                <w:rFonts w:hint="eastAsia" w:ascii="Times New Roman" w:hAnsi="Times New Roman" w:eastAsia="宋体" w:cs="Times New Roman"/>
                <w:sz w:val="21"/>
                <w:szCs w:val="21"/>
                <w:vertAlign w:val="baseline"/>
                <w:lang w:val="en-US"/>
              </w:rPr>
            </w:pPr>
            <w:r>
              <w:rPr>
                <w:rFonts w:hint="eastAsia" w:ascii="Times New Roman" w:hAnsi="Times New Roman" w:eastAsia="宋体" w:cs="Times New Roman"/>
                <w:sz w:val="21"/>
                <w:szCs w:val="21"/>
                <w:vertAlign w:val="baseline"/>
                <w:lang w:val="en-US"/>
              </w:rPr>
              <w:t>装卸软管连接管泄漏孔径为 10%孔径（最大50mm）</w:t>
            </w:r>
          </w:p>
          <w:p w14:paraId="40B5A211">
            <w:pPr>
              <w:pStyle w:val="25"/>
              <w:jc w:val="both"/>
              <w:rPr>
                <w:rFonts w:ascii="宋体" w:hAnsi="宋体" w:eastAsia="宋体" w:cs="宋体"/>
                <w:sz w:val="24"/>
                <w:szCs w:val="24"/>
              </w:rPr>
            </w:pPr>
            <w:r>
              <w:rPr>
                <w:rFonts w:hint="eastAsia" w:ascii="Times New Roman" w:hAnsi="Times New Roman" w:eastAsia="宋体" w:cs="Times New Roman"/>
                <w:sz w:val="21"/>
                <w:szCs w:val="21"/>
                <w:vertAlign w:val="baseline"/>
                <w:lang w:val="en-US"/>
              </w:rPr>
              <w:t>装卸软管全管径泄漏</w:t>
            </w:r>
          </w:p>
        </w:tc>
        <w:tc>
          <w:tcPr>
            <w:tcW w:w="2156" w:type="dxa"/>
            <w:vAlign w:val="center"/>
          </w:tcPr>
          <w:p w14:paraId="786CA22E">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4.00×10</w:t>
            </w:r>
            <w:r>
              <w:rPr>
                <w:rFonts w:hint="default" w:ascii="Times New Roman" w:hAnsi="Times New Roman" w:cs="Times New Roman"/>
                <w:sz w:val="21"/>
                <w:szCs w:val="21"/>
                <w:vertAlign w:val="superscript"/>
                <w:lang w:val="en-US"/>
              </w:rPr>
              <w:t>-5</w:t>
            </w:r>
            <w:r>
              <w:rPr>
                <w:rFonts w:hint="default" w:ascii="Times New Roman" w:hAnsi="Times New Roman" w:cs="Times New Roman"/>
                <w:sz w:val="21"/>
                <w:szCs w:val="21"/>
                <w:vertAlign w:val="baseline"/>
                <w:lang w:val="en-US"/>
              </w:rPr>
              <w:t>/h</w:t>
            </w:r>
          </w:p>
          <w:p w14:paraId="359297D4">
            <w:pPr>
              <w:keepNext w:val="0"/>
              <w:keepLines w:val="0"/>
              <w:suppressLineNumbers w:val="0"/>
              <w:spacing w:before="0" w:beforeAutospacing="0" w:after="0" w:afterAutospacing="0"/>
              <w:ind w:left="0" w:right="0"/>
              <w:rPr>
                <w:rFonts w:hint="default"/>
                <w:lang w:val="en-US"/>
              </w:rPr>
            </w:pPr>
          </w:p>
          <w:p w14:paraId="6D10C126">
            <w:pPr>
              <w:pStyle w:val="25"/>
              <w:jc w:val="both"/>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4.00×10</w:t>
            </w:r>
            <w:r>
              <w:rPr>
                <w:rFonts w:hint="default" w:ascii="Times New Roman" w:hAnsi="Times New Roman" w:cs="Times New Roman"/>
                <w:sz w:val="21"/>
                <w:szCs w:val="21"/>
                <w:vertAlign w:val="superscript"/>
                <w:lang w:val="en-US"/>
              </w:rPr>
              <w:t>-6</w:t>
            </w:r>
            <w:r>
              <w:rPr>
                <w:rFonts w:hint="default" w:ascii="Times New Roman" w:hAnsi="Times New Roman" w:cs="Times New Roman"/>
                <w:sz w:val="21"/>
                <w:szCs w:val="21"/>
                <w:vertAlign w:val="baseline"/>
                <w:lang w:val="en-US"/>
              </w:rPr>
              <w:t>/h</w:t>
            </w:r>
          </w:p>
        </w:tc>
      </w:tr>
    </w:tbl>
    <w:p w14:paraId="3C520871">
      <w:pPr>
        <w:pStyle w:val="30"/>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outlineLvl w:val="9"/>
        <w:rPr>
          <w:rFonts w:hint="default"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本项目硝酸储罐属于常压储罐，硝酸装车经装车泵和装车鹤管进行装车，装车台设置定量装车系统，并在装车管道上设置速断阀，速断阀与装车系统联锁，防止超装，未设置装卸软管等。结合本项目特点，确定本项目风险事故情形为</w:t>
      </w:r>
      <w:r>
        <w:rPr>
          <w:rFonts w:hint="eastAsia" w:eastAsia="宋体" w:cs="Times New Roman"/>
          <w:color w:val="auto"/>
          <w:spacing w:val="0"/>
          <w:kern w:val="2"/>
          <w:sz w:val="28"/>
          <w:szCs w:val="28"/>
          <w:highlight w:val="none"/>
          <w:u w:val="none"/>
          <w:lang w:val="en-US" w:eastAsia="zh-CN" w:bidi="ar-SA"/>
        </w:rPr>
        <w:t>1350</w:t>
      </w:r>
      <w:r>
        <w:rPr>
          <w:rFonts w:hint="eastAsia" w:ascii="Times New Roman" w:hAnsi="Times New Roman" w:eastAsia="宋体" w:cs="Times New Roman"/>
          <w:color w:val="auto"/>
          <w:spacing w:val="0"/>
          <w:kern w:val="2"/>
          <w:sz w:val="28"/>
          <w:szCs w:val="28"/>
          <w:highlight w:val="none"/>
          <w:u w:val="none"/>
          <w:lang w:val="en-US" w:eastAsia="zh-CN" w:bidi="ar-SA"/>
        </w:rPr>
        <w:t>m</w:t>
      </w:r>
      <w:r>
        <w:rPr>
          <w:rFonts w:hint="eastAsia" w:ascii="Times New Roman" w:hAnsi="Times New Roman" w:eastAsia="宋体" w:cs="Times New Roman"/>
          <w:color w:val="auto"/>
          <w:spacing w:val="0"/>
          <w:kern w:val="2"/>
          <w:sz w:val="28"/>
          <w:szCs w:val="28"/>
          <w:highlight w:val="none"/>
          <w:u w:val="none"/>
          <w:vertAlign w:val="superscript"/>
          <w:lang w:val="en-US" w:eastAsia="zh-CN" w:bidi="ar-SA"/>
        </w:rPr>
        <w:t>3</w:t>
      </w:r>
      <w:r>
        <w:rPr>
          <w:rFonts w:hint="eastAsia" w:ascii="Times New Roman" w:hAnsi="Times New Roman" w:eastAsia="宋体" w:cs="Times New Roman"/>
          <w:color w:val="auto"/>
          <w:spacing w:val="0"/>
          <w:kern w:val="2"/>
          <w:sz w:val="28"/>
          <w:szCs w:val="28"/>
          <w:highlight w:val="none"/>
          <w:u w:val="none"/>
          <w:lang w:val="en-US" w:eastAsia="zh-CN" w:bidi="ar-SA"/>
        </w:rPr>
        <w:t>储罐泄漏孔径为10mm孔径，泄漏频率为1.00×10</w:t>
      </w:r>
      <w:r>
        <w:rPr>
          <w:rFonts w:hint="eastAsia" w:ascii="Times New Roman" w:hAnsi="Times New Roman" w:eastAsia="宋体" w:cs="Times New Roman"/>
          <w:color w:val="auto"/>
          <w:spacing w:val="0"/>
          <w:kern w:val="2"/>
          <w:sz w:val="28"/>
          <w:szCs w:val="28"/>
          <w:highlight w:val="none"/>
          <w:u w:val="none"/>
          <w:vertAlign w:val="superscript"/>
          <w:lang w:val="en-US" w:eastAsia="zh-CN" w:bidi="ar-SA"/>
        </w:rPr>
        <w:t>-4</w:t>
      </w:r>
      <w:r>
        <w:rPr>
          <w:rFonts w:hint="eastAsia" w:ascii="Times New Roman" w:hAnsi="Times New Roman" w:eastAsia="宋体" w:cs="Times New Roman"/>
          <w:color w:val="auto"/>
          <w:spacing w:val="0"/>
          <w:kern w:val="2"/>
          <w:sz w:val="28"/>
          <w:szCs w:val="28"/>
          <w:highlight w:val="none"/>
          <w:u w:val="none"/>
          <w:lang w:val="en-US" w:eastAsia="zh-CN" w:bidi="ar-SA"/>
        </w:rPr>
        <w:t xml:space="preserve"> /a。</w:t>
      </w:r>
    </w:p>
    <w:p w14:paraId="4A190E23">
      <w:pPr>
        <w:rPr>
          <w:rFonts w:hint="eastAsia" w:ascii="Times New Roman" w:hAnsi="Times New Roman" w:eastAsia="宋体" w:cs="Times New Roman"/>
          <w:b/>
          <w:bCs/>
          <w:color w:val="auto"/>
          <w:spacing w:val="0"/>
          <w:kern w:val="2"/>
          <w:sz w:val="28"/>
          <w:szCs w:val="28"/>
          <w:highlight w:val="none"/>
          <w:u w:val="none"/>
          <w:lang w:val="en-US" w:eastAsia="zh-CN" w:bidi="ar-SA"/>
        </w:rPr>
      </w:pPr>
      <w:bookmarkStart w:id="37" w:name="_Toc9777"/>
      <w:r>
        <w:rPr>
          <w:rFonts w:hint="eastAsia" w:ascii="Times New Roman" w:hAnsi="Times New Roman" w:eastAsia="宋体" w:cs="Times New Roman"/>
          <w:b/>
          <w:bCs/>
          <w:color w:val="auto"/>
          <w:spacing w:val="0"/>
          <w:kern w:val="2"/>
          <w:sz w:val="28"/>
          <w:szCs w:val="28"/>
          <w:highlight w:val="none"/>
          <w:u w:val="none"/>
          <w:lang w:val="en-US" w:eastAsia="zh-CN" w:bidi="ar-SA"/>
        </w:rPr>
        <w:br w:type="page"/>
      </w:r>
    </w:p>
    <w:p w14:paraId="303DF127">
      <w:pPr>
        <w:keepNext w:val="0"/>
        <w:keepLines w:val="0"/>
        <w:widowControl/>
        <w:suppressLineNumbers w:val="0"/>
        <w:ind w:left="0" w:leftChars="0" w:firstLine="0" w:firstLineChars="0"/>
        <w:jc w:val="center"/>
        <w:outlineLvl w:val="0"/>
        <w:rPr>
          <w:rFonts w:hint="eastAsia" w:ascii="Times New Roman" w:hAnsi="Times New Roman" w:eastAsia="宋体" w:cs="Times New Roman"/>
          <w:b/>
          <w:bCs/>
          <w:color w:val="auto"/>
          <w:spacing w:val="0"/>
          <w:kern w:val="2"/>
          <w:sz w:val="28"/>
          <w:szCs w:val="28"/>
          <w:highlight w:val="none"/>
          <w:u w:val="none"/>
          <w:lang w:val="en-US" w:eastAsia="zh-CN" w:bidi="ar-SA"/>
        </w:rPr>
      </w:pPr>
      <w:r>
        <w:rPr>
          <w:rFonts w:hint="eastAsia" w:ascii="Times New Roman" w:hAnsi="Times New Roman" w:eastAsia="宋体" w:cs="Times New Roman"/>
          <w:b/>
          <w:bCs/>
          <w:color w:val="auto"/>
          <w:spacing w:val="0"/>
          <w:kern w:val="2"/>
          <w:sz w:val="28"/>
          <w:szCs w:val="28"/>
          <w:highlight w:val="none"/>
          <w:u w:val="none"/>
          <w:lang w:val="en-US" w:eastAsia="zh-CN" w:bidi="ar-SA"/>
        </w:rPr>
        <w:t>7.风险事故源项分析</w:t>
      </w:r>
      <w:bookmarkEnd w:id="37"/>
    </w:p>
    <w:p w14:paraId="330C002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outlineLvl w:val="1"/>
        <w:rPr>
          <w:rFonts w:hint="eastAsia" w:ascii="Times New Roman" w:hAnsi="Times New Roman" w:eastAsia="宋体" w:cs="Times New Roman"/>
          <w:b/>
          <w:bCs/>
          <w:color w:val="auto"/>
          <w:spacing w:val="0"/>
          <w:kern w:val="2"/>
          <w:sz w:val="28"/>
          <w:szCs w:val="28"/>
          <w:highlight w:val="none"/>
          <w:u w:val="none"/>
          <w:lang w:val="en-US" w:eastAsia="zh-CN" w:bidi="ar-SA"/>
        </w:rPr>
      </w:pPr>
      <w:bookmarkStart w:id="38" w:name="_Toc24726"/>
      <w:r>
        <w:rPr>
          <w:rFonts w:hint="eastAsia" w:ascii="Times New Roman" w:hAnsi="Times New Roman" w:eastAsia="宋体" w:cs="Times New Roman"/>
          <w:b/>
          <w:bCs/>
          <w:color w:val="auto"/>
          <w:spacing w:val="0"/>
          <w:kern w:val="2"/>
          <w:sz w:val="28"/>
          <w:szCs w:val="28"/>
          <w:highlight w:val="none"/>
          <w:u w:val="none"/>
          <w:lang w:val="en-US" w:eastAsia="zh-CN" w:bidi="ar-SA"/>
        </w:rPr>
        <w:t>7.1储存参数</w:t>
      </w:r>
      <w:bookmarkEnd w:id="38"/>
    </w:p>
    <w:p w14:paraId="7CA80FBA">
      <w:pPr>
        <w:pStyle w:val="25"/>
        <w:ind w:firstLine="560" w:firstLineChars="200"/>
        <w:rPr>
          <w:rFonts w:hint="default"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本项目硝酸的储存参数见表7-1。</w:t>
      </w:r>
    </w:p>
    <w:p w14:paraId="7ED2F6FD">
      <w:pPr>
        <w:ind w:left="0" w:leftChars="0" w:firstLine="0" w:firstLineChars="0"/>
        <w:jc w:val="center"/>
        <w:rPr>
          <w:rFonts w:hint="eastAsia"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eastAsia="zh-CN"/>
        </w:rPr>
        <w:t>表</w:t>
      </w:r>
      <w:r>
        <w:rPr>
          <w:rFonts w:hint="eastAsia" w:ascii="Times New Roman" w:hAnsi="Times New Roman" w:eastAsia="宋体" w:cs="Times New Roman"/>
          <w:b/>
          <w:color w:val="auto"/>
          <w:sz w:val="21"/>
          <w:szCs w:val="21"/>
          <w:lang w:val="en-US" w:eastAsia="zh-CN"/>
        </w:rPr>
        <w:t>7</w:t>
      </w:r>
      <w:r>
        <w:rPr>
          <w:rFonts w:hint="default" w:ascii="Times New Roman" w:hAnsi="Times New Roman" w:eastAsia="宋体" w:cs="Times New Roman"/>
          <w:b/>
          <w:color w:val="auto"/>
          <w:sz w:val="21"/>
          <w:szCs w:val="21"/>
          <w:lang w:val="en-US" w:eastAsia="zh-CN"/>
        </w:rPr>
        <w:t>-</w:t>
      </w:r>
      <w:r>
        <w:rPr>
          <w:rFonts w:hint="eastAsia" w:ascii="Times New Roman" w:hAnsi="Times New Roman" w:eastAsia="宋体" w:cs="Times New Roman"/>
          <w:b/>
          <w:color w:val="auto"/>
          <w:sz w:val="21"/>
          <w:szCs w:val="21"/>
          <w:lang w:val="en-US" w:eastAsia="zh-CN"/>
        </w:rPr>
        <w:t>1  源项储存参数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1770"/>
        <w:gridCol w:w="1245"/>
        <w:gridCol w:w="1410"/>
        <w:gridCol w:w="1380"/>
        <w:gridCol w:w="2186"/>
      </w:tblGrid>
      <w:tr w14:paraId="0DE6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14:paraId="6ECC67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r>
              <w:rPr>
                <w:rFonts w:hint="eastAsia" w:ascii="Times New Roman" w:hAnsi="Times New Roman" w:eastAsia="宋体" w:cs="Times New Roman"/>
                <w:b/>
                <w:color w:val="auto"/>
                <w:sz w:val="21"/>
                <w:szCs w:val="21"/>
                <w:lang w:val="en-US" w:eastAsia="zh-CN"/>
              </w:rPr>
              <w:br w:type="page"/>
            </w:r>
            <w:r>
              <w:rPr>
                <w:rFonts w:hint="eastAsia" w:cs="Times New Roman"/>
                <w:b/>
                <w:color w:val="auto"/>
                <w:sz w:val="21"/>
                <w:szCs w:val="21"/>
                <w:lang w:val="en-US" w:eastAsia="zh-CN"/>
              </w:rPr>
              <w:t>储存物质</w:t>
            </w:r>
          </w:p>
        </w:tc>
        <w:tc>
          <w:tcPr>
            <w:tcW w:w="1770" w:type="dxa"/>
            <w:vAlign w:val="center"/>
          </w:tcPr>
          <w:p w14:paraId="3587E2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容器</w:t>
            </w:r>
          </w:p>
        </w:tc>
        <w:tc>
          <w:tcPr>
            <w:tcW w:w="1245" w:type="dxa"/>
            <w:vAlign w:val="center"/>
          </w:tcPr>
          <w:p w14:paraId="449C3F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材质</w:t>
            </w:r>
          </w:p>
        </w:tc>
        <w:tc>
          <w:tcPr>
            <w:tcW w:w="1410" w:type="dxa"/>
            <w:vAlign w:val="center"/>
          </w:tcPr>
          <w:p w14:paraId="618F2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温度压力</w:t>
            </w:r>
          </w:p>
        </w:tc>
        <w:tc>
          <w:tcPr>
            <w:tcW w:w="1380" w:type="dxa"/>
            <w:vAlign w:val="center"/>
          </w:tcPr>
          <w:p w14:paraId="780AFD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r>
              <w:rPr>
                <w:rFonts w:hint="eastAsia" w:ascii="Times New Roman" w:hAnsi="Times New Roman" w:eastAsia="宋体" w:cs="Times New Roman"/>
                <w:b/>
                <w:color w:val="auto"/>
                <w:sz w:val="21"/>
                <w:szCs w:val="21"/>
                <w:vertAlign w:val="baseline"/>
                <w:lang w:val="en-US" w:eastAsia="zh-CN"/>
              </w:rPr>
              <w:t>泄漏管径</w:t>
            </w:r>
          </w:p>
          <w:p w14:paraId="40ED87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r>
              <w:rPr>
                <w:rFonts w:hint="eastAsia" w:ascii="Times New Roman" w:hAnsi="Times New Roman" w:eastAsia="宋体" w:cs="Times New Roman"/>
                <w:b/>
                <w:color w:val="auto"/>
                <w:sz w:val="21"/>
                <w:szCs w:val="21"/>
                <w:vertAlign w:val="baseline"/>
                <w:lang w:val="en-US" w:eastAsia="zh-CN"/>
              </w:rPr>
              <w:t>（mm）</w:t>
            </w:r>
          </w:p>
        </w:tc>
        <w:tc>
          <w:tcPr>
            <w:tcW w:w="2186" w:type="dxa"/>
            <w:vAlign w:val="center"/>
          </w:tcPr>
          <w:p w14:paraId="2F82CF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r>
              <w:rPr>
                <w:rFonts w:hint="eastAsia" w:ascii="Times New Roman" w:hAnsi="Times New Roman" w:eastAsia="宋体" w:cs="Times New Roman"/>
                <w:b/>
                <w:color w:val="auto"/>
                <w:sz w:val="21"/>
                <w:szCs w:val="21"/>
                <w:vertAlign w:val="baseline"/>
                <w:lang w:val="en-US" w:eastAsia="zh-CN"/>
              </w:rPr>
              <w:t>裂口之上液位高度（m）</w:t>
            </w:r>
          </w:p>
        </w:tc>
      </w:tr>
      <w:tr w14:paraId="3DAA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14:paraId="29A7ED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硝酸</w:t>
            </w:r>
          </w:p>
        </w:tc>
        <w:tc>
          <w:tcPr>
            <w:tcW w:w="1770" w:type="dxa"/>
            <w:vAlign w:val="center"/>
          </w:tcPr>
          <w:p w14:paraId="6ADA3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1350m</w:t>
            </w:r>
            <w:r>
              <w:rPr>
                <w:rFonts w:hint="eastAsia" w:cs="Times New Roman"/>
                <w:b w:val="0"/>
                <w:bCs/>
                <w:color w:val="auto"/>
                <w:sz w:val="21"/>
                <w:szCs w:val="21"/>
                <w:vertAlign w:val="superscript"/>
                <w:lang w:val="en-US" w:eastAsia="zh-CN"/>
              </w:rPr>
              <w:t>3</w:t>
            </w:r>
            <w:r>
              <w:rPr>
                <w:rFonts w:hint="eastAsia" w:cs="Times New Roman"/>
                <w:b w:val="0"/>
                <w:bCs/>
                <w:color w:val="auto"/>
                <w:sz w:val="21"/>
                <w:szCs w:val="21"/>
                <w:vertAlign w:val="baseline"/>
                <w:lang w:val="en-US" w:eastAsia="zh-CN"/>
              </w:rPr>
              <w:t>立式储罐</w:t>
            </w:r>
          </w:p>
        </w:tc>
        <w:tc>
          <w:tcPr>
            <w:tcW w:w="1245" w:type="dxa"/>
            <w:vAlign w:val="center"/>
          </w:tcPr>
          <w:p w14:paraId="04AE5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304不锈钢</w:t>
            </w:r>
          </w:p>
        </w:tc>
        <w:tc>
          <w:tcPr>
            <w:tcW w:w="1410" w:type="dxa"/>
            <w:vAlign w:val="center"/>
          </w:tcPr>
          <w:p w14:paraId="52D66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常温，常压</w:t>
            </w:r>
          </w:p>
        </w:tc>
        <w:tc>
          <w:tcPr>
            <w:tcW w:w="1380" w:type="dxa"/>
            <w:vAlign w:val="center"/>
          </w:tcPr>
          <w:p w14:paraId="62B78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10</w:t>
            </w:r>
          </w:p>
        </w:tc>
        <w:tc>
          <w:tcPr>
            <w:tcW w:w="2186" w:type="dxa"/>
            <w:vAlign w:val="center"/>
          </w:tcPr>
          <w:p w14:paraId="5B7493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5</w:t>
            </w:r>
          </w:p>
        </w:tc>
      </w:tr>
    </w:tbl>
    <w:p w14:paraId="4682F5D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outlineLvl w:val="1"/>
        <w:rPr>
          <w:rFonts w:hint="eastAsia" w:cs="Times New Roman"/>
          <w:b/>
          <w:bCs/>
          <w:color w:val="0000FF"/>
          <w:spacing w:val="0"/>
          <w:kern w:val="2"/>
          <w:sz w:val="28"/>
          <w:szCs w:val="28"/>
          <w:highlight w:val="none"/>
          <w:u w:val="none"/>
          <w:lang w:val="en-US" w:eastAsia="zh-CN" w:bidi="ar-SA"/>
        </w:rPr>
      </w:pPr>
      <w:bookmarkStart w:id="39" w:name="_Toc15085"/>
      <w:r>
        <w:rPr>
          <w:rFonts w:hint="eastAsia" w:ascii="Times New Roman" w:hAnsi="Times New Roman" w:eastAsia="宋体" w:cs="Times New Roman"/>
          <w:b/>
          <w:bCs/>
          <w:color w:val="0000FF"/>
          <w:spacing w:val="0"/>
          <w:kern w:val="2"/>
          <w:sz w:val="28"/>
          <w:szCs w:val="28"/>
          <w:highlight w:val="none"/>
          <w:u w:val="none"/>
          <w:lang w:val="en-US" w:eastAsia="zh-CN" w:bidi="ar-SA"/>
        </w:rPr>
        <w:t>7.2</w:t>
      </w:r>
      <w:r>
        <w:rPr>
          <w:rFonts w:hint="eastAsia" w:cs="Times New Roman"/>
          <w:b/>
          <w:bCs/>
          <w:color w:val="0000FF"/>
          <w:spacing w:val="0"/>
          <w:kern w:val="2"/>
          <w:sz w:val="28"/>
          <w:szCs w:val="28"/>
          <w:highlight w:val="none"/>
          <w:u w:val="none"/>
          <w:lang w:val="en-US" w:eastAsia="zh-CN" w:bidi="ar-SA"/>
        </w:rPr>
        <w:t>液体泄露源强计算</w:t>
      </w:r>
      <w:bookmarkEnd w:id="39"/>
    </w:p>
    <w:p w14:paraId="3C124299">
      <w:pPr>
        <w:pStyle w:val="25"/>
        <w:ind w:firstLine="560" w:firstLineChars="200"/>
        <w:rPr>
          <w:rFonts w:hint="eastAsia" w:ascii="Times New Roman" w:hAnsi="Times New Roman" w:eastAsia="宋体" w:cs="Times New Roman"/>
          <w:color w:val="0000FF"/>
          <w:spacing w:val="0"/>
          <w:kern w:val="2"/>
          <w:sz w:val="28"/>
          <w:szCs w:val="28"/>
          <w:highlight w:val="none"/>
          <w:u w:val="none"/>
          <w:lang w:val="en-US" w:eastAsia="zh-CN" w:bidi="ar-SA"/>
        </w:rPr>
      </w:pPr>
      <w:r>
        <w:rPr>
          <w:rFonts w:hint="eastAsia" w:ascii="Times New Roman" w:hAnsi="Times New Roman" w:eastAsia="宋体" w:cs="Times New Roman"/>
          <w:color w:val="0000FF"/>
          <w:spacing w:val="0"/>
          <w:kern w:val="2"/>
          <w:sz w:val="28"/>
          <w:szCs w:val="28"/>
          <w:highlight w:val="none"/>
          <w:u w:val="none"/>
          <w:lang w:val="en-US" w:eastAsia="zh-CN" w:bidi="ar-SA"/>
        </w:rPr>
        <w:t>根据《建设项目环境风险评价技术导则》（HJ169-2018）附录 F 中规定的计算公式，液体泄漏速度为：</w:t>
      </w:r>
    </w:p>
    <w:p w14:paraId="2CBA4462">
      <w:pPr>
        <w:ind w:left="0" w:leftChars="0" w:firstLine="0" w:firstLineChars="0"/>
        <w:jc w:val="center"/>
        <w:rPr>
          <w:rFonts w:hint="default"/>
          <w:color w:val="0000FF"/>
          <w:lang w:val="en-US" w:eastAsia="zh-CN"/>
        </w:rPr>
      </w:pPr>
      <w:r>
        <w:rPr>
          <w:color w:val="0000FF"/>
        </w:rPr>
        <w:drawing>
          <wp:inline distT="0" distB="0" distL="114300" distR="114300">
            <wp:extent cx="2085975" cy="628650"/>
            <wp:effectExtent l="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5"/>
                    <a:stretch>
                      <a:fillRect/>
                    </a:stretch>
                  </pic:blipFill>
                  <pic:spPr>
                    <a:xfrm>
                      <a:off x="0" y="0"/>
                      <a:ext cx="2085975" cy="628650"/>
                    </a:xfrm>
                    <a:prstGeom prst="rect">
                      <a:avLst/>
                    </a:prstGeom>
                    <a:noFill/>
                    <a:ln>
                      <a:noFill/>
                    </a:ln>
                  </pic:spPr>
                </pic:pic>
              </a:graphicData>
            </a:graphic>
          </wp:inline>
        </w:drawing>
      </w:r>
    </w:p>
    <w:p w14:paraId="3BF35CF4">
      <w:pPr>
        <w:ind w:left="0" w:leftChars="0" w:firstLine="560" w:firstLineChars="200"/>
        <w:rPr>
          <w:rFonts w:hint="default" w:ascii="Times New Roman" w:hAnsi="Times New Roman" w:eastAsia="宋体" w:cs="Times New Roman"/>
          <w:color w:val="0000FF"/>
          <w:spacing w:val="0"/>
          <w:kern w:val="2"/>
          <w:sz w:val="28"/>
          <w:szCs w:val="28"/>
          <w:highlight w:val="none"/>
          <w:u w:val="none"/>
          <w:lang w:val="en-US" w:eastAsia="zh-CN" w:bidi="ar-SA"/>
        </w:rPr>
      </w:pPr>
      <w:r>
        <w:rPr>
          <w:rFonts w:hint="default" w:ascii="Times New Roman" w:hAnsi="Times New Roman" w:eastAsia="宋体" w:cs="Times New Roman"/>
          <w:color w:val="0000FF"/>
          <w:spacing w:val="0"/>
          <w:kern w:val="2"/>
          <w:sz w:val="28"/>
          <w:szCs w:val="28"/>
          <w:highlight w:val="none"/>
          <w:u w:val="none"/>
          <w:lang w:val="en-US" w:eastAsia="zh-CN" w:bidi="ar-SA"/>
        </w:rPr>
        <w:t>式中：Q</w:t>
      </w:r>
      <w:r>
        <w:rPr>
          <w:rFonts w:hint="default" w:ascii="Times New Roman" w:hAnsi="Times New Roman" w:eastAsia="宋体" w:cs="Times New Roman"/>
          <w:color w:val="0000FF"/>
          <w:spacing w:val="0"/>
          <w:kern w:val="2"/>
          <w:sz w:val="28"/>
          <w:szCs w:val="28"/>
          <w:highlight w:val="none"/>
          <w:u w:val="none"/>
          <w:vertAlign w:val="subscript"/>
          <w:lang w:val="en-US" w:eastAsia="zh-CN" w:bidi="ar-SA"/>
        </w:rPr>
        <w:t>L</w:t>
      </w:r>
      <w:r>
        <w:rPr>
          <w:rFonts w:hint="default" w:ascii="Times New Roman" w:hAnsi="Times New Roman" w:eastAsia="宋体" w:cs="Times New Roman"/>
          <w:color w:val="0000FF"/>
          <w:spacing w:val="0"/>
          <w:kern w:val="2"/>
          <w:sz w:val="28"/>
          <w:szCs w:val="28"/>
          <w:highlight w:val="none"/>
          <w:u w:val="none"/>
          <w:lang w:val="en-US" w:eastAsia="zh-CN" w:bidi="ar-SA"/>
        </w:rPr>
        <w:t>—液体泄漏速度，kg/s；</w:t>
      </w:r>
    </w:p>
    <w:p w14:paraId="7F116BD4">
      <w:pPr>
        <w:ind w:firstLine="1400" w:firstLineChars="500"/>
        <w:rPr>
          <w:rFonts w:hint="default" w:ascii="Times New Roman" w:hAnsi="Times New Roman" w:eastAsia="宋体" w:cs="Times New Roman"/>
          <w:color w:val="0000FF"/>
          <w:spacing w:val="0"/>
          <w:kern w:val="2"/>
          <w:sz w:val="28"/>
          <w:szCs w:val="28"/>
          <w:highlight w:val="none"/>
          <w:u w:val="none"/>
          <w:lang w:val="en-US" w:eastAsia="zh-CN" w:bidi="ar-SA"/>
        </w:rPr>
      </w:pPr>
      <w:r>
        <w:rPr>
          <w:rFonts w:hint="default" w:ascii="Times New Roman" w:hAnsi="Times New Roman" w:eastAsia="宋体" w:cs="Times New Roman"/>
          <w:color w:val="0000FF"/>
          <w:spacing w:val="0"/>
          <w:kern w:val="2"/>
          <w:sz w:val="28"/>
          <w:szCs w:val="28"/>
          <w:highlight w:val="none"/>
          <w:u w:val="none"/>
          <w:lang w:val="en-US" w:eastAsia="zh-CN" w:bidi="ar-SA"/>
        </w:rPr>
        <w:t>P—容器内介质压力，Pa；</w:t>
      </w:r>
    </w:p>
    <w:p w14:paraId="52E14FB4">
      <w:pPr>
        <w:ind w:firstLine="1400" w:firstLineChars="500"/>
        <w:rPr>
          <w:rFonts w:hint="default" w:ascii="Times New Roman" w:hAnsi="Times New Roman" w:eastAsia="宋体" w:cs="Times New Roman"/>
          <w:color w:val="0000FF"/>
          <w:spacing w:val="0"/>
          <w:kern w:val="2"/>
          <w:sz w:val="28"/>
          <w:szCs w:val="28"/>
          <w:highlight w:val="none"/>
          <w:u w:val="none"/>
          <w:lang w:val="en-US" w:eastAsia="zh-CN" w:bidi="ar-SA"/>
        </w:rPr>
      </w:pPr>
      <w:r>
        <w:rPr>
          <w:rFonts w:hint="default" w:ascii="Times New Roman" w:hAnsi="Times New Roman" w:eastAsia="宋体" w:cs="Times New Roman"/>
          <w:color w:val="0000FF"/>
          <w:spacing w:val="0"/>
          <w:kern w:val="2"/>
          <w:sz w:val="28"/>
          <w:szCs w:val="28"/>
          <w:highlight w:val="none"/>
          <w:u w:val="none"/>
          <w:lang w:val="en-US" w:eastAsia="zh-CN" w:bidi="ar-SA"/>
        </w:rPr>
        <w:t>P</w:t>
      </w:r>
      <w:r>
        <w:rPr>
          <w:rFonts w:hint="default" w:ascii="Times New Roman" w:hAnsi="Times New Roman" w:eastAsia="宋体" w:cs="Times New Roman"/>
          <w:color w:val="0000FF"/>
          <w:spacing w:val="0"/>
          <w:kern w:val="2"/>
          <w:sz w:val="28"/>
          <w:szCs w:val="28"/>
          <w:highlight w:val="none"/>
          <w:u w:val="none"/>
          <w:vertAlign w:val="subscript"/>
          <w:lang w:val="en-US" w:eastAsia="zh-CN" w:bidi="ar-SA"/>
        </w:rPr>
        <w:t>0</w:t>
      </w:r>
      <w:r>
        <w:rPr>
          <w:rFonts w:hint="default" w:ascii="Times New Roman" w:hAnsi="Times New Roman" w:eastAsia="宋体" w:cs="Times New Roman"/>
          <w:color w:val="0000FF"/>
          <w:spacing w:val="0"/>
          <w:kern w:val="2"/>
          <w:sz w:val="28"/>
          <w:szCs w:val="28"/>
          <w:highlight w:val="none"/>
          <w:u w:val="none"/>
          <w:lang w:val="en-US" w:eastAsia="zh-CN" w:bidi="ar-SA"/>
        </w:rPr>
        <w:t>—环境压力（Pa），常压储存状态下P=P</w:t>
      </w:r>
      <w:r>
        <w:rPr>
          <w:rFonts w:hint="default" w:ascii="Times New Roman" w:hAnsi="Times New Roman" w:eastAsia="宋体" w:cs="Times New Roman"/>
          <w:color w:val="0000FF"/>
          <w:spacing w:val="0"/>
          <w:kern w:val="2"/>
          <w:sz w:val="28"/>
          <w:szCs w:val="28"/>
          <w:highlight w:val="none"/>
          <w:u w:val="none"/>
          <w:vertAlign w:val="subscript"/>
          <w:lang w:val="en-US" w:eastAsia="zh-CN" w:bidi="ar-SA"/>
        </w:rPr>
        <w:t>0</w:t>
      </w:r>
      <w:r>
        <w:rPr>
          <w:rFonts w:hint="default" w:ascii="Times New Roman" w:hAnsi="Times New Roman" w:eastAsia="宋体" w:cs="Times New Roman"/>
          <w:color w:val="0000FF"/>
          <w:spacing w:val="0"/>
          <w:kern w:val="2"/>
          <w:sz w:val="28"/>
          <w:szCs w:val="28"/>
          <w:highlight w:val="none"/>
          <w:u w:val="none"/>
          <w:lang w:val="en-US" w:eastAsia="zh-CN" w:bidi="ar-SA"/>
        </w:rPr>
        <w:t>；</w:t>
      </w:r>
    </w:p>
    <w:p w14:paraId="7F70FCBB">
      <w:pPr>
        <w:rPr>
          <w:rFonts w:hint="default" w:ascii="Times New Roman" w:hAnsi="Times New Roman" w:eastAsia="宋体" w:cs="Times New Roman"/>
          <w:color w:val="0000FF"/>
          <w:spacing w:val="0"/>
          <w:kern w:val="2"/>
          <w:sz w:val="28"/>
          <w:szCs w:val="28"/>
          <w:highlight w:val="none"/>
          <w:u w:val="none"/>
          <w:lang w:val="en-US" w:eastAsia="zh-CN" w:bidi="ar-SA"/>
        </w:rPr>
      </w:pPr>
      <w:r>
        <w:rPr>
          <w:rFonts w:hint="default" w:ascii="Times New Roman" w:hAnsi="Times New Roman" w:eastAsia="宋体" w:cs="Times New Roman"/>
          <w:color w:val="0000FF"/>
          <w:spacing w:val="0"/>
          <w:kern w:val="2"/>
          <w:sz w:val="28"/>
          <w:szCs w:val="28"/>
          <w:highlight w:val="none"/>
          <w:u w:val="none"/>
          <w:lang w:val="en-US" w:eastAsia="zh-CN" w:bidi="ar-SA"/>
        </w:rPr>
        <w:t xml:space="preserve"> </w:t>
      </w:r>
      <w:r>
        <w:rPr>
          <w:rFonts w:hint="eastAsia" w:cs="Times New Roman"/>
          <w:color w:val="0000FF"/>
          <w:spacing w:val="0"/>
          <w:kern w:val="2"/>
          <w:sz w:val="28"/>
          <w:szCs w:val="28"/>
          <w:highlight w:val="none"/>
          <w:u w:val="none"/>
          <w:lang w:val="en-US" w:eastAsia="zh-CN" w:bidi="ar-SA"/>
        </w:rPr>
        <w:t xml:space="preserve">     </w:t>
      </w:r>
      <w:r>
        <w:rPr>
          <w:rFonts w:hint="default" w:ascii="Times New Roman" w:hAnsi="Times New Roman" w:eastAsia="宋体" w:cs="Times New Roman"/>
          <w:color w:val="0000FF"/>
          <w:spacing w:val="0"/>
          <w:kern w:val="2"/>
          <w:sz w:val="28"/>
          <w:szCs w:val="28"/>
          <w:highlight w:val="none"/>
          <w:u w:val="none"/>
          <w:lang w:val="en-US" w:eastAsia="zh-CN" w:bidi="ar-SA"/>
        </w:rPr>
        <w:t>C</w:t>
      </w:r>
      <w:r>
        <w:rPr>
          <w:rFonts w:hint="default" w:ascii="Times New Roman" w:hAnsi="Times New Roman" w:eastAsia="宋体" w:cs="Times New Roman"/>
          <w:color w:val="0000FF"/>
          <w:spacing w:val="0"/>
          <w:kern w:val="2"/>
          <w:sz w:val="28"/>
          <w:szCs w:val="28"/>
          <w:highlight w:val="none"/>
          <w:u w:val="none"/>
          <w:vertAlign w:val="subscript"/>
          <w:lang w:val="en-US" w:eastAsia="zh-CN" w:bidi="ar-SA"/>
        </w:rPr>
        <w:t>d</w:t>
      </w:r>
      <w:r>
        <w:rPr>
          <w:rFonts w:hint="default" w:ascii="Times New Roman" w:hAnsi="Times New Roman" w:eastAsia="宋体" w:cs="Times New Roman"/>
          <w:color w:val="0000FF"/>
          <w:spacing w:val="0"/>
          <w:kern w:val="2"/>
          <w:sz w:val="28"/>
          <w:szCs w:val="28"/>
          <w:highlight w:val="none"/>
          <w:u w:val="none"/>
          <w:lang w:val="en-US" w:eastAsia="zh-CN" w:bidi="ar-SA"/>
        </w:rPr>
        <w:t>—液体泄漏系数，评价取0.65；</w:t>
      </w:r>
    </w:p>
    <w:p w14:paraId="755724AE">
      <w:pPr>
        <w:rPr>
          <w:rFonts w:hint="default" w:ascii="Times New Roman" w:hAnsi="Times New Roman" w:eastAsia="宋体" w:cs="Times New Roman"/>
          <w:color w:val="0000FF"/>
          <w:spacing w:val="0"/>
          <w:kern w:val="2"/>
          <w:sz w:val="28"/>
          <w:szCs w:val="28"/>
          <w:highlight w:val="none"/>
          <w:u w:val="none"/>
          <w:lang w:val="en-US" w:eastAsia="zh-CN" w:bidi="ar-SA"/>
        </w:rPr>
      </w:pPr>
      <w:r>
        <w:rPr>
          <w:rFonts w:hint="default" w:ascii="Times New Roman" w:hAnsi="Times New Roman" w:eastAsia="宋体" w:cs="Times New Roman"/>
          <w:color w:val="0000FF"/>
          <w:spacing w:val="0"/>
          <w:kern w:val="2"/>
          <w:sz w:val="28"/>
          <w:szCs w:val="28"/>
          <w:highlight w:val="none"/>
          <w:u w:val="none"/>
          <w:lang w:val="en-US" w:eastAsia="zh-CN" w:bidi="ar-SA"/>
        </w:rPr>
        <w:t xml:space="preserve"> </w:t>
      </w:r>
      <w:r>
        <w:rPr>
          <w:rFonts w:hint="eastAsia" w:cs="Times New Roman"/>
          <w:color w:val="0000FF"/>
          <w:spacing w:val="0"/>
          <w:kern w:val="2"/>
          <w:sz w:val="28"/>
          <w:szCs w:val="28"/>
          <w:highlight w:val="none"/>
          <w:u w:val="none"/>
          <w:lang w:val="en-US" w:eastAsia="zh-CN" w:bidi="ar-SA"/>
        </w:rPr>
        <w:t xml:space="preserve">     </w:t>
      </w:r>
      <w:r>
        <w:rPr>
          <w:rFonts w:hint="default" w:ascii="Times New Roman" w:hAnsi="Times New Roman" w:eastAsia="宋体" w:cs="Times New Roman"/>
          <w:color w:val="0000FF"/>
          <w:spacing w:val="0"/>
          <w:kern w:val="2"/>
          <w:sz w:val="28"/>
          <w:szCs w:val="28"/>
          <w:highlight w:val="none"/>
          <w:u w:val="none"/>
          <w:lang w:val="en-US" w:eastAsia="zh-CN" w:bidi="ar-SA"/>
        </w:rPr>
        <w:t>A—裂口面积（m</w:t>
      </w:r>
      <w:r>
        <w:rPr>
          <w:rFonts w:hint="default" w:ascii="Times New Roman" w:hAnsi="Times New Roman" w:eastAsia="宋体" w:cs="Times New Roman"/>
          <w:color w:val="0000FF"/>
          <w:spacing w:val="0"/>
          <w:kern w:val="2"/>
          <w:sz w:val="28"/>
          <w:szCs w:val="28"/>
          <w:highlight w:val="none"/>
          <w:u w:val="none"/>
          <w:vertAlign w:val="superscript"/>
          <w:lang w:val="en-US" w:eastAsia="zh-CN" w:bidi="ar-SA"/>
        </w:rPr>
        <w:t>2</w:t>
      </w:r>
      <w:r>
        <w:rPr>
          <w:rFonts w:hint="default" w:ascii="Times New Roman" w:hAnsi="Times New Roman" w:eastAsia="宋体" w:cs="Times New Roman"/>
          <w:color w:val="0000FF"/>
          <w:spacing w:val="0"/>
          <w:kern w:val="2"/>
          <w:sz w:val="28"/>
          <w:szCs w:val="28"/>
          <w:highlight w:val="none"/>
          <w:u w:val="none"/>
          <w:lang w:val="en-US" w:eastAsia="zh-CN" w:bidi="ar-SA"/>
        </w:rPr>
        <w:t>），即 0.0000785m</w:t>
      </w:r>
      <w:r>
        <w:rPr>
          <w:rFonts w:hint="default" w:ascii="Times New Roman" w:hAnsi="Times New Roman" w:eastAsia="宋体" w:cs="Times New Roman"/>
          <w:color w:val="0000FF"/>
          <w:spacing w:val="0"/>
          <w:kern w:val="2"/>
          <w:sz w:val="28"/>
          <w:szCs w:val="28"/>
          <w:highlight w:val="none"/>
          <w:u w:val="none"/>
          <w:vertAlign w:val="superscript"/>
          <w:lang w:val="en-US" w:eastAsia="zh-CN" w:bidi="ar-SA"/>
        </w:rPr>
        <w:t>2</w:t>
      </w:r>
      <w:r>
        <w:rPr>
          <w:rFonts w:hint="default" w:ascii="Times New Roman" w:hAnsi="Times New Roman" w:eastAsia="宋体" w:cs="Times New Roman"/>
          <w:color w:val="0000FF"/>
          <w:spacing w:val="0"/>
          <w:kern w:val="2"/>
          <w:sz w:val="28"/>
          <w:szCs w:val="28"/>
          <w:highlight w:val="none"/>
          <w:u w:val="none"/>
          <w:lang w:val="en-US" w:eastAsia="zh-CN" w:bidi="ar-SA"/>
        </w:rPr>
        <w:t>；</w:t>
      </w:r>
    </w:p>
    <w:p w14:paraId="4F2298B3">
      <w:pPr>
        <w:rPr>
          <w:rFonts w:hint="default" w:ascii="Times New Roman" w:hAnsi="Times New Roman" w:eastAsia="宋体" w:cs="Times New Roman"/>
          <w:color w:val="0000FF"/>
          <w:spacing w:val="0"/>
          <w:kern w:val="2"/>
          <w:sz w:val="28"/>
          <w:szCs w:val="28"/>
          <w:highlight w:val="none"/>
          <w:u w:val="none"/>
          <w:lang w:val="en-US" w:eastAsia="zh-CN" w:bidi="ar-SA"/>
        </w:rPr>
      </w:pPr>
      <w:r>
        <w:rPr>
          <w:rFonts w:hint="default" w:ascii="Times New Roman" w:hAnsi="Times New Roman" w:eastAsia="宋体" w:cs="Times New Roman"/>
          <w:color w:val="0000FF"/>
          <w:spacing w:val="0"/>
          <w:kern w:val="2"/>
          <w:sz w:val="28"/>
          <w:szCs w:val="28"/>
          <w:highlight w:val="none"/>
          <w:u w:val="none"/>
          <w:lang w:val="en-US" w:eastAsia="zh-CN" w:bidi="ar-SA"/>
        </w:rPr>
        <w:t xml:space="preserve"> </w:t>
      </w:r>
      <w:r>
        <w:rPr>
          <w:rFonts w:hint="eastAsia" w:cs="Times New Roman"/>
          <w:color w:val="0000FF"/>
          <w:spacing w:val="0"/>
          <w:kern w:val="2"/>
          <w:sz w:val="28"/>
          <w:szCs w:val="28"/>
          <w:highlight w:val="none"/>
          <w:u w:val="none"/>
          <w:lang w:val="en-US" w:eastAsia="zh-CN" w:bidi="ar-SA"/>
        </w:rPr>
        <w:t xml:space="preserve">     </w:t>
      </w:r>
      <w:r>
        <w:rPr>
          <w:rFonts w:hint="default" w:ascii="Times New Roman" w:hAnsi="Times New Roman" w:eastAsia="宋体" w:cs="Times New Roman"/>
          <w:color w:val="0000FF"/>
          <w:spacing w:val="0"/>
          <w:kern w:val="2"/>
          <w:sz w:val="28"/>
          <w:szCs w:val="28"/>
          <w:highlight w:val="none"/>
          <w:u w:val="none"/>
          <w:lang w:val="en-US" w:eastAsia="zh-CN" w:bidi="ar-SA"/>
        </w:rPr>
        <w:t>ρ—</w:t>
      </w:r>
      <w:r>
        <w:rPr>
          <w:rFonts w:hint="eastAsia" w:cs="Times New Roman"/>
          <w:color w:val="0000FF"/>
          <w:spacing w:val="0"/>
          <w:kern w:val="2"/>
          <w:sz w:val="28"/>
          <w:szCs w:val="28"/>
          <w:highlight w:val="none"/>
          <w:u w:val="none"/>
          <w:lang w:val="en-US" w:eastAsia="zh-CN" w:bidi="ar-SA"/>
        </w:rPr>
        <w:t>泄露</w:t>
      </w:r>
      <w:r>
        <w:rPr>
          <w:rFonts w:hint="default" w:ascii="Times New Roman" w:hAnsi="Times New Roman" w:eastAsia="宋体" w:cs="Times New Roman"/>
          <w:color w:val="0000FF"/>
          <w:spacing w:val="0"/>
          <w:kern w:val="2"/>
          <w:sz w:val="28"/>
          <w:szCs w:val="28"/>
          <w:highlight w:val="none"/>
          <w:u w:val="none"/>
          <w:lang w:val="en-US" w:eastAsia="zh-CN" w:bidi="ar-SA"/>
        </w:rPr>
        <w:t>液体密度</w:t>
      </w:r>
      <w:r>
        <w:rPr>
          <w:rFonts w:hint="eastAsia" w:cs="Times New Roman"/>
          <w:color w:val="0000FF"/>
          <w:spacing w:val="0"/>
          <w:kern w:val="2"/>
          <w:sz w:val="28"/>
          <w:szCs w:val="28"/>
          <w:highlight w:val="none"/>
          <w:u w:val="none"/>
          <w:lang w:val="en-US" w:eastAsia="zh-CN" w:bidi="ar-SA"/>
        </w:rPr>
        <w:t>，</w:t>
      </w:r>
      <w:r>
        <w:rPr>
          <w:rFonts w:hint="default" w:ascii="Times New Roman" w:hAnsi="Times New Roman" w:eastAsia="宋体" w:cs="Times New Roman"/>
          <w:color w:val="0000FF"/>
          <w:spacing w:val="0"/>
          <w:kern w:val="2"/>
          <w:sz w:val="28"/>
          <w:szCs w:val="28"/>
          <w:highlight w:val="none"/>
          <w:u w:val="none"/>
          <w:lang w:val="en-US" w:eastAsia="zh-CN" w:bidi="ar-SA"/>
        </w:rPr>
        <w:t>kg/m</w:t>
      </w:r>
      <w:r>
        <w:rPr>
          <w:rFonts w:hint="default" w:ascii="Times New Roman" w:hAnsi="Times New Roman" w:eastAsia="宋体" w:cs="Times New Roman"/>
          <w:color w:val="0000FF"/>
          <w:spacing w:val="0"/>
          <w:kern w:val="2"/>
          <w:sz w:val="28"/>
          <w:szCs w:val="28"/>
          <w:highlight w:val="none"/>
          <w:u w:val="none"/>
          <w:vertAlign w:val="superscript"/>
          <w:lang w:val="en-US" w:eastAsia="zh-CN" w:bidi="ar-SA"/>
        </w:rPr>
        <w:t>3</w:t>
      </w:r>
      <w:r>
        <w:rPr>
          <w:rFonts w:hint="default" w:ascii="Times New Roman" w:hAnsi="Times New Roman" w:eastAsia="宋体" w:cs="Times New Roman"/>
          <w:color w:val="0000FF"/>
          <w:spacing w:val="0"/>
          <w:kern w:val="2"/>
          <w:sz w:val="28"/>
          <w:szCs w:val="28"/>
          <w:highlight w:val="none"/>
          <w:u w:val="none"/>
          <w:lang w:val="en-US" w:eastAsia="zh-CN" w:bidi="ar-SA"/>
        </w:rPr>
        <w:t>；</w:t>
      </w:r>
    </w:p>
    <w:p w14:paraId="5CF76748">
      <w:pPr>
        <w:ind w:firstLine="1400" w:firstLineChars="500"/>
        <w:rPr>
          <w:rFonts w:hint="default" w:ascii="Times New Roman" w:hAnsi="Times New Roman" w:eastAsia="宋体" w:cs="Times New Roman"/>
          <w:color w:val="0000FF"/>
          <w:spacing w:val="0"/>
          <w:kern w:val="2"/>
          <w:sz w:val="28"/>
          <w:szCs w:val="28"/>
          <w:highlight w:val="none"/>
          <w:u w:val="none"/>
          <w:lang w:val="en-US" w:eastAsia="zh-CN" w:bidi="ar-SA"/>
        </w:rPr>
      </w:pPr>
      <w:r>
        <w:rPr>
          <w:rFonts w:hint="default" w:ascii="Times New Roman" w:hAnsi="Times New Roman" w:eastAsia="宋体" w:cs="Times New Roman"/>
          <w:color w:val="0000FF"/>
          <w:spacing w:val="0"/>
          <w:kern w:val="2"/>
          <w:sz w:val="28"/>
          <w:szCs w:val="28"/>
          <w:highlight w:val="none"/>
          <w:u w:val="none"/>
          <w:lang w:val="en-US" w:eastAsia="zh-CN" w:bidi="ar-SA"/>
        </w:rPr>
        <w:t>g—重力加速度，9.8m/s</w:t>
      </w:r>
      <w:r>
        <w:rPr>
          <w:rFonts w:hint="default" w:ascii="Times New Roman" w:hAnsi="Times New Roman" w:eastAsia="宋体" w:cs="Times New Roman"/>
          <w:color w:val="0000FF"/>
          <w:spacing w:val="0"/>
          <w:kern w:val="2"/>
          <w:sz w:val="28"/>
          <w:szCs w:val="28"/>
          <w:highlight w:val="none"/>
          <w:u w:val="none"/>
          <w:vertAlign w:val="superscript"/>
          <w:lang w:val="en-US" w:eastAsia="zh-CN" w:bidi="ar-SA"/>
        </w:rPr>
        <w:t>2</w:t>
      </w:r>
      <w:r>
        <w:rPr>
          <w:rFonts w:hint="default" w:ascii="Times New Roman" w:hAnsi="Times New Roman" w:eastAsia="宋体" w:cs="Times New Roman"/>
          <w:color w:val="0000FF"/>
          <w:spacing w:val="0"/>
          <w:kern w:val="2"/>
          <w:sz w:val="28"/>
          <w:szCs w:val="28"/>
          <w:highlight w:val="none"/>
          <w:u w:val="none"/>
          <w:lang w:val="en-US" w:eastAsia="zh-CN" w:bidi="ar-SA"/>
        </w:rPr>
        <w:t>；</w:t>
      </w:r>
    </w:p>
    <w:p w14:paraId="6633DC3B">
      <w:pPr>
        <w:ind w:firstLine="1400" w:firstLineChars="500"/>
        <w:rPr>
          <w:rFonts w:hint="default" w:ascii="Times New Roman" w:hAnsi="Times New Roman" w:eastAsia="宋体" w:cs="Times New Roman"/>
          <w:color w:val="0000FF"/>
          <w:spacing w:val="0"/>
          <w:kern w:val="2"/>
          <w:sz w:val="28"/>
          <w:szCs w:val="28"/>
          <w:highlight w:val="none"/>
          <w:u w:val="none"/>
          <w:lang w:val="en-US" w:eastAsia="zh-CN" w:bidi="ar-SA"/>
        </w:rPr>
      </w:pPr>
      <w:r>
        <w:rPr>
          <w:rFonts w:hint="default" w:ascii="Times New Roman" w:hAnsi="Times New Roman" w:eastAsia="宋体" w:cs="Times New Roman"/>
          <w:color w:val="0000FF"/>
          <w:spacing w:val="0"/>
          <w:kern w:val="2"/>
          <w:sz w:val="28"/>
          <w:szCs w:val="28"/>
          <w:highlight w:val="none"/>
          <w:u w:val="none"/>
          <w:lang w:val="en-US" w:eastAsia="zh-CN" w:bidi="ar-SA"/>
        </w:rPr>
        <w:t>h—裂口之上液位高度</w:t>
      </w:r>
      <w:r>
        <w:rPr>
          <w:rFonts w:hint="eastAsia" w:cs="Times New Roman"/>
          <w:color w:val="0000FF"/>
          <w:spacing w:val="0"/>
          <w:kern w:val="2"/>
          <w:sz w:val="28"/>
          <w:szCs w:val="28"/>
          <w:highlight w:val="none"/>
          <w:u w:val="none"/>
          <w:lang w:val="en-US" w:eastAsia="zh-CN" w:bidi="ar-SA"/>
        </w:rPr>
        <w:t>，m</w:t>
      </w:r>
      <w:r>
        <w:rPr>
          <w:rFonts w:hint="default" w:ascii="Times New Roman" w:hAnsi="Times New Roman" w:eastAsia="宋体" w:cs="Times New Roman"/>
          <w:color w:val="0000FF"/>
          <w:spacing w:val="0"/>
          <w:kern w:val="2"/>
          <w:sz w:val="28"/>
          <w:szCs w:val="28"/>
          <w:highlight w:val="none"/>
          <w:u w:val="none"/>
          <w:lang w:val="en-US" w:eastAsia="zh-CN" w:bidi="ar-SA"/>
        </w:rPr>
        <w:t>。</w:t>
      </w:r>
    </w:p>
    <w:p w14:paraId="6105F0EC">
      <w:pPr>
        <w:pStyle w:val="25"/>
        <w:ind w:firstLine="560" w:firstLineChars="200"/>
        <w:rPr>
          <w:rFonts w:hint="default"/>
          <w:color w:val="0000FF"/>
          <w:lang w:val="en-US" w:eastAsia="zh-CN"/>
        </w:rPr>
      </w:pPr>
      <w:r>
        <w:rPr>
          <w:rFonts w:hint="eastAsia" w:ascii="Times New Roman" w:cs="Times New Roman"/>
          <w:color w:val="0000FF"/>
          <w:spacing w:val="0"/>
          <w:kern w:val="2"/>
          <w:sz w:val="28"/>
          <w:szCs w:val="28"/>
          <w:highlight w:val="none"/>
          <w:u w:val="none"/>
          <w:lang w:val="en-US" w:eastAsia="zh-CN" w:bidi="ar-SA"/>
        </w:rPr>
        <w:t>液体泄露系数见下表。</w:t>
      </w:r>
    </w:p>
    <w:p w14:paraId="1CBA6EDD">
      <w:pPr>
        <w:ind w:left="0" w:leftChars="0" w:firstLine="0" w:firstLineChars="0"/>
        <w:jc w:val="center"/>
        <w:rPr>
          <w:rFonts w:hint="eastAsia" w:ascii="Times New Roman" w:hAnsi="Times New Roman" w:eastAsia="宋体" w:cs="Times New Roman"/>
          <w:b/>
          <w:color w:val="0000FF"/>
          <w:sz w:val="21"/>
          <w:szCs w:val="21"/>
          <w:lang w:val="en-US" w:eastAsia="zh-CN"/>
        </w:rPr>
      </w:pPr>
      <w:r>
        <w:rPr>
          <w:rFonts w:hint="default" w:ascii="Times New Roman" w:hAnsi="Times New Roman" w:eastAsia="宋体" w:cs="Times New Roman"/>
          <w:b/>
          <w:color w:val="0000FF"/>
          <w:sz w:val="21"/>
          <w:szCs w:val="21"/>
          <w:lang w:eastAsia="zh-CN"/>
        </w:rPr>
        <w:t>表</w:t>
      </w:r>
      <w:r>
        <w:rPr>
          <w:rFonts w:hint="eastAsia" w:ascii="Times New Roman" w:hAnsi="Times New Roman" w:eastAsia="宋体" w:cs="Times New Roman"/>
          <w:b/>
          <w:color w:val="0000FF"/>
          <w:sz w:val="21"/>
          <w:szCs w:val="21"/>
          <w:lang w:val="en-US" w:eastAsia="zh-CN"/>
        </w:rPr>
        <w:t>7</w:t>
      </w:r>
      <w:r>
        <w:rPr>
          <w:rFonts w:hint="default" w:ascii="Times New Roman" w:hAnsi="Times New Roman" w:eastAsia="宋体" w:cs="Times New Roman"/>
          <w:b/>
          <w:color w:val="0000FF"/>
          <w:sz w:val="21"/>
          <w:szCs w:val="21"/>
          <w:lang w:val="en-US" w:eastAsia="zh-CN"/>
        </w:rPr>
        <w:t>-</w:t>
      </w:r>
      <w:r>
        <w:rPr>
          <w:rFonts w:hint="eastAsia" w:cs="Times New Roman"/>
          <w:b/>
          <w:color w:val="0000FF"/>
          <w:sz w:val="21"/>
          <w:szCs w:val="21"/>
          <w:lang w:val="en-US" w:eastAsia="zh-CN"/>
        </w:rPr>
        <w:t>2</w:t>
      </w:r>
      <w:r>
        <w:rPr>
          <w:rFonts w:hint="eastAsia" w:ascii="Times New Roman" w:hAnsi="Times New Roman" w:eastAsia="宋体" w:cs="Times New Roman"/>
          <w:b/>
          <w:color w:val="0000FF"/>
          <w:sz w:val="21"/>
          <w:szCs w:val="21"/>
          <w:lang w:val="en-US" w:eastAsia="zh-CN"/>
        </w:rPr>
        <w:t xml:space="preserve">  </w:t>
      </w:r>
      <w:r>
        <w:rPr>
          <w:rFonts w:hint="eastAsia" w:cs="Times New Roman"/>
          <w:b/>
          <w:color w:val="0000FF"/>
          <w:sz w:val="21"/>
          <w:szCs w:val="21"/>
          <w:lang w:val="en-US" w:eastAsia="zh-CN"/>
        </w:rPr>
        <w:t>液体泄露系数（C</w:t>
      </w:r>
      <w:r>
        <w:rPr>
          <w:rFonts w:hint="eastAsia" w:cs="Times New Roman"/>
          <w:b/>
          <w:color w:val="0000FF"/>
          <w:sz w:val="21"/>
          <w:szCs w:val="21"/>
          <w:vertAlign w:val="subscript"/>
          <w:lang w:val="en-US" w:eastAsia="zh-CN"/>
        </w:rPr>
        <w:t>d</w:t>
      </w:r>
      <w:r>
        <w:rPr>
          <w:rFonts w:hint="eastAsia" w:cs="Times New Roman"/>
          <w:b/>
          <w:color w:val="0000FF"/>
          <w:sz w:val="21"/>
          <w:szCs w:val="21"/>
          <w:lang w:val="en-US" w:eastAsia="zh-CN"/>
        </w:rPr>
        <w:t>）</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14:paraId="1849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265" w:type="dxa"/>
            <w:vMerge w:val="restart"/>
            <w:vAlign w:val="center"/>
          </w:tcPr>
          <w:p w14:paraId="2549EA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default"/>
                <w:color w:val="0000FF"/>
                <w:sz w:val="21"/>
                <w:szCs w:val="21"/>
                <w:vertAlign w:val="baseline"/>
                <w:lang w:val="en-US" w:eastAsia="zh-CN"/>
              </w:rPr>
              <w:t>雷诺数 Re</w:t>
            </w:r>
          </w:p>
        </w:tc>
        <w:tc>
          <w:tcPr>
            <w:tcW w:w="6795" w:type="dxa"/>
            <w:gridSpan w:val="3"/>
            <w:vAlign w:val="center"/>
          </w:tcPr>
          <w:p w14:paraId="17D805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裂口形状</w:t>
            </w:r>
          </w:p>
        </w:tc>
      </w:tr>
      <w:tr w14:paraId="5701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265" w:type="dxa"/>
            <w:vMerge w:val="continue"/>
            <w:vAlign w:val="center"/>
          </w:tcPr>
          <w:p w14:paraId="2966B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rPr>
            </w:pPr>
          </w:p>
        </w:tc>
        <w:tc>
          <w:tcPr>
            <w:tcW w:w="2265" w:type="dxa"/>
            <w:vAlign w:val="center"/>
          </w:tcPr>
          <w:p w14:paraId="72B722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圆形（多边形）</w:t>
            </w:r>
          </w:p>
        </w:tc>
        <w:tc>
          <w:tcPr>
            <w:tcW w:w="2265" w:type="dxa"/>
            <w:vAlign w:val="center"/>
          </w:tcPr>
          <w:p w14:paraId="378D4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三角形</w:t>
            </w:r>
          </w:p>
        </w:tc>
        <w:tc>
          <w:tcPr>
            <w:tcW w:w="2265" w:type="dxa"/>
            <w:vAlign w:val="center"/>
          </w:tcPr>
          <w:p w14:paraId="6CCF1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长方形</w:t>
            </w:r>
          </w:p>
        </w:tc>
      </w:tr>
      <w:tr w14:paraId="49BA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29B904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＞100</w:t>
            </w:r>
          </w:p>
        </w:tc>
        <w:tc>
          <w:tcPr>
            <w:tcW w:w="2265" w:type="dxa"/>
            <w:vAlign w:val="center"/>
          </w:tcPr>
          <w:p w14:paraId="525136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0.65</w:t>
            </w:r>
          </w:p>
        </w:tc>
        <w:tc>
          <w:tcPr>
            <w:tcW w:w="2265" w:type="dxa"/>
            <w:vAlign w:val="center"/>
          </w:tcPr>
          <w:p w14:paraId="34515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0.60</w:t>
            </w:r>
          </w:p>
        </w:tc>
        <w:tc>
          <w:tcPr>
            <w:tcW w:w="2265" w:type="dxa"/>
            <w:vAlign w:val="center"/>
          </w:tcPr>
          <w:p w14:paraId="3B5FC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0.55</w:t>
            </w:r>
          </w:p>
        </w:tc>
      </w:tr>
      <w:tr w14:paraId="0E41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1359C5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≤100</w:t>
            </w:r>
          </w:p>
        </w:tc>
        <w:tc>
          <w:tcPr>
            <w:tcW w:w="2265" w:type="dxa"/>
            <w:vAlign w:val="center"/>
          </w:tcPr>
          <w:p w14:paraId="23BB84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0.50</w:t>
            </w:r>
          </w:p>
        </w:tc>
        <w:tc>
          <w:tcPr>
            <w:tcW w:w="2265" w:type="dxa"/>
            <w:vAlign w:val="center"/>
          </w:tcPr>
          <w:p w14:paraId="6F246A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0.45</w:t>
            </w:r>
          </w:p>
        </w:tc>
        <w:tc>
          <w:tcPr>
            <w:tcW w:w="2265" w:type="dxa"/>
            <w:vAlign w:val="center"/>
          </w:tcPr>
          <w:p w14:paraId="1972B2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0.40</w:t>
            </w:r>
          </w:p>
        </w:tc>
      </w:tr>
    </w:tbl>
    <w:p w14:paraId="2C8B7B12">
      <w:pPr>
        <w:ind w:left="0" w:leftChars="0" w:firstLine="560" w:firstLineChars="200"/>
        <w:rPr>
          <w:rFonts w:hint="default" w:ascii="Times New Roman" w:hAnsi="Times New Roman" w:eastAsia="宋体" w:cs="Times New Roman"/>
          <w:color w:val="0000FF"/>
          <w:spacing w:val="0"/>
          <w:kern w:val="2"/>
          <w:sz w:val="28"/>
          <w:szCs w:val="28"/>
          <w:highlight w:val="none"/>
          <w:u w:val="none"/>
          <w:lang w:val="en-US" w:eastAsia="zh-CN" w:bidi="ar-SA"/>
        </w:rPr>
      </w:pPr>
      <w:r>
        <w:rPr>
          <w:rFonts w:hint="default" w:ascii="Times New Roman" w:hAnsi="Times New Roman" w:eastAsia="宋体" w:cs="Times New Roman"/>
          <w:color w:val="0000FF"/>
          <w:spacing w:val="0"/>
          <w:kern w:val="2"/>
          <w:sz w:val="28"/>
          <w:szCs w:val="28"/>
          <w:highlight w:val="none"/>
          <w:u w:val="none"/>
          <w:lang w:val="en-US" w:eastAsia="zh-CN" w:bidi="ar-SA"/>
        </w:rPr>
        <w:t>本项目液体泄漏参数见下表。</w:t>
      </w:r>
    </w:p>
    <w:p w14:paraId="5F800B73">
      <w:pPr>
        <w:ind w:left="0" w:leftChars="0" w:firstLine="0" w:firstLineChars="0"/>
        <w:jc w:val="center"/>
        <w:rPr>
          <w:rFonts w:hint="eastAsia" w:ascii="Times New Roman" w:hAnsi="Times New Roman" w:eastAsia="宋体" w:cs="Times New Roman"/>
          <w:b/>
          <w:color w:val="0000FF"/>
          <w:sz w:val="21"/>
          <w:szCs w:val="21"/>
          <w:lang w:val="en-US" w:eastAsia="zh-CN"/>
        </w:rPr>
      </w:pPr>
      <w:r>
        <w:rPr>
          <w:rFonts w:hint="default" w:ascii="Times New Roman" w:hAnsi="Times New Roman" w:eastAsia="宋体" w:cs="Times New Roman"/>
          <w:b/>
          <w:color w:val="0000FF"/>
          <w:sz w:val="21"/>
          <w:szCs w:val="21"/>
          <w:lang w:eastAsia="zh-CN"/>
        </w:rPr>
        <w:t>表</w:t>
      </w:r>
      <w:r>
        <w:rPr>
          <w:rFonts w:hint="eastAsia" w:ascii="Times New Roman" w:hAnsi="Times New Roman" w:eastAsia="宋体" w:cs="Times New Roman"/>
          <w:b/>
          <w:color w:val="0000FF"/>
          <w:sz w:val="21"/>
          <w:szCs w:val="21"/>
          <w:lang w:val="en-US" w:eastAsia="zh-CN"/>
        </w:rPr>
        <w:t>7</w:t>
      </w:r>
      <w:r>
        <w:rPr>
          <w:rFonts w:hint="default" w:ascii="Times New Roman" w:hAnsi="Times New Roman" w:eastAsia="宋体" w:cs="Times New Roman"/>
          <w:b/>
          <w:color w:val="0000FF"/>
          <w:sz w:val="21"/>
          <w:szCs w:val="21"/>
          <w:lang w:val="en-US" w:eastAsia="zh-CN"/>
        </w:rPr>
        <w:t>-</w:t>
      </w:r>
      <w:r>
        <w:rPr>
          <w:rFonts w:hint="eastAsia" w:cs="Times New Roman"/>
          <w:b/>
          <w:color w:val="0000FF"/>
          <w:sz w:val="21"/>
          <w:szCs w:val="21"/>
          <w:lang w:val="en-US" w:eastAsia="zh-CN"/>
        </w:rPr>
        <w:t>3</w:t>
      </w:r>
      <w:r>
        <w:rPr>
          <w:rFonts w:hint="eastAsia" w:ascii="Times New Roman" w:hAnsi="Times New Roman" w:eastAsia="宋体" w:cs="Times New Roman"/>
          <w:b/>
          <w:color w:val="0000FF"/>
          <w:sz w:val="21"/>
          <w:szCs w:val="21"/>
          <w:lang w:val="en-US" w:eastAsia="zh-CN"/>
        </w:rPr>
        <w:t xml:space="preserve">  </w:t>
      </w:r>
      <w:r>
        <w:rPr>
          <w:rFonts w:hint="eastAsia" w:cs="Times New Roman"/>
          <w:b/>
          <w:color w:val="0000FF"/>
          <w:sz w:val="21"/>
          <w:szCs w:val="21"/>
          <w:lang w:val="en-US" w:eastAsia="zh-CN"/>
        </w:rPr>
        <w:t>液体泄露参数一览表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672"/>
        <w:gridCol w:w="1155"/>
        <w:gridCol w:w="1571"/>
        <w:gridCol w:w="1132"/>
        <w:gridCol w:w="1542"/>
        <w:gridCol w:w="1856"/>
      </w:tblGrid>
      <w:tr w14:paraId="745C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gridSpan w:val="2"/>
            <w:vAlign w:val="center"/>
          </w:tcPr>
          <w:p w14:paraId="79BA2D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泄漏事故</w:t>
            </w:r>
          </w:p>
        </w:tc>
        <w:tc>
          <w:tcPr>
            <w:tcW w:w="1155" w:type="dxa"/>
            <w:vAlign w:val="center"/>
          </w:tcPr>
          <w:p w14:paraId="72CA7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泄漏口径（mm）</w:t>
            </w:r>
          </w:p>
        </w:tc>
        <w:tc>
          <w:tcPr>
            <w:tcW w:w="1571" w:type="dxa"/>
            <w:vAlign w:val="center"/>
          </w:tcPr>
          <w:p w14:paraId="574B73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液面距排放点的高度（m）</w:t>
            </w:r>
          </w:p>
        </w:tc>
        <w:tc>
          <w:tcPr>
            <w:tcW w:w="1132" w:type="dxa"/>
            <w:vAlign w:val="center"/>
          </w:tcPr>
          <w:p w14:paraId="6705E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泄漏速率（kg/s）</w:t>
            </w:r>
          </w:p>
        </w:tc>
        <w:tc>
          <w:tcPr>
            <w:tcW w:w="1542" w:type="dxa"/>
            <w:vAlign w:val="center"/>
          </w:tcPr>
          <w:p w14:paraId="7A0D2E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持续泄漏时间（min）</w:t>
            </w:r>
          </w:p>
        </w:tc>
        <w:tc>
          <w:tcPr>
            <w:tcW w:w="1856" w:type="dxa"/>
            <w:vAlign w:val="center"/>
          </w:tcPr>
          <w:p w14:paraId="3E6E96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泄漏量（kg）</w:t>
            </w:r>
          </w:p>
        </w:tc>
      </w:tr>
      <w:tr w14:paraId="2E2E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Align w:val="center"/>
          </w:tcPr>
          <w:p w14:paraId="213564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储罐泄漏</w:t>
            </w:r>
          </w:p>
        </w:tc>
        <w:tc>
          <w:tcPr>
            <w:tcW w:w="672" w:type="dxa"/>
            <w:vAlign w:val="center"/>
          </w:tcPr>
          <w:p w14:paraId="32FFB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硝酸</w:t>
            </w:r>
          </w:p>
        </w:tc>
        <w:tc>
          <w:tcPr>
            <w:tcW w:w="1155" w:type="dxa"/>
            <w:vAlign w:val="center"/>
          </w:tcPr>
          <w:p w14:paraId="00F4B4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10</w:t>
            </w:r>
          </w:p>
        </w:tc>
        <w:tc>
          <w:tcPr>
            <w:tcW w:w="1571" w:type="dxa"/>
            <w:vAlign w:val="center"/>
          </w:tcPr>
          <w:p w14:paraId="3AEAB8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5</w:t>
            </w:r>
          </w:p>
        </w:tc>
        <w:tc>
          <w:tcPr>
            <w:tcW w:w="1132" w:type="dxa"/>
            <w:vAlign w:val="center"/>
          </w:tcPr>
          <w:p w14:paraId="61D0D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0.677</w:t>
            </w:r>
          </w:p>
        </w:tc>
        <w:tc>
          <w:tcPr>
            <w:tcW w:w="1542" w:type="dxa"/>
            <w:vAlign w:val="center"/>
          </w:tcPr>
          <w:p w14:paraId="7C56F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30</w:t>
            </w:r>
          </w:p>
        </w:tc>
        <w:tc>
          <w:tcPr>
            <w:tcW w:w="1856" w:type="dxa"/>
            <w:vAlign w:val="center"/>
          </w:tcPr>
          <w:p w14:paraId="79A444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1218.6</w:t>
            </w:r>
          </w:p>
        </w:tc>
      </w:tr>
    </w:tbl>
    <w:p w14:paraId="1E13528D">
      <w:pPr>
        <w:pStyle w:val="25"/>
        <w:jc w:val="both"/>
        <w:outlineLvl w:val="1"/>
        <w:rPr>
          <w:rFonts w:hint="eastAsia" w:ascii="Times New Roman" w:hAnsi="Times New Roman" w:eastAsia="宋体" w:cs="Times New Roman"/>
          <w:b/>
          <w:bCs/>
          <w:color w:val="auto"/>
          <w:spacing w:val="0"/>
          <w:kern w:val="2"/>
          <w:sz w:val="28"/>
          <w:szCs w:val="28"/>
          <w:highlight w:val="none"/>
          <w:u w:val="none"/>
          <w:lang w:val="en-US" w:eastAsia="zh-CN" w:bidi="ar-SA"/>
        </w:rPr>
      </w:pPr>
      <w:bookmarkStart w:id="40" w:name="_Toc7425"/>
      <w:r>
        <w:rPr>
          <w:rFonts w:hint="eastAsia" w:ascii="Times New Roman" w:hAnsi="Times New Roman" w:eastAsia="宋体" w:cs="Times New Roman"/>
          <w:b/>
          <w:bCs/>
          <w:color w:val="auto"/>
          <w:spacing w:val="0"/>
          <w:kern w:val="2"/>
          <w:sz w:val="28"/>
          <w:szCs w:val="28"/>
          <w:highlight w:val="none"/>
          <w:u w:val="none"/>
          <w:lang w:val="en-US" w:eastAsia="zh-CN" w:bidi="ar-SA"/>
        </w:rPr>
        <w:t>7.3泄露液体蒸发量</w:t>
      </w:r>
      <w:bookmarkEnd w:id="40"/>
    </w:p>
    <w:p w14:paraId="67DDDC70">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本项目泄漏事故属于常压液体泄漏，这种情形不会发生闪蒸和热量蒸发，只发生质量蒸发。泄漏后的溶液会迅速在围堰内形成液池，面积将恒定为围堰区面积，从而使质量蒸发速率也保持恒定，此时的质量蒸发速率 Q 按下式计算：</w:t>
      </w:r>
    </w:p>
    <w:p w14:paraId="6049DEC8">
      <w:pPr>
        <w:pStyle w:val="25"/>
        <w:jc w:val="center"/>
      </w:pPr>
      <w:r>
        <w:drawing>
          <wp:inline distT="0" distB="0" distL="114300" distR="114300">
            <wp:extent cx="2057400" cy="504825"/>
            <wp:effectExtent l="0" t="0" r="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6"/>
                    <a:stretch>
                      <a:fillRect/>
                    </a:stretch>
                  </pic:blipFill>
                  <pic:spPr>
                    <a:xfrm>
                      <a:off x="0" y="0"/>
                      <a:ext cx="2057400" cy="504825"/>
                    </a:xfrm>
                    <a:prstGeom prst="rect">
                      <a:avLst/>
                    </a:prstGeom>
                    <a:noFill/>
                    <a:ln>
                      <a:noFill/>
                    </a:ln>
                  </pic:spPr>
                </pic:pic>
              </a:graphicData>
            </a:graphic>
          </wp:inline>
        </w:drawing>
      </w:r>
    </w:p>
    <w:p w14:paraId="525E6FAC">
      <w:pPr>
        <w:ind w:left="0" w:leftChars="0" w:firstLine="560" w:firstLineChars="200"/>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式中：Q—质量蒸发速率，kg/s；</w:t>
      </w:r>
    </w:p>
    <w:p w14:paraId="75B1F183">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 xml:space="preserve"> </w:t>
      </w:r>
      <w:r>
        <w:rPr>
          <w:rFonts w:hint="eastAsia" w:ascii="Times New Roman" w:hAnsi="Times New Roman" w:eastAsia="宋体" w:cs="Times New Roman"/>
          <w:color w:val="auto"/>
          <w:spacing w:val="0"/>
          <w:kern w:val="2"/>
          <w:sz w:val="28"/>
          <w:szCs w:val="28"/>
          <w:highlight w:val="none"/>
          <w:u w:val="none"/>
          <w:lang w:val="en-US" w:eastAsia="zh-CN" w:bidi="ar-SA"/>
        </w:rPr>
        <w:t xml:space="preserve">     </w:t>
      </w:r>
      <w:r>
        <w:rPr>
          <w:rFonts w:hint="default" w:ascii="Times New Roman" w:hAnsi="Times New Roman" w:eastAsia="宋体" w:cs="Times New Roman"/>
          <w:color w:val="auto"/>
          <w:spacing w:val="0"/>
          <w:kern w:val="2"/>
          <w:sz w:val="28"/>
          <w:szCs w:val="28"/>
          <w:highlight w:val="none"/>
          <w:u w:val="none"/>
          <w:lang w:val="en-US" w:eastAsia="zh-CN" w:bidi="ar-SA"/>
        </w:rPr>
        <w:t>p—液体表面蒸汽压，Pa；</w:t>
      </w:r>
    </w:p>
    <w:p w14:paraId="33A47DC7">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 xml:space="preserve"> </w:t>
      </w:r>
      <w:r>
        <w:rPr>
          <w:rFonts w:hint="eastAsia" w:ascii="Times New Roman" w:hAnsi="Times New Roman" w:eastAsia="宋体" w:cs="Times New Roman"/>
          <w:color w:val="auto"/>
          <w:spacing w:val="0"/>
          <w:kern w:val="2"/>
          <w:sz w:val="28"/>
          <w:szCs w:val="28"/>
          <w:highlight w:val="none"/>
          <w:u w:val="none"/>
          <w:lang w:val="en-US" w:eastAsia="zh-CN" w:bidi="ar-SA"/>
        </w:rPr>
        <w:t xml:space="preserve">     </w:t>
      </w:r>
      <w:r>
        <w:rPr>
          <w:rFonts w:hint="default" w:ascii="Times New Roman" w:hAnsi="Times New Roman" w:eastAsia="宋体" w:cs="Times New Roman"/>
          <w:color w:val="auto"/>
          <w:spacing w:val="0"/>
          <w:kern w:val="2"/>
          <w:sz w:val="28"/>
          <w:szCs w:val="28"/>
          <w:highlight w:val="none"/>
          <w:u w:val="none"/>
          <w:lang w:val="en-US" w:eastAsia="zh-CN" w:bidi="ar-SA"/>
        </w:rPr>
        <w:t>R—气体常数，J/（mol·K），8.314J/mol·K；</w:t>
      </w:r>
    </w:p>
    <w:p w14:paraId="44FF27FF">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 xml:space="preserve"> </w:t>
      </w:r>
      <w:r>
        <w:rPr>
          <w:rFonts w:hint="eastAsia" w:ascii="Times New Roman" w:hAnsi="Times New Roman" w:eastAsia="宋体" w:cs="Times New Roman"/>
          <w:color w:val="auto"/>
          <w:spacing w:val="0"/>
          <w:kern w:val="2"/>
          <w:sz w:val="28"/>
          <w:szCs w:val="28"/>
          <w:highlight w:val="none"/>
          <w:u w:val="none"/>
          <w:lang w:val="en-US" w:eastAsia="zh-CN" w:bidi="ar-SA"/>
        </w:rPr>
        <w:t xml:space="preserve">     </w:t>
      </w:r>
      <w:r>
        <w:rPr>
          <w:rFonts w:hint="default" w:ascii="Times New Roman" w:hAnsi="Times New Roman" w:eastAsia="宋体" w:cs="Times New Roman"/>
          <w:color w:val="auto"/>
          <w:spacing w:val="0"/>
          <w:kern w:val="2"/>
          <w:sz w:val="28"/>
          <w:szCs w:val="28"/>
          <w:highlight w:val="none"/>
          <w:u w:val="none"/>
          <w:lang w:val="en-US" w:eastAsia="zh-CN" w:bidi="ar-SA"/>
        </w:rPr>
        <w:t>T</w:t>
      </w:r>
      <w:r>
        <w:rPr>
          <w:rFonts w:hint="default" w:ascii="Times New Roman" w:hAnsi="Times New Roman" w:eastAsia="宋体" w:cs="Times New Roman"/>
          <w:color w:val="auto"/>
          <w:spacing w:val="0"/>
          <w:kern w:val="2"/>
          <w:sz w:val="28"/>
          <w:szCs w:val="28"/>
          <w:highlight w:val="none"/>
          <w:u w:val="none"/>
          <w:vertAlign w:val="subscript"/>
          <w:lang w:val="en-US" w:eastAsia="zh-CN" w:bidi="ar-SA"/>
        </w:rPr>
        <w:t>0</w:t>
      </w:r>
      <w:r>
        <w:rPr>
          <w:rFonts w:hint="default" w:ascii="Times New Roman" w:hAnsi="Times New Roman" w:eastAsia="宋体" w:cs="Times New Roman"/>
          <w:color w:val="auto"/>
          <w:spacing w:val="0"/>
          <w:kern w:val="2"/>
          <w:sz w:val="28"/>
          <w:szCs w:val="28"/>
          <w:highlight w:val="none"/>
          <w:u w:val="none"/>
          <w:lang w:val="en-US" w:eastAsia="zh-CN" w:bidi="ar-SA"/>
        </w:rPr>
        <w:t>—环境温度，K；</w:t>
      </w:r>
    </w:p>
    <w:p w14:paraId="0688EF68">
      <w:pPr>
        <w:ind w:firstLine="1400" w:firstLineChars="500"/>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M—物质的摩尔质量，kg/mol；</w:t>
      </w:r>
    </w:p>
    <w:p w14:paraId="7A6C6F6A">
      <w:pPr>
        <w:ind w:firstLine="1400" w:firstLineChars="500"/>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u—风速，m/s；</w:t>
      </w:r>
    </w:p>
    <w:p w14:paraId="7B000AD0">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 xml:space="preserve"> </w:t>
      </w:r>
      <w:r>
        <w:rPr>
          <w:rFonts w:hint="eastAsia" w:ascii="Times New Roman" w:hAnsi="Times New Roman" w:eastAsia="宋体" w:cs="Times New Roman"/>
          <w:color w:val="auto"/>
          <w:spacing w:val="0"/>
          <w:kern w:val="2"/>
          <w:sz w:val="28"/>
          <w:szCs w:val="28"/>
          <w:highlight w:val="none"/>
          <w:u w:val="none"/>
          <w:lang w:val="en-US" w:eastAsia="zh-CN" w:bidi="ar-SA"/>
        </w:rPr>
        <w:t xml:space="preserve">     </w:t>
      </w:r>
      <w:r>
        <w:rPr>
          <w:rFonts w:hint="default" w:ascii="Times New Roman" w:hAnsi="Times New Roman" w:eastAsia="宋体" w:cs="Times New Roman"/>
          <w:color w:val="auto"/>
          <w:spacing w:val="0"/>
          <w:kern w:val="2"/>
          <w:sz w:val="28"/>
          <w:szCs w:val="28"/>
          <w:highlight w:val="none"/>
          <w:u w:val="none"/>
          <w:lang w:val="en-US" w:eastAsia="zh-CN" w:bidi="ar-SA"/>
        </w:rPr>
        <w:t>r—液池半径，m；</w:t>
      </w:r>
    </w:p>
    <w:p w14:paraId="0360C344">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 xml:space="preserve"> </w:t>
      </w:r>
      <w:r>
        <w:rPr>
          <w:rFonts w:hint="eastAsia" w:ascii="Times New Roman" w:hAnsi="Times New Roman" w:eastAsia="宋体" w:cs="Times New Roman"/>
          <w:color w:val="auto"/>
          <w:spacing w:val="0"/>
          <w:kern w:val="2"/>
          <w:sz w:val="28"/>
          <w:szCs w:val="28"/>
          <w:highlight w:val="none"/>
          <w:u w:val="none"/>
          <w:lang w:val="en-US" w:eastAsia="zh-CN" w:bidi="ar-SA"/>
        </w:rPr>
        <w:t xml:space="preserve">     </w:t>
      </w:r>
      <w:r>
        <w:rPr>
          <w:rFonts w:hint="default" w:ascii="Times New Roman" w:hAnsi="Times New Roman" w:eastAsia="宋体" w:cs="Times New Roman"/>
          <w:color w:val="auto"/>
          <w:spacing w:val="0"/>
          <w:kern w:val="2"/>
          <w:sz w:val="28"/>
          <w:szCs w:val="28"/>
          <w:highlight w:val="none"/>
          <w:u w:val="none"/>
          <w:lang w:val="en-US" w:eastAsia="zh-CN" w:bidi="ar-SA"/>
        </w:rPr>
        <w:t>α，n—大气稳定度系数。</w:t>
      </w:r>
    </w:p>
    <w:p w14:paraId="784D6B55">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在风险预测时，选择最不利气象条件进行后果预测，最不利气象条件取F稳定度，1.5m/s 风速、温度 25℃，相对湿度 50%。因此根据以上参数，本项目</w:t>
      </w:r>
      <w:r>
        <w:rPr>
          <w:rFonts w:hint="eastAsia" w:ascii="Times New Roman" w:hAnsi="Times New Roman" w:eastAsia="宋体" w:cs="Times New Roman"/>
          <w:color w:val="auto"/>
          <w:spacing w:val="0"/>
          <w:kern w:val="2"/>
          <w:sz w:val="28"/>
          <w:szCs w:val="28"/>
          <w:highlight w:val="none"/>
          <w:u w:val="none"/>
          <w:lang w:val="en-US" w:eastAsia="zh-CN" w:bidi="ar-SA"/>
        </w:rPr>
        <w:t>硝酸</w:t>
      </w:r>
      <w:r>
        <w:rPr>
          <w:rFonts w:hint="default" w:ascii="Times New Roman" w:hAnsi="Times New Roman" w:eastAsia="宋体" w:cs="Times New Roman"/>
          <w:color w:val="auto"/>
          <w:spacing w:val="0"/>
          <w:kern w:val="2"/>
          <w:sz w:val="28"/>
          <w:szCs w:val="28"/>
          <w:highlight w:val="none"/>
          <w:u w:val="none"/>
          <w:lang w:val="en-US" w:eastAsia="zh-CN" w:bidi="ar-SA"/>
        </w:rPr>
        <w:t>泄漏事故时的质量蒸发速率计算参数及结果见下表。</w:t>
      </w:r>
    </w:p>
    <w:p w14:paraId="29292A35">
      <w:pPr>
        <w:pStyle w:val="25"/>
        <w:jc w:val="center"/>
        <w:rPr>
          <w:rFonts w:hint="eastAsia" w:cs="Times New Roman"/>
          <w:b/>
          <w:color w:val="auto"/>
          <w:sz w:val="21"/>
          <w:szCs w:val="21"/>
          <w:lang w:val="en-US" w:eastAsia="zh-CN"/>
        </w:rPr>
      </w:pPr>
      <w:r>
        <w:rPr>
          <w:rFonts w:hint="default" w:ascii="Times New Roman" w:hAnsi="Times New Roman" w:eastAsia="宋体" w:cs="Times New Roman"/>
          <w:b/>
          <w:color w:val="auto"/>
          <w:sz w:val="21"/>
          <w:szCs w:val="21"/>
          <w:lang w:eastAsia="zh-CN"/>
        </w:rPr>
        <w:t>表</w:t>
      </w:r>
      <w:r>
        <w:rPr>
          <w:rFonts w:hint="eastAsia" w:ascii="Times New Roman" w:hAnsi="Times New Roman" w:eastAsia="宋体" w:cs="Times New Roman"/>
          <w:b/>
          <w:color w:val="auto"/>
          <w:sz w:val="21"/>
          <w:szCs w:val="21"/>
          <w:lang w:val="en-US" w:eastAsia="zh-CN"/>
        </w:rPr>
        <w:t>7</w:t>
      </w:r>
      <w:r>
        <w:rPr>
          <w:rFonts w:hint="default" w:ascii="Times New Roman" w:hAnsi="Times New Roman" w:eastAsia="宋体" w:cs="Times New Roman"/>
          <w:b/>
          <w:color w:val="auto"/>
          <w:sz w:val="21"/>
          <w:szCs w:val="21"/>
          <w:lang w:val="en-US" w:eastAsia="zh-CN"/>
        </w:rPr>
        <w:t>-</w:t>
      </w:r>
      <w:r>
        <w:rPr>
          <w:rFonts w:hint="eastAsia" w:cs="Times New Roman"/>
          <w:b/>
          <w:color w:val="auto"/>
          <w:sz w:val="21"/>
          <w:szCs w:val="21"/>
          <w:lang w:val="en-US" w:eastAsia="zh-CN"/>
        </w:rPr>
        <w:t>4    最不利气象条件下泄漏事故时的质量蒸发速率结果表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81"/>
        <w:gridCol w:w="780"/>
        <w:gridCol w:w="1320"/>
        <w:gridCol w:w="975"/>
        <w:gridCol w:w="915"/>
        <w:gridCol w:w="840"/>
        <w:gridCol w:w="1200"/>
        <w:gridCol w:w="578"/>
        <w:gridCol w:w="1004"/>
      </w:tblGrid>
      <w:tr w14:paraId="6B38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14:paraId="04FE9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指标</w:t>
            </w:r>
          </w:p>
        </w:tc>
        <w:tc>
          <w:tcPr>
            <w:tcW w:w="881" w:type="dxa"/>
            <w:vAlign w:val="center"/>
          </w:tcPr>
          <w:p w14:paraId="356433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大气稳定度</w:t>
            </w:r>
          </w:p>
        </w:tc>
        <w:tc>
          <w:tcPr>
            <w:tcW w:w="780" w:type="dxa"/>
            <w:vAlign w:val="center"/>
          </w:tcPr>
          <w:p w14:paraId="530937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P（Pa）</w:t>
            </w:r>
          </w:p>
        </w:tc>
        <w:tc>
          <w:tcPr>
            <w:tcW w:w="1320" w:type="dxa"/>
            <w:vAlign w:val="center"/>
          </w:tcPr>
          <w:p w14:paraId="0E814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M（kg/mol）</w:t>
            </w:r>
          </w:p>
        </w:tc>
        <w:tc>
          <w:tcPr>
            <w:tcW w:w="975" w:type="dxa"/>
            <w:vAlign w:val="center"/>
          </w:tcPr>
          <w:p w14:paraId="652A28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T</w:t>
            </w:r>
            <w:r>
              <w:rPr>
                <w:rFonts w:hint="default"/>
                <w:sz w:val="21"/>
                <w:szCs w:val="21"/>
                <w:vertAlign w:val="subscript"/>
                <w:lang w:val="en-US" w:eastAsia="zh-CN"/>
              </w:rPr>
              <w:t>0</w:t>
            </w:r>
            <w:r>
              <w:rPr>
                <w:rFonts w:hint="default"/>
                <w:sz w:val="21"/>
                <w:szCs w:val="21"/>
                <w:vertAlign w:val="baseline"/>
                <w:lang w:val="en-US" w:eastAsia="zh-CN"/>
              </w:rPr>
              <w:t>（K）</w:t>
            </w:r>
          </w:p>
        </w:tc>
        <w:tc>
          <w:tcPr>
            <w:tcW w:w="915" w:type="dxa"/>
            <w:vAlign w:val="center"/>
          </w:tcPr>
          <w:p w14:paraId="4DFC7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U（m/s）</w:t>
            </w:r>
          </w:p>
        </w:tc>
        <w:tc>
          <w:tcPr>
            <w:tcW w:w="840" w:type="dxa"/>
            <w:vAlign w:val="center"/>
          </w:tcPr>
          <w:p w14:paraId="3C2B07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r（m）</w:t>
            </w:r>
          </w:p>
        </w:tc>
        <w:tc>
          <w:tcPr>
            <w:tcW w:w="1200" w:type="dxa"/>
            <w:vAlign w:val="center"/>
          </w:tcPr>
          <w:p w14:paraId="7B8C31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α</w:t>
            </w:r>
          </w:p>
        </w:tc>
        <w:tc>
          <w:tcPr>
            <w:tcW w:w="578" w:type="dxa"/>
            <w:vAlign w:val="center"/>
          </w:tcPr>
          <w:p w14:paraId="7D00E5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n</w:t>
            </w:r>
          </w:p>
        </w:tc>
        <w:tc>
          <w:tcPr>
            <w:tcW w:w="1004" w:type="dxa"/>
            <w:vAlign w:val="center"/>
          </w:tcPr>
          <w:p w14:paraId="4806A5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Q（kg/s）</w:t>
            </w:r>
          </w:p>
        </w:tc>
      </w:tr>
      <w:tr w14:paraId="0FAC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14:paraId="4B7E28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硝酸</w:t>
            </w:r>
          </w:p>
        </w:tc>
        <w:tc>
          <w:tcPr>
            <w:tcW w:w="881" w:type="dxa"/>
            <w:vAlign w:val="center"/>
          </w:tcPr>
          <w:p w14:paraId="6149F2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F</w:t>
            </w:r>
          </w:p>
        </w:tc>
        <w:tc>
          <w:tcPr>
            <w:tcW w:w="780" w:type="dxa"/>
            <w:vAlign w:val="center"/>
          </w:tcPr>
          <w:p w14:paraId="7DE0C3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0.033</w:t>
            </w:r>
          </w:p>
        </w:tc>
        <w:tc>
          <w:tcPr>
            <w:tcW w:w="1320" w:type="dxa"/>
            <w:vAlign w:val="center"/>
          </w:tcPr>
          <w:p w14:paraId="5596D2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0.098</w:t>
            </w:r>
          </w:p>
        </w:tc>
        <w:tc>
          <w:tcPr>
            <w:tcW w:w="975" w:type="dxa"/>
            <w:vAlign w:val="center"/>
          </w:tcPr>
          <w:p w14:paraId="6A2DE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298.15</w:t>
            </w:r>
          </w:p>
        </w:tc>
        <w:tc>
          <w:tcPr>
            <w:tcW w:w="915" w:type="dxa"/>
            <w:vAlign w:val="center"/>
          </w:tcPr>
          <w:p w14:paraId="5F8B99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840" w:type="dxa"/>
            <w:vAlign w:val="center"/>
          </w:tcPr>
          <w:p w14:paraId="630FD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28.2</w:t>
            </w:r>
          </w:p>
        </w:tc>
        <w:tc>
          <w:tcPr>
            <w:tcW w:w="1200" w:type="dxa"/>
            <w:vAlign w:val="center"/>
          </w:tcPr>
          <w:p w14:paraId="3C53BE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5.285×10</w:t>
            </w:r>
            <w:r>
              <w:rPr>
                <w:rFonts w:hint="default"/>
                <w:sz w:val="21"/>
                <w:szCs w:val="21"/>
                <w:vertAlign w:val="superscript"/>
                <w:lang w:val="en-US" w:eastAsia="zh-CN"/>
              </w:rPr>
              <w:t>-3</w:t>
            </w:r>
          </w:p>
        </w:tc>
        <w:tc>
          <w:tcPr>
            <w:tcW w:w="578" w:type="dxa"/>
            <w:vAlign w:val="center"/>
          </w:tcPr>
          <w:p w14:paraId="139FC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0.3</w:t>
            </w:r>
          </w:p>
        </w:tc>
        <w:tc>
          <w:tcPr>
            <w:tcW w:w="1004" w:type="dxa"/>
            <w:vAlign w:val="center"/>
          </w:tcPr>
          <w:p w14:paraId="205DF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0.000006</w:t>
            </w:r>
          </w:p>
        </w:tc>
      </w:tr>
    </w:tbl>
    <w:p w14:paraId="3F15D75F">
      <w:pPr>
        <w:rPr>
          <w:rFonts w:hint="eastAsia" w:ascii="Times New Roman" w:cs="Times New Roman"/>
          <w:b/>
          <w:bCs/>
          <w:color w:val="auto"/>
          <w:spacing w:val="0"/>
          <w:kern w:val="2"/>
          <w:sz w:val="28"/>
          <w:szCs w:val="28"/>
          <w:highlight w:val="none"/>
          <w:u w:val="none"/>
          <w:lang w:val="en-US" w:eastAsia="zh-CN" w:bidi="ar-SA"/>
        </w:rPr>
      </w:pPr>
      <w:bookmarkStart w:id="41" w:name="_Toc14955"/>
      <w:r>
        <w:rPr>
          <w:rFonts w:hint="eastAsia" w:ascii="Times New Roman" w:cs="Times New Roman"/>
          <w:b/>
          <w:bCs/>
          <w:color w:val="auto"/>
          <w:spacing w:val="0"/>
          <w:kern w:val="2"/>
          <w:sz w:val="28"/>
          <w:szCs w:val="28"/>
          <w:highlight w:val="none"/>
          <w:u w:val="none"/>
          <w:lang w:val="en-US" w:eastAsia="zh-CN" w:bidi="ar-SA"/>
        </w:rPr>
        <w:br w:type="page"/>
      </w:r>
    </w:p>
    <w:p w14:paraId="6BB4BA3B">
      <w:pPr>
        <w:pStyle w:val="25"/>
        <w:jc w:val="center"/>
        <w:outlineLvl w:val="0"/>
        <w:rPr>
          <w:rFonts w:hint="eastAsia" w:ascii="Times New Roman" w:cs="Times New Roman"/>
          <w:b/>
          <w:bCs/>
          <w:color w:val="auto"/>
          <w:spacing w:val="0"/>
          <w:kern w:val="2"/>
          <w:sz w:val="28"/>
          <w:szCs w:val="28"/>
          <w:highlight w:val="none"/>
          <w:u w:val="none"/>
          <w:lang w:val="en-US" w:eastAsia="zh-CN" w:bidi="ar-SA"/>
        </w:rPr>
      </w:pPr>
      <w:r>
        <w:rPr>
          <w:rFonts w:hint="eastAsia" w:ascii="Times New Roman" w:cs="Times New Roman"/>
          <w:b/>
          <w:bCs/>
          <w:color w:val="auto"/>
          <w:spacing w:val="0"/>
          <w:kern w:val="2"/>
          <w:sz w:val="28"/>
          <w:szCs w:val="28"/>
          <w:highlight w:val="none"/>
          <w:u w:val="none"/>
          <w:lang w:val="en-US" w:eastAsia="zh-CN" w:bidi="ar-SA"/>
        </w:rPr>
        <w:t>8.风险预测与分析</w:t>
      </w:r>
      <w:bookmarkEnd w:id="41"/>
    </w:p>
    <w:p w14:paraId="3A8398A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outlineLvl w:val="1"/>
        <w:rPr>
          <w:rFonts w:hint="eastAsia" w:cs="Times New Roman"/>
          <w:b/>
          <w:bCs/>
          <w:color w:val="auto"/>
          <w:spacing w:val="0"/>
          <w:kern w:val="2"/>
          <w:sz w:val="28"/>
          <w:szCs w:val="28"/>
          <w:highlight w:val="none"/>
          <w:u w:val="none"/>
          <w:lang w:val="en-US" w:eastAsia="zh-CN" w:bidi="ar-SA"/>
        </w:rPr>
      </w:pPr>
      <w:bookmarkStart w:id="42" w:name="_Toc4718"/>
      <w:r>
        <w:rPr>
          <w:rFonts w:hint="eastAsia" w:ascii="Times New Roman" w:hAnsi="Times New Roman" w:eastAsia="宋体" w:cs="Times New Roman"/>
          <w:b/>
          <w:bCs/>
          <w:color w:val="auto"/>
          <w:spacing w:val="0"/>
          <w:kern w:val="2"/>
          <w:sz w:val="28"/>
          <w:szCs w:val="28"/>
          <w:highlight w:val="none"/>
          <w:u w:val="none"/>
          <w:lang w:val="en-US" w:eastAsia="zh-CN" w:bidi="ar-SA"/>
        </w:rPr>
        <w:t>8.1</w:t>
      </w:r>
      <w:r>
        <w:rPr>
          <w:rFonts w:hint="eastAsia" w:cs="Times New Roman"/>
          <w:b/>
          <w:bCs/>
          <w:color w:val="auto"/>
          <w:spacing w:val="0"/>
          <w:kern w:val="2"/>
          <w:sz w:val="28"/>
          <w:szCs w:val="28"/>
          <w:highlight w:val="none"/>
          <w:u w:val="none"/>
          <w:lang w:val="en-US" w:eastAsia="zh-CN" w:bidi="ar-SA"/>
        </w:rPr>
        <w:t>大气环境风险影响分析</w:t>
      </w:r>
      <w:bookmarkEnd w:id="42"/>
    </w:p>
    <w:p w14:paraId="0810E408">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default" w:ascii="Times New Roman" w:hAnsi="Times New Roman" w:eastAsia="宋体" w:cs="Times New Roman"/>
          <w:color w:val="auto"/>
          <w:spacing w:val="0"/>
          <w:kern w:val="2"/>
          <w:sz w:val="28"/>
          <w:szCs w:val="28"/>
          <w:highlight w:val="none"/>
          <w:u w:val="none"/>
          <w:lang w:val="en-US" w:eastAsia="zh-CN" w:bidi="ar-SA"/>
        </w:rPr>
        <w:t>1</w:t>
      </w:r>
      <w:r>
        <w:rPr>
          <w:rFonts w:hint="eastAsia" w:ascii="Times New Roman" w:hAnsi="Times New Roman" w:eastAsia="宋体" w:cs="Times New Roman"/>
          <w:color w:val="auto"/>
          <w:spacing w:val="0"/>
          <w:kern w:val="2"/>
          <w:sz w:val="28"/>
          <w:szCs w:val="28"/>
          <w:highlight w:val="none"/>
          <w:u w:val="none"/>
          <w:lang w:val="en-US" w:eastAsia="zh-CN" w:bidi="ar-SA"/>
        </w:rPr>
        <w:t xml:space="preserve">）预测模型 </w:t>
      </w:r>
    </w:p>
    <w:p w14:paraId="6444B8AD">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 xml:space="preserve">根据风险导则预测计算时候，应区分重质气体与轻质气体排放选择合适的大气风险预测模型，其中重质气体和轻质气体的判断依据采用附录 </w:t>
      </w:r>
      <w:r>
        <w:rPr>
          <w:rFonts w:hint="default" w:ascii="Times New Roman" w:hAnsi="Times New Roman" w:eastAsia="宋体" w:cs="Times New Roman"/>
          <w:color w:val="auto"/>
          <w:spacing w:val="0"/>
          <w:kern w:val="2"/>
          <w:sz w:val="28"/>
          <w:szCs w:val="28"/>
          <w:highlight w:val="none"/>
          <w:u w:val="none"/>
          <w:lang w:val="en-US" w:eastAsia="zh-CN" w:bidi="ar-SA"/>
        </w:rPr>
        <w:t xml:space="preserve">G </w:t>
      </w:r>
      <w:r>
        <w:rPr>
          <w:rFonts w:hint="eastAsia" w:ascii="Times New Roman" w:hAnsi="Times New Roman" w:eastAsia="宋体" w:cs="Times New Roman"/>
          <w:color w:val="auto"/>
          <w:spacing w:val="0"/>
          <w:kern w:val="2"/>
          <w:sz w:val="28"/>
          <w:szCs w:val="28"/>
          <w:highlight w:val="none"/>
          <w:u w:val="none"/>
          <w:lang w:val="en-US" w:eastAsia="zh-CN" w:bidi="ar-SA"/>
        </w:rPr>
        <w:t xml:space="preserve">中推荐的理查德森数进行判定。 </w:t>
      </w:r>
    </w:p>
    <w:p w14:paraId="708FACDD">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 xml:space="preserve">①理查德森数的定义及计算公式 </w:t>
      </w:r>
    </w:p>
    <w:p w14:paraId="4D63320F">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判定烟团</w:t>
      </w:r>
      <w:r>
        <w:rPr>
          <w:rFonts w:hint="default" w:ascii="Times New Roman" w:hAnsi="Times New Roman" w:eastAsia="宋体" w:cs="Times New Roman"/>
          <w:color w:val="auto"/>
          <w:spacing w:val="0"/>
          <w:kern w:val="2"/>
          <w:sz w:val="28"/>
          <w:szCs w:val="28"/>
          <w:highlight w:val="none"/>
          <w:u w:val="none"/>
          <w:lang w:val="en-US" w:eastAsia="zh-CN" w:bidi="ar-SA"/>
        </w:rPr>
        <w:t>/</w:t>
      </w:r>
      <w:r>
        <w:rPr>
          <w:rFonts w:hint="eastAsia" w:ascii="Times New Roman" w:hAnsi="Times New Roman" w:eastAsia="宋体" w:cs="Times New Roman"/>
          <w:color w:val="auto"/>
          <w:spacing w:val="0"/>
          <w:kern w:val="2"/>
          <w:sz w:val="28"/>
          <w:szCs w:val="28"/>
          <w:highlight w:val="none"/>
          <w:u w:val="none"/>
          <w:lang w:val="en-US" w:eastAsia="zh-CN" w:bidi="ar-SA"/>
        </w:rPr>
        <w:t>烟羽是否为重质气体，取决于它相对空气的“过剩密度”和环境条件等因素。通常采用理查德森数</w:t>
      </w:r>
      <w:r>
        <w:rPr>
          <w:rFonts w:hint="default" w:ascii="Times New Roman" w:hAnsi="Times New Roman" w:eastAsia="宋体" w:cs="Times New Roman"/>
          <w:color w:val="auto"/>
          <w:spacing w:val="0"/>
          <w:kern w:val="2"/>
          <w:sz w:val="28"/>
          <w:szCs w:val="28"/>
          <w:highlight w:val="none"/>
          <w:u w:val="none"/>
          <w:lang w:val="en-US" w:eastAsia="zh-CN" w:bidi="ar-SA"/>
        </w:rPr>
        <w:t>(Ri)</w:t>
      </w:r>
      <w:r>
        <w:rPr>
          <w:rFonts w:hint="eastAsia" w:ascii="Times New Roman" w:hAnsi="Times New Roman" w:eastAsia="宋体" w:cs="Times New Roman"/>
          <w:color w:val="auto"/>
          <w:spacing w:val="0"/>
          <w:kern w:val="2"/>
          <w:sz w:val="28"/>
          <w:szCs w:val="28"/>
          <w:highlight w:val="none"/>
          <w:u w:val="none"/>
          <w:lang w:val="en-US" w:eastAsia="zh-CN" w:bidi="ar-SA"/>
        </w:rPr>
        <w:t>作为标准进行判断。</w:t>
      </w:r>
      <w:r>
        <w:rPr>
          <w:rFonts w:hint="default" w:ascii="Times New Roman" w:hAnsi="Times New Roman" w:eastAsia="宋体" w:cs="Times New Roman"/>
          <w:color w:val="auto"/>
          <w:spacing w:val="0"/>
          <w:kern w:val="2"/>
          <w:sz w:val="28"/>
          <w:szCs w:val="28"/>
          <w:highlight w:val="none"/>
          <w:u w:val="none"/>
          <w:lang w:val="en-US" w:eastAsia="zh-CN" w:bidi="ar-SA"/>
        </w:rPr>
        <w:t xml:space="preserve">Ri </w:t>
      </w:r>
      <w:r>
        <w:rPr>
          <w:rFonts w:hint="eastAsia" w:ascii="Times New Roman" w:hAnsi="Times New Roman" w:eastAsia="宋体" w:cs="Times New Roman"/>
          <w:color w:val="auto"/>
          <w:spacing w:val="0"/>
          <w:kern w:val="2"/>
          <w:sz w:val="28"/>
          <w:szCs w:val="28"/>
          <w:highlight w:val="none"/>
          <w:u w:val="none"/>
          <w:lang w:val="en-US" w:eastAsia="zh-CN" w:bidi="ar-SA"/>
        </w:rPr>
        <w:t>的概念公式为：</w:t>
      </w:r>
    </w:p>
    <w:p w14:paraId="04BC8E54">
      <w:pPr>
        <w:pStyle w:val="25"/>
        <w:jc w:val="center"/>
      </w:pPr>
      <w:r>
        <w:drawing>
          <wp:inline distT="0" distB="0" distL="114300" distR="114300">
            <wp:extent cx="2257425" cy="628650"/>
            <wp:effectExtent l="0" t="0" r="95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7"/>
                    <a:stretch>
                      <a:fillRect/>
                    </a:stretch>
                  </pic:blipFill>
                  <pic:spPr>
                    <a:xfrm>
                      <a:off x="0" y="0"/>
                      <a:ext cx="2257425" cy="628650"/>
                    </a:xfrm>
                    <a:prstGeom prst="rect">
                      <a:avLst/>
                    </a:prstGeom>
                    <a:noFill/>
                    <a:ln>
                      <a:noFill/>
                    </a:ln>
                  </pic:spPr>
                </pic:pic>
              </a:graphicData>
            </a:graphic>
          </wp:inline>
        </w:drawing>
      </w:r>
    </w:p>
    <w:p w14:paraId="7DB2E271">
      <w:pPr>
        <w:rPr>
          <w:rFonts w:hint="eastAsia"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 xml:space="preserve">Ri </w:t>
      </w:r>
      <w:r>
        <w:rPr>
          <w:rFonts w:hint="eastAsia" w:ascii="Times New Roman" w:hAnsi="Times New Roman" w:eastAsia="宋体" w:cs="Times New Roman"/>
          <w:color w:val="auto"/>
          <w:spacing w:val="0"/>
          <w:kern w:val="2"/>
          <w:sz w:val="28"/>
          <w:szCs w:val="28"/>
          <w:highlight w:val="none"/>
          <w:u w:val="none"/>
          <w:lang w:val="en-US" w:eastAsia="zh-CN" w:bidi="ar-SA"/>
        </w:rPr>
        <w:t xml:space="preserve">是个流体动力学参数。根据不同的排放性质，理查德森数的计算公式不同。一般地，依据排放类型，理查德森数的计算分连续排放、瞬时排放两种形式： </w:t>
      </w:r>
    </w:p>
    <w:p w14:paraId="64EF8618">
      <w:pPr>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连续排放：</w:t>
      </w:r>
    </w:p>
    <w:p w14:paraId="2D558EB6">
      <w:pPr>
        <w:pStyle w:val="25"/>
        <w:jc w:val="center"/>
      </w:pPr>
      <w:r>
        <w:drawing>
          <wp:inline distT="0" distB="0" distL="114300" distR="114300">
            <wp:extent cx="1752600" cy="581025"/>
            <wp:effectExtent l="0" t="0" r="0"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8"/>
                    <a:stretch>
                      <a:fillRect/>
                    </a:stretch>
                  </pic:blipFill>
                  <pic:spPr>
                    <a:xfrm>
                      <a:off x="0" y="0"/>
                      <a:ext cx="1752600" cy="581025"/>
                    </a:xfrm>
                    <a:prstGeom prst="rect">
                      <a:avLst/>
                    </a:prstGeom>
                    <a:noFill/>
                    <a:ln>
                      <a:noFill/>
                    </a:ln>
                  </pic:spPr>
                </pic:pic>
              </a:graphicData>
            </a:graphic>
          </wp:inline>
        </w:drawing>
      </w:r>
    </w:p>
    <w:p w14:paraId="6FA49E2B">
      <w:pPr>
        <w:keepNext w:val="0"/>
        <w:keepLines w:val="0"/>
        <w:widowControl/>
        <w:suppressLineNumbers w:val="0"/>
        <w:jc w:val="left"/>
      </w:pPr>
      <w:r>
        <w:rPr>
          <w:rFonts w:hint="eastAsia" w:ascii="Times New Roman" w:hAnsi="Times New Roman" w:eastAsia="宋体" w:cs="Times New Roman"/>
          <w:color w:val="auto"/>
          <w:spacing w:val="0"/>
          <w:kern w:val="2"/>
          <w:sz w:val="28"/>
          <w:szCs w:val="28"/>
          <w:highlight w:val="none"/>
          <w:u w:val="none"/>
          <w:lang w:val="en-US" w:eastAsia="zh-CN" w:bidi="ar-SA"/>
        </w:rPr>
        <w:t>瞬时排放：</w:t>
      </w:r>
    </w:p>
    <w:p w14:paraId="4DB69DBD">
      <w:pPr>
        <w:ind w:left="0" w:leftChars="0" w:firstLine="0" w:firstLineChars="0"/>
        <w:jc w:val="center"/>
        <w:rPr>
          <w:rFonts w:hint="eastAsia"/>
          <w:lang w:val="en-US" w:eastAsia="zh-CN"/>
        </w:rPr>
      </w:pPr>
      <w:r>
        <w:drawing>
          <wp:inline distT="0" distB="0" distL="114300" distR="114300">
            <wp:extent cx="1590675" cy="523875"/>
            <wp:effectExtent l="0" t="0" r="9525" b="952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9"/>
                    <a:stretch>
                      <a:fillRect/>
                    </a:stretch>
                  </pic:blipFill>
                  <pic:spPr>
                    <a:xfrm>
                      <a:off x="0" y="0"/>
                      <a:ext cx="1590675" cy="523875"/>
                    </a:xfrm>
                    <a:prstGeom prst="rect">
                      <a:avLst/>
                    </a:prstGeom>
                    <a:noFill/>
                    <a:ln>
                      <a:noFill/>
                    </a:ln>
                  </pic:spPr>
                </pic:pic>
              </a:graphicData>
            </a:graphic>
          </wp:inline>
        </w:drawing>
      </w:r>
    </w:p>
    <w:p w14:paraId="174B7AE0">
      <w:pPr>
        <w:keepNext w:val="0"/>
        <w:keepLines w:val="0"/>
        <w:widowControl/>
        <w:suppressLineNumbers w:val="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式中：</w:t>
      </w:r>
      <w:r>
        <w:rPr>
          <w:rFonts w:hint="default" w:ascii="Times New Roman" w:hAnsi="Times New Roman" w:eastAsia="宋体" w:cs="Times New Roman"/>
          <w:color w:val="auto"/>
          <w:spacing w:val="0"/>
          <w:kern w:val="2"/>
          <w:sz w:val="28"/>
          <w:szCs w:val="28"/>
          <w:highlight w:val="none"/>
          <w:u w:val="none"/>
          <w:lang w:val="en-US" w:eastAsia="zh-CN" w:bidi="ar-SA"/>
        </w:rPr>
        <w:t>ρ</w:t>
      </w:r>
      <w:r>
        <w:rPr>
          <w:rFonts w:hint="default" w:ascii="Times New Roman" w:hAnsi="Times New Roman" w:eastAsia="宋体" w:cs="Times New Roman"/>
          <w:color w:val="auto"/>
          <w:spacing w:val="0"/>
          <w:kern w:val="2"/>
          <w:sz w:val="28"/>
          <w:szCs w:val="28"/>
          <w:highlight w:val="none"/>
          <w:u w:val="none"/>
          <w:vertAlign w:val="subscript"/>
          <w:lang w:val="en-US" w:eastAsia="zh-CN" w:bidi="ar-SA"/>
        </w:rPr>
        <w:t>rel</w:t>
      </w:r>
      <w:r>
        <w:rPr>
          <w:rFonts w:hint="eastAsia" w:ascii="Times New Roman" w:hAnsi="Times New Roman" w:eastAsia="宋体" w:cs="Times New Roman"/>
          <w:color w:val="auto"/>
          <w:spacing w:val="0"/>
          <w:kern w:val="2"/>
          <w:sz w:val="28"/>
          <w:szCs w:val="28"/>
          <w:highlight w:val="none"/>
          <w:u w:val="none"/>
          <w:lang w:val="en-US" w:eastAsia="zh-CN" w:bidi="ar-SA"/>
        </w:rPr>
        <w:t>——排放物质进入大气的初始密度，</w:t>
      </w:r>
      <w:r>
        <w:rPr>
          <w:rFonts w:hint="default" w:ascii="Times New Roman" w:hAnsi="Times New Roman" w:eastAsia="宋体" w:cs="Times New Roman"/>
          <w:color w:val="auto"/>
          <w:spacing w:val="0"/>
          <w:kern w:val="2"/>
          <w:sz w:val="28"/>
          <w:szCs w:val="28"/>
          <w:highlight w:val="none"/>
          <w:u w:val="none"/>
          <w:lang w:val="en-US" w:eastAsia="zh-CN" w:bidi="ar-SA"/>
        </w:rPr>
        <w:t>kg/m</w:t>
      </w:r>
      <w:r>
        <w:rPr>
          <w:rFonts w:hint="default" w:ascii="Times New Roman" w:hAnsi="Times New Roman" w:eastAsia="宋体" w:cs="Times New Roman"/>
          <w:color w:val="auto"/>
          <w:spacing w:val="0"/>
          <w:kern w:val="2"/>
          <w:sz w:val="28"/>
          <w:szCs w:val="28"/>
          <w:highlight w:val="none"/>
          <w:u w:val="none"/>
          <w:vertAlign w:val="superscript"/>
          <w:lang w:val="en-US" w:eastAsia="zh-CN" w:bidi="ar-SA"/>
        </w:rPr>
        <w:t>3</w:t>
      </w:r>
      <w:r>
        <w:rPr>
          <w:rFonts w:hint="eastAsia" w:ascii="Times New Roman" w:hAnsi="Times New Roman" w:eastAsia="宋体" w:cs="Times New Roman"/>
          <w:color w:val="auto"/>
          <w:spacing w:val="0"/>
          <w:kern w:val="2"/>
          <w:sz w:val="28"/>
          <w:szCs w:val="28"/>
          <w:highlight w:val="none"/>
          <w:u w:val="none"/>
          <w:lang w:val="en-US" w:eastAsia="zh-CN" w:bidi="ar-SA"/>
        </w:rPr>
        <w:t xml:space="preserve">； </w:t>
      </w:r>
    </w:p>
    <w:p w14:paraId="30FCF2DA">
      <w:pPr>
        <w:keepNext w:val="0"/>
        <w:keepLines w:val="0"/>
        <w:widowControl/>
        <w:suppressLineNumbers w:val="0"/>
        <w:ind w:firstLine="1400" w:firstLineChars="50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ρ</w:t>
      </w:r>
      <w:r>
        <w:rPr>
          <w:rFonts w:hint="default" w:ascii="Times New Roman" w:hAnsi="Times New Roman" w:eastAsia="宋体" w:cs="Times New Roman"/>
          <w:color w:val="auto"/>
          <w:spacing w:val="0"/>
          <w:kern w:val="2"/>
          <w:sz w:val="28"/>
          <w:szCs w:val="28"/>
          <w:highlight w:val="none"/>
          <w:u w:val="none"/>
          <w:vertAlign w:val="subscript"/>
          <w:lang w:val="en-US" w:eastAsia="zh-CN" w:bidi="ar-SA"/>
        </w:rPr>
        <w:t>a</w:t>
      </w:r>
      <w:r>
        <w:rPr>
          <w:rFonts w:hint="eastAsia" w:ascii="Times New Roman" w:hAnsi="Times New Roman" w:eastAsia="宋体" w:cs="Times New Roman"/>
          <w:color w:val="auto"/>
          <w:spacing w:val="0"/>
          <w:kern w:val="2"/>
          <w:sz w:val="28"/>
          <w:szCs w:val="28"/>
          <w:highlight w:val="none"/>
          <w:u w:val="none"/>
          <w:lang w:val="en-US" w:eastAsia="zh-CN" w:bidi="ar-SA"/>
        </w:rPr>
        <w:t>——环境空气密度，</w:t>
      </w:r>
      <w:r>
        <w:rPr>
          <w:rFonts w:hint="default" w:ascii="Times New Roman" w:hAnsi="Times New Roman" w:eastAsia="宋体" w:cs="Times New Roman"/>
          <w:color w:val="auto"/>
          <w:spacing w:val="0"/>
          <w:kern w:val="2"/>
          <w:sz w:val="28"/>
          <w:szCs w:val="28"/>
          <w:highlight w:val="none"/>
          <w:u w:val="none"/>
          <w:lang w:val="en-US" w:eastAsia="zh-CN" w:bidi="ar-SA"/>
        </w:rPr>
        <w:t>kg/m</w:t>
      </w:r>
      <w:r>
        <w:rPr>
          <w:rFonts w:hint="default" w:ascii="Times New Roman" w:hAnsi="Times New Roman" w:eastAsia="宋体" w:cs="Times New Roman"/>
          <w:color w:val="auto"/>
          <w:spacing w:val="0"/>
          <w:kern w:val="2"/>
          <w:sz w:val="28"/>
          <w:szCs w:val="28"/>
          <w:highlight w:val="none"/>
          <w:u w:val="none"/>
          <w:vertAlign w:val="superscript"/>
          <w:lang w:val="en-US" w:eastAsia="zh-CN" w:bidi="ar-SA"/>
        </w:rPr>
        <w:t>3</w:t>
      </w:r>
      <w:r>
        <w:rPr>
          <w:rFonts w:hint="eastAsia" w:ascii="Times New Roman" w:hAnsi="Times New Roman" w:eastAsia="宋体" w:cs="Times New Roman"/>
          <w:color w:val="auto"/>
          <w:spacing w:val="0"/>
          <w:kern w:val="2"/>
          <w:sz w:val="28"/>
          <w:szCs w:val="28"/>
          <w:highlight w:val="none"/>
          <w:u w:val="none"/>
          <w:lang w:val="en-US" w:eastAsia="zh-CN" w:bidi="ar-SA"/>
        </w:rPr>
        <w:t xml:space="preserve">； </w:t>
      </w:r>
    </w:p>
    <w:p w14:paraId="2124B06E">
      <w:pPr>
        <w:keepNext w:val="0"/>
        <w:keepLines w:val="0"/>
        <w:widowControl/>
        <w:suppressLineNumbers w:val="0"/>
        <w:ind w:firstLine="1400" w:firstLineChars="50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Q</w:t>
      </w:r>
      <w:r>
        <w:rPr>
          <w:rFonts w:hint="eastAsia" w:ascii="Times New Roman" w:hAnsi="Times New Roman" w:eastAsia="宋体" w:cs="Times New Roman"/>
          <w:color w:val="auto"/>
          <w:spacing w:val="0"/>
          <w:kern w:val="2"/>
          <w:sz w:val="28"/>
          <w:szCs w:val="28"/>
          <w:highlight w:val="none"/>
          <w:u w:val="none"/>
          <w:lang w:val="en-US" w:eastAsia="zh-CN" w:bidi="ar-SA"/>
        </w:rPr>
        <w:t>——连续排放烟羽的排放速率，</w:t>
      </w:r>
      <w:r>
        <w:rPr>
          <w:rFonts w:hint="default" w:ascii="Times New Roman" w:hAnsi="Times New Roman" w:eastAsia="宋体" w:cs="Times New Roman"/>
          <w:color w:val="auto"/>
          <w:spacing w:val="0"/>
          <w:kern w:val="2"/>
          <w:sz w:val="28"/>
          <w:szCs w:val="28"/>
          <w:highlight w:val="none"/>
          <w:u w:val="none"/>
          <w:lang w:val="en-US" w:eastAsia="zh-CN" w:bidi="ar-SA"/>
        </w:rPr>
        <w:t>kg/s</w:t>
      </w:r>
      <w:r>
        <w:rPr>
          <w:rFonts w:hint="eastAsia" w:ascii="Times New Roman" w:hAnsi="Times New Roman" w:eastAsia="宋体" w:cs="Times New Roman"/>
          <w:color w:val="auto"/>
          <w:spacing w:val="0"/>
          <w:kern w:val="2"/>
          <w:sz w:val="28"/>
          <w:szCs w:val="28"/>
          <w:highlight w:val="none"/>
          <w:u w:val="none"/>
          <w:lang w:val="en-US" w:eastAsia="zh-CN" w:bidi="ar-SA"/>
        </w:rPr>
        <w:t xml:space="preserve">； </w:t>
      </w:r>
    </w:p>
    <w:p w14:paraId="267E6D66">
      <w:pPr>
        <w:keepNext w:val="0"/>
        <w:keepLines w:val="0"/>
        <w:widowControl/>
        <w:suppressLineNumbers w:val="0"/>
        <w:ind w:firstLine="1400" w:firstLineChars="50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Q</w:t>
      </w:r>
      <w:r>
        <w:rPr>
          <w:rFonts w:hint="default" w:ascii="Times New Roman" w:hAnsi="Times New Roman" w:eastAsia="宋体" w:cs="Times New Roman"/>
          <w:color w:val="auto"/>
          <w:spacing w:val="0"/>
          <w:kern w:val="2"/>
          <w:sz w:val="28"/>
          <w:szCs w:val="28"/>
          <w:highlight w:val="none"/>
          <w:u w:val="none"/>
          <w:vertAlign w:val="subscript"/>
          <w:lang w:val="en-US" w:eastAsia="zh-CN" w:bidi="ar-SA"/>
        </w:rPr>
        <w:t>t</w:t>
      </w:r>
      <w:r>
        <w:rPr>
          <w:rFonts w:hint="eastAsia" w:ascii="Times New Roman" w:hAnsi="Times New Roman" w:eastAsia="宋体" w:cs="Times New Roman"/>
          <w:color w:val="auto"/>
          <w:spacing w:val="0"/>
          <w:kern w:val="2"/>
          <w:sz w:val="28"/>
          <w:szCs w:val="28"/>
          <w:highlight w:val="none"/>
          <w:u w:val="none"/>
          <w:lang w:val="en-US" w:eastAsia="zh-CN" w:bidi="ar-SA"/>
        </w:rPr>
        <w:t>——瞬时排放的物质质量，</w:t>
      </w:r>
      <w:r>
        <w:rPr>
          <w:rFonts w:hint="default" w:ascii="Times New Roman" w:hAnsi="Times New Roman" w:eastAsia="宋体" w:cs="Times New Roman"/>
          <w:color w:val="auto"/>
          <w:spacing w:val="0"/>
          <w:kern w:val="2"/>
          <w:sz w:val="28"/>
          <w:szCs w:val="28"/>
          <w:highlight w:val="none"/>
          <w:u w:val="none"/>
          <w:lang w:val="en-US" w:eastAsia="zh-CN" w:bidi="ar-SA"/>
        </w:rPr>
        <w:t>kg</w:t>
      </w:r>
      <w:r>
        <w:rPr>
          <w:rFonts w:hint="eastAsia" w:ascii="Times New Roman" w:hAnsi="Times New Roman" w:eastAsia="宋体" w:cs="Times New Roman"/>
          <w:color w:val="auto"/>
          <w:spacing w:val="0"/>
          <w:kern w:val="2"/>
          <w:sz w:val="28"/>
          <w:szCs w:val="28"/>
          <w:highlight w:val="none"/>
          <w:u w:val="none"/>
          <w:lang w:val="en-US" w:eastAsia="zh-CN" w:bidi="ar-SA"/>
        </w:rPr>
        <w:t xml:space="preserve">； </w:t>
      </w:r>
    </w:p>
    <w:p w14:paraId="5130C6F5">
      <w:pPr>
        <w:keepNext w:val="0"/>
        <w:keepLines w:val="0"/>
        <w:widowControl/>
        <w:suppressLineNumbers w:val="0"/>
        <w:ind w:firstLine="1400" w:firstLineChars="50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D</w:t>
      </w:r>
      <w:r>
        <w:rPr>
          <w:rFonts w:hint="default" w:ascii="Times New Roman" w:hAnsi="Times New Roman" w:eastAsia="宋体" w:cs="Times New Roman"/>
          <w:color w:val="auto"/>
          <w:spacing w:val="0"/>
          <w:kern w:val="2"/>
          <w:sz w:val="28"/>
          <w:szCs w:val="28"/>
          <w:highlight w:val="none"/>
          <w:u w:val="none"/>
          <w:vertAlign w:val="subscript"/>
          <w:lang w:val="en-US" w:eastAsia="zh-CN" w:bidi="ar-SA"/>
        </w:rPr>
        <w:t>rel</w:t>
      </w:r>
      <w:r>
        <w:rPr>
          <w:rFonts w:hint="eastAsia" w:ascii="Times New Roman" w:hAnsi="Times New Roman" w:eastAsia="宋体" w:cs="Times New Roman"/>
          <w:color w:val="auto"/>
          <w:spacing w:val="0"/>
          <w:kern w:val="2"/>
          <w:sz w:val="28"/>
          <w:szCs w:val="28"/>
          <w:highlight w:val="none"/>
          <w:u w:val="none"/>
          <w:lang w:val="en-US" w:eastAsia="zh-CN" w:bidi="ar-SA"/>
        </w:rPr>
        <w:t>——初始的烟团宽度，即源直径，</w:t>
      </w:r>
      <w:r>
        <w:rPr>
          <w:rFonts w:hint="default" w:ascii="Times New Roman" w:hAnsi="Times New Roman" w:eastAsia="宋体" w:cs="Times New Roman"/>
          <w:color w:val="auto"/>
          <w:spacing w:val="0"/>
          <w:kern w:val="2"/>
          <w:sz w:val="28"/>
          <w:szCs w:val="28"/>
          <w:highlight w:val="none"/>
          <w:u w:val="none"/>
          <w:lang w:val="en-US" w:eastAsia="zh-CN" w:bidi="ar-SA"/>
        </w:rPr>
        <w:t>m</w:t>
      </w:r>
      <w:r>
        <w:rPr>
          <w:rFonts w:hint="eastAsia" w:ascii="Times New Roman" w:hAnsi="Times New Roman" w:eastAsia="宋体" w:cs="Times New Roman"/>
          <w:color w:val="auto"/>
          <w:spacing w:val="0"/>
          <w:kern w:val="2"/>
          <w:sz w:val="28"/>
          <w:szCs w:val="28"/>
          <w:highlight w:val="none"/>
          <w:u w:val="none"/>
          <w:lang w:val="en-US" w:eastAsia="zh-CN" w:bidi="ar-SA"/>
        </w:rPr>
        <w:t xml:space="preserve">； </w:t>
      </w:r>
    </w:p>
    <w:p w14:paraId="7D9EE5A4">
      <w:pPr>
        <w:keepNext w:val="0"/>
        <w:keepLines w:val="0"/>
        <w:widowControl/>
        <w:suppressLineNumbers w:val="0"/>
        <w:ind w:firstLine="1400" w:firstLineChars="50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U</w:t>
      </w:r>
      <w:r>
        <w:rPr>
          <w:rFonts w:hint="default" w:ascii="Times New Roman" w:hAnsi="Times New Roman" w:eastAsia="宋体" w:cs="Times New Roman"/>
          <w:color w:val="auto"/>
          <w:spacing w:val="0"/>
          <w:kern w:val="2"/>
          <w:sz w:val="28"/>
          <w:szCs w:val="28"/>
          <w:highlight w:val="none"/>
          <w:u w:val="none"/>
          <w:vertAlign w:val="subscript"/>
          <w:lang w:val="en-US" w:eastAsia="zh-CN" w:bidi="ar-SA"/>
        </w:rPr>
        <w:t>r</w:t>
      </w: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default" w:ascii="Times New Roman" w:hAnsi="Times New Roman" w:eastAsia="宋体" w:cs="Times New Roman"/>
          <w:color w:val="auto"/>
          <w:spacing w:val="0"/>
          <w:kern w:val="2"/>
          <w:sz w:val="28"/>
          <w:szCs w:val="28"/>
          <w:highlight w:val="none"/>
          <w:u w:val="none"/>
          <w:lang w:val="en-US" w:eastAsia="zh-CN" w:bidi="ar-SA"/>
        </w:rPr>
        <w:t xml:space="preserve">10m </w:t>
      </w:r>
      <w:r>
        <w:rPr>
          <w:rFonts w:hint="eastAsia" w:ascii="Times New Roman" w:hAnsi="Times New Roman" w:eastAsia="宋体" w:cs="Times New Roman"/>
          <w:color w:val="auto"/>
          <w:spacing w:val="0"/>
          <w:kern w:val="2"/>
          <w:sz w:val="28"/>
          <w:szCs w:val="28"/>
          <w:highlight w:val="none"/>
          <w:u w:val="none"/>
          <w:lang w:val="en-US" w:eastAsia="zh-CN" w:bidi="ar-SA"/>
        </w:rPr>
        <w:t>高处风速，</w:t>
      </w:r>
      <w:r>
        <w:rPr>
          <w:rFonts w:hint="default" w:ascii="Times New Roman" w:hAnsi="Times New Roman" w:eastAsia="宋体" w:cs="Times New Roman"/>
          <w:color w:val="auto"/>
          <w:spacing w:val="0"/>
          <w:kern w:val="2"/>
          <w:sz w:val="28"/>
          <w:szCs w:val="28"/>
          <w:highlight w:val="none"/>
          <w:u w:val="none"/>
          <w:lang w:val="en-US" w:eastAsia="zh-CN" w:bidi="ar-SA"/>
        </w:rPr>
        <w:t>m/s</w:t>
      </w:r>
      <w:r>
        <w:rPr>
          <w:rFonts w:hint="eastAsia" w:ascii="Times New Roman" w:hAnsi="Times New Roman" w:eastAsia="宋体" w:cs="Times New Roman"/>
          <w:color w:val="auto"/>
          <w:spacing w:val="0"/>
          <w:kern w:val="2"/>
          <w:sz w:val="28"/>
          <w:szCs w:val="28"/>
          <w:highlight w:val="none"/>
          <w:u w:val="none"/>
          <w:lang w:val="en-US" w:eastAsia="zh-CN" w:bidi="ar-SA"/>
        </w:rPr>
        <w:t>。</w:t>
      </w:r>
    </w:p>
    <w:p w14:paraId="00803040">
      <w:pPr>
        <w:keepNext w:val="0"/>
        <w:keepLines w:val="0"/>
        <w:widowControl/>
        <w:suppressLineNumbers w:val="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判定连续排放还是瞬时排放，可以通过对比排放时间</w:t>
      </w:r>
      <w:r>
        <w:rPr>
          <w:rFonts w:hint="default" w:ascii="Times New Roman" w:hAnsi="Times New Roman" w:eastAsia="宋体" w:cs="Times New Roman"/>
          <w:color w:val="auto"/>
          <w:spacing w:val="0"/>
          <w:kern w:val="2"/>
          <w:sz w:val="28"/>
          <w:szCs w:val="28"/>
          <w:highlight w:val="none"/>
          <w:u w:val="none"/>
          <w:lang w:val="en-US" w:eastAsia="zh-CN" w:bidi="ar-SA"/>
        </w:rPr>
        <w:t>Td</w:t>
      </w:r>
      <w:r>
        <w:rPr>
          <w:rFonts w:hint="eastAsia" w:ascii="Times New Roman" w:hAnsi="Times New Roman" w:eastAsia="宋体" w:cs="Times New Roman"/>
          <w:color w:val="auto"/>
          <w:spacing w:val="0"/>
          <w:kern w:val="2"/>
          <w:sz w:val="28"/>
          <w:szCs w:val="28"/>
          <w:highlight w:val="none"/>
          <w:u w:val="none"/>
          <w:lang w:val="en-US" w:eastAsia="zh-CN" w:bidi="ar-SA"/>
        </w:rPr>
        <w:t>和污染物到达最近的受体点 （网格点或敏感点）的时间</w:t>
      </w:r>
      <w:r>
        <w:rPr>
          <w:rFonts w:hint="default" w:ascii="Times New Roman" w:hAnsi="Times New Roman" w:eastAsia="宋体" w:cs="Times New Roman"/>
          <w:color w:val="auto"/>
          <w:spacing w:val="0"/>
          <w:kern w:val="2"/>
          <w:sz w:val="28"/>
          <w:szCs w:val="28"/>
          <w:highlight w:val="none"/>
          <w:u w:val="none"/>
          <w:lang w:val="en-US" w:eastAsia="zh-CN" w:bidi="ar-SA"/>
        </w:rPr>
        <w:t>T</w:t>
      </w:r>
      <w:r>
        <w:rPr>
          <w:rFonts w:hint="eastAsia" w:ascii="Times New Roman" w:hAnsi="Times New Roman" w:eastAsia="宋体" w:cs="Times New Roman"/>
          <w:color w:val="auto"/>
          <w:spacing w:val="0"/>
          <w:kern w:val="2"/>
          <w:sz w:val="28"/>
          <w:szCs w:val="28"/>
          <w:highlight w:val="none"/>
          <w:u w:val="none"/>
          <w:lang w:val="en-US" w:eastAsia="zh-CN" w:bidi="ar-SA"/>
        </w:rPr>
        <w:t>确定。</w:t>
      </w:r>
    </w:p>
    <w:p w14:paraId="17BF29A8">
      <w:pPr>
        <w:ind w:left="0" w:leftChars="0" w:firstLine="0" w:firstLineChars="0"/>
        <w:jc w:val="center"/>
        <w:rPr>
          <w:rFonts w:hint="default"/>
          <w:lang w:val="en-US" w:eastAsia="zh-CN"/>
        </w:rPr>
      </w:pPr>
      <w:r>
        <w:drawing>
          <wp:inline distT="0" distB="0" distL="114300" distR="114300">
            <wp:extent cx="971550" cy="371475"/>
            <wp:effectExtent l="0" t="0" r="0" b="952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40"/>
                    <a:stretch>
                      <a:fillRect/>
                    </a:stretch>
                  </pic:blipFill>
                  <pic:spPr>
                    <a:xfrm>
                      <a:off x="0" y="0"/>
                      <a:ext cx="971550" cy="371475"/>
                    </a:xfrm>
                    <a:prstGeom prst="rect">
                      <a:avLst/>
                    </a:prstGeom>
                    <a:noFill/>
                    <a:ln>
                      <a:noFill/>
                    </a:ln>
                  </pic:spPr>
                </pic:pic>
              </a:graphicData>
            </a:graphic>
          </wp:inline>
        </w:drawing>
      </w:r>
    </w:p>
    <w:p w14:paraId="5D95535F">
      <w:pPr>
        <w:keepNext w:val="0"/>
        <w:keepLines w:val="0"/>
        <w:widowControl/>
        <w:suppressLineNumbers w:val="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式中：</w:t>
      </w:r>
      <w:r>
        <w:rPr>
          <w:rFonts w:hint="default" w:ascii="Times New Roman" w:hAnsi="Times New Roman" w:eastAsia="宋体" w:cs="Times New Roman"/>
          <w:color w:val="auto"/>
          <w:spacing w:val="0"/>
          <w:kern w:val="2"/>
          <w:sz w:val="28"/>
          <w:szCs w:val="28"/>
          <w:highlight w:val="none"/>
          <w:u w:val="none"/>
          <w:lang w:val="en-US" w:eastAsia="zh-CN" w:bidi="ar-SA"/>
        </w:rPr>
        <w:t>X</w:t>
      </w:r>
      <w:r>
        <w:rPr>
          <w:rFonts w:hint="eastAsia" w:ascii="Times New Roman" w:hAnsi="Times New Roman" w:eastAsia="宋体" w:cs="Times New Roman"/>
          <w:color w:val="auto"/>
          <w:spacing w:val="0"/>
          <w:kern w:val="2"/>
          <w:sz w:val="28"/>
          <w:szCs w:val="28"/>
          <w:highlight w:val="none"/>
          <w:u w:val="none"/>
          <w:lang w:val="en-US" w:eastAsia="zh-CN" w:bidi="ar-SA"/>
        </w:rPr>
        <w:t>——事故发生地与计算点的距离，</w:t>
      </w:r>
      <w:r>
        <w:rPr>
          <w:rFonts w:hint="default" w:ascii="Times New Roman" w:hAnsi="Times New Roman" w:eastAsia="宋体" w:cs="Times New Roman"/>
          <w:color w:val="auto"/>
          <w:spacing w:val="0"/>
          <w:kern w:val="2"/>
          <w:sz w:val="28"/>
          <w:szCs w:val="28"/>
          <w:highlight w:val="none"/>
          <w:u w:val="none"/>
          <w:lang w:val="en-US" w:eastAsia="zh-CN" w:bidi="ar-SA"/>
        </w:rPr>
        <w:t>m</w:t>
      </w:r>
      <w:r>
        <w:rPr>
          <w:rFonts w:hint="eastAsia" w:ascii="Times New Roman" w:hAnsi="Times New Roman" w:eastAsia="宋体" w:cs="Times New Roman"/>
          <w:color w:val="auto"/>
          <w:spacing w:val="0"/>
          <w:kern w:val="2"/>
          <w:sz w:val="28"/>
          <w:szCs w:val="28"/>
          <w:highlight w:val="none"/>
          <w:u w:val="none"/>
          <w:lang w:val="en-US" w:eastAsia="zh-CN" w:bidi="ar-SA"/>
        </w:rPr>
        <w:t xml:space="preserve">； </w:t>
      </w:r>
    </w:p>
    <w:p w14:paraId="058B3ACE">
      <w:pPr>
        <w:keepNext w:val="0"/>
        <w:keepLines w:val="0"/>
        <w:widowControl/>
        <w:suppressLineNumbers w:val="0"/>
        <w:ind w:firstLine="1400" w:firstLineChars="50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U</w:t>
      </w:r>
      <w:r>
        <w:rPr>
          <w:rFonts w:hint="default" w:ascii="Times New Roman" w:hAnsi="Times New Roman" w:eastAsia="宋体" w:cs="Times New Roman"/>
          <w:color w:val="auto"/>
          <w:spacing w:val="0"/>
          <w:kern w:val="2"/>
          <w:sz w:val="28"/>
          <w:szCs w:val="28"/>
          <w:highlight w:val="none"/>
          <w:u w:val="none"/>
          <w:vertAlign w:val="subscript"/>
          <w:lang w:val="en-US" w:eastAsia="zh-CN" w:bidi="ar-SA"/>
        </w:rPr>
        <w:t>r</w:t>
      </w: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default" w:ascii="Times New Roman" w:hAnsi="Times New Roman" w:eastAsia="宋体" w:cs="Times New Roman"/>
          <w:color w:val="auto"/>
          <w:spacing w:val="0"/>
          <w:kern w:val="2"/>
          <w:sz w:val="28"/>
          <w:szCs w:val="28"/>
          <w:highlight w:val="none"/>
          <w:u w:val="none"/>
          <w:lang w:val="en-US" w:eastAsia="zh-CN" w:bidi="ar-SA"/>
        </w:rPr>
        <w:t xml:space="preserve">10m </w:t>
      </w:r>
      <w:r>
        <w:rPr>
          <w:rFonts w:hint="eastAsia" w:ascii="Times New Roman" w:hAnsi="Times New Roman" w:eastAsia="宋体" w:cs="Times New Roman"/>
          <w:color w:val="auto"/>
          <w:spacing w:val="0"/>
          <w:kern w:val="2"/>
          <w:sz w:val="28"/>
          <w:szCs w:val="28"/>
          <w:highlight w:val="none"/>
          <w:u w:val="none"/>
          <w:lang w:val="en-US" w:eastAsia="zh-CN" w:bidi="ar-SA"/>
        </w:rPr>
        <w:t>高处风速，</w:t>
      </w:r>
      <w:r>
        <w:rPr>
          <w:rFonts w:hint="default" w:ascii="Times New Roman" w:hAnsi="Times New Roman" w:eastAsia="宋体" w:cs="Times New Roman"/>
          <w:color w:val="auto"/>
          <w:spacing w:val="0"/>
          <w:kern w:val="2"/>
          <w:sz w:val="28"/>
          <w:szCs w:val="28"/>
          <w:highlight w:val="none"/>
          <w:u w:val="none"/>
          <w:lang w:val="en-US" w:eastAsia="zh-CN" w:bidi="ar-SA"/>
        </w:rPr>
        <w:t>m/s</w:t>
      </w:r>
      <w:r>
        <w:rPr>
          <w:rFonts w:hint="eastAsia" w:ascii="Times New Roman" w:hAnsi="Times New Roman" w:eastAsia="宋体" w:cs="Times New Roman"/>
          <w:color w:val="auto"/>
          <w:spacing w:val="0"/>
          <w:kern w:val="2"/>
          <w:sz w:val="28"/>
          <w:szCs w:val="28"/>
          <w:highlight w:val="none"/>
          <w:u w:val="none"/>
          <w:lang w:val="en-US" w:eastAsia="zh-CN" w:bidi="ar-SA"/>
        </w:rPr>
        <w:t>。假设风速和风向在</w:t>
      </w:r>
      <w:r>
        <w:rPr>
          <w:rFonts w:hint="default" w:ascii="Times New Roman" w:hAnsi="Times New Roman" w:eastAsia="宋体" w:cs="Times New Roman"/>
          <w:color w:val="auto"/>
          <w:spacing w:val="0"/>
          <w:kern w:val="2"/>
          <w:sz w:val="28"/>
          <w:szCs w:val="28"/>
          <w:highlight w:val="none"/>
          <w:u w:val="none"/>
          <w:lang w:val="en-US" w:eastAsia="zh-CN" w:bidi="ar-SA"/>
        </w:rPr>
        <w:t>T</w:t>
      </w:r>
      <w:r>
        <w:rPr>
          <w:rFonts w:hint="eastAsia" w:ascii="Times New Roman" w:hAnsi="Times New Roman" w:eastAsia="宋体" w:cs="Times New Roman"/>
          <w:color w:val="auto"/>
          <w:spacing w:val="0"/>
          <w:kern w:val="2"/>
          <w:sz w:val="28"/>
          <w:szCs w:val="28"/>
          <w:highlight w:val="none"/>
          <w:u w:val="none"/>
          <w:lang w:val="en-US" w:eastAsia="zh-CN" w:bidi="ar-SA"/>
        </w:rPr>
        <w:t xml:space="preserve">时间段内保持不变。 </w:t>
      </w:r>
    </w:p>
    <w:p w14:paraId="0EAB6F25">
      <w:pPr>
        <w:keepNext w:val="0"/>
        <w:keepLines w:val="0"/>
        <w:widowControl/>
        <w:suppressLineNumbers w:val="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当</w:t>
      </w:r>
      <w:r>
        <w:rPr>
          <w:rFonts w:hint="default" w:ascii="Times New Roman" w:hAnsi="Times New Roman" w:eastAsia="宋体" w:cs="Times New Roman"/>
          <w:color w:val="auto"/>
          <w:spacing w:val="0"/>
          <w:kern w:val="2"/>
          <w:sz w:val="28"/>
          <w:szCs w:val="28"/>
          <w:highlight w:val="none"/>
          <w:u w:val="none"/>
          <w:lang w:val="en-US" w:eastAsia="zh-CN" w:bidi="ar-SA"/>
        </w:rPr>
        <w:t>Td</w:t>
      </w: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default" w:ascii="Times New Roman" w:hAnsi="Times New Roman" w:eastAsia="宋体" w:cs="Times New Roman"/>
          <w:color w:val="auto"/>
          <w:spacing w:val="0"/>
          <w:kern w:val="2"/>
          <w:sz w:val="28"/>
          <w:szCs w:val="28"/>
          <w:highlight w:val="none"/>
          <w:u w:val="none"/>
          <w:lang w:val="en-US" w:eastAsia="zh-CN" w:bidi="ar-SA"/>
        </w:rPr>
        <w:t>T</w:t>
      </w:r>
      <w:r>
        <w:rPr>
          <w:rFonts w:hint="eastAsia" w:ascii="Times New Roman" w:hAnsi="Times New Roman" w:eastAsia="宋体" w:cs="Times New Roman"/>
          <w:color w:val="auto"/>
          <w:spacing w:val="0"/>
          <w:kern w:val="2"/>
          <w:sz w:val="28"/>
          <w:szCs w:val="28"/>
          <w:highlight w:val="none"/>
          <w:u w:val="none"/>
          <w:lang w:val="en-US" w:eastAsia="zh-CN" w:bidi="ar-SA"/>
        </w:rPr>
        <w:t xml:space="preserve">时，可被认为是连续排放的；当 </w:t>
      </w:r>
      <w:r>
        <w:rPr>
          <w:rFonts w:hint="default" w:ascii="Times New Roman" w:hAnsi="Times New Roman" w:eastAsia="宋体" w:cs="Times New Roman"/>
          <w:color w:val="auto"/>
          <w:spacing w:val="0"/>
          <w:kern w:val="2"/>
          <w:sz w:val="28"/>
          <w:szCs w:val="28"/>
          <w:highlight w:val="none"/>
          <w:u w:val="none"/>
          <w:lang w:val="en-US" w:eastAsia="zh-CN" w:bidi="ar-SA"/>
        </w:rPr>
        <w:t>Td</w:t>
      </w: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default" w:ascii="Times New Roman" w:hAnsi="Times New Roman" w:eastAsia="宋体" w:cs="Times New Roman"/>
          <w:color w:val="auto"/>
          <w:spacing w:val="0"/>
          <w:kern w:val="2"/>
          <w:sz w:val="28"/>
          <w:szCs w:val="28"/>
          <w:highlight w:val="none"/>
          <w:u w:val="none"/>
          <w:lang w:val="en-US" w:eastAsia="zh-CN" w:bidi="ar-SA"/>
        </w:rPr>
        <w:t xml:space="preserve">T </w:t>
      </w:r>
      <w:r>
        <w:rPr>
          <w:rFonts w:hint="eastAsia" w:ascii="Times New Roman" w:hAnsi="Times New Roman" w:eastAsia="宋体" w:cs="Times New Roman"/>
          <w:color w:val="auto"/>
          <w:spacing w:val="0"/>
          <w:kern w:val="2"/>
          <w:sz w:val="28"/>
          <w:szCs w:val="28"/>
          <w:highlight w:val="none"/>
          <w:u w:val="none"/>
          <w:lang w:val="en-US" w:eastAsia="zh-CN" w:bidi="ar-SA"/>
        </w:rPr>
        <w:t xml:space="preserve">时，可被认为是瞬时排放。 </w:t>
      </w:r>
    </w:p>
    <w:p w14:paraId="287598ED">
      <w:pPr>
        <w:keepNext w:val="0"/>
        <w:keepLines w:val="0"/>
        <w:widowControl/>
        <w:suppressLineNumbers w:val="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本项目最近受体点为</w:t>
      </w:r>
      <w:r>
        <w:rPr>
          <w:rFonts w:hint="eastAsia" w:cs="Times New Roman"/>
          <w:color w:val="auto"/>
          <w:spacing w:val="0"/>
          <w:kern w:val="2"/>
          <w:sz w:val="28"/>
          <w:szCs w:val="28"/>
          <w:highlight w:val="none"/>
          <w:u w:val="none"/>
          <w:lang w:val="en-US" w:eastAsia="zh-CN" w:bidi="ar-SA"/>
        </w:rPr>
        <w:t>东</w:t>
      </w:r>
      <w:r>
        <w:rPr>
          <w:rFonts w:hint="eastAsia" w:ascii="Times New Roman" w:hAnsi="Times New Roman" w:eastAsia="宋体" w:cs="Times New Roman"/>
          <w:color w:val="auto"/>
          <w:spacing w:val="0"/>
          <w:kern w:val="2"/>
          <w:sz w:val="28"/>
          <w:szCs w:val="28"/>
          <w:highlight w:val="none"/>
          <w:u w:val="none"/>
          <w:lang w:val="en-US" w:eastAsia="zh-CN" w:bidi="ar-SA"/>
        </w:rPr>
        <w:t>侧</w:t>
      </w:r>
      <w:r>
        <w:rPr>
          <w:rFonts w:hint="default" w:ascii="Times New Roman" w:hAnsi="Times New Roman" w:eastAsia="宋体" w:cs="Times New Roman"/>
          <w:color w:val="auto"/>
          <w:spacing w:val="0"/>
          <w:kern w:val="2"/>
          <w:sz w:val="28"/>
          <w:szCs w:val="28"/>
          <w:highlight w:val="none"/>
          <w:u w:val="none"/>
          <w:lang w:val="en-US" w:eastAsia="zh-CN" w:bidi="ar-SA"/>
        </w:rPr>
        <w:t>50m</w:t>
      </w:r>
      <w:r>
        <w:rPr>
          <w:rFonts w:hint="eastAsia" w:ascii="Times New Roman" w:hAnsi="Times New Roman" w:eastAsia="宋体" w:cs="Times New Roman"/>
          <w:color w:val="auto"/>
          <w:spacing w:val="0"/>
          <w:kern w:val="2"/>
          <w:sz w:val="28"/>
          <w:szCs w:val="28"/>
          <w:highlight w:val="none"/>
          <w:u w:val="none"/>
          <w:lang w:val="en-US" w:eastAsia="zh-CN" w:bidi="ar-SA"/>
        </w:rPr>
        <w:t>处的</w:t>
      </w:r>
      <w:r>
        <w:rPr>
          <w:rFonts w:hint="eastAsia" w:cs="Times New Roman"/>
          <w:color w:val="auto"/>
          <w:spacing w:val="0"/>
          <w:kern w:val="2"/>
          <w:sz w:val="28"/>
          <w:szCs w:val="28"/>
          <w:highlight w:val="none"/>
          <w:u w:val="none"/>
          <w:lang w:val="en-US" w:eastAsia="zh-CN" w:bidi="ar-SA"/>
        </w:rPr>
        <w:t>阜康雪峰科技有限公司</w:t>
      </w: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default" w:ascii="Times New Roman" w:hAnsi="Times New Roman" w:eastAsia="宋体" w:cs="Times New Roman"/>
          <w:color w:val="auto"/>
          <w:spacing w:val="0"/>
          <w:kern w:val="2"/>
          <w:sz w:val="28"/>
          <w:szCs w:val="28"/>
          <w:highlight w:val="none"/>
          <w:u w:val="none"/>
          <w:lang w:val="en-US" w:eastAsia="zh-CN" w:bidi="ar-SA"/>
        </w:rPr>
        <w:t xml:space="preserve">10m </w:t>
      </w:r>
      <w:r>
        <w:rPr>
          <w:rFonts w:hint="eastAsia" w:ascii="Times New Roman" w:hAnsi="Times New Roman" w:eastAsia="宋体" w:cs="Times New Roman"/>
          <w:color w:val="auto"/>
          <w:spacing w:val="0"/>
          <w:kern w:val="2"/>
          <w:sz w:val="28"/>
          <w:szCs w:val="28"/>
          <w:highlight w:val="none"/>
          <w:u w:val="none"/>
          <w:lang w:val="en-US" w:eastAsia="zh-CN" w:bidi="ar-SA"/>
        </w:rPr>
        <w:t>高处风速为</w:t>
      </w:r>
      <w:r>
        <w:rPr>
          <w:rFonts w:hint="default" w:ascii="Times New Roman" w:hAnsi="Times New Roman" w:eastAsia="宋体" w:cs="Times New Roman"/>
          <w:color w:val="auto"/>
          <w:spacing w:val="0"/>
          <w:kern w:val="2"/>
          <w:sz w:val="28"/>
          <w:szCs w:val="28"/>
          <w:highlight w:val="none"/>
          <w:u w:val="none"/>
          <w:lang w:val="en-US" w:eastAsia="zh-CN" w:bidi="ar-SA"/>
        </w:rPr>
        <w:t>1.5m/s</w:t>
      </w:r>
      <w:r>
        <w:rPr>
          <w:rFonts w:hint="eastAsia" w:ascii="Times New Roman" w:hAnsi="Times New Roman" w:eastAsia="宋体" w:cs="Times New Roman"/>
          <w:color w:val="auto"/>
          <w:spacing w:val="0"/>
          <w:kern w:val="2"/>
          <w:sz w:val="28"/>
          <w:szCs w:val="28"/>
          <w:highlight w:val="none"/>
          <w:u w:val="none"/>
          <w:lang w:val="en-US" w:eastAsia="zh-CN" w:bidi="ar-SA"/>
        </w:rPr>
        <w:t>，计算得到污染物到达最近的受体点的时间</w:t>
      </w:r>
      <w:r>
        <w:rPr>
          <w:rFonts w:hint="default" w:ascii="Times New Roman" w:hAnsi="Times New Roman" w:eastAsia="宋体" w:cs="Times New Roman"/>
          <w:color w:val="auto"/>
          <w:spacing w:val="0"/>
          <w:kern w:val="2"/>
          <w:sz w:val="28"/>
          <w:szCs w:val="28"/>
          <w:highlight w:val="none"/>
          <w:u w:val="none"/>
          <w:lang w:val="en-US" w:eastAsia="zh-CN" w:bidi="ar-SA"/>
        </w:rPr>
        <w:t>T</w:t>
      </w:r>
      <w:r>
        <w:rPr>
          <w:rFonts w:hint="eastAsia" w:ascii="Times New Roman" w:hAnsi="Times New Roman" w:eastAsia="宋体" w:cs="Times New Roman"/>
          <w:color w:val="auto"/>
          <w:spacing w:val="0"/>
          <w:kern w:val="2"/>
          <w:sz w:val="28"/>
          <w:szCs w:val="28"/>
          <w:highlight w:val="none"/>
          <w:u w:val="none"/>
          <w:lang w:val="en-US" w:eastAsia="zh-CN" w:bidi="ar-SA"/>
        </w:rPr>
        <w:t>为</w:t>
      </w:r>
      <w:r>
        <w:rPr>
          <w:rFonts w:hint="default" w:ascii="Times New Roman" w:hAnsi="Times New Roman" w:eastAsia="宋体" w:cs="Times New Roman"/>
          <w:color w:val="auto"/>
          <w:spacing w:val="0"/>
          <w:kern w:val="2"/>
          <w:sz w:val="28"/>
          <w:szCs w:val="28"/>
          <w:highlight w:val="none"/>
          <w:u w:val="none"/>
          <w:lang w:val="en-US" w:eastAsia="zh-CN" w:bidi="ar-SA"/>
        </w:rPr>
        <w:t>67s</w:t>
      </w:r>
      <w:r>
        <w:rPr>
          <w:rFonts w:hint="eastAsia" w:ascii="Times New Roman" w:hAnsi="Times New Roman" w:eastAsia="宋体" w:cs="Times New Roman"/>
          <w:color w:val="auto"/>
          <w:spacing w:val="0"/>
          <w:kern w:val="2"/>
          <w:sz w:val="28"/>
          <w:szCs w:val="28"/>
          <w:highlight w:val="none"/>
          <w:u w:val="none"/>
          <w:lang w:val="en-US" w:eastAsia="zh-CN" w:bidi="ar-SA"/>
        </w:rPr>
        <w:t xml:space="preserve">，因此本次泄露可认为连续排放。 </w:t>
      </w:r>
    </w:p>
    <w:p w14:paraId="048D003E">
      <w:pPr>
        <w:keepNext w:val="0"/>
        <w:keepLines w:val="0"/>
        <w:widowControl/>
        <w:suppressLineNumbers w:val="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判断标准为：对于连续排放，</w:t>
      </w:r>
      <w:r>
        <w:rPr>
          <w:rFonts w:hint="default" w:ascii="Times New Roman" w:hAnsi="Times New Roman" w:eastAsia="宋体" w:cs="Times New Roman"/>
          <w:color w:val="auto"/>
          <w:spacing w:val="0"/>
          <w:kern w:val="2"/>
          <w:sz w:val="28"/>
          <w:szCs w:val="28"/>
          <w:highlight w:val="none"/>
          <w:u w:val="none"/>
          <w:lang w:val="en-US" w:eastAsia="zh-CN" w:bidi="ar-SA"/>
        </w:rPr>
        <w:t>Ri</w:t>
      </w: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default" w:ascii="Times New Roman" w:hAnsi="Times New Roman" w:eastAsia="宋体" w:cs="Times New Roman"/>
          <w:color w:val="auto"/>
          <w:spacing w:val="0"/>
          <w:kern w:val="2"/>
          <w:sz w:val="28"/>
          <w:szCs w:val="28"/>
          <w:highlight w:val="none"/>
          <w:u w:val="none"/>
          <w:lang w:val="en-US" w:eastAsia="zh-CN" w:bidi="ar-SA"/>
        </w:rPr>
        <w:t>1/6</w:t>
      </w:r>
      <w:r>
        <w:rPr>
          <w:rFonts w:hint="eastAsia" w:ascii="Times New Roman" w:hAnsi="Times New Roman" w:eastAsia="宋体" w:cs="Times New Roman"/>
          <w:color w:val="auto"/>
          <w:spacing w:val="0"/>
          <w:kern w:val="2"/>
          <w:sz w:val="28"/>
          <w:szCs w:val="28"/>
          <w:highlight w:val="none"/>
          <w:u w:val="none"/>
          <w:lang w:val="en-US" w:eastAsia="zh-CN" w:bidi="ar-SA"/>
        </w:rPr>
        <w:t>为重质气体，</w:t>
      </w:r>
      <w:r>
        <w:rPr>
          <w:rFonts w:hint="default" w:ascii="Times New Roman" w:hAnsi="Times New Roman" w:eastAsia="宋体" w:cs="Times New Roman"/>
          <w:color w:val="auto"/>
          <w:spacing w:val="0"/>
          <w:kern w:val="2"/>
          <w:sz w:val="28"/>
          <w:szCs w:val="28"/>
          <w:highlight w:val="none"/>
          <w:u w:val="none"/>
          <w:lang w:val="en-US" w:eastAsia="zh-CN" w:bidi="ar-SA"/>
        </w:rPr>
        <w:t>Ri</w:t>
      </w: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default" w:ascii="Times New Roman" w:hAnsi="Times New Roman" w:eastAsia="宋体" w:cs="Times New Roman"/>
          <w:color w:val="auto"/>
          <w:spacing w:val="0"/>
          <w:kern w:val="2"/>
          <w:sz w:val="28"/>
          <w:szCs w:val="28"/>
          <w:highlight w:val="none"/>
          <w:u w:val="none"/>
          <w:lang w:val="en-US" w:eastAsia="zh-CN" w:bidi="ar-SA"/>
        </w:rPr>
        <w:t>1/6</w:t>
      </w:r>
      <w:r>
        <w:rPr>
          <w:rFonts w:hint="eastAsia" w:ascii="Times New Roman" w:hAnsi="Times New Roman" w:eastAsia="宋体" w:cs="Times New Roman"/>
          <w:color w:val="auto"/>
          <w:spacing w:val="0"/>
          <w:kern w:val="2"/>
          <w:sz w:val="28"/>
          <w:szCs w:val="28"/>
          <w:highlight w:val="none"/>
          <w:u w:val="none"/>
          <w:lang w:val="en-US" w:eastAsia="zh-CN" w:bidi="ar-SA"/>
        </w:rPr>
        <w:t>为轻质气体；对于瞬时排放，</w:t>
      </w:r>
      <w:r>
        <w:rPr>
          <w:rFonts w:hint="default" w:ascii="Times New Roman" w:hAnsi="Times New Roman" w:eastAsia="宋体" w:cs="Times New Roman"/>
          <w:color w:val="auto"/>
          <w:spacing w:val="0"/>
          <w:kern w:val="2"/>
          <w:sz w:val="28"/>
          <w:szCs w:val="28"/>
          <w:highlight w:val="none"/>
          <w:u w:val="none"/>
          <w:lang w:val="en-US" w:eastAsia="zh-CN" w:bidi="ar-SA"/>
        </w:rPr>
        <w:t>Ri</w:t>
      </w: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default" w:ascii="Times New Roman" w:hAnsi="Times New Roman" w:eastAsia="宋体" w:cs="Times New Roman"/>
          <w:color w:val="auto"/>
          <w:spacing w:val="0"/>
          <w:kern w:val="2"/>
          <w:sz w:val="28"/>
          <w:szCs w:val="28"/>
          <w:highlight w:val="none"/>
          <w:u w:val="none"/>
          <w:lang w:val="en-US" w:eastAsia="zh-CN" w:bidi="ar-SA"/>
        </w:rPr>
        <w:t xml:space="preserve">0.04 </w:t>
      </w:r>
      <w:r>
        <w:rPr>
          <w:rFonts w:hint="eastAsia" w:ascii="Times New Roman" w:hAnsi="Times New Roman" w:eastAsia="宋体" w:cs="Times New Roman"/>
          <w:color w:val="auto"/>
          <w:spacing w:val="0"/>
          <w:kern w:val="2"/>
          <w:sz w:val="28"/>
          <w:szCs w:val="28"/>
          <w:highlight w:val="none"/>
          <w:u w:val="none"/>
          <w:lang w:val="en-US" w:eastAsia="zh-CN" w:bidi="ar-SA"/>
        </w:rPr>
        <w:t>为重质气体，</w:t>
      </w:r>
      <w:r>
        <w:rPr>
          <w:rFonts w:hint="default" w:ascii="Times New Roman" w:hAnsi="Times New Roman" w:eastAsia="宋体" w:cs="Times New Roman"/>
          <w:color w:val="auto"/>
          <w:spacing w:val="0"/>
          <w:kern w:val="2"/>
          <w:sz w:val="28"/>
          <w:szCs w:val="28"/>
          <w:highlight w:val="none"/>
          <w:u w:val="none"/>
          <w:lang w:val="en-US" w:eastAsia="zh-CN" w:bidi="ar-SA"/>
        </w:rPr>
        <w:t>Ri</w:t>
      </w: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default" w:ascii="Times New Roman" w:hAnsi="Times New Roman" w:eastAsia="宋体" w:cs="Times New Roman"/>
          <w:color w:val="auto"/>
          <w:spacing w:val="0"/>
          <w:kern w:val="2"/>
          <w:sz w:val="28"/>
          <w:szCs w:val="28"/>
          <w:highlight w:val="none"/>
          <w:u w:val="none"/>
          <w:lang w:val="en-US" w:eastAsia="zh-CN" w:bidi="ar-SA"/>
        </w:rPr>
        <w:t xml:space="preserve">0.04 </w:t>
      </w:r>
      <w:r>
        <w:rPr>
          <w:rFonts w:hint="eastAsia" w:ascii="Times New Roman" w:hAnsi="Times New Roman" w:eastAsia="宋体" w:cs="Times New Roman"/>
          <w:color w:val="auto"/>
          <w:spacing w:val="0"/>
          <w:kern w:val="2"/>
          <w:sz w:val="28"/>
          <w:szCs w:val="28"/>
          <w:highlight w:val="none"/>
          <w:u w:val="none"/>
          <w:lang w:val="en-US" w:eastAsia="zh-CN" w:bidi="ar-SA"/>
        </w:rPr>
        <w:t xml:space="preserve">为轻质气体。当 </w:t>
      </w:r>
      <w:r>
        <w:rPr>
          <w:rFonts w:hint="default" w:ascii="Times New Roman" w:hAnsi="Times New Roman" w:eastAsia="宋体" w:cs="Times New Roman"/>
          <w:color w:val="auto"/>
          <w:spacing w:val="0"/>
          <w:kern w:val="2"/>
          <w:sz w:val="28"/>
          <w:szCs w:val="28"/>
          <w:highlight w:val="none"/>
          <w:u w:val="none"/>
          <w:lang w:val="en-US" w:eastAsia="zh-CN" w:bidi="ar-SA"/>
        </w:rPr>
        <w:t xml:space="preserve">Ri </w:t>
      </w:r>
      <w:r>
        <w:rPr>
          <w:rFonts w:hint="eastAsia" w:ascii="Times New Roman" w:hAnsi="Times New Roman" w:eastAsia="宋体" w:cs="Times New Roman"/>
          <w:color w:val="auto"/>
          <w:spacing w:val="0"/>
          <w:kern w:val="2"/>
          <w:sz w:val="28"/>
          <w:szCs w:val="28"/>
          <w:highlight w:val="none"/>
          <w:u w:val="none"/>
          <w:lang w:val="en-US" w:eastAsia="zh-CN" w:bidi="ar-SA"/>
        </w:rPr>
        <w:t>处于临界值附近时，说明烟团</w:t>
      </w:r>
      <w:r>
        <w:rPr>
          <w:rFonts w:hint="default" w:ascii="Times New Roman" w:hAnsi="Times New Roman" w:eastAsia="宋体" w:cs="Times New Roman"/>
          <w:color w:val="auto"/>
          <w:spacing w:val="0"/>
          <w:kern w:val="2"/>
          <w:sz w:val="28"/>
          <w:szCs w:val="28"/>
          <w:highlight w:val="none"/>
          <w:u w:val="none"/>
          <w:lang w:val="en-US" w:eastAsia="zh-CN" w:bidi="ar-SA"/>
        </w:rPr>
        <w:t>/</w:t>
      </w:r>
      <w:r>
        <w:rPr>
          <w:rFonts w:hint="eastAsia" w:ascii="Times New Roman" w:hAnsi="Times New Roman" w:eastAsia="宋体" w:cs="Times New Roman"/>
          <w:color w:val="auto"/>
          <w:spacing w:val="0"/>
          <w:kern w:val="2"/>
          <w:sz w:val="28"/>
          <w:szCs w:val="28"/>
          <w:highlight w:val="none"/>
          <w:u w:val="none"/>
          <w:lang w:val="en-US" w:eastAsia="zh-CN" w:bidi="ar-SA"/>
        </w:rPr>
        <w:t xml:space="preserve">烟羽既不是典型的重质气体扩散，也不是典型的轻质气体扩散。 </w:t>
      </w:r>
    </w:p>
    <w:p w14:paraId="73D8FC18">
      <w:pPr>
        <w:keepNext w:val="0"/>
        <w:keepLines w:val="0"/>
        <w:widowControl/>
        <w:suppressLineNumbers w:val="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 xml:space="preserve">根据《建设项目环境风险评价技术导则》（环境 </w:t>
      </w:r>
      <w:r>
        <w:rPr>
          <w:rFonts w:hint="default" w:ascii="Times New Roman" w:hAnsi="Times New Roman" w:eastAsia="宋体" w:cs="Times New Roman"/>
          <w:color w:val="auto"/>
          <w:spacing w:val="0"/>
          <w:kern w:val="2"/>
          <w:sz w:val="28"/>
          <w:szCs w:val="28"/>
          <w:highlight w:val="none"/>
          <w:u w:val="none"/>
          <w:lang w:val="en-US" w:eastAsia="zh-CN" w:bidi="ar-SA"/>
        </w:rPr>
        <w:t>169-2018</w:t>
      </w:r>
      <w:r>
        <w:rPr>
          <w:rFonts w:hint="eastAsia" w:ascii="Times New Roman" w:hAnsi="Times New Roman" w:eastAsia="宋体" w:cs="Times New Roman"/>
          <w:color w:val="auto"/>
          <w:spacing w:val="0"/>
          <w:kern w:val="2"/>
          <w:sz w:val="28"/>
          <w:szCs w:val="28"/>
          <w:highlight w:val="none"/>
          <w:u w:val="none"/>
          <w:lang w:val="en-US" w:eastAsia="zh-CN" w:bidi="ar-SA"/>
        </w:rPr>
        <w:t xml:space="preserve">）附录 </w:t>
      </w:r>
      <w:r>
        <w:rPr>
          <w:rFonts w:hint="default" w:ascii="Times New Roman" w:hAnsi="Times New Roman" w:eastAsia="宋体" w:cs="Times New Roman"/>
          <w:color w:val="auto"/>
          <w:spacing w:val="0"/>
          <w:kern w:val="2"/>
          <w:sz w:val="28"/>
          <w:szCs w:val="28"/>
          <w:highlight w:val="none"/>
          <w:u w:val="none"/>
          <w:lang w:val="en-US" w:eastAsia="zh-CN" w:bidi="ar-SA"/>
        </w:rPr>
        <w:t>G</w:t>
      </w:r>
      <w:r>
        <w:rPr>
          <w:rFonts w:hint="eastAsia" w:ascii="Times New Roman" w:hAnsi="Times New Roman" w:eastAsia="宋体" w:cs="Times New Roman"/>
          <w:color w:val="auto"/>
          <w:spacing w:val="0"/>
          <w:kern w:val="2"/>
          <w:sz w:val="28"/>
          <w:szCs w:val="28"/>
          <w:highlight w:val="none"/>
          <w:u w:val="none"/>
          <w:lang w:val="en-US" w:eastAsia="zh-CN" w:bidi="ar-SA"/>
        </w:rPr>
        <w:t>，经预测，本项目硝酸选取</w:t>
      </w:r>
      <w:r>
        <w:rPr>
          <w:rFonts w:hint="default" w:ascii="Times New Roman" w:hAnsi="Times New Roman" w:eastAsia="宋体" w:cs="Times New Roman"/>
          <w:color w:val="auto"/>
          <w:spacing w:val="0"/>
          <w:kern w:val="2"/>
          <w:sz w:val="28"/>
          <w:szCs w:val="28"/>
          <w:highlight w:val="none"/>
          <w:u w:val="none"/>
          <w:lang w:val="en-US" w:eastAsia="zh-CN" w:bidi="ar-SA"/>
        </w:rPr>
        <w:t>SLAB</w:t>
      </w:r>
      <w:r>
        <w:rPr>
          <w:rFonts w:hint="eastAsia" w:ascii="Times New Roman" w:hAnsi="Times New Roman" w:eastAsia="宋体" w:cs="Times New Roman"/>
          <w:color w:val="auto"/>
          <w:spacing w:val="0"/>
          <w:kern w:val="2"/>
          <w:sz w:val="28"/>
          <w:szCs w:val="28"/>
          <w:highlight w:val="none"/>
          <w:u w:val="none"/>
          <w:lang w:val="en-US" w:eastAsia="zh-CN" w:bidi="ar-SA"/>
        </w:rPr>
        <w:t>模型</w:t>
      </w:r>
      <w:r>
        <w:rPr>
          <w:rFonts w:hint="eastAsia" w:cs="Times New Roman"/>
          <w:color w:val="auto"/>
          <w:spacing w:val="0"/>
          <w:kern w:val="2"/>
          <w:sz w:val="28"/>
          <w:szCs w:val="28"/>
          <w:highlight w:val="none"/>
          <w:u w:val="none"/>
          <w:lang w:val="en-US" w:eastAsia="zh-CN" w:bidi="ar-SA"/>
        </w:rPr>
        <w:t>。</w:t>
      </w:r>
    </w:p>
    <w:p w14:paraId="4EBBF316">
      <w:pPr>
        <w:ind w:left="0" w:leftChars="0" w:firstLine="0" w:firstLineChars="0"/>
        <w:jc w:val="center"/>
        <w:rPr>
          <w:rFonts w:hint="eastAsia" w:cs="Times New Roman"/>
          <w:b/>
          <w:color w:val="auto"/>
          <w:sz w:val="21"/>
          <w:szCs w:val="21"/>
          <w:lang w:val="en-US" w:eastAsia="zh-CN"/>
        </w:rPr>
      </w:pPr>
      <w:r>
        <w:rPr>
          <w:rFonts w:hint="default" w:ascii="Times New Roman" w:hAnsi="Times New Roman" w:eastAsia="宋体" w:cs="Times New Roman"/>
          <w:b/>
          <w:color w:val="auto"/>
          <w:sz w:val="21"/>
          <w:szCs w:val="21"/>
          <w:lang w:eastAsia="zh-CN"/>
        </w:rPr>
        <w:t>表</w:t>
      </w:r>
      <w:r>
        <w:rPr>
          <w:rFonts w:hint="eastAsia" w:cs="Times New Roman"/>
          <w:b/>
          <w:color w:val="auto"/>
          <w:sz w:val="21"/>
          <w:szCs w:val="21"/>
          <w:lang w:val="en-US" w:eastAsia="zh-CN"/>
        </w:rPr>
        <w:t>8</w:t>
      </w:r>
      <w:r>
        <w:rPr>
          <w:rFonts w:hint="default" w:ascii="Times New Roman" w:hAnsi="Times New Roman" w:eastAsia="宋体" w:cs="Times New Roman"/>
          <w:b/>
          <w:color w:val="auto"/>
          <w:sz w:val="21"/>
          <w:szCs w:val="21"/>
          <w:lang w:val="en-US" w:eastAsia="zh-CN"/>
        </w:rPr>
        <w:t>-</w:t>
      </w:r>
      <w:r>
        <w:rPr>
          <w:rFonts w:hint="eastAsia" w:cs="Times New Roman"/>
          <w:b/>
          <w:color w:val="auto"/>
          <w:sz w:val="21"/>
          <w:szCs w:val="21"/>
          <w:lang w:val="en-US" w:eastAsia="zh-CN"/>
        </w:rPr>
        <w:t>1</w:t>
      </w:r>
      <w:r>
        <w:rPr>
          <w:rFonts w:hint="eastAsia" w:ascii="Times New Roman" w:hAnsi="Times New Roman" w:eastAsia="宋体" w:cs="Times New Roman"/>
          <w:b/>
          <w:color w:val="auto"/>
          <w:sz w:val="21"/>
          <w:szCs w:val="21"/>
          <w:lang w:val="en-US" w:eastAsia="zh-CN"/>
        </w:rPr>
        <w:t xml:space="preserve">  </w:t>
      </w:r>
      <w:r>
        <w:rPr>
          <w:rFonts w:hint="eastAsia" w:cs="Times New Roman"/>
          <w:b/>
          <w:color w:val="auto"/>
          <w:sz w:val="21"/>
          <w:szCs w:val="21"/>
          <w:lang w:val="en-US" w:eastAsia="zh-CN"/>
        </w:rPr>
        <w:t>有毒有害物质终点浓度</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0"/>
      </w:tblGrid>
      <w:tr w14:paraId="15BB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20" w:type="dxa"/>
            <w:vAlign w:val="center"/>
          </w:tcPr>
          <w:p w14:paraId="4799C4F8">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物质名称</w:t>
            </w:r>
          </w:p>
        </w:tc>
        <w:tc>
          <w:tcPr>
            <w:tcW w:w="3020" w:type="dxa"/>
            <w:vAlign w:val="center"/>
          </w:tcPr>
          <w:p w14:paraId="6D9C68F3">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毒性终点浓度-1（mg/m</w:t>
            </w:r>
            <w:r>
              <w:rPr>
                <w:rFonts w:hint="default" w:ascii="Times New Roman" w:hAnsi="Times New Roman" w:cs="Times New Roman"/>
                <w:b/>
                <w:bCs/>
                <w:sz w:val="21"/>
                <w:szCs w:val="21"/>
                <w:vertAlign w:val="superscript"/>
                <w:lang w:val="en-US" w:eastAsia="zh-CN"/>
              </w:rPr>
              <w:t>3</w:t>
            </w:r>
            <w:r>
              <w:rPr>
                <w:rFonts w:hint="default" w:ascii="Times New Roman" w:hAnsi="Times New Roman" w:cs="Times New Roman"/>
                <w:b/>
                <w:bCs/>
                <w:sz w:val="21"/>
                <w:szCs w:val="21"/>
                <w:vertAlign w:val="baseline"/>
                <w:lang w:val="en-US" w:eastAsia="zh-CN"/>
              </w:rPr>
              <w:t>）</w:t>
            </w:r>
          </w:p>
        </w:tc>
        <w:tc>
          <w:tcPr>
            <w:tcW w:w="3020" w:type="dxa"/>
            <w:vAlign w:val="center"/>
          </w:tcPr>
          <w:p w14:paraId="138D717C">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毒性终点浓度-</w:t>
            </w:r>
            <w:r>
              <w:rPr>
                <w:rFonts w:hint="eastAsia" w:ascii="Times New Roman" w:cs="Times New Roman"/>
                <w:b/>
                <w:bCs/>
                <w:sz w:val="21"/>
                <w:szCs w:val="21"/>
                <w:vertAlign w:val="baseline"/>
                <w:lang w:val="en-US" w:eastAsia="zh-CN"/>
              </w:rPr>
              <w:t>2</w:t>
            </w:r>
            <w:r>
              <w:rPr>
                <w:rFonts w:hint="default" w:ascii="Times New Roman" w:hAnsi="Times New Roman" w:cs="Times New Roman"/>
                <w:b/>
                <w:bCs/>
                <w:sz w:val="21"/>
                <w:szCs w:val="21"/>
                <w:vertAlign w:val="baseline"/>
                <w:lang w:val="en-US" w:eastAsia="zh-CN"/>
              </w:rPr>
              <w:t>（mg/m</w:t>
            </w:r>
            <w:r>
              <w:rPr>
                <w:rFonts w:hint="default" w:ascii="Times New Roman" w:hAnsi="Times New Roman" w:cs="Times New Roman"/>
                <w:b/>
                <w:bCs/>
                <w:sz w:val="21"/>
                <w:szCs w:val="21"/>
                <w:vertAlign w:val="superscript"/>
                <w:lang w:val="en-US" w:eastAsia="zh-CN"/>
              </w:rPr>
              <w:t>3</w:t>
            </w:r>
            <w:r>
              <w:rPr>
                <w:rFonts w:hint="default" w:ascii="Times New Roman" w:hAnsi="Times New Roman" w:cs="Times New Roman"/>
                <w:b/>
                <w:bCs/>
                <w:sz w:val="21"/>
                <w:szCs w:val="21"/>
                <w:vertAlign w:val="baseline"/>
                <w:lang w:val="en-US" w:eastAsia="zh-CN"/>
              </w:rPr>
              <w:t>）</w:t>
            </w:r>
          </w:p>
        </w:tc>
      </w:tr>
      <w:tr w14:paraId="2A69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14:paraId="5DA061B1">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硝酸</w:t>
            </w:r>
          </w:p>
        </w:tc>
        <w:tc>
          <w:tcPr>
            <w:tcW w:w="3020" w:type="dxa"/>
            <w:vAlign w:val="center"/>
          </w:tcPr>
          <w:p w14:paraId="7A6673B4">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240</w:t>
            </w:r>
          </w:p>
        </w:tc>
        <w:tc>
          <w:tcPr>
            <w:tcW w:w="3020" w:type="dxa"/>
            <w:vAlign w:val="center"/>
          </w:tcPr>
          <w:p w14:paraId="3D2BC8B1">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62</w:t>
            </w:r>
          </w:p>
        </w:tc>
      </w:tr>
    </w:tbl>
    <w:p w14:paraId="7B8CB4EE">
      <w:pPr>
        <w:keepNext w:val="0"/>
        <w:keepLines w:val="0"/>
        <w:widowControl/>
        <w:suppressLineNumbers w:val="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default" w:ascii="Times New Roman" w:hAnsi="Times New Roman" w:eastAsia="宋体" w:cs="Times New Roman"/>
          <w:color w:val="auto"/>
          <w:spacing w:val="0"/>
          <w:kern w:val="2"/>
          <w:sz w:val="28"/>
          <w:szCs w:val="28"/>
          <w:highlight w:val="none"/>
          <w:u w:val="none"/>
          <w:lang w:val="en-US" w:eastAsia="zh-CN" w:bidi="ar-SA"/>
        </w:rPr>
        <w:t>2</w:t>
      </w:r>
      <w:r>
        <w:rPr>
          <w:rFonts w:hint="eastAsia" w:ascii="Times New Roman" w:hAnsi="Times New Roman" w:eastAsia="宋体" w:cs="Times New Roman"/>
          <w:color w:val="auto"/>
          <w:spacing w:val="0"/>
          <w:kern w:val="2"/>
          <w:sz w:val="28"/>
          <w:szCs w:val="28"/>
          <w:highlight w:val="none"/>
          <w:u w:val="none"/>
          <w:lang w:val="en-US" w:eastAsia="zh-CN" w:bidi="ar-SA"/>
        </w:rPr>
        <w:t xml:space="preserve">）事故情形预测 </w:t>
      </w:r>
    </w:p>
    <w:p w14:paraId="503B268D">
      <w:pPr>
        <w:keepNext w:val="0"/>
        <w:keepLines w:val="0"/>
        <w:widowControl/>
        <w:suppressLineNumbers w:val="0"/>
        <w:jc w:val="left"/>
        <w:rPr>
          <w:rFonts w:hint="eastAsia" w:ascii="Times New Roman" w:hAnsi="Times New Roman" w:eastAsia="宋体" w:cs="Times New Roman"/>
          <w:color w:val="0000FF"/>
          <w:spacing w:val="0"/>
          <w:kern w:val="2"/>
          <w:sz w:val="28"/>
          <w:szCs w:val="28"/>
          <w:highlight w:val="none"/>
          <w:u w:val="none"/>
          <w:lang w:val="en-US" w:eastAsia="zh-CN" w:bidi="ar-SA"/>
        </w:rPr>
      </w:pPr>
      <w:r>
        <w:rPr>
          <w:rFonts w:hint="eastAsia" w:ascii="Times New Roman" w:hAnsi="Times New Roman" w:eastAsia="宋体" w:cs="Times New Roman"/>
          <w:color w:val="0000FF"/>
          <w:spacing w:val="0"/>
          <w:kern w:val="2"/>
          <w:sz w:val="28"/>
          <w:szCs w:val="28"/>
          <w:highlight w:val="none"/>
          <w:u w:val="none"/>
          <w:lang w:val="en-US" w:eastAsia="zh-CN" w:bidi="ar-SA"/>
        </w:rPr>
        <w:t>本项目风险评价等级为</w:t>
      </w:r>
      <w:r>
        <w:rPr>
          <w:rFonts w:hint="eastAsia" w:cs="Times New Roman"/>
          <w:color w:val="0000FF"/>
          <w:spacing w:val="0"/>
          <w:kern w:val="2"/>
          <w:sz w:val="28"/>
          <w:szCs w:val="28"/>
          <w:highlight w:val="none"/>
          <w:u w:val="none"/>
          <w:lang w:val="en-US" w:eastAsia="zh-CN" w:bidi="ar-SA"/>
        </w:rPr>
        <w:t>三级</w:t>
      </w:r>
      <w:r>
        <w:rPr>
          <w:rFonts w:hint="eastAsia" w:ascii="Times New Roman" w:hAnsi="Times New Roman" w:eastAsia="宋体" w:cs="Times New Roman"/>
          <w:color w:val="0000FF"/>
          <w:spacing w:val="0"/>
          <w:kern w:val="2"/>
          <w:sz w:val="28"/>
          <w:szCs w:val="28"/>
          <w:highlight w:val="none"/>
          <w:u w:val="none"/>
          <w:lang w:val="en-US" w:eastAsia="zh-CN" w:bidi="ar-SA"/>
        </w:rPr>
        <w:t>，根据导则要求，</w:t>
      </w:r>
      <w:r>
        <w:rPr>
          <w:rFonts w:hint="eastAsia" w:cs="Times New Roman"/>
          <w:color w:val="0000FF"/>
          <w:spacing w:val="0"/>
          <w:kern w:val="2"/>
          <w:sz w:val="28"/>
          <w:szCs w:val="28"/>
          <w:highlight w:val="none"/>
          <w:u w:val="none"/>
          <w:lang w:val="en-US" w:eastAsia="zh-CN" w:bidi="ar-SA"/>
        </w:rPr>
        <w:t>三级</w:t>
      </w:r>
      <w:r>
        <w:rPr>
          <w:rFonts w:hint="eastAsia" w:ascii="Times New Roman" w:hAnsi="Times New Roman" w:eastAsia="宋体" w:cs="Times New Roman"/>
          <w:color w:val="0000FF"/>
          <w:spacing w:val="0"/>
          <w:kern w:val="2"/>
          <w:sz w:val="28"/>
          <w:szCs w:val="28"/>
          <w:highlight w:val="none"/>
          <w:u w:val="none"/>
          <w:lang w:val="en-US" w:eastAsia="zh-CN" w:bidi="ar-SA"/>
        </w:rPr>
        <w:t>评价</w:t>
      </w:r>
      <w:r>
        <w:rPr>
          <w:rFonts w:hint="eastAsia" w:cs="Times New Roman"/>
          <w:color w:val="0000FF"/>
          <w:spacing w:val="0"/>
          <w:kern w:val="2"/>
          <w:sz w:val="28"/>
          <w:szCs w:val="28"/>
          <w:highlight w:val="none"/>
          <w:u w:val="none"/>
          <w:lang w:val="en-US" w:eastAsia="zh-CN" w:bidi="ar-SA"/>
        </w:rPr>
        <w:t>应定性分析说明大气环境影响后果</w:t>
      </w:r>
      <w:r>
        <w:rPr>
          <w:rFonts w:hint="eastAsia" w:ascii="Times New Roman" w:hAnsi="Times New Roman" w:eastAsia="宋体" w:cs="Times New Roman"/>
          <w:color w:val="0000FF"/>
          <w:spacing w:val="0"/>
          <w:kern w:val="2"/>
          <w:sz w:val="28"/>
          <w:szCs w:val="28"/>
          <w:highlight w:val="none"/>
          <w:u w:val="none"/>
          <w:lang w:val="en-US" w:eastAsia="zh-CN" w:bidi="ar-SA"/>
        </w:rPr>
        <w:t>。</w:t>
      </w:r>
    </w:p>
    <w:p w14:paraId="28B08F92">
      <w:pPr>
        <w:ind w:left="0" w:leftChars="0" w:firstLine="0" w:firstLineChars="0"/>
        <w:jc w:val="center"/>
        <w:rPr>
          <w:rFonts w:hint="eastAsia" w:cs="Times New Roman"/>
          <w:b/>
          <w:color w:val="auto"/>
          <w:sz w:val="21"/>
          <w:szCs w:val="21"/>
          <w:lang w:val="en-US" w:eastAsia="zh-CN"/>
        </w:rPr>
      </w:pPr>
      <w:r>
        <w:rPr>
          <w:rFonts w:hint="default" w:ascii="Times New Roman" w:hAnsi="Times New Roman" w:eastAsia="宋体" w:cs="Times New Roman"/>
          <w:b/>
          <w:color w:val="auto"/>
          <w:sz w:val="21"/>
          <w:szCs w:val="21"/>
          <w:lang w:eastAsia="zh-CN"/>
        </w:rPr>
        <w:t>表</w:t>
      </w:r>
      <w:r>
        <w:rPr>
          <w:rFonts w:hint="eastAsia" w:cs="Times New Roman"/>
          <w:b/>
          <w:color w:val="auto"/>
          <w:sz w:val="21"/>
          <w:szCs w:val="21"/>
          <w:lang w:val="en-US" w:eastAsia="zh-CN"/>
        </w:rPr>
        <w:t>8</w:t>
      </w:r>
      <w:r>
        <w:rPr>
          <w:rFonts w:hint="default" w:ascii="Times New Roman" w:hAnsi="Times New Roman" w:eastAsia="宋体" w:cs="Times New Roman"/>
          <w:b/>
          <w:color w:val="auto"/>
          <w:sz w:val="21"/>
          <w:szCs w:val="21"/>
          <w:lang w:val="en-US" w:eastAsia="zh-CN"/>
        </w:rPr>
        <w:t>-</w:t>
      </w:r>
      <w:r>
        <w:rPr>
          <w:rFonts w:hint="eastAsia" w:cs="Times New Roman"/>
          <w:b/>
          <w:color w:val="auto"/>
          <w:sz w:val="21"/>
          <w:szCs w:val="21"/>
          <w:lang w:val="en-US" w:eastAsia="zh-CN"/>
        </w:rPr>
        <w:t>2</w:t>
      </w:r>
      <w:r>
        <w:rPr>
          <w:rFonts w:hint="eastAsia" w:ascii="Times New Roman" w:hAnsi="Times New Roman" w:eastAsia="宋体" w:cs="Times New Roman"/>
          <w:b/>
          <w:color w:val="auto"/>
          <w:sz w:val="21"/>
          <w:szCs w:val="21"/>
          <w:lang w:val="en-US" w:eastAsia="zh-CN"/>
        </w:rPr>
        <w:t xml:space="preserve">  </w:t>
      </w:r>
      <w:r>
        <w:rPr>
          <w:rFonts w:hint="eastAsia" w:cs="Times New Roman"/>
          <w:b/>
          <w:color w:val="auto"/>
          <w:sz w:val="21"/>
          <w:szCs w:val="21"/>
          <w:lang w:val="en-US" w:eastAsia="zh-CN"/>
        </w:rPr>
        <w:t>预测模型参数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0"/>
      </w:tblGrid>
      <w:tr w14:paraId="718E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20" w:type="dxa"/>
            <w:vAlign w:val="center"/>
          </w:tcPr>
          <w:p w14:paraId="16CD0574">
            <w:pPr>
              <w:pStyle w:val="25"/>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参数类型</w:t>
            </w:r>
          </w:p>
        </w:tc>
        <w:tc>
          <w:tcPr>
            <w:tcW w:w="3020" w:type="dxa"/>
            <w:vAlign w:val="center"/>
          </w:tcPr>
          <w:p w14:paraId="7EB806EF">
            <w:pPr>
              <w:pStyle w:val="25"/>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选项</w:t>
            </w:r>
          </w:p>
        </w:tc>
        <w:tc>
          <w:tcPr>
            <w:tcW w:w="3020" w:type="dxa"/>
            <w:vAlign w:val="center"/>
          </w:tcPr>
          <w:p w14:paraId="73064EDD">
            <w:pPr>
              <w:pStyle w:val="25"/>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参数</w:t>
            </w:r>
          </w:p>
        </w:tc>
      </w:tr>
      <w:tr w14:paraId="081D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restart"/>
            <w:vAlign w:val="center"/>
          </w:tcPr>
          <w:p w14:paraId="352A6235">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基本情况</w:t>
            </w:r>
          </w:p>
        </w:tc>
        <w:tc>
          <w:tcPr>
            <w:tcW w:w="3020" w:type="dxa"/>
            <w:vAlign w:val="center"/>
          </w:tcPr>
          <w:p w14:paraId="5ADBE06B">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事故源经度/（°）</w:t>
            </w:r>
          </w:p>
        </w:tc>
        <w:tc>
          <w:tcPr>
            <w:tcW w:w="3020" w:type="dxa"/>
            <w:vAlign w:val="center"/>
          </w:tcPr>
          <w:p w14:paraId="7B05A232">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88.308821152</w:t>
            </w:r>
          </w:p>
        </w:tc>
      </w:tr>
      <w:tr w14:paraId="0FA9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continue"/>
            <w:vAlign w:val="center"/>
          </w:tcPr>
          <w:p w14:paraId="3A659E65">
            <w:pPr>
              <w:pStyle w:val="25"/>
              <w:jc w:val="center"/>
              <w:rPr>
                <w:rFonts w:hint="default" w:ascii="Times New Roman" w:hAnsi="Times New Roman" w:cs="Times New Roman"/>
                <w:sz w:val="21"/>
                <w:szCs w:val="21"/>
                <w:vertAlign w:val="baseline"/>
                <w:lang w:val="en-US" w:eastAsia="zh-CN"/>
              </w:rPr>
            </w:pPr>
          </w:p>
        </w:tc>
        <w:tc>
          <w:tcPr>
            <w:tcW w:w="3020" w:type="dxa"/>
            <w:vAlign w:val="center"/>
          </w:tcPr>
          <w:p w14:paraId="0025D3F8">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事故源纬度/（°）</w:t>
            </w:r>
          </w:p>
        </w:tc>
        <w:tc>
          <w:tcPr>
            <w:tcW w:w="3020" w:type="dxa"/>
            <w:vAlign w:val="center"/>
          </w:tcPr>
          <w:p w14:paraId="37014354">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44.145319538</w:t>
            </w:r>
          </w:p>
        </w:tc>
      </w:tr>
      <w:tr w14:paraId="3196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continue"/>
            <w:vAlign w:val="center"/>
          </w:tcPr>
          <w:p w14:paraId="058080A6">
            <w:pPr>
              <w:pStyle w:val="25"/>
              <w:jc w:val="center"/>
              <w:rPr>
                <w:rFonts w:hint="default" w:ascii="Times New Roman" w:hAnsi="Times New Roman" w:cs="Times New Roman"/>
                <w:sz w:val="21"/>
                <w:szCs w:val="21"/>
                <w:vertAlign w:val="baseline"/>
                <w:lang w:val="en-US" w:eastAsia="zh-CN"/>
              </w:rPr>
            </w:pPr>
          </w:p>
        </w:tc>
        <w:tc>
          <w:tcPr>
            <w:tcW w:w="3020" w:type="dxa"/>
            <w:vAlign w:val="center"/>
          </w:tcPr>
          <w:p w14:paraId="672108AD">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事故类型</w:t>
            </w:r>
          </w:p>
        </w:tc>
        <w:tc>
          <w:tcPr>
            <w:tcW w:w="3020" w:type="dxa"/>
            <w:vAlign w:val="center"/>
          </w:tcPr>
          <w:p w14:paraId="53D70540">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硝酸储罐泄露</w:t>
            </w:r>
          </w:p>
        </w:tc>
      </w:tr>
      <w:tr w14:paraId="71EF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restart"/>
            <w:vAlign w:val="center"/>
          </w:tcPr>
          <w:p w14:paraId="5E79C130">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气象参数</w:t>
            </w:r>
          </w:p>
        </w:tc>
        <w:tc>
          <w:tcPr>
            <w:tcW w:w="3020" w:type="dxa"/>
            <w:vAlign w:val="center"/>
          </w:tcPr>
          <w:p w14:paraId="0F62834E">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气象条件类型</w:t>
            </w:r>
          </w:p>
        </w:tc>
        <w:tc>
          <w:tcPr>
            <w:tcW w:w="3020" w:type="dxa"/>
            <w:vAlign w:val="center"/>
          </w:tcPr>
          <w:p w14:paraId="52E655C8">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最不利气象</w:t>
            </w:r>
          </w:p>
        </w:tc>
      </w:tr>
      <w:tr w14:paraId="2865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continue"/>
            <w:vAlign w:val="center"/>
          </w:tcPr>
          <w:p w14:paraId="71EEF923">
            <w:pPr>
              <w:pStyle w:val="25"/>
              <w:jc w:val="center"/>
              <w:rPr>
                <w:rFonts w:hint="default" w:ascii="Times New Roman" w:hAnsi="Times New Roman" w:cs="Times New Roman"/>
                <w:sz w:val="21"/>
                <w:szCs w:val="21"/>
                <w:vertAlign w:val="baseline"/>
                <w:lang w:val="en-US" w:eastAsia="zh-CN"/>
              </w:rPr>
            </w:pPr>
          </w:p>
        </w:tc>
        <w:tc>
          <w:tcPr>
            <w:tcW w:w="3020" w:type="dxa"/>
            <w:vAlign w:val="center"/>
          </w:tcPr>
          <w:p w14:paraId="15FB4DDA">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风速（m/s）</w:t>
            </w:r>
          </w:p>
        </w:tc>
        <w:tc>
          <w:tcPr>
            <w:tcW w:w="3020" w:type="dxa"/>
            <w:vAlign w:val="center"/>
          </w:tcPr>
          <w:p w14:paraId="60627C72">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1.5</w:t>
            </w:r>
          </w:p>
        </w:tc>
      </w:tr>
      <w:tr w14:paraId="262F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continue"/>
            <w:vAlign w:val="center"/>
          </w:tcPr>
          <w:p w14:paraId="36AF56F1">
            <w:pPr>
              <w:pStyle w:val="25"/>
              <w:jc w:val="center"/>
              <w:rPr>
                <w:rFonts w:hint="default" w:ascii="Times New Roman" w:hAnsi="Times New Roman" w:cs="Times New Roman"/>
                <w:sz w:val="21"/>
                <w:szCs w:val="21"/>
                <w:vertAlign w:val="baseline"/>
                <w:lang w:val="en-US" w:eastAsia="zh-CN"/>
              </w:rPr>
            </w:pPr>
          </w:p>
        </w:tc>
        <w:tc>
          <w:tcPr>
            <w:tcW w:w="3020" w:type="dxa"/>
            <w:vAlign w:val="center"/>
          </w:tcPr>
          <w:p w14:paraId="0E0024D3">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相对温度（℃）</w:t>
            </w:r>
          </w:p>
        </w:tc>
        <w:tc>
          <w:tcPr>
            <w:tcW w:w="3020" w:type="dxa"/>
            <w:vAlign w:val="center"/>
          </w:tcPr>
          <w:p w14:paraId="082B7DB4">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25</w:t>
            </w:r>
          </w:p>
        </w:tc>
      </w:tr>
      <w:tr w14:paraId="7CA4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continue"/>
            <w:vAlign w:val="center"/>
          </w:tcPr>
          <w:p w14:paraId="73F936B2">
            <w:pPr>
              <w:pStyle w:val="25"/>
              <w:jc w:val="center"/>
              <w:rPr>
                <w:rFonts w:hint="default" w:ascii="Times New Roman" w:hAnsi="Times New Roman" w:cs="Times New Roman"/>
                <w:sz w:val="21"/>
                <w:szCs w:val="21"/>
                <w:vertAlign w:val="baseline"/>
                <w:lang w:val="en-US" w:eastAsia="zh-CN"/>
              </w:rPr>
            </w:pPr>
          </w:p>
        </w:tc>
        <w:tc>
          <w:tcPr>
            <w:tcW w:w="3020" w:type="dxa"/>
            <w:vAlign w:val="center"/>
          </w:tcPr>
          <w:p w14:paraId="0021C912">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相对湿度（%）</w:t>
            </w:r>
          </w:p>
        </w:tc>
        <w:tc>
          <w:tcPr>
            <w:tcW w:w="3020" w:type="dxa"/>
            <w:vAlign w:val="center"/>
          </w:tcPr>
          <w:p w14:paraId="2267EDF8">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50</w:t>
            </w:r>
          </w:p>
        </w:tc>
      </w:tr>
      <w:tr w14:paraId="4198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continue"/>
            <w:vAlign w:val="center"/>
          </w:tcPr>
          <w:p w14:paraId="4939BE47">
            <w:pPr>
              <w:pStyle w:val="25"/>
              <w:jc w:val="center"/>
              <w:rPr>
                <w:rFonts w:hint="default" w:ascii="Times New Roman" w:hAnsi="Times New Roman" w:cs="Times New Roman"/>
                <w:sz w:val="21"/>
                <w:szCs w:val="21"/>
                <w:vertAlign w:val="baseline"/>
                <w:lang w:val="en-US" w:eastAsia="zh-CN"/>
              </w:rPr>
            </w:pPr>
          </w:p>
        </w:tc>
        <w:tc>
          <w:tcPr>
            <w:tcW w:w="3020" w:type="dxa"/>
            <w:vAlign w:val="center"/>
          </w:tcPr>
          <w:p w14:paraId="2706C4B5">
            <w:pPr>
              <w:pStyle w:val="25"/>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稳定度</w:t>
            </w:r>
          </w:p>
        </w:tc>
        <w:tc>
          <w:tcPr>
            <w:tcW w:w="3020" w:type="dxa"/>
            <w:vAlign w:val="center"/>
          </w:tcPr>
          <w:p w14:paraId="62DBFFE6">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F</w:t>
            </w:r>
          </w:p>
        </w:tc>
      </w:tr>
      <w:tr w14:paraId="75C2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restart"/>
            <w:vAlign w:val="center"/>
          </w:tcPr>
          <w:p w14:paraId="41103F42">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其他参数</w:t>
            </w:r>
          </w:p>
        </w:tc>
        <w:tc>
          <w:tcPr>
            <w:tcW w:w="3020" w:type="dxa"/>
            <w:vAlign w:val="center"/>
          </w:tcPr>
          <w:p w14:paraId="78FA2B42">
            <w:pPr>
              <w:pStyle w:val="25"/>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地表粗糙度（m）</w:t>
            </w:r>
          </w:p>
        </w:tc>
        <w:tc>
          <w:tcPr>
            <w:tcW w:w="3020" w:type="dxa"/>
            <w:vAlign w:val="center"/>
          </w:tcPr>
          <w:p w14:paraId="60B57424">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r>
      <w:tr w14:paraId="5EBE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continue"/>
            <w:vAlign w:val="center"/>
          </w:tcPr>
          <w:p w14:paraId="62DE8FF5">
            <w:pPr>
              <w:pStyle w:val="25"/>
              <w:jc w:val="center"/>
              <w:rPr>
                <w:rFonts w:hint="default" w:ascii="Times New Roman" w:hAnsi="Times New Roman" w:cs="Times New Roman"/>
                <w:sz w:val="21"/>
                <w:szCs w:val="21"/>
                <w:vertAlign w:val="baseline"/>
                <w:lang w:val="en-US" w:eastAsia="zh-CN"/>
              </w:rPr>
            </w:pPr>
          </w:p>
        </w:tc>
        <w:tc>
          <w:tcPr>
            <w:tcW w:w="3020" w:type="dxa"/>
            <w:vAlign w:val="center"/>
          </w:tcPr>
          <w:p w14:paraId="51FE6908">
            <w:pPr>
              <w:pStyle w:val="25"/>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是否考虑地形</w:t>
            </w:r>
          </w:p>
        </w:tc>
        <w:tc>
          <w:tcPr>
            <w:tcW w:w="3020" w:type="dxa"/>
            <w:vAlign w:val="center"/>
          </w:tcPr>
          <w:p w14:paraId="08A97742">
            <w:pPr>
              <w:pStyle w:val="25"/>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否</w:t>
            </w:r>
          </w:p>
        </w:tc>
      </w:tr>
      <w:tr w14:paraId="13A0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continue"/>
            <w:vAlign w:val="center"/>
          </w:tcPr>
          <w:p w14:paraId="1962F857">
            <w:pPr>
              <w:pStyle w:val="25"/>
              <w:jc w:val="center"/>
              <w:rPr>
                <w:rFonts w:hint="default" w:ascii="Times New Roman" w:hAnsi="Times New Roman" w:cs="Times New Roman"/>
                <w:sz w:val="21"/>
                <w:szCs w:val="21"/>
                <w:vertAlign w:val="baseline"/>
                <w:lang w:val="en-US" w:eastAsia="zh-CN"/>
              </w:rPr>
            </w:pPr>
          </w:p>
        </w:tc>
        <w:tc>
          <w:tcPr>
            <w:tcW w:w="3020" w:type="dxa"/>
            <w:vAlign w:val="center"/>
          </w:tcPr>
          <w:p w14:paraId="4A6B9386">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地形数据精度/m</w:t>
            </w:r>
          </w:p>
        </w:tc>
        <w:tc>
          <w:tcPr>
            <w:tcW w:w="3020" w:type="dxa"/>
            <w:vAlign w:val="center"/>
          </w:tcPr>
          <w:p w14:paraId="4AFFA154">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r>
    </w:tbl>
    <w:p w14:paraId="5C21E9AF">
      <w:pPr>
        <w:keepNext w:val="0"/>
        <w:keepLines w:val="0"/>
        <w:widowControl/>
        <w:suppressLineNumbers w:val="0"/>
        <w:jc w:val="left"/>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default" w:ascii="Times New Roman" w:hAnsi="Times New Roman" w:eastAsia="宋体" w:cs="Times New Roman"/>
          <w:color w:val="auto"/>
          <w:spacing w:val="0"/>
          <w:kern w:val="2"/>
          <w:sz w:val="28"/>
          <w:szCs w:val="28"/>
          <w:highlight w:val="none"/>
          <w:u w:val="none"/>
          <w:lang w:val="en-US" w:eastAsia="zh-CN" w:bidi="ar-SA"/>
        </w:rPr>
        <w:t>3</w:t>
      </w:r>
      <w:r>
        <w:rPr>
          <w:rFonts w:hint="eastAsia" w:ascii="Times New Roman" w:hAnsi="Times New Roman" w:eastAsia="宋体" w:cs="Times New Roman"/>
          <w:color w:val="auto"/>
          <w:spacing w:val="0"/>
          <w:kern w:val="2"/>
          <w:sz w:val="28"/>
          <w:szCs w:val="28"/>
          <w:highlight w:val="none"/>
          <w:u w:val="none"/>
          <w:lang w:val="en-US" w:eastAsia="zh-CN" w:bidi="ar-SA"/>
        </w:rPr>
        <w:t xml:space="preserve">）预测结果 </w:t>
      </w:r>
    </w:p>
    <w:p w14:paraId="16DDC973">
      <w:pPr>
        <w:keepNext w:val="0"/>
        <w:keepLines w:val="0"/>
        <w:widowControl/>
        <w:suppressLineNumbers w:val="0"/>
        <w:jc w:val="left"/>
        <w:rPr>
          <w:rFonts w:hint="default"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利用多烟团模式计算最不利气象条件及当地最常见气象条件下，硝酸储罐从泄漏开始</w:t>
      </w:r>
      <w:r>
        <w:rPr>
          <w:rFonts w:hint="default" w:ascii="Times New Roman" w:hAnsi="Times New Roman" w:eastAsia="宋体" w:cs="Times New Roman"/>
          <w:color w:val="auto"/>
          <w:spacing w:val="0"/>
          <w:kern w:val="2"/>
          <w:sz w:val="28"/>
          <w:szCs w:val="28"/>
          <w:highlight w:val="none"/>
          <w:u w:val="none"/>
          <w:lang w:val="en-US" w:eastAsia="zh-CN" w:bidi="ar-SA"/>
        </w:rPr>
        <w:t>30min</w:t>
      </w:r>
      <w:r>
        <w:rPr>
          <w:rFonts w:hint="eastAsia" w:ascii="Times New Roman" w:hAnsi="Times New Roman" w:eastAsia="宋体" w:cs="Times New Roman"/>
          <w:color w:val="auto"/>
          <w:spacing w:val="0"/>
          <w:kern w:val="2"/>
          <w:sz w:val="28"/>
          <w:szCs w:val="28"/>
          <w:highlight w:val="none"/>
          <w:u w:val="none"/>
          <w:lang w:val="en-US" w:eastAsia="zh-CN" w:bidi="ar-SA"/>
        </w:rPr>
        <w:t>的影响范围及最大落地浓度，本次预测时刻为</w:t>
      </w:r>
      <w:r>
        <w:rPr>
          <w:rFonts w:hint="default" w:ascii="Times New Roman" w:hAnsi="Times New Roman" w:eastAsia="宋体" w:cs="Times New Roman"/>
          <w:color w:val="auto"/>
          <w:spacing w:val="0"/>
          <w:kern w:val="2"/>
          <w:sz w:val="28"/>
          <w:szCs w:val="28"/>
          <w:highlight w:val="none"/>
          <w:u w:val="none"/>
          <w:lang w:val="en-US" w:eastAsia="zh-CN" w:bidi="ar-SA"/>
        </w:rPr>
        <w:t>5min</w:t>
      </w:r>
      <w:r>
        <w:rPr>
          <w:rFonts w:hint="eastAsia" w:ascii="Times New Roman" w:hAnsi="Times New Roman" w:eastAsia="宋体" w:cs="Times New Roman"/>
          <w:color w:val="auto"/>
          <w:spacing w:val="0"/>
          <w:kern w:val="2"/>
          <w:sz w:val="28"/>
          <w:szCs w:val="28"/>
          <w:highlight w:val="none"/>
          <w:u w:val="none"/>
          <w:lang w:val="en-US" w:eastAsia="zh-CN" w:bidi="ar-SA"/>
        </w:rPr>
        <w:t>至</w:t>
      </w:r>
      <w:r>
        <w:rPr>
          <w:rFonts w:hint="default" w:ascii="Times New Roman" w:hAnsi="Times New Roman" w:eastAsia="宋体" w:cs="Times New Roman"/>
          <w:color w:val="auto"/>
          <w:spacing w:val="0"/>
          <w:kern w:val="2"/>
          <w:sz w:val="28"/>
          <w:szCs w:val="28"/>
          <w:highlight w:val="none"/>
          <w:u w:val="none"/>
          <w:lang w:val="en-US" w:eastAsia="zh-CN" w:bidi="ar-SA"/>
        </w:rPr>
        <w:t>30min</w:t>
      </w:r>
      <w:r>
        <w:rPr>
          <w:rFonts w:hint="eastAsia" w:ascii="Times New Roman" w:hAnsi="Times New Roman" w:eastAsia="宋体" w:cs="Times New Roman"/>
          <w:color w:val="auto"/>
          <w:spacing w:val="0"/>
          <w:kern w:val="2"/>
          <w:sz w:val="28"/>
          <w:szCs w:val="28"/>
          <w:highlight w:val="none"/>
          <w:u w:val="none"/>
          <w:lang w:val="en-US" w:eastAsia="zh-CN" w:bidi="ar-SA"/>
        </w:rPr>
        <w:t>。预测事故排放污染物</w:t>
      </w:r>
      <w:r>
        <w:rPr>
          <w:rFonts w:hint="eastAsia" w:cs="Times New Roman"/>
          <w:color w:val="auto"/>
          <w:spacing w:val="0"/>
          <w:kern w:val="2"/>
          <w:sz w:val="28"/>
          <w:szCs w:val="28"/>
          <w:highlight w:val="none"/>
          <w:u w:val="none"/>
          <w:lang w:val="en-US" w:eastAsia="zh-CN" w:bidi="ar-SA"/>
        </w:rPr>
        <w:t>最不利</w:t>
      </w:r>
      <w:r>
        <w:rPr>
          <w:rFonts w:hint="eastAsia" w:ascii="Times New Roman" w:hAnsi="Times New Roman" w:eastAsia="宋体" w:cs="Times New Roman"/>
          <w:color w:val="auto"/>
          <w:spacing w:val="0"/>
          <w:kern w:val="2"/>
          <w:sz w:val="28"/>
          <w:szCs w:val="28"/>
          <w:highlight w:val="none"/>
          <w:u w:val="none"/>
          <w:lang w:val="en-US" w:eastAsia="zh-CN" w:bidi="ar-SA"/>
        </w:rPr>
        <w:t>气象条件下的最大浓度值见表</w:t>
      </w:r>
      <w:r>
        <w:rPr>
          <w:rFonts w:hint="eastAsia" w:cs="Times New Roman"/>
          <w:color w:val="auto"/>
          <w:spacing w:val="0"/>
          <w:kern w:val="2"/>
          <w:sz w:val="28"/>
          <w:szCs w:val="28"/>
          <w:highlight w:val="none"/>
          <w:u w:val="none"/>
          <w:lang w:val="en-US" w:eastAsia="zh-CN" w:bidi="ar-SA"/>
        </w:rPr>
        <w:t>8-3。</w:t>
      </w:r>
    </w:p>
    <w:p w14:paraId="0453B431">
      <w:pPr>
        <w:pStyle w:val="25"/>
        <w:jc w:val="center"/>
        <w:rPr>
          <w:rFonts w:hint="default" w:ascii="Times New Roman" w:hAnsi="Times New Roman" w:cs="Times New Roman"/>
          <w:lang w:val="en-US" w:eastAsia="zh-CN"/>
        </w:rPr>
      </w:pPr>
      <w:r>
        <w:rPr>
          <w:rFonts w:hint="default" w:ascii="Times New Roman" w:hAnsi="Times New Roman" w:eastAsia="宋体" w:cs="Times New Roman"/>
          <w:b/>
          <w:color w:val="auto"/>
          <w:sz w:val="21"/>
          <w:szCs w:val="21"/>
          <w:lang w:eastAsia="zh-CN"/>
        </w:rPr>
        <w:t>表</w:t>
      </w:r>
      <w:r>
        <w:rPr>
          <w:rFonts w:hint="default" w:ascii="Times New Roman" w:hAnsi="Times New Roman" w:cs="Times New Roman"/>
          <w:b/>
          <w:color w:val="auto"/>
          <w:sz w:val="21"/>
          <w:szCs w:val="21"/>
          <w:lang w:val="en-US" w:eastAsia="zh-CN"/>
        </w:rPr>
        <w:t>8</w:t>
      </w:r>
      <w:r>
        <w:rPr>
          <w:rFonts w:hint="default" w:ascii="Times New Roman" w:hAnsi="Times New Roman" w:eastAsia="宋体" w:cs="Times New Roman"/>
          <w:b/>
          <w:color w:val="auto"/>
          <w:sz w:val="21"/>
          <w:szCs w:val="21"/>
          <w:lang w:val="en-US" w:eastAsia="zh-CN"/>
        </w:rPr>
        <w:t>-</w:t>
      </w:r>
      <w:r>
        <w:rPr>
          <w:rFonts w:hint="eastAsia" w:ascii="Times New Roman" w:hAnsi="Times New Roman" w:cs="Times New Roman"/>
          <w:b/>
          <w:color w:val="auto"/>
          <w:sz w:val="21"/>
          <w:szCs w:val="21"/>
          <w:lang w:val="en-US" w:eastAsia="zh-CN"/>
        </w:rPr>
        <w:t>3   硝酸最不利气象条件下最大高峰浓度  单位：mg/m</w:t>
      </w:r>
      <w:r>
        <w:rPr>
          <w:rFonts w:hint="eastAsia" w:ascii="Times New Roman" w:hAnsi="Times New Roman" w:cs="Times New Roman"/>
          <w:b/>
          <w:color w:val="auto"/>
          <w:sz w:val="21"/>
          <w:szCs w:val="21"/>
          <w:vertAlign w:val="superscript"/>
          <w:lang w:val="en-US" w:eastAsia="zh-CN"/>
        </w:rPr>
        <w:t>3</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2C0F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3C2CCCE2">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距离</w:t>
            </w:r>
          </w:p>
        </w:tc>
        <w:tc>
          <w:tcPr>
            <w:tcW w:w="4530" w:type="dxa"/>
            <w:vAlign w:val="center"/>
          </w:tcPr>
          <w:p w14:paraId="527A52D8">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最不利气象条件</w:t>
            </w:r>
          </w:p>
        </w:tc>
      </w:tr>
      <w:tr w14:paraId="1486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6004A66D">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10</w:t>
            </w:r>
          </w:p>
        </w:tc>
        <w:tc>
          <w:tcPr>
            <w:tcW w:w="4530" w:type="dxa"/>
            <w:vAlign w:val="center"/>
          </w:tcPr>
          <w:p w14:paraId="43194321">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2.2049E-01</w:t>
            </w:r>
          </w:p>
        </w:tc>
      </w:tr>
      <w:tr w14:paraId="46DB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1F8B275F">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110</w:t>
            </w:r>
          </w:p>
        </w:tc>
        <w:tc>
          <w:tcPr>
            <w:tcW w:w="4530" w:type="dxa"/>
            <w:vAlign w:val="center"/>
          </w:tcPr>
          <w:p w14:paraId="77C68670">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4.7889E+02</w:t>
            </w:r>
          </w:p>
        </w:tc>
      </w:tr>
      <w:tr w14:paraId="2F53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5966ADC4">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210</w:t>
            </w:r>
          </w:p>
        </w:tc>
        <w:tc>
          <w:tcPr>
            <w:tcW w:w="4530" w:type="dxa"/>
            <w:vAlign w:val="center"/>
          </w:tcPr>
          <w:p w14:paraId="480F619F">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3.5785E+02</w:t>
            </w:r>
          </w:p>
        </w:tc>
      </w:tr>
      <w:tr w14:paraId="3EEF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670111D9">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310</w:t>
            </w:r>
          </w:p>
        </w:tc>
        <w:tc>
          <w:tcPr>
            <w:tcW w:w="4530" w:type="dxa"/>
            <w:vAlign w:val="center"/>
          </w:tcPr>
          <w:p w14:paraId="212A2036">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2.3102E+02</w:t>
            </w:r>
          </w:p>
        </w:tc>
      </w:tr>
      <w:tr w14:paraId="010C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575C53A0">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410</w:t>
            </w:r>
          </w:p>
        </w:tc>
        <w:tc>
          <w:tcPr>
            <w:tcW w:w="4530" w:type="dxa"/>
            <w:vAlign w:val="center"/>
          </w:tcPr>
          <w:p w14:paraId="55406EE2">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1.5078E+02</w:t>
            </w:r>
          </w:p>
        </w:tc>
      </w:tr>
      <w:tr w14:paraId="116D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6505FBC3">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510</w:t>
            </w:r>
          </w:p>
        </w:tc>
        <w:tc>
          <w:tcPr>
            <w:tcW w:w="4530" w:type="dxa"/>
            <w:vAlign w:val="center"/>
          </w:tcPr>
          <w:p w14:paraId="5C728DEA">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1.0679E+02</w:t>
            </w:r>
          </w:p>
        </w:tc>
      </w:tr>
      <w:tr w14:paraId="5C25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390576A1">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610</w:t>
            </w:r>
          </w:p>
        </w:tc>
        <w:tc>
          <w:tcPr>
            <w:tcW w:w="4530" w:type="dxa"/>
            <w:vAlign w:val="center"/>
          </w:tcPr>
          <w:p w14:paraId="44197EB2">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7.9516E+01</w:t>
            </w:r>
          </w:p>
        </w:tc>
      </w:tr>
      <w:tr w14:paraId="498E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20623ED1">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710</w:t>
            </w:r>
          </w:p>
        </w:tc>
        <w:tc>
          <w:tcPr>
            <w:tcW w:w="4530" w:type="dxa"/>
            <w:vAlign w:val="center"/>
          </w:tcPr>
          <w:p w14:paraId="6D7100C5">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6.1646E+01</w:t>
            </w:r>
          </w:p>
        </w:tc>
      </w:tr>
      <w:tr w14:paraId="7CFA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32223411">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810</w:t>
            </w:r>
          </w:p>
        </w:tc>
        <w:tc>
          <w:tcPr>
            <w:tcW w:w="4530" w:type="dxa"/>
            <w:vAlign w:val="center"/>
          </w:tcPr>
          <w:p w14:paraId="35B7386F">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4.9185E+01</w:t>
            </w:r>
          </w:p>
        </w:tc>
      </w:tr>
      <w:tr w14:paraId="277E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03323D23">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910</w:t>
            </w:r>
          </w:p>
        </w:tc>
        <w:tc>
          <w:tcPr>
            <w:tcW w:w="4530" w:type="dxa"/>
            <w:vAlign w:val="center"/>
          </w:tcPr>
          <w:p w14:paraId="71EC7ACB">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3.9939E+01</w:t>
            </w:r>
          </w:p>
        </w:tc>
      </w:tr>
      <w:tr w14:paraId="6844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67AEB256">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1010</w:t>
            </w:r>
          </w:p>
        </w:tc>
        <w:tc>
          <w:tcPr>
            <w:tcW w:w="4530" w:type="dxa"/>
            <w:vAlign w:val="center"/>
          </w:tcPr>
          <w:p w14:paraId="2EB637F9">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3.3088E+01</w:t>
            </w:r>
          </w:p>
        </w:tc>
      </w:tr>
      <w:tr w14:paraId="3907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65CC3170">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1110</w:t>
            </w:r>
          </w:p>
        </w:tc>
        <w:tc>
          <w:tcPr>
            <w:tcW w:w="4530" w:type="dxa"/>
            <w:vAlign w:val="center"/>
          </w:tcPr>
          <w:p w14:paraId="4BD164AE">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2.7857E+01</w:t>
            </w:r>
          </w:p>
        </w:tc>
      </w:tr>
      <w:tr w14:paraId="21AD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6FF6E7D4">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1210</w:t>
            </w:r>
          </w:p>
        </w:tc>
        <w:tc>
          <w:tcPr>
            <w:tcW w:w="4530" w:type="dxa"/>
            <w:vAlign w:val="center"/>
          </w:tcPr>
          <w:p w14:paraId="641FFEAD">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2.3602E+01</w:t>
            </w:r>
          </w:p>
        </w:tc>
      </w:tr>
      <w:tr w14:paraId="7009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68518E36">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1310</w:t>
            </w:r>
          </w:p>
        </w:tc>
        <w:tc>
          <w:tcPr>
            <w:tcW w:w="4530" w:type="dxa"/>
            <w:vAlign w:val="center"/>
          </w:tcPr>
          <w:p w14:paraId="74F6F41F">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2.0348E+01</w:t>
            </w:r>
          </w:p>
        </w:tc>
      </w:tr>
      <w:tr w14:paraId="31A6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22042695">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1410</w:t>
            </w:r>
          </w:p>
        </w:tc>
        <w:tc>
          <w:tcPr>
            <w:tcW w:w="4530" w:type="dxa"/>
            <w:vAlign w:val="center"/>
          </w:tcPr>
          <w:p w14:paraId="316C0490">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1.7693E+01</w:t>
            </w:r>
          </w:p>
        </w:tc>
      </w:tr>
      <w:tr w14:paraId="4BE0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46D3AEFB">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1510</w:t>
            </w:r>
          </w:p>
        </w:tc>
        <w:tc>
          <w:tcPr>
            <w:tcW w:w="4530" w:type="dxa"/>
            <w:vAlign w:val="center"/>
          </w:tcPr>
          <w:p w14:paraId="56C4ABD8">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1.5409E+01</w:t>
            </w:r>
          </w:p>
        </w:tc>
      </w:tr>
      <w:tr w14:paraId="0BED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255AF295">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1610</w:t>
            </w:r>
          </w:p>
        </w:tc>
        <w:tc>
          <w:tcPr>
            <w:tcW w:w="4530" w:type="dxa"/>
            <w:vAlign w:val="center"/>
          </w:tcPr>
          <w:p w14:paraId="716C5293">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1.3573E+01</w:t>
            </w:r>
          </w:p>
        </w:tc>
      </w:tr>
      <w:tr w14:paraId="7F1F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305E30B3">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1710</w:t>
            </w:r>
          </w:p>
        </w:tc>
        <w:tc>
          <w:tcPr>
            <w:tcW w:w="4530" w:type="dxa"/>
            <w:vAlign w:val="center"/>
          </w:tcPr>
          <w:p w14:paraId="4029F56C">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1.2102E+01</w:t>
            </w:r>
          </w:p>
        </w:tc>
      </w:tr>
      <w:tr w14:paraId="499C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3CCF2985">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1810</w:t>
            </w:r>
          </w:p>
        </w:tc>
        <w:tc>
          <w:tcPr>
            <w:tcW w:w="4530" w:type="dxa"/>
            <w:vAlign w:val="center"/>
          </w:tcPr>
          <w:p w14:paraId="5458A17C">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1.0799E+01</w:t>
            </w:r>
          </w:p>
        </w:tc>
      </w:tr>
      <w:tr w14:paraId="29E4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2A2E2006">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1910</w:t>
            </w:r>
          </w:p>
        </w:tc>
        <w:tc>
          <w:tcPr>
            <w:tcW w:w="4530" w:type="dxa"/>
            <w:vAlign w:val="center"/>
          </w:tcPr>
          <w:p w14:paraId="441D320E">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9.6456E+00</w:t>
            </w:r>
          </w:p>
        </w:tc>
      </w:tr>
      <w:tr w14:paraId="6E2C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5A40A2FE">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2010</w:t>
            </w:r>
          </w:p>
        </w:tc>
        <w:tc>
          <w:tcPr>
            <w:tcW w:w="4530" w:type="dxa"/>
            <w:vAlign w:val="center"/>
          </w:tcPr>
          <w:p w14:paraId="5DE5B89E">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8.6788E+00</w:t>
            </w:r>
          </w:p>
        </w:tc>
      </w:tr>
      <w:tr w14:paraId="01B5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79B19811">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2110</w:t>
            </w:r>
          </w:p>
        </w:tc>
        <w:tc>
          <w:tcPr>
            <w:tcW w:w="4530" w:type="dxa"/>
            <w:vAlign w:val="center"/>
          </w:tcPr>
          <w:p w14:paraId="72450C60">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7.8725E+00</w:t>
            </w:r>
          </w:p>
        </w:tc>
      </w:tr>
      <w:tr w14:paraId="339E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4489BF2F">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2210</w:t>
            </w:r>
          </w:p>
        </w:tc>
        <w:tc>
          <w:tcPr>
            <w:tcW w:w="4530" w:type="dxa"/>
            <w:vAlign w:val="center"/>
          </w:tcPr>
          <w:p w14:paraId="6F3AF98B">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7.1999E+00</w:t>
            </w:r>
          </w:p>
        </w:tc>
      </w:tr>
      <w:tr w14:paraId="20E8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7BABCB24">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2310</w:t>
            </w:r>
          </w:p>
        </w:tc>
        <w:tc>
          <w:tcPr>
            <w:tcW w:w="4530" w:type="dxa"/>
            <w:vAlign w:val="center"/>
          </w:tcPr>
          <w:p w14:paraId="29CF445F">
            <w:pPr>
              <w:pStyle w:val="25"/>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6.5683E+00</w:t>
            </w:r>
          </w:p>
        </w:tc>
      </w:tr>
      <w:tr w14:paraId="16EB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5FF912FF">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2410</w:t>
            </w:r>
          </w:p>
        </w:tc>
        <w:tc>
          <w:tcPr>
            <w:tcW w:w="4530" w:type="dxa"/>
            <w:vAlign w:val="center"/>
          </w:tcPr>
          <w:p w14:paraId="032B4062">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w:t>
            </w:r>
            <w:r>
              <w:rPr>
                <w:rFonts w:hint="default" w:ascii="Times New Roman" w:hAnsi="Times New Roman" w:cs="Times New Roman"/>
                <w:sz w:val="21"/>
                <w:szCs w:val="21"/>
                <w:vertAlign w:val="baseline"/>
                <w:lang w:val="en-US" w:eastAsia="zh-CN"/>
              </w:rPr>
              <w:t>.9904E+00</w:t>
            </w:r>
          </w:p>
        </w:tc>
      </w:tr>
      <w:tr w14:paraId="1876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197DC533">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2510</w:t>
            </w:r>
          </w:p>
        </w:tc>
        <w:tc>
          <w:tcPr>
            <w:tcW w:w="4530" w:type="dxa"/>
            <w:vAlign w:val="center"/>
          </w:tcPr>
          <w:p w14:paraId="37CFBE14">
            <w:pPr>
              <w:pStyle w:val="25"/>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5.4886E+00</w:t>
            </w:r>
          </w:p>
        </w:tc>
      </w:tr>
      <w:tr w14:paraId="322C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307D3BAA">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3010</w:t>
            </w:r>
          </w:p>
        </w:tc>
        <w:tc>
          <w:tcPr>
            <w:tcW w:w="4530" w:type="dxa"/>
            <w:vAlign w:val="center"/>
          </w:tcPr>
          <w:p w14:paraId="2F6261D5">
            <w:pPr>
              <w:pStyle w:val="25"/>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3.7680E+00</w:t>
            </w:r>
          </w:p>
        </w:tc>
      </w:tr>
      <w:tr w14:paraId="161A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12718D28">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3510</w:t>
            </w:r>
          </w:p>
        </w:tc>
        <w:tc>
          <w:tcPr>
            <w:tcW w:w="4530" w:type="dxa"/>
            <w:vAlign w:val="center"/>
          </w:tcPr>
          <w:p w14:paraId="4A8915C0">
            <w:pPr>
              <w:pStyle w:val="25"/>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2.7080E+00</w:t>
            </w:r>
          </w:p>
        </w:tc>
      </w:tr>
      <w:tr w14:paraId="3EAB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792F8DDD">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4010</w:t>
            </w:r>
          </w:p>
        </w:tc>
        <w:tc>
          <w:tcPr>
            <w:tcW w:w="4530" w:type="dxa"/>
            <w:vAlign w:val="center"/>
          </w:tcPr>
          <w:p w14:paraId="0B937925">
            <w:pPr>
              <w:pStyle w:val="25"/>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2.0365E+00</w:t>
            </w:r>
          </w:p>
        </w:tc>
      </w:tr>
      <w:tr w14:paraId="5378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343805F2">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4510</w:t>
            </w:r>
          </w:p>
        </w:tc>
        <w:tc>
          <w:tcPr>
            <w:tcW w:w="4530" w:type="dxa"/>
            <w:vAlign w:val="center"/>
          </w:tcPr>
          <w:p w14:paraId="26B6607B">
            <w:pPr>
              <w:pStyle w:val="25"/>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1.5818E+00</w:t>
            </w:r>
          </w:p>
        </w:tc>
      </w:tr>
      <w:tr w14:paraId="61D3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2EDE481B">
            <w:pPr>
              <w:pStyle w:val="25"/>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4910</w:t>
            </w:r>
          </w:p>
        </w:tc>
        <w:tc>
          <w:tcPr>
            <w:tcW w:w="4530" w:type="dxa"/>
            <w:vAlign w:val="center"/>
          </w:tcPr>
          <w:p w14:paraId="3600DBBA">
            <w:pPr>
              <w:pStyle w:val="25"/>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1.3245E+00</w:t>
            </w:r>
          </w:p>
        </w:tc>
      </w:tr>
    </w:tbl>
    <w:p w14:paraId="11FED493">
      <w:pPr>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最不利及最常见气象条件硝酸超过阈值影响区域见下表。</w:t>
      </w:r>
    </w:p>
    <w:p w14:paraId="68BEBB91">
      <w:pPr>
        <w:pStyle w:val="25"/>
        <w:jc w:val="center"/>
        <w:rPr>
          <w:rFonts w:hint="eastAsia" w:ascii="Times New Roman" w:cs="Times New Roman"/>
          <w:b/>
          <w:color w:val="auto"/>
          <w:sz w:val="21"/>
          <w:szCs w:val="21"/>
          <w:lang w:val="en-US" w:eastAsia="zh-CN"/>
        </w:rPr>
      </w:pPr>
      <w:r>
        <w:rPr>
          <w:rFonts w:hint="default" w:ascii="Times New Roman" w:hAnsi="Times New Roman" w:eastAsia="宋体" w:cs="Times New Roman"/>
          <w:b/>
          <w:color w:val="auto"/>
          <w:sz w:val="21"/>
          <w:szCs w:val="21"/>
          <w:lang w:eastAsia="zh-CN"/>
        </w:rPr>
        <w:t>表</w:t>
      </w:r>
      <w:r>
        <w:rPr>
          <w:rFonts w:hint="default" w:ascii="Times New Roman" w:hAnsi="Times New Roman" w:cs="Times New Roman"/>
          <w:b/>
          <w:color w:val="auto"/>
          <w:sz w:val="21"/>
          <w:szCs w:val="21"/>
          <w:lang w:val="en-US" w:eastAsia="zh-CN"/>
        </w:rPr>
        <w:t>8</w:t>
      </w:r>
      <w:r>
        <w:rPr>
          <w:rFonts w:hint="default" w:ascii="Times New Roman" w:hAnsi="Times New Roman" w:eastAsia="宋体" w:cs="Times New Roman"/>
          <w:b/>
          <w:color w:val="auto"/>
          <w:sz w:val="21"/>
          <w:szCs w:val="21"/>
          <w:lang w:val="en-US" w:eastAsia="zh-CN"/>
        </w:rPr>
        <w:t>-</w:t>
      </w:r>
      <w:r>
        <w:rPr>
          <w:rFonts w:hint="eastAsia" w:ascii="Times New Roman" w:cs="Times New Roman"/>
          <w:b/>
          <w:color w:val="auto"/>
          <w:sz w:val="21"/>
          <w:szCs w:val="21"/>
          <w:lang w:val="en-US" w:eastAsia="zh-CN"/>
        </w:rPr>
        <w:t>4   最不利气象条件硝酸各阈值的廊线对应的位置</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1294"/>
        <w:gridCol w:w="1294"/>
        <w:gridCol w:w="1294"/>
        <w:gridCol w:w="1294"/>
        <w:gridCol w:w="1295"/>
        <w:gridCol w:w="1295"/>
      </w:tblGrid>
      <w:tr w14:paraId="68DD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14:paraId="3CEDB9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风险物质</w:t>
            </w:r>
          </w:p>
        </w:tc>
        <w:tc>
          <w:tcPr>
            <w:tcW w:w="1294" w:type="dxa"/>
            <w:vAlign w:val="center"/>
          </w:tcPr>
          <w:p w14:paraId="229CCA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气象条件</w:t>
            </w:r>
          </w:p>
        </w:tc>
        <w:tc>
          <w:tcPr>
            <w:tcW w:w="1294" w:type="dxa"/>
            <w:vAlign w:val="center"/>
          </w:tcPr>
          <w:p w14:paraId="382FE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阈值（mg/m</w:t>
            </w:r>
            <w:r>
              <w:rPr>
                <w:rFonts w:hint="eastAsia"/>
                <w:b/>
                <w:bCs/>
                <w:sz w:val="21"/>
                <w:szCs w:val="21"/>
                <w:vertAlign w:val="superscript"/>
                <w:lang w:val="en-US" w:eastAsia="zh-CN"/>
              </w:rPr>
              <w:t>3</w:t>
            </w:r>
            <w:r>
              <w:rPr>
                <w:rFonts w:hint="eastAsia"/>
                <w:b/>
                <w:bCs/>
                <w:sz w:val="21"/>
                <w:szCs w:val="21"/>
                <w:vertAlign w:val="baseline"/>
                <w:lang w:val="en-US" w:eastAsia="zh-CN"/>
              </w:rPr>
              <w:t>）</w:t>
            </w:r>
          </w:p>
        </w:tc>
        <w:tc>
          <w:tcPr>
            <w:tcW w:w="1294" w:type="dxa"/>
            <w:vAlign w:val="center"/>
          </w:tcPr>
          <w:p w14:paraId="46D810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X起点（m）</w:t>
            </w:r>
          </w:p>
        </w:tc>
        <w:tc>
          <w:tcPr>
            <w:tcW w:w="1294" w:type="dxa"/>
            <w:vAlign w:val="center"/>
          </w:tcPr>
          <w:p w14:paraId="0BE935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X终点（m）</w:t>
            </w:r>
          </w:p>
        </w:tc>
        <w:tc>
          <w:tcPr>
            <w:tcW w:w="1295" w:type="dxa"/>
            <w:vAlign w:val="center"/>
          </w:tcPr>
          <w:p w14:paraId="3A90BA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最大半宽（m）</w:t>
            </w:r>
          </w:p>
        </w:tc>
        <w:tc>
          <w:tcPr>
            <w:tcW w:w="1295" w:type="dxa"/>
            <w:vAlign w:val="center"/>
          </w:tcPr>
          <w:p w14:paraId="3D8562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最大半宽对应X（m）</w:t>
            </w:r>
          </w:p>
        </w:tc>
      </w:tr>
      <w:tr w14:paraId="47E0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restart"/>
            <w:vAlign w:val="center"/>
          </w:tcPr>
          <w:p w14:paraId="093C02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硝酸</w:t>
            </w:r>
          </w:p>
        </w:tc>
        <w:tc>
          <w:tcPr>
            <w:tcW w:w="1294" w:type="dxa"/>
            <w:vMerge w:val="restart"/>
            <w:vAlign w:val="center"/>
          </w:tcPr>
          <w:p w14:paraId="199EB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最不利</w:t>
            </w:r>
          </w:p>
        </w:tc>
        <w:tc>
          <w:tcPr>
            <w:tcW w:w="1294" w:type="dxa"/>
            <w:vAlign w:val="center"/>
          </w:tcPr>
          <w:p w14:paraId="37092B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240</w:t>
            </w:r>
          </w:p>
        </w:tc>
        <w:tc>
          <w:tcPr>
            <w:tcW w:w="1294" w:type="dxa"/>
            <w:vAlign w:val="center"/>
          </w:tcPr>
          <w:p w14:paraId="371074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w:t>
            </w:r>
          </w:p>
        </w:tc>
        <w:tc>
          <w:tcPr>
            <w:tcW w:w="1294" w:type="dxa"/>
            <w:vAlign w:val="center"/>
          </w:tcPr>
          <w:p w14:paraId="6A902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1295" w:type="dxa"/>
            <w:vAlign w:val="center"/>
          </w:tcPr>
          <w:p w14:paraId="33A20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w:t>
            </w:r>
          </w:p>
        </w:tc>
        <w:tc>
          <w:tcPr>
            <w:tcW w:w="1295" w:type="dxa"/>
            <w:vAlign w:val="center"/>
          </w:tcPr>
          <w:p w14:paraId="7290D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90</w:t>
            </w:r>
          </w:p>
        </w:tc>
      </w:tr>
      <w:tr w14:paraId="426D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14:paraId="2A5F1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p>
        </w:tc>
        <w:tc>
          <w:tcPr>
            <w:tcW w:w="1294" w:type="dxa"/>
            <w:vMerge w:val="continue"/>
            <w:vAlign w:val="center"/>
          </w:tcPr>
          <w:p w14:paraId="67154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p>
        </w:tc>
        <w:tc>
          <w:tcPr>
            <w:tcW w:w="1294" w:type="dxa"/>
            <w:vAlign w:val="center"/>
          </w:tcPr>
          <w:p w14:paraId="267B81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62</w:t>
            </w:r>
          </w:p>
        </w:tc>
        <w:tc>
          <w:tcPr>
            <w:tcW w:w="1294" w:type="dxa"/>
            <w:vAlign w:val="center"/>
          </w:tcPr>
          <w:p w14:paraId="419EAF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w:t>
            </w:r>
          </w:p>
        </w:tc>
        <w:tc>
          <w:tcPr>
            <w:tcW w:w="1294" w:type="dxa"/>
            <w:vAlign w:val="center"/>
          </w:tcPr>
          <w:p w14:paraId="1A6D13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700</w:t>
            </w:r>
          </w:p>
        </w:tc>
        <w:tc>
          <w:tcPr>
            <w:tcW w:w="1295" w:type="dxa"/>
            <w:vAlign w:val="center"/>
          </w:tcPr>
          <w:p w14:paraId="09F81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46</w:t>
            </w:r>
          </w:p>
        </w:tc>
        <w:tc>
          <w:tcPr>
            <w:tcW w:w="1295" w:type="dxa"/>
            <w:vAlign w:val="center"/>
          </w:tcPr>
          <w:p w14:paraId="248817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320</w:t>
            </w:r>
          </w:p>
        </w:tc>
      </w:tr>
    </w:tbl>
    <w:p w14:paraId="3D4B6DA3">
      <w:pPr>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cs="Times New Roman"/>
          <w:color w:val="auto"/>
          <w:spacing w:val="0"/>
          <w:kern w:val="2"/>
          <w:sz w:val="28"/>
          <w:szCs w:val="28"/>
          <w:highlight w:val="none"/>
          <w:u w:val="none"/>
          <w:lang w:val="en-US" w:eastAsia="zh-CN" w:bidi="ar-SA"/>
        </w:rPr>
        <w:t>根据预测，</w:t>
      </w:r>
      <w:r>
        <w:rPr>
          <w:rFonts w:hint="eastAsia" w:ascii="Times New Roman" w:hAnsi="Times New Roman" w:eastAsia="宋体" w:cs="Times New Roman"/>
          <w:color w:val="auto"/>
          <w:spacing w:val="0"/>
          <w:kern w:val="2"/>
          <w:sz w:val="28"/>
          <w:szCs w:val="28"/>
          <w:highlight w:val="none"/>
          <w:u w:val="none"/>
          <w:lang w:val="en-US" w:eastAsia="zh-CN" w:bidi="ar-SA"/>
        </w:rPr>
        <w:t>在最不利气象条件下，稀硝酸储罐泄漏产生的硝酸达到毒性终点浓度</w:t>
      </w:r>
      <w:r>
        <w:rPr>
          <w:rFonts w:hint="default" w:ascii="Times New Roman" w:hAnsi="Times New Roman" w:eastAsia="宋体" w:cs="Times New Roman"/>
          <w:color w:val="auto"/>
          <w:spacing w:val="0"/>
          <w:kern w:val="2"/>
          <w:sz w:val="28"/>
          <w:szCs w:val="28"/>
          <w:highlight w:val="none"/>
          <w:u w:val="none"/>
          <w:lang w:val="en-US" w:eastAsia="zh-CN" w:bidi="ar-SA"/>
        </w:rPr>
        <w:t>-1</w:t>
      </w:r>
      <w:r>
        <w:rPr>
          <w:rFonts w:hint="eastAsia" w:ascii="Times New Roman" w:hAnsi="Times New Roman" w:eastAsia="宋体" w:cs="Times New Roman"/>
          <w:color w:val="auto"/>
          <w:spacing w:val="0"/>
          <w:kern w:val="2"/>
          <w:sz w:val="28"/>
          <w:szCs w:val="28"/>
          <w:highlight w:val="none"/>
          <w:u w:val="none"/>
          <w:lang w:val="en-US" w:eastAsia="zh-CN" w:bidi="ar-SA"/>
        </w:rPr>
        <w:t>最大出现距离为稀硝酸储罐下风向</w:t>
      </w:r>
      <w:r>
        <w:rPr>
          <w:rFonts w:hint="default" w:ascii="Times New Roman" w:hAnsi="Times New Roman" w:eastAsia="宋体" w:cs="Times New Roman"/>
          <w:color w:val="auto"/>
          <w:spacing w:val="0"/>
          <w:kern w:val="2"/>
          <w:sz w:val="28"/>
          <w:szCs w:val="28"/>
          <w:highlight w:val="none"/>
          <w:u w:val="none"/>
          <w:lang w:val="en-US" w:eastAsia="zh-CN" w:bidi="ar-SA"/>
        </w:rPr>
        <w:t>300m</w:t>
      </w: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eastAsia" w:cs="Times New Roman"/>
          <w:color w:val="auto"/>
          <w:spacing w:val="0"/>
          <w:kern w:val="2"/>
          <w:sz w:val="28"/>
          <w:szCs w:val="28"/>
          <w:highlight w:val="none"/>
          <w:u w:val="none"/>
          <w:lang w:val="en-US" w:eastAsia="zh-CN" w:bidi="ar-SA"/>
        </w:rPr>
        <w:t>未超出厂界</w:t>
      </w:r>
      <w:r>
        <w:rPr>
          <w:rFonts w:hint="eastAsia" w:ascii="Times New Roman" w:hAnsi="Times New Roman" w:eastAsia="宋体" w:cs="Times New Roman"/>
          <w:color w:val="auto"/>
          <w:spacing w:val="0"/>
          <w:kern w:val="2"/>
          <w:sz w:val="28"/>
          <w:szCs w:val="28"/>
          <w:highlight w:val="none"/>
          <w:u w:val="none"/>
          <w:lang w:val="en-US" w:eastAsia="zh-CN" w:bidi="ar-SA"/>
        </w:rPr>
        <w:t>）；达到毒性终点浓度</w:t>
      </w:r>
      <w:r>
        <w:rPr>
          <w:rFonts w:hint="default" w:ascii="Times New Roman" w:hAnsi="Times New Roman" w:eastAsia="宋体" w:cs="Times New Roman"/>
          <w:color w:val="auto"/>
          <w:spacing w:val="0"/>
          <w:kern w:val="2"/>
          <w:sz w:val="28"/>
          <w:szCs w:val="28"/>
          <w:highlight w:val="none"/>
          <w:u w:val="none"/>
          <w:lang w:val="en-US" w:eastAsia="zh-CN" w:bidi="ar-SA"/>
        </w:rPr>
        <w:t>-2</w:t>
      </w:r>
      <w:r>
        <w:rPr>
          <w:rFonts w:hint="eastAsia" w:ascii="Times New Roman" w:hAnsi="Times New Roman" w:eastAsia="宋体" w:cs="Times New Roman"/>
          <w:color w:val="auto"/>
          <w:spacing w:val="0"/>
          <w:kern w:val="2"/>
          <w:sz w:val="28"/>
          <w:szCs w:val="28"/>
          <w:highlight w:val="none"/>
          <w:u w:val="none"/>
          <w:lang w:val="en-US" w:eastAsia="zh-CN" w:bidi="ar-SA"/>
        </w:rPr>
        <w:t>最大出现距离为稀硝酸储罐下风向</w:t>
      </w:r>
      <w:r>
        <w:rPr>
          <w:rFonts w:hint="default" w:ascii="Times New Roman" w:hAnsi="Times New Roman" w:eastAsia="宋体" w:cs="Times New Roman"/>
          <w:color w:val="auto"/>
          <w:spacing w:val="0"/>
          <w:kern w:val="2"/>
          <w:sz w:val="28"/>
          <w:szCs w:val="28"/>
          <w:highlight w:val="none"/>
          <w:u w:val="none"/>
          <w:lang w:val="en-US" w:eastAsia="zh-CN" w:bidi="ar-SA"/>
        </w:rPr>
        <w:t>700m</w:t>
      </w:r>
      <w:r>
        <w:rPr>
          <w:rFonts w:hint="eastAsia" w:ascii="Times New Roman" w:hAnsi="Times New Roman" w:eastAsia="宋体" w:cs="Times New Roman"/>
          <w:color w:val="auto"/>
          <w:spacing w:val="0"/>
          <w:kern w:val="2"/>
          <w:sz w:val="28"/>
          <w:szCs w:val="28"/>
          <w:highlight w:val="none"/>
          <w:u w:val="none"/>
          <w:lang w:val="en-US" w:eastAsia="zh-CN" w:bidi="ar-SA"/>
        </w:rPr>
        <w:t>（</w:t>
      </w:r>
      <w:r>
        <w:rPr>
          <w:rFonts w:hint="eastAsia" w:cs="Times New Roman"/>
          <w:color w:val="auto"/>
          <w:spacing w:val="0"/>
          <w:kern w:val="2"/>
          <w:sz w:val="28"/>
          <w:szCs w:val="28"/>
          <w:highlight w:val="none"/>
          <w:u w:val="none"/>
          <w:lang w:val="en-US" w:eastAsia="zh-CN" w:bidi="ar-SA"/>
        </w:rPr>
        <w:t>未超出厂界</w:t>
      </w:r>
      <w:r>
        <w:rPr>
          <w:rFonts w:hint="eastAsia" w:ascii="Times New Roman" w:hAnsi="Times New Roman" w:eastAsia="宋体" w:cs="Times New Roman"/>
          <w:color w:val="auto"/>
          <w:spacing w:val="0"/>
          <w:kern w:val="2"/>
          <w:sz w:val="28"/>
          <w:szCs w:val="28"/>
          <w:highlight w:val="none"/>
          <w:u w:val="none"/>
          <w:lang w:val="en-US" w:eastAsia="zh-CN" w:bidi="ar-SA"/>
        </w:rPr>
        <w:t>）。预测结果表明，硝酸储罐发生泄漏事故后，关心点处预测浓度均未超过大气毒性终点浓度-1</w:t>
      </w:r>
      <w:r>
        <w:rPr>
          <w:rFonts w:hint="eastAsia" w:cs="Times New Roman"/>
          <w:color w:val="auto"/>
          <w:spacing w:val="0"/>
          <w:kern w:val="2"/>
          <w:sz w:val="28"/>
          <w:szCs w:val="28"/>
          <w:highlight w:val="none"/>
          <w:u w:val="none"/>
          <w:lang w:val="en-US" w:eastAsia="zh-CN" w:bidi="ar-SA"/>
        </w:rPr>
        <w:t>及</w:t>
      </w:r>
      <w:r>
        <w:rPr>
          <w:rFonts w:hint="eastAsia" w:ascii="Times New Roman" w:hAnsi="Times New Roman" w:eastAsia="宋体" w:cs="Times New Roman"/>
          <w:color w:val="auto"/>
          <w:spacing w:val="0"/>
          <w:kern w:val="2"/>
          <w:sz w:val="28"/>
          <w:szCs w:val="28"/>
          <w:highlight w:val="none"/>
          <w:u w:val="none"/>
          <w:lang w:val="en-US" w:eastAsia="zh-CN" w:bidi="ar-SA"/>
        </w:rPr>
        <w:t>毒性终点浓度</w:t>
      </w:r>
      <w:r>
        <w:rPr>
          <w:rFonts w:hint="default" w:ascii="Times New Roman" w:hAnsi="Times New Roman" w:eastAsia="宋体" w:cs="Times New Roman"/>
          <w:color w:val="auto"/>
          <w:spacing w:val="0"/>
          <w:kern w:val="2"/>
          <w:sz w:val="28"/>
          <w:szCs w:val="28"/>
          <w:highlight w:val="none"/>
          <w:u w:val="none"/>
          <w:lang w:val="en-US" w:eastAsia="zh-CN" w:bidi="ar-SA"/>
        </w:rPr>
        <w:t>-2</w:t>
      </w:r>
      <w:r>
        <w:rPr>
          <w:rFonts w:hint="eastAsia" w:ascii="Times New Roman" w:hAnsi="Times New Roman" w:eastAsia="宋体" w:cs="Times New Roman"/>
          <w:color w:val="auto"/>
          <w:spacing w:val="0"/>
          <w:kern w:val="2"/>
          <w:sz w:val="28"/>
          <w:szCs w:val="28"/>
          <w:highlight w:val="none"/>
          <w:u w:val="none"/>
          <w:lang w:val="en-US" w:eastAsia="zh-CN" w:bidi="ar-SA"/>
        </w:rPr>
        <w:t>，不会对评价范围内居民造成生命威胁。随着时间继续推移，污染物逐渐向下风向扩散，关心点污染物浓度逐渐下降。</w:t>
      </w:r>
    </w:p>
    <w:p w14:paraId="369F9AB6">
      <w:pPr>
        <w:pStyle w:val="25"/>
        <w:outlineLvl w:val="1"/>
        <w:rPr>
          <w:rFonts w:hint="default" w:ascii="Times New Roman" w:hAnsi="Times New Roman" w:eastAsia="宋体" w:cs="Times New Roman"/>
          <w:b/>
          <w:bCs/>
          <w:color w:val="auto"/>
          <w:spacing w:val="0"/>
          <w:kern w:val="2"/>
          <w:sz w:val="28"/>
          <w:szCs w:val="28"/>
          <w:highlight w:val="none"/>
          <w:u w:val="none"/>
          <w:lang w:val="en-US" w:eastAsia="zh-CN" w:bidi="ar-SA"/>
        </w:rPr>
      </w:pPr>
      <w:bookmarkStart w:id="43" w:name="_Toc18451"/>
      <w:r>
        <w:rPr>
          <w:rFonts w:hint="eastAsia" w:ascii="Times New Roman" w:hAnsi="Times New Roman" w:eastAsia="宋体" w:cs="Times New Roman"/>
          <w:b/>
          <w:bCs/>
          <w:color w:val="auto"/>
          <w:spacing w:val="0"/>
          <w:kern w:val="2"/>
          <w:sz w:val="28"/>
          <w:szCs w:val="28"/>
          <w:highlight w:val="none"/>
          <w:u w:val="none"/>
          <w:lang w:val="en-US" w:eastAsia="zh-CN" w:bidi="ar-SA"/>
        </w:rPr>
        <w:t>8.2</w:t>
      </w:r>
      <w:r>
        <w:rPr>
          <w:rFonts w:hint="eastAsia" w:ascii="Times New Roman" w:cs="Times New Roman"/>
          <w:b/>
          <w:bCs/>
          <w:color w:val="auto"/>
          <w:spacing w:val="0"/>
          <w:kern w:val="2"/>
          <w:sz w:val="28"/>
          <w:szCs w:val="28"/>
          <w:highlight w:val="none"/>
          <w:u w:val="none"/>
          <w:lang w:val="en-US" w:eastAsia="zh-CN" w:bidi="ar-SA"/>
        </w:rPr>
        <w:t>地表水环境风险影响分析</w:t>
      </w:r>
      <w:bookmarkEnd w:id="43"/>
    </w:p>
    <w:p w14:paraId="19E87ED6">
      <w:pPr>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雨水排放口设置切断阀进行防控，通常情况下雨水阀门处于</w:t>
      </w:r>
      <w:r>
        <w:rPr>
          <w:rFonts w:hint="eastAsia" w:cs="Times New Roman"/>
          <w:color w:val="auto"/>
          <w:spacing w:val="0"/>
          <w:kern w:val="2"/>
          <w:sz w:val="28"/>
          <w:szCs w:val="28"/>
          <w:highlight w:val="none"/>
          <w:u w:val="none"/>
          <w:lang w:val="en-US" w:eastAsia="zh-CN" w:bidi="ar-SA"/>
        </w:rPr>
        <w:t>常开</w:t>
      </w:r>
      <w:r>
        <w:rPr>
          <w:rFonts w:hint="eastAsia" w:ascii="Times New Roman" w:hAnsi="Times New Roman" w:eastAsia="宋体" w:cs="Times New Roman"/>
          <w:color w:val="auto"/>
          <w:spacing w:val="0"/>
          <w:kern w:val="2"/>
          <w:sz w:val="28"/>
          <w:szCs w:val="28"/>
          <w:highlight w:val="none"/>
          <w:u w:val="none"/>
          <w:lang w:val="en-US" w:eastAsia="zh-CN" w:bidi="ar-SA"/>
        </w:rPr>
        <w:t>状态，一旦厂区有事故废水产生，雨水阀门自动切断，事故状态下废水经罐区围堰、生产装置区排水系统进入</w:t>
      </w:r>
      <w:r>
        <w:rPr>
          <w:rFonts w:hint="eastAsia" w:cs="Times New Roman"/>
          <w:color w:val="auto"/>
          <w:spacing w:val="0"/>
          <w:kern w:val="2"/>
          <w:sz w:val="28"/>
          <w:szCs w:val="28"/>
          <w:highlight w:val="none"/>
          <w:u w:val="none"/>
          <w:lang w:val="en-US" w:eastAsia="zh-CN" w:bidi="ar-SA"/>
        </w:rPr>
        <w:t>40</w:t>
      </w:r>
      <w:r>
        <w:rPr>
          <w:rFonts w:hint="default" w:ascii="Times New Roman" w:hAnsi="Times New Roman" w:eastAsia="宋体" w:cs="Times New Roman"/>
          <w:color w:val="auto"/>
          <w:spacing w:val="0"/>
          <w:kern w:val="2"/>
          <w:sz w:val="28"/>
          <w:szCs w:val="28"/>
          <w:highlight w:val="none"/>
          <w:u w:val="none"/>
          <w:lang w:val="en-US" w:eastAsia="zh-CN" w:bidi="ar-SA"/>
        </w:rPr>
        <w:t>00m</w:t>
      </w:r>
      <w:r>
        <w:rPr>
          <w:rFonts w:hint="default" w:ascii="Times New Roman" w:hAnsi="Times New Roman" w:eastAsia="宋体" w:cs="Times New Roman"/>
          <w:color w:val="auto"/>
          <w:spacing w:val="0"/>
          <w:kern w:val="2"/>
          <w:sz w:val="28"/>
          <w:szCs w:val="28"/>
          <w:highlight w:val="none"/>
          <w:u w:val="none"/>
          <w:vertAlign w:val="superscript"/>
          <w:lang w:val="en-US" w:eastAsia="zh-CN" w:bidi="ar-SA"/>
        </w:rPr>
        <w:t>3</w:t>
      </w:r>
      <w:r>
        <w:rPr>
          <w:rFonts w:hint="eastAsia" w:ascii="Times New Roman" w:hAnsi="Times New Roman" w:eastAsia="宋体" w:cs="Times New Roman"/>
          <w:color w:val="auto"/>
          <w:spacing w:val="0"/>
          <w:kern w:val="2"/>
          <w:sz w:val="28"/>
          <w:szCs w:val="28"/>
          <w:highlight w:val="none"/>
          <w:u w:val="none"/>
          <w:lang w:val="en-US" w:eastAsia="zh-CN" w:bidi="ar-SA"/>
        </w:rPr>
        <w:t>事故应急池，事故应急池进行二级防控；厂区雨水总排口设置切断阀进行三级防控。事故状态下的废水不会通过公司雨水排口进入附近地表水体。</w:t>
      </w:r>
    </w:p>
    <w:p w14:paraId="54ACCB18">
      <w:pPr>
        <w:pStyle w:val="25"/>
        <w:outlineLvl w:val="1"/>
        <w:rPr>
          <w:rFonts w:hint="eastAsia" w:ascii="Times New Roman" w:cs="Times New Roman"/>
          <w:b/>
          <w:bCs/>
          <w:color w:val="auto"/>
          <w:spacing w:val="0"/>
          <w:kern w:val="2"/>
          <w:sz w:val="28"/>
          <w:szCs w:val="28"/>
          <w:highlight w:val="none"/>
          <w:u w:val="none"/>
          <w:lang w:val="en-US" w:eastAsia="zh-CN" w:bidi="ar-SA"/>
        </w:rPr>
      </w:pPr>
      <w:bookmarkStart w:id="44" w:name="_Toc17100"/>
      <w:r>
        <w:rPr>
          <w:rFonts w:hint="eastAsia" w:ascii="Times New Roman" w:hAnsi="Times New Roman" w:eastAsia="宋体" w:cs="Times New Roman"/>
          <w:b/>
          <w:bCs/>
          <w:color w:val="auto"/>
          <w:spacing w:val="0"/>
          <w:kern w:val="2"/>
          <w:sz w:val="28"/>
          <w:szCs w:val="28"/>
          <w:highlight w:val="none"/>
          <w:u w:val="none"/>
          <w:lang w:val="en-US" w:eastAsia="zh-CN" w:bidi="ar-SA"/>
        </w:rPr>
        <w:t>8.</w:t>
      </w:r>
      <w:r>
        <w:rPr>
          <w:rFonts w:hint="eastAsia" w:ascii="Times New Roman" w:cs="Times New Roman"/>
          <w:b/>
          <w:bCs/>
          <w:color w:val="auto"/>
          <w:spacing w:val="0"/>
          <w:kern w:val="2"/>
          <w:sz w:val="28"/>
          <w:szCs w:val="28"/>
          <w:highlight w:val="none"/>
          <w:u w:val="none"/>
          <w:lang w:val="en-US" w:eastAsia="zh-CN" w:bidi="ar-SA"/>
        </w:rPr>
        <w:t>3地下水环境风险影响分析</w:t>
      </w:r>
      <w:bookmarkEnd w:id="44"/>
    </w:p>
    <w:p w14:paraId="184BAED7">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（1）废水渗漏分析和影响</w:t>
      </w:r>
    </w:p>
    <w:p w14:paraId="7DF2C190">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一般情况下，废水渗漏主要考虑污水收集和输送设施底部破损渗漏和排水管道渗漏两个方面。</w:t>
      </w:r>
    </w:p>
    <w:p w14:paraId="0ED24B5A">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本项目</w:t>
      </w:r>
      <w:r>
        <w:rPr>
          <w:rFonts w:hint="eastAsia" w:cs="Times New Roman"/>
          <w:color w:val="auto"/>
          <w:spacing w:val="0"/>
          <w:kern w:val="2"/>
          <w:sz w:val="28"/>
          <w:szCs w:val="28"/>
          <w:highlight w:val="none"/>
          <w:u w:val="none"/>
          <w:lang w:val="en-US" w:eastAsia="zh-CN" w:bidi="ar-SA"/>
        </w:rPr>
        <w:t>不涉及生产废水和生化污水，</w:t>
      </w:r>
      <w:r>
        <w:rPr>
          <w:rFonts w:hint="default" w:ascii="Times New Roman" w:hAnsi="Times New Roman" w:eastAsia="宋体" w:cs="Times New Roman"/>
          <w:color w:val="auto"/>
          <w:spacing w:val="0"/>
          <w:kern w:val="2"/>
          <w:sz w:val="28"/>
          <w:szCs w:val="28"/>
          <w:highlight w:val="none"/>
          <w:u w:val="none"/>
          <w:lang w:val="en-US" w:eastAsia="zh-CN" w:bidi="ar-SA"/>
        </w:rPr>
        <w:t>本评价主要考虑初期雨水对地下水的影响，本扩建</w:t>
      </w:r>
      <w:r>
        <w:rPr>
          <w:rFonts w:hint="eastAsia" w:cs="Times New Roman"/>
          <w:color w:val="auto"/>
          <w:spacing w:val="0"/>
          <w:kern w:val="2"/>
          <w:sz w:val="28"/>
          <w:szCs w:val="28"/>
          <w:highlight w:val="none"/>
          <w:u w:val="none"/>
          <w:lang w:val="en-US" w:eastAsia="zh-CN" w:bidi="ar-SA"/>
        </w:rPr>
        <w:t>硝酸</w:t>
      </w:r>
      <w:r>
        <w:rPr>
          <w:rFonts w:hint="default" w:ascii="Times New Roman" w:hAnsi="Times New Roman" w:eastAsia="宋体" w:cs="Times New Roman"/>
          <w:color w:val="auto"/>
          <w:spacing w:val="0"/>
          <w:kern w:val="2"/>
          <w:sz w:val="28"/>
          <w:szCs w:val="28"/>
          <w:highlight w:val="none"/>
          <w:u w:val="none"/>
          <w:lang w:val="en-US" w:eastAsia="zh-CN" w:bidi="ar-SA"/>
        </w:rPr>
        <w:t>储罐区围堰、初期雨水池均采用严格的防渗措施，初期雨水不直接和地表联系，不会通过地表水和地下水的水力联系而进入地下水造成影响，不会改变区域地下水水质。</w:t>
      </w:r>
    </w:p>
    <w:p w14:paraId="3D2F33C3">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（2）有毒有害物质储存、生产过程渗漏对地下水水质的影响</w:t>
      </w:r>
    </w:p>
    <w:p w14:paraId="3BEAF46D">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本项目为</w:t>
      </w:r>
      <w:r>
        <w:rPr>
          <w:rFonts w:hint="eastAsia" w:cs="Times New Roman"/>
          <w:color w:val="auto"/>
          <w:spacing w:val="0"/>
          <w:kern w:val="2"/>
          <w:sz w:val="28"/>
          <w:szCs w:val="28"/>
          <w:highlight w:val="none"/>
          <w:u w:val="none"/>
          <w:lang w:val="en-US" w:eastAsia="zh-CN" w:bidi="ar-SA"/>
        </w:rPr>
        <w:t>硝酸</w:t>
      </w:r>
      <w:r>
        <w:rPr>
          <w:rFonts w:hint="default" w:ascii="Times New Roman" w:hAnsi="Times New Roman" w:eastAsia="宋体" w:cs="Times New Roman"/>
          <w:color w:val="auto"/>
          <w:spacing w:val="0"/>
          <w:kern w:val="2"/>
          <w:sz w:val="28"/>
          <w:szCs w:val="28"/>
          <w:highlight w:val="none"/>
          <w:u w:val="none"/>
          <w:lang w:val="en-US" w:eastAsia="zh-CN" w:bidi="ar-SA"/>
        </w:rPr>
        <w:t>储存项目，厂区涉及的工艺流程包括槽车进厂、槽车装卸至</w:t>
      </w:r>
      <w:r>
        <w:rPr>
          <w:rFonts w:hint="eastAsia" w:cs="Times New Roman"/>
          <w:color w:val="auto"/>
          <w:spacing w:val="0"/>
          <w:kern w:val="2"/>
          <w:sz w:val="28"/>
          <w:szCs w:val="28"/>
          <w:highlight w:val="none"/>
          <w:u w:val="none"/>
          <w:lang w:val="en-US" w:eastAsia="zh-CN" w:bidi="ar-SA"/>
        </w:rPr>
        <w:t>硝酸</w:t>
      </w:r>
      <w:r>
        <w:rPr>
          <w:rFonts w:hint="default" w:ascii="Times New Roman" w:hAnsi="Times New Roman" w:eastAsia="宋体" w:cs="Times New Roman"/>
          <w:color w:val="auto"/>
          <w:spacing w:val="0"/>
          <w:kern w:val="2"/>
          <w:sz w:val="28"/>
          <w:szCs w:val="28"/>
          <w:highlight w:val="none"/>
          <w:u w:val="none"/>
          <w:lang w:val="en-US" w:eastAsia="zh-CN" w:bidi="ar-SA"/>
        </w:rPr>
        <w:t>储罐，由于</w:t>
      </w:r>
      <w:r>
        <w:rPr>
          <w:rFonts w:hint="eastAsia" w:cs="Times New Roman"/>
          <w:color w:val="auto"/>
          <w:spacing w:val="0"/>
          <w:kern w:val="2"/>
          <w:sz w:val="28"/>
          <w:szCs w:val="28"/>
          <w:highlight w:val="none"/>
          <w:u w:val="none"/>
          <w:lang w:val="en-US" w:eastAsia="zh-CN" w:bidi="ar-SA"/>
        </w:rPr>
        <w:t>硝酸</w:t>
      </w:r>
      <w:r>
        <w:rPr>
          <w:rFonts w:hint="default" w:ascii="Times New Roman" w:hAnsi="Times New Roman" w:eastAsia="宋体" w:cs="Times New Roman"/>
          <w:color w:val="auto"/>
          <w:spacing w:val="0"/>
          <w:kern w:val="2"/>
          <w:sz w:val="28"/>
          <w:szCs w:val="28"/>
          <w:highlight w:val="none"/>
          <w:u w:val="none"/>
          <w:lang w:val="en-US" w:eastAsia="zh-CN" w:bidi="ar-SA"/>
        </w:rPr>
        <w:t>是有毒有害危险化学品，且易溶于水，企业设计厂区道路、厂区地面、</w:t>
      </w:r>
      <w:r>
        <w:rPr>
          <w:rFonts w:hint="eastAsia" w:cs="Times New Roman"/>
          <w:color w:val="auto"/>
          <w:spacing w:val="0"/>
          <w:kern w:val="2"/>
          <w:sz w:val="28"/>
          <w:szCs w:val="28"/>
          <w:highlight w:val="none"/>
          <w:u w:val="none"/>
          <w:lang w:val="en-US" w:eastAsia="zh-CN" w:bidi="ar-SA"/>
        </w:rPr>
        <w:t>硝酸</w:t>
      </w:r>
      <w:r>
        <w:rPr>
          <w:rFonts w:hint="default" w:ascii="Times New Roman" w:hAnsi="Times New Roman" w:eastAsia="宋体" w:cs="Times New Roman"/>
          <w:color w:val="auto"/>
          <w:spacing w:val="0"/>
          <w:kern w:val="2"/>
          <w:sz w:val="28"/>
          <w:szCs w:val="28"/>
          <w:highlight w:val="none"/>
          <w:u w:val="none"/>
          <w:lang w:val="en-US" w:eastAsia="zh-CN" w:bidi="ar-SA"/>
        </w:rPr>
        <w:t>装卸区、</w:t>
      </w:r>
      <w:r>
        <w:rPr>
          <w:rFonts w:hint="eastAsia" w:cs="Times New Roman"/>
          <w:color w:val="auto"/>
          <w:spacing w:val="0"/>
          <w:kern w:val="2"/>
          <w:sz w:val="28"/>
          <w:szCs w:val="28"/>
          <w:highlight w:val="none"/>
          <w:u w:val="none"/>
          <w:lang w:val="en-US" w:eastAsia="zh-CN" w:bidi="ar-SA"/>
        </w:rPr>
        <w:t>硝酸</w:t>
      </w:r>
      <w:r>
        <w:rPr>
          <w:rFonts w:hint="default" w:ascii="Times New Roman" w:hAnsi="Times New Roman" w:eastAsia="宋体" w:cs="Times New Roman"/>
          <w:color w:val="auto"/>
          <w:spacing w:val="0"/>
          <w:kern w:val="2"/>
          <w:sz w:val="28"/>
          <w:szCs w:val="28"/>
          <w:highlight w:val="none"/>
          <w:u w:val="none"/>
          <w:lang w:val="en-US" w:eastAsia="zh-CN" w:bidi="ar-SA"/>
        </w:rPr>
        <w:t>储存区均使用钢筋混凝土进行防渗处理，且储罐区设置围堰，</w:t>
      </w:r>
      <w:r>
        <w:rPr>
          <w:rFonts w:hint="eastAsia" w:cs="Times New Roman"/>
          <w:color w:val="auto"/>
          <w:spacing w:val="0"/>
          <w:kern w:val="2"/>
          <w:sz w:val="28"/>
          <w:szCs w:val="28"/>
          <w:highlight w:val="none"/>
          <w:u w:val="none"/>
          <w:lang w:val="en-US" w:eastAsia="zh-CN" w:bidi="ar-SA"/>
        </w:rPr>
        <w:t>硝酸</w:t>
      </w:r>
      <w:r>
        <w:rPr>
          <w:rFonts w:hint="default" w:ascii="Times New Roman" w:hAnsi="Times New Roman" w:eastAsia="宋体" w:cs="Times New Roman"/>
          <w:color w:val="auto"/>
          <w:spacing w:val="0"/>
          <w:kern w:val="2"/>
          <w:sz w:val="28"/>
          <w:szCs w:val="28"/>
          <w:highlight w:val="none"/>
          <w:u w:val="none"/>
          <w:lang w:val="en-US" w:eastAsia="zh-CN" w:bidi="ar-SA"/>
        </w:rPr>
        <w:t>输送全部通过管道并采用严格的防渗措施，不直接和地表联系，不会通过地表和地下水的水力联系而进入地下水对地下水造成不利影响，不会改变区域地下水的现状及使用功能。因此本项目涉及</w:t>
      </w:r>
      <w:r>
        <w:rPr>
          <w:rFonts w:hint="eastAsia" w:cs="Times New Roman"/>
          <w:color w:val="auto"/>
          <w:spacing w:val="0"/>
          <w:kern w:val="2"/>
          <w:sz w:val="28"/>
          <w:szCs w:val="28"/>
          <w:highlight w:val="none"/>
          <w:u w:val="none"/>
          <w:lang w:val="en-US" w:eastAsia="zh-CN" w:bidi="ar-SA"/>
        </w:rPr>
        <w:t>硝酸</w:t>
      </w:r>
      <w:r>
        <w:rPr>
          <w:rFonts w:hint="default" w:ascii="Times New Roman" w:hAnsi="Times New Roman" w:eastAsia="宋体" w:cs="Times New Roman"/>
          <w:color w:val="auto"/>
          <w:spacing w:val="0"/>
          <w:kern w:val="2"/>
          <w:sz w:val="28"/>
          <w:szCs w:val="28"/>
          <w:highlight w:val="none"/>
          <w:u w:val="none"/>
          <w:lang w:val="en-US" w:eastAsia="zh-CN" w:bidi="ar-SA"/>
        </w:rPr>
        <w:t>的构筑物破损渗漏对地下水的影响是可以避免的。</w:t>
      </w:r>
    </w:p>
    <w:p w14:paraId="6FC9787A">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（3）本项目对地下水的污染途径</w:t>
      </w:r>
    </w:p>
    <w:p w14:paraId="3267B3A7">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①正常情况下</w:t>
      </w:r>
    </w:p>
    <w:p w14:paraId="10C0CD22">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在正常运行的情况下，项目初期雨水池、涉及</w:t>
      </w:r>
      <w:r>
        <w:rPr>
          <w:rFonts w:hint="eastAsia" w:cs="Times New Roman"/>
          <w:color w:val="auto"/>
          <w:spacing w:val="0"/>
          <w:kern w:val="2"/>
          <w:sz w:val="28"/>
          <w:szCs w:val="28"/>
          <w:highlight w:val="none"/>
          <w:u w:val="none"/>
          <w:lang w:val="en-US" w:eastAsia="zh-CN" w:bidi="ar-SA"/>
        </w:rPr>
        <w:t>硝酸</w:t>
      </w:r>
      <w:r>
        <w:rPr>
          <w:rFonts w:hint="default" w:ascii="Times New Roman" w:hAnsi="Times New Roman" w:eastAsia="宋体" w:cs="Times New Roman"/>
          <w:color w:val="auto"/>
          <w:spacing w:val="0"/>
          <w:kern w:val="2"/>
          <w:sz w:val="28"/>
          <w:szCs w:val="28"/>
          <w:highlight w:val="none"/>
          <w:u w:val="none"/>
          <w:lang w:val="en-US" w:eastAsia="zh-CN" w:bidi="ar-SA"/>
        </w:rPr>
        <w:t>的场所都进行了地面防渗处理和地面硬化处理，不会对地下水产生影响。项目正常运行情况下，原料均在完全密闭的管道及储罐中，管道与管道、管道与阀门连接口密封性能好，不存在“跑、冒、滴、漏”等情况的发生。</w:t>
      </w:r>
    </w:p>
    <w:p w14:paraId="7C9E3855">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②事故状态下</w:t>
      </w:r>
    </w:p>
    <w:p w14:paraId="1B9FC6B2">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在贮存、运输过程中具有发生危险废物泄漏事故的可能。生产过程中泄漏出来的废液进入事故池，在工作人员及时清理的情况下，一般不会渗入地下。若不能及时清理，并且防渗设施维护不当发生裂缝，事故状态下泄漏的污染物可能进入土壤，最终渗入地下水，成为地下水污染源。</w:t>
      </w:r>
    </w:p>
    <w:p w14:paraId="05CDF77E">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因此项目围堰等必须铺设抗渗混凝土并做好防渗工作，加强日常管理维护，将事故概率降至最小，项目对地下水的影响可能性很小。</w:t>
      </w:r>
    </w:p>
    <w:p w14:paraId="47CAB3A3">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综上所述，项目对可能产生地下水影响的各项途径均进行有效预防，在确保各项防渗措施得以落实，并加强维护和厂区环境管理的前提下，可有效控制厂区内的废水污染物下渗现象，避免污染地下水，因此项目不会对区域地下水产生明显影响。</w:t>
      </w:r>
    </w:p>
    <w:p w14:paraId="28EE99D3">
      <w:pPr>
        <w:rPr>
          <w:rFonts w:hint="eastAsia" w:cs="Times New Roman"/>
          <w:b/>
          <w:bCs/>
          <w:color w:val="auto"/>
          <w:spacing w:val="0"/>
          <w:kern w:val="2"/>
          <w:sz w:val="28"/>
          <w:szCs w:val="28"/>
          <w:highlight w:val="none"/>
          <w:u w:val="none"/>
          <w:lang w:val="en-US" w:eastAsia="zh-CN" w:bidi="ar-SA"/>
        </w:rPr>
      </w:pPr>
      <w:bookmarkStart w:id="45" w:name="_Toc16794"/>
      <w:r>
        <w:rPr>
          <w:rFonts w:hint="eastAsia" w:cs="Times New Roman"/>
          <w:b/>
          <w:bCs/>
          <w:color w:val="auto"/>
          <w:spacing w:val="0"/>
          <w:kern w:val="2"/>
          <w:sz w:val="28"/>
          <w:szCs w:val="28"/>
          <w:highlight w:val="none"/>
          <w:u w:val="none"/>
          <w:lang w:val="en-US" w:eastAsia="zh-CN" w:bidi="ar-SA"/>
        </w:rPr>
        <w:br w:type="page"/>
      </w:r>
    </w:p>
    <w:p w14:paraId="3D32CCDF">
      <w:pPr>
        <w:keepNext w:val="0"/>
        <w:keepLines w:val="0"/>
        <w:widowControl/>
        <w:suppressLineNumbers w:val="0"/>
        <w:ind w:left="0" w:leftChars="0" w:firstLine="0" w:firstLineChars="0"/>
        <w:jc w:val="center"/>
        <w:outlineLvl w:val="0"/>
        <w:rPr>
          <w:rFonts w:hint="eastAsia" w:cs="Times New Roman"/>
          <w:b/>
          <w:bCs/>
          <w:color w:val="auto"/>
          <w:spacing w:val="0"/>
          <w:kern w:val="2"/>
          <w:sz w:val="28"/>
          <w:szCs w:val="28"/>
          <w:highlight w:val="none"/>
          <w:u w:val="none"/>
          <w:lang w:val="en-US" w:eastAsia="zh-CN" w:bidi="ar-SA"/>
        </w:rPr>
      </w:pPr>
      <w:r>
        <w:rPr>
          <w:rFonts w:hint="eastAsia" w:cs="Times New Roman"/>
          <w:b/>
          <w:bCs/>
          <w:color w:val="auto"/>
          <w:spacing w:val="0"/>
          <w:kern w:val="2"/>
          <w:sz w:val="28"/>
          <w:szCs w:val="28"/>
          <w:highlight w:val="none"/>
          <w:u w:val="none"/>
          <w:lang w:val="en-US" w:eastAsia="zh-CN" w:bidi="ar-SA"/>
        </w:rPr>
        <w:t>9.环境风险管理</w:t>
      </w:r>
      <w:bookmarkEnd w:id="45"/>
    </w:p>
    <w:p w14:paraId="7812DDC4">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强化管理是防范风险事故的最有效途径。从重大事故原因来看，重大事故发生多为违反操作规程，疏于管理所致。提高全员职工安全意识，在各个环节采取有效的安全监控措施，使出现风险的概率降至最低。</w:t>
      </w:r>
    </w:p>
    <w:p w14:paraId="0920FBBE">
      <w:pPr>
        <w:ind w:left="0" w:leftChars="0" w:firstLine="0" w:firstLineChars="0"/>
        <w:outlineLvl w:val="1"/>
        <w:rPr>
          <w:rFonts w:hint="eastAsia" w:cs="Times New Roman"/>
          <w:b/>
          <w:bCs/>
          <w:color w:val="0000FF"/>
          <w:spacing w:val="0"/>
          <w:kern w:val="2"/>
          <w:sz w:val="28"/>
          <w:szCs w:val="28"/>
          <w:highlight w:val="none"/>
          <w:u w:val="none"/>
          <w:lang w:val="en-US" w:eastAsia="zh-CN" w:bidi="ar-SA"/>
        </w:rPr>
      </w:pPr>
      <w:bookmarkStart w:id="46" w:name="_Toc29301"/>
      <w:r>
        <w:rPr>
          <w:rFonts w:hint="eastAsia" w:cs="Times New Roman"/>
          <w:b/>
          <w:bCs/>
          <w:color w:val="0000FF"/>
          <w:spacing w:val="0"/>
          <w:kern w:val="2"/>
          <w:sz w:val="28"/>
          <w:szCs w:val="28"/>
          <w:highlight w:val="none"/>
          <w:u w:val="none"/>
          <w:lang w:val="en-US" w:eastAsia="zh-CN" w:bidi="ar-SA"/>
        </w:rPr>
        <w:t>9.1环境风险防范措施</w:t>
      </w:r>
      <w:bookmarkEnd w:id="46"/>
    </w:p>
    <w:p w14:paraId="75F9C8A2">
      <w:pPr>
        <w:pStyle w:val="48"/>
        <w:keepNext w:val="0"/>
        <w:keepLines w:val="0"/>
        <w:pageBreakBefore w:val="0"/>
        <w:widowControl w:val="0"/>
        <w:kinsoku/>
        <w:wordWrap/>
        <w:overflowPunct/>
        <w:topLinePunct w:val="0"/>
        <w:bidi w:val="0"/>
        <w:spacing w:line="360" w:lineRule="auto"/>
        <w:ind w:left="0" w:leftChars="0" w:firstLine="562" w:firstLineChars="200"/>
        <w:jc w:val="both"/>
        <w:textAlignment w:val="auto"/>
        <w:outlineLvl w:val="2"/>
        <w:rPr>
          <w:rFonts w:hint="eastAsia" w:ascii="Times New Roman" w:hAnsi="Times New Roman" w:eastAsia="宋体" w:cs="Times New Roman"/>
          <w:b/>
          <w:bCs/>
          <w:snapToGrid/>
          <w:color w:val="0000FF"/>
          <w:spacing w:val="0"/>
          <w:kern w:val="2"/>
          <w:sz w:val="28"/>
          <w:szCs w:val="28"/>
          <w:highlight w:val="none"/>
          <w:u w:val="none"/>
          <w:lang w:val="en-US" w:eastAsia="zh-CN" w:bidi="ar-SA"/>
        </w:rPr>
      </w:pPr>
      <w:r>
        <w:rPr>
          <w:rFonts w:hint="eastAsia" w:cs="Times New Roman"/>
          <w:b/>
          <w:bCs/>
          <w:snapToGrid/>
          <w:color w:val="0000FF"/>
          <w:spacing w:val="0"/>
          <w:kern w:val="2"/>
          <w:sz w:val="28"/>
          <w:szCs w:val="28"/>
          <w:highlight w:val="none"/>
          <w:u w:val="none"/>
          <w:lang w:val="en-US" w:eastAsia="zh-CN" w:bidi="ar-SA"/>
        </w:rPr>
        <w:t>9.1.1</w:t>
      </w:r>
      <w:r>
        <w:rPr>
          <w:rFonts w:hint="eastAsia" w:ascii="Times New Roman" w:hAnsi="Times New Roman" w:eastAsia="宋体" w:cs="Times New Roman"/>
          <w:b/>
          <w:bCs/>
          <w:snapToGrid/>
          <w:color w:val="0000FF"/>
          <w:spacing w:val="0"/>
          <w:kern w:val="2"/>
          <w:sz w:val="28"/>
          <w:szCs w:val="28"/>
          <w:highlight w:val="none"/>
          <w:u w:val="none"/>
          <w:lang w:val="en-US" w:eastAsia="zh-CN" w:bidi="ar-SA"/>
        </w:rPr>
        <w:t>总图布置和建筑安全防范措施</w:t>
      </w:r>
    </w:p>
    <w:p w14:paraId="31AE0259">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Times New Roman" w:hAnsi="Times New Roman" w:eastAsia="宋体" w:cs="Times New Roman"/>
          <w:snapToGrid/>
          <w:color w:val="0000FF"/>
          <w:spacing w:val="0"/>
          <w:kern w:val="2"/>
          <w:sz w:val="28"/>
          <w:szCs w:val="28"/>
          <w:highlight w:val="none"/>
          <w:u w:val="none"/>
          <w:lang w:val="en-US" w:eastAsia="zh-CN" w:bidi="ar-SA"/>
        </w:rPr>
        <w:t>①总平面布置严格遵守有关设计规范，按生产装置和建筑物的类别和耐火等级严格进行防火分区，满足防火间距和安全疏散的要求。</w:t>
      </w:r>
    </w:p>
    <w:p w14:paraId="7BC82576">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560" w:firstLineChars="200"/>
        <w:textAlignment w:val="auto"/>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Times New Roman" w:hAnsi="Times New Roman" w:eastAsia="宋体" w:cs="Times New Roman"/>
          <w:snapToGrid/>
          <w:color w:val="0000FF"/>
          <w:spacing w:val="0"/>
          <w:kern w:val="2"/>
          <w:sz w:val="28"/>
          <w:szCs w:val="28"/>
          <w:highlight w:val="none"/>
          <w:u w:val="none"/>
          <w:lang w:val="en-US" w:eastAsia="zh-CN" w:bidi="ar-SA"/>
        </w:rPr>
        <w:t>②装置区设环形道路，和界区现有环形道路相连，以利在事故状态下，人员疏散和抢救。</w:t>
      </w:r>
    </w:p>
    <w:p w14:paraId="6FE9C3C0">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2" w:firstLineChars="200"/>
        <w:textAlignment w:val="auto"/>
        <w:outlineLvl w:val="2"/>
        <w:rPr>
          <w:rFonts w:hint="eastAsia" w:ascii="Times New Roman" w:hAnsi="Times New Roman" w:eastAsia="宋体" w:cs="Times New Roman"/>
          <w:b/>
          <w:bCs/>
          <w:snapToGrid/>
          <w:color w:val="0000FF"/>
          <w:spacing w:val="0"/>
          <w:kern w:val="2"/>
          <w:sz w:val="28"/>
          <w:szCs w:val="28"/>
          <w:highlight w:val="none"/>
          <w:u w:val="none"/>
          <w:lang w:val="en-US" w:eastAsia="zh-CN" w:bidi="ar-SA"/>
        </w:rPr>
      </w:pPr>
      <w:r>
        <w:rPr>
          <w:rFonts w:hint="eastAsia" w:ascii="Times New Roman" w:hAnsi="Times New Roman" w:eastAsia="宋体" w:cs="Times New Roman"/>
          <w:b/>
          <w:bCs/>
          <w:snapToGrid/>
          <w:color w:val="0000FF"/>
          <w:spacing w:val="0"/>
          <w:kern w:val="2"/>
          <w:sz w:val="28"/>
          <w:szCs w:val="28"/>
          <w:highlight w:val="none"/>
          <w:u w:val="none"/>
          <w:lang w:val="en-US" w:eastAsia="zh-CN" w:bidi="ar-SA"/>
        </w:rPr>
        <w:t xml:space="preserve">9.1.2储罐区风险防范措施 </w:t>
      </w:r>
    </w:p>
    <w:p w14:paraId="6A9AEE5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default" w:ascii="Times New Roman" w:hAnsi="Times New Roman" w:eastAsia="宋体" w:cs="Times New Roman"/>
          <w:snapToGrid/>
          <w:color w:val="0000FF"/>
          <w:spacing w:val="0"/>
          <w:kern w:val="2"/>
          <w:sz w:val="28"/>
          <w:szCs w:val="28"/>
          <w:highlight w:val="none"/>
          <w:u w:val="none"/>
          <w:lang w:val="en-US" w:eastAsia="zh-CN" w:bidi="ar-SA"/>
        </w:rPr>
        <w:t>①</w:t>
      </w:r>
      <w:r>
        <w:rPr>
          <w:rFonts w:hint="eastAsia" w:ascii="Times New Roman" w:hAnsi="Times New Roman" w:eastAsia="宋体" w:cs="Times New Roman"/>
          <w:snapToGrid/>
          <w:color w:val="0000FF"/>
          <w:spacing w:val="0"/>
          <w:kern w:val="2"/>
          <w:sz w:val="28"/>
          <w:szCs w:val="28"/>
          <w:highlight w:val="none"/>
          <w:u w:val="none"/>
          <w:lang w:val="en-US" w:eastAsia="zh-CN" w:bidi="ar-SA"/>
        </w:rPr>
        <w:t>储罐区防火堤设计应符合《储罐区防火堤设计规范》</w:t>
      </w:r>
      <w:r>
        <w:rPr>
          <w:rFonts w:hint="default" w:ascii="Times New Roman" w:hAnsi="Times New Roman" w:eastAsia="宋体" w:cs="Times New Roman"/>
          <w:snapToGrid/>
          <w:color w:val="0000FF"/>
          <w:spacing w:val="0"/>
          <w:kern w:val="2"/>
          <w:sz w:val="28"/>
          <w:szCs w:val="28"/>
          <w:highlight w:val="none"/>
          <w:u w:val="none"/>
          <w:lang w:val="en-US" w:eastAsia="zh-CN" w:bidi="ar-SA"/>
        </w:rPr>
        <w:t>(GB50351-2014)</w:t>
      </w:r>
      <w:r>
        <w:rPr>
          <w:rFonts w:hint="eastAsia" w:ascii="Times New Roman" w:hAnsi="Times New Roman" w:eastAsia="宋体" w:cs="Times New Roman"/>
          <w:snapToGrid/>
          <w:color w:val="0000FF"/>
          <w:spacing w:val="0"/>
          <w:kern w:val="2"/>
          <w:sz w:val="28"/>
          <w:szCs w:val="28"/>
          <w:highlight w:val="none"/>
          <w:u w:val="none"/>
          <w:lang w:val="en-US" w:eastAsia="zh-CN" w:bidi="ar-SA"/>
        </w:rPr>
        <w:t>的要求，同时应落实《国家安全监管总局关于进一步加强化学品罐区安全管理的通知》</w:t>
      </w:r>
      <w:r>
        <w:rPr>
          <w:rFonts w:hint="default" w:ascii="Times New Roman" w:hAnsi="Times New Roman" w:eastAsia="宋体" w:cs="Times New Roman"/>
          <w:snapToGrid/>
          <w:color w:val="0000FF"/>
          <w:spacing w:val="0"/>
          <w:kern w:val="2"/>
          <w:sz w:val="28"/>
          <w:szCs w:val="28"/>
          <w:highlight w:val="none"/>
          <w:u w:val="none"/>
          <w:lang w:val="en-US" w:eastAsia="zh-CN" w:bidi="ar-SA"/>
        </w:rPr>
        <w:t>(</w:t>
      </w:r>
      <w:r>
        <w:rPr>
          <w:rFonts w:hint="eastAsia" w:ascii="Times New Roman" w:hAnsi="Times New Roman" w:eastAsia="宋体" w:cs="Times New Roman"/>
          <w:snapToGrid/>
          <w:color w:val="0000FF"/>
          <w:spacing w:val="0"/>
          <w:kern w:val="2"/>
          <w:sz w:val="28"/>
          <w:szCs w:val="28"/>
          <w:highlight w:val="none"/>
          <w:u w:val="none"/>
          <w:lang w:val="en-US" w:eastAsia="zh-CN" w:bidi="ar-SA"/>
        </w:rPr>
        <w:t xml:space="preserve">安监总管三 </w:t>
      </w:r>
      <w:r>
        <w:rPr>
          <w:rFonts w:hint="default" w:ascii="Times New Roman" w:hAnsi="Times New Roman" w:eastAsia="宋体" w:cs="Times New Roman"/>
          <w:snapToGrid/>
          <w:color w:val="0000FF"/>
          <w:spacing w:val="0"/>
          <w:kern w:val="2"/>
          <w:sz w:val="28"/>
          <w:szCs w:val="28"/>
          <w:highlight w:val="none"/>
          <w:u w:val="none"/>
          <w:lang w:val="en-US" w:eastAsia="zh-CN" w:bidi="ar-SA"/>
        </w:rPr>
        <w:t xml:space="preserve">[2014]68 </w:t>
      </w:r>
      <w:r>
        <w:rPr>
          <w:rFonts w:hint="eastAsia" w:ascii="Times New Roman" w:hAnsi="Times New Roman" w:eastAsia="宋体" w:cs="Times New Roman"/>
          <w:snapToGrid/>
          <w:color w:val="0000FF"/>
          <w:spacing w:val="0"/>
          <w:kern w:val="2"/>
          <w:sz w:val="28"/>
          <w:szCs w:val="28"/>
          <w:highlight w:val="none"/>
          <w:u w:val="none"/>
          <w:lang w:val="en-US" w:eastAsia="zh-CN" w:bidi="ar-SA"/>
        </w:rPr>
        <w:t>号</w:t>
      </w:r>
      <w:r>
        <w:rPr>
          <w:rFonts w:hint="default" w:ascii="Times New Roman" w:hAnsi="Times New Roman" w:eastAsia="宋体" w:cs="Times New Roman"/>
          <w:snapToGrid/>
          <w:color w:val="0000FF"/>
          <w:spacing w:val="0"/>
          <w:kern w:val="2"/>
          <w:sz w:val="28"/>
          <w:szCs w:val="28"/>
          <w:highlight w:val="none"/>
          <w:u w:val="none"/>
          <w:lang w:val="en-US" w:eastAsia="zh-CN" w:bidi="ar-SA"/>
        </w:rPr>
        <w:t>)</w:t>
      </w:r>
      <w:r>
        <w:rPr>
          <w:rFonts w:hint="eastAsia" w:ascii="Times New Roman" w:hAnsi="Times New Roman" w:eastAsia="宋体" w:cs="Times New Roman"/>
          <w:snapToGrid/>
          <w:color w:val="0000FF"/>
          <w:spacing w:val="0"/>
          <w:kern w:val="2"/>
          <w:sz w:val="28"/>
          <w:szCs w:val="28"/>
          <w:highlight w:val="none"/>
          <w:u w:val="none"/>
          <w:lang w:val="en-US" w:eastAsia="zh-CN" w:bidi="ar-SA"/>
        </w:rPr>
        <w:t xml:space="preserve">； </w:t>
      </w:r>
    </w:p>
    <w:p w14:paraId="6DDA06E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default" w:ascii="Times New Roman" w:hAnsi="Times New Roman" w:eastAsia="宋体" w:cs="Times New Roman"/>
          <w:snapToGrid/>
          <w:color w:val="0000FF"/>
          <w:spacing w:val="0"/>
          <w:kern w:val="2"/>
          <w:sz w:val="28"/>
          <w:szCs w:val="28"/>
          <w:highlight w:val="none"/>
          <w:u w:val="none"/>
          <w:lang w:val="en-US" w:eastAsia="zh-CN" w:bidi="ar-SA"/>
        </w:rPr>
        <w:t>②</w:t>
      </w:r>
      <w:r>
        <w:rPr>
          <w:rFonts w:hint="eastAsia" w:ascii="Times New Roman" w:hAnsi="Times New Roman" w:eastAsia="宋体" w:cs="Times New Roman"/>
          <w:snapToGrid/>
          <w:color w:val="0000FF"/>
          <w:spacing w:val="0"/>
          <w:kern w:val="2"/>
          <w:sz w:val="28"/>
          <w:szCs w:val="28"/>
          <w:highlight w:val="none"/>
          <w:u w:val="none"/>
          <w:lang w:val="en-US" w:eastAsia="zh-CN" w:bidi="ar-SA"/>
        </w:rPr>
        <w:t>储罐的抗震设计应符合《建筑抗震设计规范》</w:t>
      </w:r>
      <w:r>
        <w:rPr>
          <w:rFonts w:hint="default" w:ascii="Times New Roman" w:hAnsi="Times New Roman" w:eastAsia="宋体" w:cs="Times New Roman"/>
          <w:snapToGrid/>
          <w:color w:val="0000FF"/>
          <w:spacing w:val="0"/>
          <w:kern w:val="2"/>
          <w:sz w:val="28"/>
          <w:szCs w:val="28"/>
          <w:highlight w:val="none"/>
          <w:u w:val="none"/>
          <w:lang w:val="en-US" w:eastAsia="zh-CN" w:bidi="ar-SA"/>
        </w:rPr>
        <w:t xml:space="preserve">(GB50011-2010) </w:t>
      </w:r>
      <w:r>
        <w:rPr>
          <w:rFonts w:hint="eastAsia" w:ascii="Times New Roman" w:hAnsi="Times New Roman" w:eastAsia="宋体" w:cs="Times New Roman"/>
          <w:snapToGrid/>
          <w:color w:val="0000FF"/>
          <w:spacing w:val="0"/>
          <w:kern w:val="2"/>
          <w:sz w:val="28"/>
          <w:szCs w:val="28"/>
          <w:highlight w:val="none"/>
          <w:u w:val="none"/>
          <w:lang w:val="en-US" w:eastAsia="zh-CN" w:bidi="ar-SA"/>
        </w:rPr>
        <w:t>（</w:t>
      </w:r>
      <w:r>
        <w:rPr>
          <w:rFonts w:hint="default" w:ascii="Times New Roman" w:hAnsi="Times New Roman" w:eastAsia="宋体" w:cs="Times New Roman"/>
          <w:snapToGrid/>
          <w:color w:val="0000FF"/>
          <w:spacing w:val="0"/>
          <w:kern w:val="2"/>
          <w:sz w:val="28"/>
          <w:szCs w:val="28"/>
          <w:highlight w:val="none"/>
          <w:u w:val="none"/>
          <w:lang w:val="en-US" w:eastAsia="zh-CN" w:bidi="ar-SA"/>
        </w:rPr>
        <w:t xml:space="preserve">2016 </w:t>
      </w:r>
      <w:r>
        <w:rPr>
          <w:rFonts w:hint="eastAsia" w:ascii="Times New Roman" w:hAnsi="Times New Roman" w:eastAsia="宋体" w:cs="Times New Roman"/>
          <w:snapToGrid/>
          <w:color w:val="0000FF"/>
          <w:spacing w:val="0"/>
          <w:kern w:val="2"/>
          <w:sz w:val="28"/>
          <w:szCs w:val="28"/>
          <w:highlight w:val="none"/>
          <w:u w:val="none"/>
          <w:lang w:val="en-US" w:eastAsia="zh-CN" w:bidi="ar-SA"/>
        </w:rPr>
        <w:t xml:space="preserve">版）的要求； </w:t>
      </w:r>
    </w:p>
    <w:p w14:paraId="7EC6ADF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default" w:ascii="Times New Roman" w:hAnsi="Times New Roman" w:eastAsia="宋体" w:cs="Times New Roman"/>
          <w:snapToGrid/>
          <w:color w:val="0000FF"/>
          <w:spacing w:val="0"/>
          <w:kern w:val="2"/>
          <w:sz w:val="28"/>
          <w:szCs w:val="28"/>
          <w:highlight w:val="none"/>
          <w:u w:val="none"/>
          <w:lang w:val="en-US" w:eastAsia="zh-CN" w:bidi="ar-SA"/>
        </w:rPr>
        <w:t>③</w:t>
      </w:r>
      <w:r>
        <w:rPr>
          <w:rFonts w:hint="eastAsia" w:ascii="Times New Roman" w:hAnsi="Times New Roman" w:eastAsia="宋体" w:cs="Times New Roman"/>
          <w:snapToGrid/>
          <w:color w:val="0000FF"/>
          <w:spacing w:val="0"/>
          <w:kern w:val="2"/>
          <w:sz w:val="28"/>
          <w:szCs w:val="28"/>
          <w:highlight w:val="none"/>
          <w:u w:val="none"/>
          <w:lang w:val="en-US" w:eastAsia="zh-CN" w:bidi="ar-SA"/>
        </w:rPr>
        <w:t>储罐区防腐设计应符合《工业建筑防腐蚀设计规范》</w:t>
      </w:r>
      <w:r>
        <w:rPr>
          <w:rFonts w:hint="default" w:ascii="Times New Roman" w:hAnsi="Times New Roman" w:eastAsia="宋体" w:cs="Times New Roman"/>
          <w:snapToGrid/>
          <w:color w:val="0000FF"/>
          <w:spacing w:val="0"/>
          <w:kern w:val="2"/>
          <w:sz w:val="28"/>
          <w:szCs w:val="28"/>
          <w:highlight w:val="none"/>
          <w:u w:val="none"/>
          <w:lang w:val="en-US" w:eastAsia="zh-CN" w:bidi="ar-SA"/>
        </w:rPr>
        <w:t>(GB50046-2018)</w:t>
      </w:r>
      <w:r>
        <w:rPr>
          <w:rFonts w:hint="eastAsia" w:ascii="Times New Roman" w:hAnsi="Times New Roman" w:eastAsia="宋体" w:cs="Times New Roman"/>
          <w:snapToGrid/>
          <w:color w:val="0000FF"/>
          <w:spacing w:val="0"/>
          <w:kern w:val="2"/>
          <w:sz w:val="28"/>
          <w:szCs w:val="28"/>
          <w:highlight w:val="none"/>
          <w:u w:val="none"/>
          <w:lang w:val="en-US" w:eastAsia="zh-CN" w:bidi="ar-SA"/>
        </w:rPr>
        <w:t xml:space="preserve">的要求，储罐、管道、输送泵均应根据物料的性质选用适宜的防腐材质。储罐外壁须进行必要的防腐处理。定期进行壁厚测试，防止腐蚀穿孔造成突发泄漏事故； </w:t>
      </w:r>
    </w:p>
    <w:p w14:paraId="61B256A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宋体" w:hAnsi="宋体" w:eastAsia="宋体" w:cs="宋体"/>
          <w:snapToGrid/>
          <w:color w:val="0000FF"/>
          <w:spacing w:val="0"/>
          <w:kern w:val="2"/>
          <w:sz w:val="28"/>
          <w:szCs w:val="28"/>
          <w:highlight w:val="none"/>
          <w:u w:val="none"/>
          <w:lang w:val="en-US" w:eastAsia="zh-CN" w:bidi="ar-SA"/>
        </w:rPr>
        <w:t>④</w:t>
      </w:r>
      <w:r>
        <w:rPr>
          <w:rFonts w:hint="eastAsia" w:ascii="Times New Roman" w:hAnsi="Times New Roman" w:eastAsia="宋体" w:cs="Times New Roman"/>
          <w:snapToGrid/>
          <w:color w:val="0000FF"/>
          <w:spacing w:val="0"/>
          <w:kern w:val="2"/>
          <w:sz w:val="28"/>
          <w:szCs w:val="28"/>
          <w:highlight w:val="none"/>
          <w:u w:val="none"/>
          <w:lang w:val="en-US" w:eastAsia="zh-CN" w:bidi="ar-SA"/>
        </w:rPr>
        <w:t xml:space="preserve">储罐必须罐体完好，不渗不漏，罐座正立坚固； </w:t>
      </w:r>
    </w:p>
    <w:p w14:paraId="3F9BCF87">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宋体" w:hAnsi="宋体" w:eastAsia="宋体" w:cs="宋体"/>
          <w:snapToGrid/>
          <w:color w:val="0000FF"/>
          <w:spacing w:val="0"/>
          <w:kern w:val="2"/>
          <w:sz w:val="28"/>
          <w:szCs w:val="28"/>
          <w:highlight w:val="none"/>
          <w:u w:val="none"/>
          <w:lang w:val="en-US" w:eastAsia="zh-CN" w:bidi="ar-SA"/>
        </w:rPr>
        <w:t>⑤</w:t>
      </w:r>
      <w:r>
        <w:rPr>
          <w:rFonts w:hint="eastAsia" w:ascii="Times New Roman" w:hAnsi="Times New Roman" w:eastAsia="宋体" w:cs="Times New Roman"/>
          <w:snapToGrid/>
          <w:color w:val="0000FF"/>
          <w:spacing w:val="0"/>
          <w:kern w:val="2"/>
          <w:sz w:val="28"/>
          <w:szCs w:val="28"/>
          <w:highlight w:val="none"/>
          <w:u w:val="none"/>
          <w:lang w:val="en-US" w:eastAsia="zh-CN" w:bidi="ar-SA"/>
        </w:rPr>
        <w:t>严格把好储罐的设计、制造、安装关，确保储罐的材质、焊接、安装质量符合设计要求；</w:t>
      </w:r>
    </w:p>
    <w:p w14:paraId="4521CDC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eastAsia" w:eastAsia="宋体" w:cs="Times New Roman"/>
          <w:snapToGrid/>
          <w:color w:val="0000FF"/>
          <w:spacing w:val="0"/>
          <w:kern w:val="2"/>
          <w:sz w:val="28"/>
          <w:szCs w:val="28"/>
          <w:highlight w:val="none"/>
          <w:u w:val="none"/>
          <w:lang w:val="en-US" w:eastAsia="zh-CN" w:bidi="ar-SA"/>
        </w:rPr>
      </w:pPr>
      <w:r>
        <w:rPr>
          <w:rFonts w:hint="eastAsia" w:ascii="宋体" w:hAnsi="宋体" w:eastAsia="宋体" w:cs="宋体"/>
          <w:snapToGrid/>
          <w:color w:val="0000FF"/>
          <w:spacing w:val="0"/>
          <w:kern w:val="2"/>
          <w:sz w:val="28"/>
          <w:szCs w:val="28"/>
          <w:highlight w:val="none"/>
          <w:u w:val="none"/>
          <w:lang w:val="en-US" w:eastAsia="zh-CN" w:bidi="ar-SA"/>
        </w:rPr>
        <w:t>⑥</w:t>
      </w:r>
      <w:r>
        <w:rPr>
          <w:rFonts w:hint="eastAsia" w:ascii="Times New Roman" w:hAnsi="Times New Roman" w:eastAsia="宋体" w:cs="Times New Roman"/>
          <w:snapToGrid/>
          <w:color w:val="0000FF"/>
          <w:spacing w:val="0"/>
          <w:kern w:val="2"/>
          <w:sz w:val="28"/>
          <w:szCs w:val="28"/>
          <w:highlight w:val="none"/>
          <w:u w:val="none"/>
          <w:lang w:val="en-US" w:eastAsia="zh-CN" w:bidi="ar-SA"/>
        </w:rPr>
        <w:t>储罐灌装系数应严格控制在设计规定值下，不得超装。储罐</w:t>
      </w:r>
      <w:r>
        <w:rPr>
          <w:rFonts w:hint="eastAsia" w:cs="Times New Roman"/>
          <w:snapToGrid/>
          <w:color w:val="0000FF"/>
          <w:spacing w:val="0"/>
          <w:kern w:val="2"/>
          <w:sz w:val="28"/>
          <w:szCs w:val="28"/>
          <w:highlight w:val="none"/>
          <w:u w:val="none"/>
          <w:lang w:val="en-US" w:eastAsia="zh-CN" w:bidi="ar-SA"/>
        </w:rPr>
        <w:t>上部</w:t>
      </w:r>
      <w:r>
        <w:rPr>
          <w:rFonts w:hint="eastAsia" w:ascii="Times New Roman" w:hAnsi="Times New Roman" w:eastAsia="宋体" w:cs="Times New Roman"/>
          <w:snapToGrid/>
          <w:color w:val="0000FF"/>
          <w:spacing w:val="0"/>
          <w:kern w:val="2"/>
          <w:sz w:val="28"/>
          <w:szCs w:val="28"/>
          <w:highlight w:val="none"/>
          <w:u w:val="none"/>
          <w:lang w:val="en-US" w:eastAsia="zh-CN" w:bidi="ar-SA"/>
        </w:rPr>
        <w:t>设置液位远传装置，防止液位失真、溢罐发生</w:t>
      </w:r>
      <w:r>
        <w:rPr>
          <w:rFonts w:hint="eastAsia" w:eastAsia="宋体" w:cs="Times New Roman"/>
          <w:snapToGrid/>
          <w:color w:val="0000FF"/>
          <w:spacing w:val="0"/>
          <w:kern w:val="2"/>
          <w:sz w:val="28"/>
          <w:szCs w:val="28"/>
          <w:highlight w:val="none"/>
          <w:u w:val="none"/>
          <w:lang w:val="en-US" w:eastAsia="zh-CN" w:bidi="ar-SA"/>
        </w:rPr>
        <w:t>。</w:t>
      </w:r>
    </w:p>
    <w:p w14:paraId="3BD2C11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2" w:firstLineChars="200"/>
        <w:textAlignment w:val="auto"/>
        <w:outlineLvl w:val="2"/>
        <w:rPr>
          <w:rFonts w:hint="eastAsia" w:ascii="Times New Roman" w:hAnsi="Times New Roman" w:eastAsia="宋体" w:cs="Times New Roman"/>
          <w:b/>
          <w:bCs/>
          <w:snapToGrid/>
          <w:color w:val="0000FF"/>
          <w:spacing w:val="0"/>
          <w:kern w:val="2"/>
          <w:sz w:val="28"/>
          <w:szCs w:val="28"/>
          <w:highlight w:val="none"/>
          <w:u w:val="none"/>
          <w:lang w:val="en-US" w:eastAsia="zh-CN" w:bidi="ar-SA"/>
        </w:rPr>
      </w:pPr>
      <w:r>
        <w:rPr>
          <w:rFonts w:hint="eastAsia" w:ascii="Times New Roman" w:hAnsi="Times New Roman" w:eastAsia="宋体" w:cs="Times New Roman"/>
          <w:b/>
          <w:bCs/>
          <w:snapToGrid/>
          <w:color w:val="0000FF"/>
          <w:spacing w:val="0"/>
          <w:kern w:val="2"/>
          <w:sz w:val="28"/>
          <w:szCs w:val="28"/>
          <w:highlight w:val="none"/>
          <w:u w:val="none"/>
          <w:lang w:val="en-US" w:eastAsia="zh-CN" w:bidi="ar-SA"/>
        </w:rPr>
        <w:t>9.1.3原料运输、储存过程的风险防范措施</w:t>
      </w:r>
    </w:p>
    <w:p w14:paraId="5272130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eastAsia" w:cs="Times New Roman"/>
          <w:snapToGrid/>
          <w:color w:val="0000FF"/>
          <w:spacing w:val="0"/>
          <w:kern w:val="2"/>
          <w:sz w:val="28"/>
          <w:szCs w:val="28"/>
          <w:highlight w:val="none"/>
          <w:u w:val="none"/>
          <w:lang w:val="en-US" w:eastAsia="zh-CN" w:bidi="ar-SA"/>
        </w:rPr>
      </w:pPr>
      <w:r>
        <w:rPr>
          <w:rFonts w:hint="eastAsia" w:cs="Times New Roman"/>
          <w:snapToGrid/>
          <w:color w:val="0000FF"/>
          <w:spacing w:val="0"/>
          <w:kern w:val="2"/>
          <w:sz w:val="28"/>
          <w:szCs w:val="28"/>
          <w:highlight w:val="none"/>
          <w:u w:val="none"/>
          <w:lang w:val="en-US" w:eastAsia="zh-CN" w:bidi="ar-SA"/>
        </w:rPr>
        <w:t>由于硝酸存在毒性及腐蚀性，所以在运输和储存过程中应严格做好相应防范措施，防止原料的泄漏，或发生重大交通事故，具体措施如下：</w:t>
      </w:r>
    </w:p>
    <w:p w14:paraId="344C92F4">
      <w:pPr>
        <w:pStyle w:val="25"/>
        <w:ind w:firstLine="560" w:firstLineChars="200"/>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Times New Roman" w:hAnsi="Times New Roman" w:eastAsia="宋体" w:cs="Times New Roman"/>
          <w:snapToGrid/>
          <w:color w:val="0000FF"/>
          <w:spacing w:val="0"/>
          <w:kern w:val="2"/>
          <w:sz w:val="28"/>
          <w:szCs w:val="28"/>
          <w:highlight w:val="none"/>
          <w:u w:val="none"/>
          <w:lang w:val="en-US" w:eastAsia="zh-CN" w:bidi="ar-SA"/>
        </w:rPr>
        <w:t>（1）采用无泄漏输送泵及密封性良好的阀门，并日常加强了设备维护，确保设备完好，避免跑、冒、滴、漏、渗现象和严格倒装车辆管理等。</w:t>
      </w:r>
    </w:p>
    <w:p w14:paraId="698916DB">
      <w:pPr>
        <w:pStyle w:val="25"/>
        <w:ind w:firstLine="560" w:firstLineChars="200"/>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Times New Roman" w:hAnsi="Times New Roman" w:eastAsia="宋体" w:cs="Times New Roman"/>
          <w:snapToGrid/>
          <w:color w:val="0000FF"/>
          <w:spacing w:val="0"/>
          <w:kern w:val="2"/>
          <w:sz w:val="28"/>
          <w:szCs w:val="28"/>
          <w:highlight w:val="none"/>
          <w:u w:val="none"/>
          <w:lang w:val="en-US" w:eastAsia="zh-CN" w:bidi="ar-SA"/>
        </w:rPr>
        <w:t>（2）防渗漏措施</w:t>
      </w:r>
    </w:p>
    <w:p w14:paraId="53E234C7">
      <w:pPr>
        <w:pStyle w:val="25"/>
        <w:ind w:firstLine="560" w:firstLineChars="200"/>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Times New Roman" w:hAnsi="Times New Roman" w:eastAsia="宋体" w:cs="Times New Roman"/>
          <w:snapToGrid/>
          <w:color w:val="0000FF"/>
          <w:spacing w:val="0"/>
          <w:kern w:val="2"/>
          <w:sz w:val="28"/>
          <w:szCs w:val="28"/>
          <w:highlight w:val="none"/>
          <w:u w:val="none"/>
          <w:lang w:val="en-US" w:eastAsia="zh-CN" w:bidi="ar-SA"/>
        </w:rPr>
        <w:t>①本项目硝酸系统阀门选用硝酸专用截止阀，密封性良好，能有效防止硝酸的泄漏。</w:t>
      </w:r>
    </w:p>
    <w:p w14:paraId="10C13863">
      <w:pPr>
        <w:pStyle w:val="25"/>
        <w:ind w:firstLine="560" w:firstLineChars="200"/>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Times New Roman" w:hAnsi="Times New Roman" w:eastAsia="宋体" w:cs="Times New Roman"/>
          <w:snapToGrid/>
          <w:color w:val="0000FF"/>
          <w:spacing w:val="0"/>
          <w:kern w:val="2"/>
          <w:sz w:val="28"/>
          <w:szCs w:val="28"/>
          <w:highlight w:val="none"/>
          <w:u w:val="none"/>
          <w:lang w:val="en-US" w:eastAsia="zh-CN" w:bidi="ar-SA"/>
        </w:rPr>
        <w:t>②硝酸储罐进出管线设置紧急切断阀，防止阀门损坏泄漏。</w:t>
      </w:r>
    </w:p>
    <w:p w14:paraId="505FDB0B">
      <w:pPr>
        <w:pStyle w:val="25"/>
        <w:ind w:firstLine="560" w:firstLineChars="200"/>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Times New Roman" w:hAnsi="Times New Roman" w:eastAsia="宋体" w:cs="Times New Roman"/>
          <w:snapToGrid/>
          <w:color w:val="0000FF"/>
          <w:spacing w:val="0"/>
          <w:kern w:val="2"/>
          <w:sz w:val="28"/>
          <w:szCs w:val="28"/>
          <w:highlight w:val="none"/>
          <w:u w:val="none"/>
          <w:lang w:val="en-US" w:eastAsia="zh-CN" w:bidi="ar-SA"/>
        </w:rPr>
        <w:t>③硝酸储罐设置在线液位监控报警以及停泵联锁，防止满溢泄漏。</w:t>
      </w:r>
    </w:p>
    <w:p w14:paraId="244EE342">
      <w:pPr>
        <w:pStyle w:val="25"/>
        <w:ind w:firstLine="560" w:firstLineChars="200"/>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Times New Roman" w:hAnsi="Times New Roman" w:eastAsia="宋体" w:cs="Times New Roman"/>
          <w:snapToGrid/>
          <w:color w:val="0000FF"/>
          <w:spacing w:val="0"/>
          <w:kern w:val="2"/>
          <w:sz w:val="28"/>
          <w:szCs w:val="28"/>
          <w:highlight w:val="none"/>
          <w:u w:val="none"/>
          <w:lang w:val="en-US" w:eastAsia="zh-CN" w:bidi="ar-SA"/>
        </w:rPr>
        <w:t>④对硝酸储罐进行腐蚀裕度设计，防止设备腐蚀破裂，物料泄漏。</w:t>
      </w:r>
    </w:p>
    <w:p w14:paraId="612C58C5">
      <w:pPr>
        <w:pStyle w:val="25"/>
        <w:ind w:firstLine="560" w:firstLineChars="200"/>
        <w:rPr>
          <w:rFonts w:hint="default" w:ascii="Times New Roman" w:hAnsi="Times New Roman" w:eastAsia="宋体" w:cs="Times New Roman"/>
          <w:snapToGrid/>
          <w:color w:val="0000FF"/>
          <w:spacing w:val="0"/>
          <w:kern w:val="2"/>
          <w:sz w:val="28"/>
          <w:szCs w:val="28"/>
          <w:highlight w:val="none"/>
          <w:u w:val="none"/>
          <w:lang w:val="en-US" w:eastAsia="zh-CN" w:bidi="ar-SA"/>
        </w:rPr>
      </w:pPr>
      <w:r>
        <w:rPr>
          <w:rFonts w:hint="default" w:ascii="Times New Roman" w:hAnsi="Times New Roman" w:eastAsia="宋体" w:cs="Times New Roman"/>
          <w:snapToGrid/>
          <w:color w:val="0000FF"/>
          <w:spacing w:val="0"/>
          <w:kern w:val="2"/>
          <w:sz w:val="28"/>
          <w:szCs w:val="28"/>
          <w:highlight w:val="none"/>
          <w:u w:val="none"/>
          <w:lang w:val="en-US" w:eastAsia="zh-CN" w:bidi="ar-SA"/>
        </w:rPr>
        <w:t>⑤本项目建成后，硝酸储罐区共有4座硝酸储罐，</w:t>
      </w:r>
      <w:r>
        <w:rPr>
          <w:rFonts w:hint="default" w:ascii="Times New Roman" w:hAnsi="Times New Roman" w:cs="Times New Roman"/>
          <w:snapToGrid/>
          <w:color w:val="0000FF"/>
          <w:spacing w:val="0"/>
          <w:kern w:val="2"/>
          <w:sz w:val="28"/>
          <w:szCs w:val="28"/>
          <w:highlight w:val="none"/>
          <w:u w:val="none"/>
          <w:lang w:val="en-US" w:eastAsia="zh-CN" w:bidi="ar-SA"/>
        </w:rPr>
        <w:t>单座硝酸储罐的最大储量为1350</w:t>
      </w:r>
      <w:r>
        <w:rPr>
          <w:rFonts w:hint="default" w:ascii="Times New Roman" w:hAnsi="Times New Roman" w:eastAsia="宋体" w:cs="Times New Roman"/>
          <w:snapToGrid/>
          <w:color w:val="0000FF"/>
          <w:spacing w:val="0"/>
          <w:kern w:val="2"/>
          <w:sz w:val="28"/>
          <w:szCs w:val="28"/>
          <w:highlight w:val="none"/>
          <w:u w:val="none"/>
          <w:lang w:val="en-US" w:eastAsia="zh-CN" w:bidi="ar-SA"/>
        </w:rPr>
        <w:t>m</w:t>
      </w:r>
      <w:r>
        <w:rPr>
          <w:rFonts w:hint="default" w:ascii="Times New Roman" w:hAnsi="Times New Roman" w:eastAsia="宋体" w:cs="Times New Roman"/>
          <w:snapToGrid/>
          <w:color w:val="0000FF"/>
          <w:spacing w:val="0"/>
          <w:kern w:val="2"/>
          <w:sz w:val="28"/>
          <w:szCs w:val="28"/>
          <w:highlight w:val="none"/>
          <w:u w:val="none"/>
          <w:vertAlign w:val="superscript"/>
          <w:lang w:val="en-US" w:eastAsia="zh-CN" w:bidi="ar-SA"/>
        </w:rPr>
        <w:t>3</w:t>
      </w:r>
      <w:r>
        <w:rPr>
          <w:rFonts w:hint="default" w:ascii="Times New Roman" w:hAnsi="Times New Roman" w:cs="Times New Roman"/>
          <w:snapToGrid/>
          <w:color w:val="0000FF"/>
          <w:spacing w:val="0"/>
          <w:kern w:val="2"/>
          <w:sz w:val="28"/>
          <w:szCs w:val="28"/>
          <w:highlight w:val="none"/>
          <w:u w:val="none"/>
          <w:lang w:val="en-US" w:eastAsia="zh-CN" w:bidi="ar-SA"/>
        </w:rPr>
        <w:t>，因此4座硝酸储罐</w:t>
      </w:r>
      <w:r>
        <w:rPr>
          <w:rFonts w:hint="default" w:ascii="Times New Roman" w:hAnsi="Times New Roman" w:eastAsia="宋体" w:cs="Times New Roman"/>
          <w:snapToGrid/>
          <w:color w:val="0000FF"/>
          <w:spacing w:val="0"/>
          <w:kern w:val="2"/>
          <w:sz w:val="28"/>
          <w:szCs w:val="28"/>
          <w:highlight w:val="none"/>
          <w:u w:val="none"/>
          <w:lang w:val="en-US" w:eastAsia="zh-CN" w:bidi="ar-SA"/>
        </w:rPr>
        <w:t>最大储量为5400m</w:t>
      </w:r>
      <w:r>
        <w:rPr>
          <w:rFonts w:hint="default" w:ascii="Times New Roman" w:hAnsi="Times New Roman" w:eastAsia="宋体" w:cs="Times New Roman"/>
          <w:snapToGrid/>
          <w:color w:val="0000FF"/>
          <w:spacing w:val="0"/>
          <w:kern w:val="2"/>
          <w:sz w:val="28"/>
          <w:szCs w:val="28"/>
          <w:highlight w:val="none"/>
          <w:u w:val="none"/>
          <w:vertAlign w:val="superscript"/>
          <w:lang w:val="en-US" w:eastAsia="zh-CN" w:bidi="ar-SA"/>
        </w:rPr>
        <w:t>3</w:t>
      </w:r>
      <w:r>
        <w:rPr>
          <w:rFonts w:hint="default" w:ascii="Times New Roman" w:hAnsi="Times New Roman" w:eastAsia="宋体" w:cs="Times New Roman"/>
          <w:snapToGrid/>
          <w:color w:val="0000FF"/>
          <w:spacing w:val="0"/>
          <w:kern w:val="2"/>
          <w:sz w:val="28"/>
          <w:szCs w:val="28"/>
          <w:highlight w:val="none"/>
          <w:u w:val="none"/>
          <w:lang w:val="en-US" w:eastAsia="zh-CN" w:bidi="ar-SA"/>
        </w:rPr>
        <w:t>，罐区设置围堰为4395.6m</w:t>
      </w:r>
      <w:r>
        <w:rPr>
          <w:rFonts w:hint="default" w:ascii="Times New Roman" w:hAnsi="Times New Roman" w:eastAsia="宋体" w:cs="Times New Roman"/>
          <w:snapToGrid/>
          <w:color w:val="0000FF"/>
          <w:spacing w:val="0"/>
          <w:kern w:val="2"/>
          <w:sz w:val="28"/>
          <w:szCs w:val="28"/>
          <w:highlight w:val="none"/>
          <w:u w:val="none"/>
          <w:vertAlign w:val="superscript"/>
          <w:lang w:val="en-US" w:eastAsia="zh-CN" w:bidi="ar-SA"/>
        </w:rPr>
        <w:t>3</w:t>
      </w:r>
      <w:r>
        <w:rPr>
          <w:rFonts w:hint="default" w:ascii="Times New Roman" w:hAnsi="Times New Roman" w:eastAsia="宋体" w:cs="Times New Roman"/>
          <w:snapToGrid/>
          <w:color w:val="0000FF"/>
          <w:spacing w:val="0"/>
          <w:kern w:val="2"/>
          <w:sz w:val="28"/>
          <w:szCs w:val="28"/>
          <w:highlight w:val="none"/>
          <w:u w:val="none"/>
          <w:lang w:val="en-US" w:eastAsia="zh-CN" w:bidi="ar-SA"/>
        </w:rPr>
        <w:t>，事故应急池为4000m</w:t>
      </w:r>
      <w:r>
        <w:rPr>
          <w:rFonts w:hint="default" w:ascii="Times New Roman" w:hAnsi="Times New Roman" w:eastAsia="宋体" w:cs="Times New Roman"/>
          <w:snapToGrid/>
          <w:color w:val="0000FF"/>
          <w:spacing w:val="0"/>
          <w:kern w:val="2"/>
          <w:sz w:val="28"/>
          <w:szCs w:val="28"/>
          <w:highlight w:val="none"/>
          <w:u w:val="none"/>
          <w:vertAlign w:val="superscript"/>
          <w:lang w:val="en-US" w:eastAsia="zh-CN" w:bidi="ar-SA"/>
        </w:rPr>
        <w:t>3</w:t>
      </w:r>
      <w:r>
        <w:rPr>
          <w:rFonts w:hint="default" w:ascii="Times New Roman" w:hAnsi="Times New Roman" w:eastAsia="宋体" w:cs="Times New Roman"/>
          <w:snapToGrid/>
          <w:color w:val="0000FF"/>
          <w:spacing w:val="0"/>
          <w:kern w:val="2"/>
          <w:sz w:val="28"/>
          <w:szCs w:val="28"/>
          <w:highlight w:val="none"/>
          <w:u w:val="none"/>
          <w:lang w:val="en-US" w:eastAsia="zh-CN" w:bidi="ar-SA"/>
        </w:rPr>
        <w:t>，可满足应急收容需要。</w:t>
      </w:r>
    </w:p>
    <w:p w14:paraId="450D5328">
      <w:pPr>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Times New Roman" w:hAnsi="Times New Roman" w:eastAsia="宋体" w:cs="Times New Roman"/>
          <w:snapToGrid/>
          <w:color w:val="0000FF"/>
          <w:spacing w:val="0"/>
          <w:kern w:val="2"/>
          <w:sz w:val="28"/>
          <w:szCs w:val="28"/>
          <w:highlight w:val="none"/>
          <w:u w:val="none"/>
          <w:lang w:val="en-US" w:eastAsia="zh-CN" w:bidi="ar-SA"/>
        </w:rPr>
        <w:t>（3）贮运操作安全防范措施</w:t>
      </w:r>
    </w:p>
    <w:p w14:paraId="5F7BF16F">
      <w:pPr>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Times New Roman" w:hAnsi="Times New Roman" w:eastAsia="宋体" w:cs="Times New Roman"/>
          <w:snapToGrid/>
          <w:color w:val="0000FF"/>
          <w:spacing w:val="0"/>
          <w:kern w:val="2"/>
          <w:sz w:val="28"/>
          <w:szCs w:val="28"/>
          <w:highlight w:val="none"/>
          <w:u w:val="none"/>
          <w:lang w:val="en-US" w:eastAsia="zh-CN" w:bidi="ar-SA"/>
        </w:rPr>
        <w:t>①运输需委托有相应运输资质单位的公司运输，且运输车辆持有危化品车辆运输许可证，并配备安全设施静电接地，防火帽、灭火器，应对罐车运行情况做检查并记录。装卸前，操作人员要认真对运输车辆所在单位的相关资质或使用单位的相关资质、驾驶员和押运员的资质、车辆状况等进行检查和确认。</w:t>
      </w:r>
    </w:p>
    <w:p w14:paraId="2D0D343B">
      <w:pPr>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Times New Roman" w:hAnsi="Times New Roman" w:eastAsia="宋体" w:cs="Times New Roman"/>
          <w:snapToGrid/>
          <w:color w:val="0000FF"/>
          <w:spacing w:val="0"/>
          <w:kern w:val="2"/>
          <w:sz w:val="28"/>
          <w:szCs w:val="28"/>
          <w:highlight w:val="none"/>
          <w:u w:val="none"/>
          <w:lang w:val="en-US" w:eastAsia="zh-CN" w:bidi="ar-SA"/>
        </w:rPr>
        <w:t>②硝酸装卸时，应对鹤管、密封件、快速切断阀门等进行检查，发现问题及时处理，严防泄漏。</w:t>
      </w:r>
    </w:p>
    <w:p w14:paraId="2BD77EB1">
      <w:pPr>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Times New Roman" w:hAnsi="Times New Roman" w:eastAsia="宋体" w:cs="Times New Roman"/>
          <w:snapToGrid/>
          <w:color w:val="0000FF"/>
          <w:spacing w:val="0"/>
          <w:kern w:val="2"/>
          <w:sz w:val="28"/>
          <w:szCs w:val="28"/>
          <w:highlight w:val="none"/>
          <w:u w:val="none"/>
          <w:lang w:val="en-US" w:eastAsia="zh-CN" w:bidi="ar-SA"/>
        </w:rPr>
        <w:t>③产品出厂时必须随车提供化学品安全技术说明书，在罐体上应有安全标签。装卸中随时检查罐槽外观有无鼓包、泄漏、压力、温度急剧变化及其它异常现象。严禁超装、混装。</w:t>
      </w:r>
    </w:p>
    <w:p w14:paraId="3342A2AE">
      <w:pPr>
        <w:rPr>
          <w:rFonts w:hint="eastAsia" w:ascii="Times New Roman" w:hAnsi="Times New Roman" w:eastAsia="宋体" w:cs="Times New Roman"/>
          <w:snapToGrid/>
          <w:color w:val="0000FF"/>
          <w:spacing w:val="0"/>
          <w:kern w:val="2"/>
          <w:sz w:val="28"/>
          <w:szCs w:val="28"/>
          <w:highlight w:val="none"/>
          <w:u w:val="none"/>
          <w:lang w:val="en-US" w:eastAsia="zh-CN" w:bidi="ar-SA"/>
        </w:rPr>
      </w:pPr>
      <w:r>
        <w:rPr>
          <w:rFonts w:hint="eastAsia" w:ascii="Times New Roman" w:hAnsi="Times New Roman" w:eastAsia="宋体" w:cs="Times New Roman"/>
          <w:snapToGrid/>
          <w:color w:val="0000FF"/>
          <w:spacing w:val="0"/>
          <w:kern w:val="2"/>
          <w:sz w:val="28"/>
          <w:szCs w:val="28"/>
          <w:highlight w:val="none"/>
          <w:u w:val="none"/>
          <w:lang w:val="en-US" w:eastAsia="zh-CN" w:bidi="ar-SA"/>
        </w:rPr>
        <w:t>④运输车辆不得搭载无关人员。合理安排运输次数，在恶劣气象条件下，如暴雨、闪电、台风等，不能运输硝酸。运输按规定路线行驶</w:t>
      </w:r>
      <w:r>
        <w:rPr>
          <w:rFonts w:hint="eastAsia" w:cs="Times New Roman"/>
          <w:snapToGrid/>
          <w:color w:val="0000FF"/>
          <w:spacing w:val="0"/>
          <w:kern w:val="2"/>
          <w:sz w:val="28"/>
          <w:szCs w:val="28"/>
          <w:highlight w:val="none"/>
          <w:u w:val="none"/>
          <w:lang w:val="en-US" w:eastAsia="zh-CN" w:bidi="ar-SA"/>
        </w:rPr>
        <w:t>，</w:t>
      </w:r>
      <w:r>
        <w:rPr>
          <w:rFonts w:hint="eastAsia" w:ascii="Times New Roman" w:hAnsi="Times New Roman" w:eastAsia="宋体" w:cs="Times New Roman"/>
          <w:snapToGrid/>
          <w:color w:val="0000FF"/>
          <w:spacing w:val="0"/>
          <w:kern w:val="2"/>
          <w:sz w:val="28"/>
          <w:szCs w:val="28"/>
          <w:highlight w:val="none"/>
          <w:u w:val="none"/>
          <w:lang w:val="en-US" w:eastAsia="zh-CN" w:bidi="ar-SA"/>
        </w:rPr>
        <w:t>勿在居民和人口稠密区停留。</w:t>
      </w:r>
    </w:p>
    <w:p w14:paraId="7861BEA4">
      <w:pPr>
        <w:rPr>
          <w:rFonts w:hint="default"/>
          <w:lang w:val="en-US" w:eastAsia="zh-CN"/>
        </w:rPr>
      </w:pPr>
      <w:r>
        <w:rPr>
          <w:rFonts w:hint="default" w:ascii="Times New Roman" w:hAnsi="Times New Roman" w:eastAsia="宋体" w:cs="Times New Roman"/>
          <w:snapToGrid/>
          <w:color w:val="0000FF"/>
          <w:spacing w:val="0"/>
          <w:kern w:val="2"/>
          <w:sz w:val="28"/>
          <w:szCs w:val="28"/>
          <w:highlight w:val="none"/>
          <w:u w:val="none"/>
          <w:lang w:val="en-US" w:eastAsia="zh-CN" w:bidi="ar-SA"/>
        </w:rPr>
        <w:t>⑤在</w:t>
      </w:r>
      <w:r>
        <w:rPr>
          <w:rFonts w:hint="eastAsia" w:ascii="Times New Roman" w:hAnsi="Times New Roman" w:eastAsia="宋体" w:cs="Times New Roman"/>
          <w:snapToGrid/>
          <w:color w:val="0000FF"/>
          <w:spacing w:val="0"/>
          <w:kern w:val="2"/>
          <w:sz w:val="28"/>
          <w:szCs w:val="28"/>
          <w:highlight w:val="none"/>
          <w:u w:val="none"/>
          <w:lang w:val="en-US" w:eastAsia="zh-CN" w:bidi="ar-SA"/>
        </w:rPr>
        <w:t>硝酸</w:t>
      </w:r>
      <w:r>
        <w:rPr>
          <w:rFonts w:hint="default" w:ascii="Times New Roman" w:hAnsi="Times New Roman" w:eastAsia="宋体" w:cs="Times New Roman"/>
          <w:snapToGrid/>
          <w:color w:val="0000FF"/>
          <w:spacing w:val="0"/>
          <w:kern w:val="2"/>
          <w:sz w:val="28"/>
          <w:szCs w:val="28"/>
          <w:highlight w:val="none"/>
          <w:u w:val="none"/>
          <w:lang w:val="en-US" w:eastAsia="zh-CN" w:bidi="ar-SA"/>
        </w:rPr>
        <w:t>运输过程中，一旦发生意外，在采取应急处理的同时，迅速报告公安机关和环保等有关部门，疏散群众，防止事态进一步扩大，并积极协助前来救助的公安交通和消防人员抢救伤者和物资，使损失降低到最小范围。</w:t>
      </w:r>
    </w:p>
    <w:p w14:paraId="46D5A228">
      <w:pPr>
        <w:pStyle w:val="27"/>
        <w:outlineLvl w:val="2"/>
        <w:rPr>
          <w:rFonts w:hint="eastAsia" w:ascii="Times New Roman" w:hAnsi="Times New Roman" w:eastAsia="宋体" w:cs="Times New Roman"/>
          <w:b/>
          <w:bCs/>
          <w:snapToGrid/>
          <w:color w:val="0000FF"/>
          <w:spacing w:val="0"/>
          <w:kern w:val="2"/>
          <w:sz w:val="28"/>
          <w:szCs w:val="28"/>
          <w:highlight w:val="none"/>
          <w:u w:val="none"/>
          <w:lang w:val="en-US" w:eastAsia="zh-CN" w:bidi="ar-SA"/>
        </w:rPr>
      </w:pPr>
      <w:r>
        <w:rPr>
          <w:rFonts w:hint="eastAsia" w:ascii="Times New Roman" w:hAnsi="Times New Roman" w:eastAsia="宋体" w:cs="Times New Roman"/>
          <w:b/>
          <w:bCs/>
          <w:snapToGrid/>
          <w:color w:val="0000FF"/>
          <w:spacing w:val="0"/>
          <w:kern w:val="2"/>
          <w:sz w:val="28"/>
          <w:szCs w:val="28"/>
          <w:highlight w:val="none"/>
          <w:u w:val="none"/>
          <w:lang w:val="en-US" w:eastAsia="zh-CN" w:bidi="ar-SA"/>
        </w:rPr>
        <w:t>9.1.4工艺技术设计安全防范措施</w:t>
      </w:r>
    </w:p>
    <w:p w14:paraId="74B4000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default" w:eastAsia="宋体" w:cs="Times New Roman"/>
          <w:snapToGrid/>
          <w:color w:val="0000FF"/>
          <w:spacing w:val="0"/>
          <w:kern w:val="2"/>
          <w:sz w:val="28"/>
          <w:szCs w:val="28"/>
          <w:highlight w:val="none"/>
          <w:u w:val="none"/>
          <w:lang w:val="en-US" w:eastAsia="zh-CN" w:bidi="ar-SA"/>
        </w:rPr>
      </w:pPr>
      <w:r>
        <w:rPr>
          <w:rFonts w:hint="default" w:eastAsia="宋体" w:cs="Times New Roman"/>
          <w:snapToGrid/>
          <w:color w:val="0000FF"/>
          <w:spacing w:val="0"/>
          <w:kern w:val="2"/>
          <w:sz w:val="28"/>
          <w:szCs w:val="28"/>
          <w:highlight w:val="none"/>
          <w:u w:val="none"/>
          <w:lang w:val="en-US" w:eastAsia="zh-CN" w:bidi="ar-SA"/>
        </w:rPr>
        <w:t>①根据规范对承重的钢框架、支架、管架等采取可靠的耐火保护措施，以提高钢结构的耐火极限。</w:t>
      </w:r>
    </w:p>
    <w:p w14:paraId="5C91935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default" w:eastAsia="宋体" w:cs="Times New Roman"/>
          <w:snapToGrid/>
          <w:color w:val="0000FF"/>
          <w:spacing w:val="0"/>
          <w:kern w:val="2"/>
          <w:sz w:val="28"/>
          <w:szCs w:val="28"/>
          <w:highlight w:val="none"/>
          <w:u w:val="none"/>
          <w:lang w:val="en-US" w:eastAsia="zh-CN" w:bidi="ar-SA"/>
        </w:rPr>
      </w:pPr>
      <w:r>
        <w:rPr>
          <w:rFonts w:hint="default" w:eastAsia="宋体" w:cs="Times New Roman"/>
          <w:snapToGrid/>
          <w:color w:val="0000FF"/>
          <w:spacing w:val="0"/>
          <w:kern w:val="2"/>
          <w:sz w:val="28"/>
          <w:szCs w:val="28"/>
          <w:highlight w:val="none"/>
          <w:u w:val="none"/>
          <w:lang w:val="en-US" w:eastAsia="zh-CN" w:bidi="ar-SA"/>
        </w:rPr>
        <w:t>②生产装置防爆区内设计静电接地，具有火灾、爆炸危险的场所，以及静电危害人身安全、金属用具等均应接地。高大设备和厂房设计防雷装置。</w:t>
      </w:r>
    </w:p>
    <w:p w14:paraId="4E2DD57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default" w:eastAsia="宋体" w:cs="Times New Roman"/>
          <w:snapToGrid/>
          <w:color w:val="0000FF"/>
          <w:spacing w:val="0"/>
          <w:kern w:val="2"/>
          <w:sz w:val="28"/>
          <w:szCs w:val="28"/>
          <w:highlight w:val="none"/>
          <w:u w:val="none"/>
          <w:lang w:val="en-US" w:eastAsia="zh-CN" w:bidi="ar-SA"/>
        </w:rPr>
      </w:pPr>
      <w:r>
        <w:rPr>
          <w:rFonts w:hint="default" w:eastAsia="宋体" w:cs="Times New Roman"/>
          <w:snapToGrid/>
          <w:color w:val="0000FF"/>
          <w:spacing w:val="0"/>
          <w:kern w:val="2"/>
          <w:sz w:val="28"/>
          <w:szCs w:val="28"/>
          <w:highlight w:val="none"/>
          <w:u w:val="none"/>
          <w:lang w:val="en-US" w:eastAsia="zh-CN" w:bidi="ar-SA"/>
        </w:rPr>
        <w:t>③对高温设备、管道采取防烫保温设施，避免人体接触这些高温设施而引起烫伤。对加高设备安装操作平台，对设备操作平台、梯子等处均设置防护栏等设施。</w:t>
      </w:r>
    </w:p>
    <w:p w14:paraId="415DD43D">
      <w:pPr>
        <w:pStyle w:val="27"/>
        <w:outlineLvl w:val="2"/>
        <w:rPr>
          <w:rFonts w:hint="eastAsia" w:ascii="Times New Roman" w:hAnsi="Times New Roman" w:eastAsia="宋体" w:cs="Times New Roman"/>
          <w:b/>
          <w:bCs/>
          <w:snapToGrid/>
          <w:color w:val="0000FF"/>
          <w:spacing w:val="0"/>
          <w:kern w:val="2"/>
          <w:sz w:val="28"/>
          <w:szCs w:val="28"/>
          <w:highlight w:val="none"/>
          <w:u w:val="none"/>
          <w:lang w:val="en-US" w:eastAsia="zh-CN" w:bidi="ar-SA"/>
        </w:rPr>
      </w:pPr>
      <w:r>
        <w:rPr>
          <w:rFonts w:hint="eastAsia" w:ascii="Times New Roman" w:hAnsi="Times New Roman" w:eastAsia="宋体" w:cs="Times New Roman"/>
          <w:b/>
          <w:bCs/>
          <w:snapToGrid/>
          <w:color w:val="0000FF"/>
          <w:spacing w:val="0"/>
          <w:kern w:val="2"/>
          <w:sz w:val="28"/>
          <w:szCs w:val="28"/>
          <w:highlight w:val="none"/>
          <w:u w:val="none"/>
          <w:lang w:val="en-US" w:eastAsia="zh-CN" w:bidi="ar-SA"/>
        </w:rPr>
        <w:t>9.1.5大气环境风险防范措施</w:t>
      </w:r>
    </w:p>
    <w:p w14:paraId="3E07B5A0">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default" w:eastAsia="宋体" w:cs="Times New Roman"/>
          <w:snapToGrid/>
          <w:color w:val="0000FF"/>
          <w:spacing w:val="0"/>
          <w:kern w:val="2"/>
          <w:sz w:val="28"/>
          <w:szCs w:val="28"/>
          <w:highlight w:val="none"/>
          <w:u w:val="none"/>
          <w:lang w:val="en-US" w:eastAsia="zh-CN" w:bidi="ar-SA"/>
        </w:rPr>
      </w:pPr>
      <w:r>
        <w:rPr>
          <w:rFonts w:hint="default" w:eastAsia="宋体" w:cs="Times New Roman"/>
          <w:snapToGrid/>
          <w:color w:val="0000FF"/>
          <w:spacing w:val="0"/>
          <w:kern w:val="2"/>
          <w:sz w:val="28"/>
          <w:szCs w:val="28"/>
          <w:highlight w:val="none"/>
          <w:u w:val="none"/>
          <w:lang w:val="en-US" w:eastAsia="zh-CN" w:bidi="ar-SA"/>
        </w:rPr>
        <w:t>①在厂区施工及检修等过程中，应在施工区设置围挡，严禁动火，如确需采取焊接等动火工艺的，应向公司总经理，经总经理批准、并将车间内的其他生产装置停产后，方可施工；施工过程中，应远离车间内的生产设备，远离物料输送管线、廊道等设施，防止发生连锁风险事故。</w:t>
      </w:r>
    </w:p>
    <w:p w14:paraId="72873880">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eastAsia" w:eastAsia="宋体" w:cs="Times New Roman"/>
          <w:snapToGrid/>
          <w:color w:val="0000FF"/>
          <w:spacing w:val="0"/>
          <w:kern w:val="2"/>
          <w:sz w:val="28"/>
          <w:szCs w:val="28"/>
          <w:highlight w:val="none"/>
          <w:u w:val="none"/>
          <w:lang w:val="en-US" w:eastAsia="zh-CN" w:bidi="ar-SA"/>
        </w:rPr>
      </w:pPr>
      <w:r>
        <w:rPr>
          <w:rFonts w:hint="default" w:eastAsia="宋体" w:cs="Times New Roman"/>
          <w:snapToGrid/>
          <w:color w:val="0000FF"/>
          <w:spacing w:val="0"/>
          <w:kern w:val="2"/>
          <w:sz w:val="28"/>
          <w:szCs w:val="28"/>
          <w:highlight w:val="none"/>
          <w:u w:val="none"/>
          <w:lang w:val="en-US" w:eastAsia="zh-CN" w:bidi="ar-SA"/>
        </w:rPr>
        <w:t>②在贮罐和贮槽周围设计符合要求的围堰。围堰采用钢筋混凝土结构，直径根据储罐的具体尺寸确定；安装液位上限报警装置，按规程操作</w:t>
      </w:r>
      <w:r>
        <w:rPr>
          <w:rFonts w:hint="eastAsia" w:eastAsia="宋体" w:cs="Times New Roman"/>
          <w:snapToGrid/>
          <w:color w:val="0000FF"/>
          <w:spacing w:val="0"/>
          <w:kern w:val="2"/>
          <w:sz w:val="28"/>
          <w:szCs w:val="28"/>
          <w:highlight w:val="none"/>
          <w:u w:val="none"/>
          <w:lang w:val="en-US" w:eastAsia="zh-CN" w:bidi="ar-SA"/>
        </w:rPr>
        <w:t>。</w:t>
      </w:r>
    </w:p>
    <w:p w14:paraId="16D5E08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eastAsia" w:eastAsia="宋体" w:cs="Times New Roman"/>
          <w:snapToGrid/>
          <w:color w:val="0000FF"/>
          <w:spacing w:val="0"/>
          <w:kern w:val="2"/>
          <w:sz w:val="28"/>
          <w:szCs w:val="28"/>
          <w:highlight w:val="none"/>
          <w:u w:val="none"/>
          <w:lang w:val="en-US" w:eastAsia="zh-CN" w:bidi="ar-SA"/>
        </w:rPr>
      </w:pPr>
      <w:r>
        <w:rPr>
          <w:rFonts w:hint="default" w:eastAsia="宋体" w:cs="Times New Roman"/>
          <w:snapToGrid/>
          <w:color w:val="0000FF"/>
          <w:spacing w:val="0"/>
          <w:kern w:val="2"/>
          <w:sz w:val="28"/>
          <w:szCs w:val="28"/>
          <w:highlight w:val="none"/>
          <w:u w:val="none"/>
          <w:lang w:val="en-US" w:eastAsia="zh-CN" w:bidi="ar-SA"/>
        </w:rPr>
        <w:t>④装卸区、生产装置区、罐区等均设置气体浓度报警装置、火灾消防装置</w:t>
      </w:r>
      <w:r>
        <w:rPr>
          <w:rFonts w:hint="eastAsia" w:eastAsia="宋体" w:cs="Times New Roman"/>
          <w:snapToGrid/>
          <w:color w:val="0000FF"/>
          <w:spacing w:val="0"/>
          <w:kern w:val="2"/>
          <w:sz w:val="28"/>
          <w:szCs w:val="28"/>
          <w:highlight w:val="none"/>
          <w:u w:val="none"/>
          <w:lang w:val="en-US" w:eastAsia="zh-CN" w:bidi="ar-SA"/>
        </w:rPr>
        <w:t>。</w:t>
      </w:r>
    </w:p>
    <w:p w14:paraId="05D19881">
      <w:pPr>
        <w:pStyle w:val="27"/>
        <w:outlineLvl w:val="2"/>
        <w:rPr>
          <w:rFonts w:hint="eastAsia" w:eastAsia="宋体" w:cs="Times New Roman"/>
          <w:b/>
          <w:bCs/>
          <w:snapToGrid/>
          <w:color w:val="0000FF"/>
          <w:spacing w:val="0"/>
          <w:kern w:val="2"/>
          <w:sz w:val="28"/>
          <w:szCs w:val="28"/>
          <w:highlight w:val="none"/>
          <w:u w:val="none"/>
          <w:lang w:val="en-US" w:eastAsia="zh-CN" w:bidi="ar-SA"/>
        </w:rPr>
      </w:pPr>
      <w:r>
        <w:rPr>
          <w:rFonts w:hint="eastAsia" w:ascii="Times New Roman" w:hAnsi="Times New Roman" w:eastAsia="宋体" w:cs="Times New Roman"/>
          <w:b/>
          <w:bCs/>
          <w:snapToGrid/>
          <w:color w:val="0000FF"/>
          <w:spacing w:val="0"/>
          <w:kern w:val="2"/>
          <w:sz w:val="28"/>
          <w:szCs w:val="28"/>
          <w:highlight w:val="none"/>
          <w:u w:val="none"/>
          <w:lang w:val="en-US" w:eastAsia="zh-CN" w:bidi="ar-SA"/>
        </w:rPr>
        <w:t>9.1.6事故废水环境风险防范措施</w:t>
      </w:r>
    </w:p>
    <w:p w14:paraId="2FE86BE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default" w:eastAsia="宋体" w:cs="Times New Roman"/>
          <w:snapToGrid/>
          <w:color w:val="0000FF"/>
          <w:spacing w:val="0"/>
          <w:kern w:val="2"/>
          <w:sz w:val="28"/>
          <w:szCs w:val="28"/>
          <w:highlight w:val="none"/>
          <w:u w:val="none"/>
          <w:lang w:val="en-US" w:eastAsia="zh-CN" w:bidi="ar-SA"/>
        </w:rPr>
      </w:pPr>
      <w:r>
        <w:rPr>
          <w:rFonts w:hint="default" w:eastAsia="宋体" w:cs="Times New Roman"/>
          <w:snapToGrid/>
          <w:color w:val="0000FF"/>
          <w:spacing w:val="0"/>
          <w:kern w:val="2"/>
          <w:sz w:val="28"/>
          <w:szCs w:val="28"/>
          <w:highlight w:val="none"/>
          <w:u w:val="none"/>
          <w:lang w:val="en-US" w:eastAsia="zh-CN" w:bidi="ar-SA"/>
        </w:rPr>
        <w:t>①储罐区：设置围堰</w:t>
      </w:r>
      <w:r>
        <w:rPr>
          <w:rFonts w:hint="eastAsia" w:cs="Times New Roman"/>
          <w:snapToGrid/>
          <w:color w:val="0000FF"/>
          <w:spacing w:val="0"/>
          <w:kern w:val="2"/>
          <w:sz w:val="28"/>
          <w:szCs w:val="28"/>
          <w:highlight w:val="none"/>
          <w:u w:val="none"/>
          <w:lang w:val="en-US" w:eastAsia="zh-CN" w:bidi="ar-SA"/>
        </w:rPr>
        <w:t>（100m×36.63m×1.2m）</w:t>
      </w:r>
      <w:r>
        <w:rPr>
          <w:rFonts w:hint="eastAsia" w:eastAsia="宋体" w:cs="Times New Roman"/>
          <w:snapToGrid/>
          <w:color w:val="0000FF"/>
          <w:spacing w:val="0"/>
          <w:kern w:val="2"/>
          <w:sz w:val="28"/>
          <w:szCs w:val="28"/>
          <w:highlight w:val="none"/>
          <w:u w:val="none"/>
          <w:lang w:val="en-US" w:eastAsia="zh-CN" w:bidi="ar-SA"/>
        </w:rPr>
        <w:t>，围堰</w:t>
      </w:r>
      <w:r>
        <w:rPr>
          <w:rFonts w:hint="default" w:eastAsia="宋体" w:cs="Times New Roman"/>
          <w:snapToGrid/>
          <w:color w:val="0000FF"/>
          <w:spacing w:val="0"/>
          <w:kern w:val="2"/>
          <w:sz w:val="28"/>
          <w:szCs w:val="28"/>
          <w:highlight w:val="none"/>
          <w:u w:val="none"/>
          <w:lang w:val="en-US" w:eastAsia="zh-CN" w:bidi="ar-SA"/>
        </w:rPr>
        <w:t>内设置导流地沟</w:t>
      </w:r>
      <w:r>
        <w:rPr>
          <w:rFonts w:hint="eastAsia" w:eastAsia="宋体" w:cs="Times New Roman"/>
          <w:snapToGrid/>
          <w:color w:val="0000FF"/>
          <w:spacing w:val="0"/>
          <w:kern w:val="2"/>
          <w:sz w:val="28"/>
          <w:szCs w:val="28"/>
          <w:highlight w:val="none"/>
          <w:u w:val="none"/>
          <w:lang w:val="en-US" w:eastAsia="zh-CN" w:bidi="ar-SA"/>
        </w:rPr>
        <w:t>，</w:t>
      </w:r>
      <w:r>
        <w:rPr>
          <w:rFonts w:hint="default" w:eastAsia="宋体" w:cs="Times New Roman"/>
          <w:snapToGrid/>
          <w:color w:val="0000FF"/>
          <w:spacing w:val="0"/>
          <w:kern w:val="2"/>
          <w:sz w:val="28"/>
          <w:szCs w:val="28"/>
          <w:highlight w:val="none"/>
          <w:u w:val="none"/>
          <w:lang w:val="en-US" w:eastAsia="zh-CN" w:bidi="ar-SA"/>
        </w:rPr>
        <w:t>导流地沟作耐腐蚀和防渗处理；物料一旦发生泄漏，尽可能切断泄漏源，泄漏物料用专门收容器具收集回用或作危废处置。</w:t>
      </w:r>
    </w:p>
    <w:p w14:paraId="5AE92D1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eastAsia" w:eastAsia="宋体" w:cs="Times New Roman"/>
          <w:snapToGrid/>
          <w:color w:val="0000FF"/>
          <w:spacing w:val="0"/>
          <w:kern w:val="2"/>
          <w:sz w:val="28"/>
          <w:szCs w:val="28"/>
          <w:highlight w:val="none"/>
          <w:u w:val="none"/>
          <w:lang w:val="en-US" w:eastAsia="zh-CN" w:bidi="ar-SA"/>
        </w:rPr>
      </w:pPr>
      <w:r>
        <w:rPr>
          <w:rFonts w:hint="default" w:eastAsia="宋体" w:cs="Times New Roman"/>
          <w:snapToGrid/>
          <w:color w:val="0000FF"/>
          <w:spacing w:val="0"/>
          <w:kern w:val="2"/>
          <w:sz w:val="28"/>
          <w:szCs w:val="28"/>
          <w:highlight w:val="none"/>
          <w:u w:val="none"/>
          <w:lang w:val="en-US" w:eastAsia="zh-CN" w:bidi="ar-SA"/>
        </w:rPr>
        <w:t>②</w:t>
      </w:r>
      <w:r>
        <w:rPr>
          <w:rFonts w:hint="eastAsia" w:eastAsia="宋体" w:cs="Times New Roman"/>
          <w:snapToGrid/>
          <w:color w:val="0000FF"/>
          <w:spacing w:val="0"/>
          <w:kern w:val="2"/>
          <w:sz w:val="28"/>
          <w:szCs w:val="28"/>
          <w:highlight w:val="none"/>
          <w:u w:val="none"/>
          <w:lang w:val="en-US" w:eastAsia="zh-CN" w:bidi="ar-SA"/>
        </w:rPr>
        <w:t>设置废水应急事故池：本项目依托已建的4000m</w:t>
      </w:r>
      <w:r>
        <w:rPr>
          <w:rFonts w:hint="eastAsia" w:eastAsia="宋体" w:cs="Times New Roman"/>
          <w:snapToGrid/>
          <w:color w:val="0000FF"/>
          <w:spacing w:val="0"/>
          <w:kern w:val="2"/>
          <w:sz w:val="28"/>
          <w:szCs w:val="28"/>
          <w:highlight w:val="none"/>
          <w:u w:val="none"/>
          <w:vertAlign w:val="superscript"/>
          <w:lang w:val="en-US" w:eastAsia="zh-CN" w:bidi="ar-SA"/>
        </w:rPr>
        <w:t>3</w:t>
      </w:r>
      <w:r>
        <w:rPr>
          <w:rFonts w:hint="eastAsia" w:eastAsia="宋体" w:cs="Times New Roman"/>
          <w:snapToGrid/>
          <w:color w:val="0000FF"/>
          <w:spacing w:val="0"/>
          <w:kern w:val="2"/>
          <w:sz w:val="28"/>
          <w:szCs w:val="28"/>
          <w:highlight w:val="none"/>
          <w:u w:val="none"/>
          <w:lang w:val="en-US" w:eastAsia="zh-CN" w:bidi="ar-SA"/>
        </w:rPr>
        <w:t>事故应急池，用于收集事故状态下的废水。</w:t>
      </w:r>
    </w:p>
    <w:p w14:paraId="021689E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60" w:firstLineChars="200"/>
        <w:textAlignment w:val="auto"/>
        <w:rPr>
          <w:rFonts w:hint="eastAsia" w:eastAsia="宋体" w:cs="Times New Roman"/>
          <w:snapToGrid/>
          <w:color w:val="0000FF"/>
          <w:spacing w:val="0"/>
          <w:kern w:val="2"/>
          <w:sz w:val="28"/>
          <w:szCs w:val="28"/>
          <w:highlight w:val="none"/>
          <w:u w:val="none"/>
          <w:lang w:val="en-US" w:eastAsia="zh-CN" w:bidi="ar-SA"/>
        </w:rPr>
      </w:pPr>
      <w:r>
        <w:rPr>
          <w:rFonts w:hint="eastAsia" w:eastAsia="宋体" w:cs="Times New Roman"/>
          <w:snapToGrid/>
          <w:color w:val="0000FF"/>
          <w:spacing w:val="0"/>
          <w:kern w:val="2"/>
          <w:sz w:val="28"/>
          <w:szCs w:val="28"/>
          <w:highlight w:val="none"/>
          <w:u w:val="none"/>
          <w:lang w:val="en-US" w:eastAsia="zh-CN" w:bidi="ar-SA"/>
        </w:rPr>
        <w:t>事故废水环境风险防范措施可行性分析：本项目建成后，硝酸储罐区共有4座硝酸储罐，</w:t>
      </w:r>
      <w:r>
        <w:rPr>
          <w:rFonts w:hint="eastAsia" w:cs="Times New Roman"/>
          <w:snapToGrid/>
          <w:color w:val="0000FF"/>
          <w:spacing w:val="0"/>
          <w:kern w:val="2"/>
          <w:sz w:val="28"/>
          <w:szCs w:val="28"/>
          <w:highlight w:val="none"/>
          <w:u w:val="none"/>
          <w:lang w:val="en-US" w:eastAsia="zh-CN" w:bidi="ar-SA"/>
        </w:rPr>
        <w:t>单座硝酸储罐的最大储量为1350</w:t>
      </w:r>
      <w:r>
        <w:rPr>
          <w:rFonts w:hint="eastAsia" w:eastAsia="宋体" w:cs="Times New Roman"/>
          <w:snapToGrid/>
          <w:color w:val="0000FF"/>
          <w:spacing w:val="0"/>
          <w:kern w:val="2"/>
          <w:sz w:val="28"/>
          <w:szCs w:val="28"/>
          <w:highlight w:val="none"/>
          <w:u w:val="none"/>
          <w:lang w:val="en-US" w:eastAsia="zh-CN" w:bidi="ar-SA"/>
        </w:rPr>
        <w:t>m</w:t>
      </w:r>
      <w:r>
        <w:rPr>
          <w:rFonts w:hint="eastAsia" w:eastAsia="宋体" w:cs="Times New Roman"/>
          <w:snapToGrid/>
          <w:color w:val="0000FF"/>
          <w:spacing w:val="0"/>
          <w:kern w:val="2"/>
          <w:sz w:val="28"/>
          <w:szCs w:val="28"/>
          <w:highlight w:val="none"/>
          <w:u w:val="none"/>
          <w:vertAlign w:val="superscript"/>
          <w:lang w:val="en-US" w:eastAsia="zh-CN" w:bidi="ar-SA"/>
        </w:rPr>
        <w:t>3</w:t>
      </w:r>
      <w:r>
        <w:rPr>
          <w:rFonts w:hint="eastAsia" w:cs="Times New Roman"/>
          <w:snapToGrid/>
          <w:color w:val="0000FF"/>
          <w:spacing w:val="0"/>
          <w:kern w:val="2"/>
          <w:sz w:val="28"/>
          <w:szCs w:val="28"/>
          <w:highlight w:val="none"/>
          <w:u w:val="none"/>
          <w:lang w:val="en-US" w:eastAsia="zh-CN" w:bidi="ar-SA"/>
        </w:rPr>
        <w:t>，因此4座硝酸储罐</w:t>
      </w:r>
      <w:r>
        <w:rPr>
          <w:rFonts w:hint="eastAsia" w:eastAsia="宋体" w:cs="Times New Roman"/>
          <w:snapToGrid/>
          <w:color w:val="0000FF"/>
          <w:spacing w:val="0"/>
          <w:kern w:val="2"/>
          <w:sz w:val="28"/>
          <w:szCs w:val="28"/>
          <w:highlight w:val="none"/>
          <w:u w:val="none"/>
          <w:lang w:val="en-US" w:eastAsia="zh-CN" w:bidi="ar-SA"/>
        </w:rPr>
        <w:t>最大储量为5400m</w:t>
      </w:r>
      <w:r>
        <w:rPr>
          <w:rFonts w:hint="eastAsia" w:eastAsia="宋体" w:cs="Times New Roman"/>
          <w:snapToGrid/>
          <w:color w:val="0000FF"/>
          <w:spacing w:val="0"/>
          <w:kern w:val="2"/>
          <w:sz w:val="28"/>
          <w:szCs w:val="28"/>
          <w:highlight w:val="none"/>
          <w:u w:val="none"/>
          <w:vertAlign w:val="superscript"/>
          <w:lang w:val="en-US" w:eastAsia="zh-CN" w:bidi="ar-SA"/>
        </w:rPr>
        <w:t>3</w:t>
      </w:r>
      <w:r>
        <w:rPr>
          <w:rFonts w:hint="eastAsia" w:eastAsia="宋体" w:cs="Times New Roman"/>
          <w:snapToGrid/>
          <w:color w:val="0000FF"/>
          <w:spacing w:val="0"/>
          <w:kern w:val="2"/>
          <w:sz w:val="28"/>
          <w:szCs w:val="28"/>
          <w:highlight w:val="none"/>
          <w:u w:val="none"/>
          <w:lang w:val="en-US" w:eastAsia="zh-CN" w:bidi="ar-SA"/>
        </w:rPr>
        <w:t>，罐区设置围堰为4395.6m</w:t>
      </w:r>
      <w:r>
        <w:rPr>
          <w:rFonts w:hint="eastAsia" w:eastAsia="宋体" w:cs="Times New Roman"/>
          <w:snapToGrid/>
          <w:color w:val="0000FF"/>
          <w:spacing w:val="0"/>
          <w:kern w:val="2"/>
          <w:sz w:val="28"/>
          <w:szCs w:val="28"/>
          <w:highlight w:val="none"/>
          <w:u w:val="none"/>
          <w:vertAlign w:val="superscript"/>
          <w:lang w:val="en-US" w:eastAsia="zh-CN" w:bidi="ar-SA"/>
        </w:rPr>
        <w:t>3</w:t>
      </w:r>
      <w:r>
        <w:rPr>
          <w:rFonts w:hint="eastAsia" w:eastAsia="宋体" w:cs="Times New Roman"/>
          <w:snapToGrid/>
          <w:color w:val="0000FF"/>
          <w:spacing w:val="0"/>
          <w:kern w:val="2"/>
          <w:sz w:val="28"/>
          <w:szCs w:val="28"/>
          <w:highlight w:val="none"/>
          <w:u w:val="none"/>
          <w:lang w:val="en-US" w:eastAsia="zh-CN" w:bidi="ar-SA"/>
        </w:rPr>
        <w:t>，事故应急池为4000m</w:t>
      </w:r>
      <w:r>
        <w:rPr>
          <w:rFonts w:hint="eastAsia" w:eastAsia="宋体" w:cs="Times New Roman"/>
          <w:snapToGrid/>
          <w:color w:val="0000FF"/>
          <w:spacing w:val="0"/>
          <w:kern w:val="2"/>
          <w:sz w:val="28"/>
          <w:szCs w:val="28"/>
          <w:highlight w:val="none"/>
          <w:u w:val="none"/>
          <w:vertAlign w:val="superscript"/>
          <w:lang w:val="en-US" w:eastAsia="zh-CN" w:bidi="ar-SA"/>
        </w:rPr>
        <w:t>3</w:t>
      </w:r>
      <w:r>
        <w:rPr>
          <w:rFonts w:hint="eastAsia" w:eastAsia="宋体" w:cs="Times New Roman"/>
          <w:snapToGrid/>
          <w:color w:val="0000FF"/>
          <w:spacing w:val="0"/>
          <w:kern w:val="2"/>
          <w:sz w:val="28"/>
          <w:szCs w:val="28"/>
          <w:highlight w:val="none"/>
          <w:u w:val="none"/>
          <w:lang w:val="en-US" w:eastAsia="zh-CN" w:bidi="ar-SA"/>
        </w:rPr>
        <w:t>，可以满足最大事故状态下硝酸泄露收集。</w:t>
      </w:r>
      <w:r>
        <w:rPr>
          <w:rFonts w:hint="eastAsia" w:cs="Times New Roman"/>
          <w:snapToGrid/>
          <w:color w:val="0000FF"/>
          <w:spacing w:val="0"/>
          <w:kern w:val="2"/>
          <w:sz w:val="28"/>
          <w:szCs w:val="28"/>
          <w:highlight w:val="none"/>
          <w:u w:val="none"/>
          <w:lang w:val="en-US" w:eastAsia="zh-CN" w:bidi="ar-SA"/>
        </w:rPr>
        <w:t>根据</w:t>
      </w:r>
      <w:r>
        <w:rPr>
          <w:rFonts w:hint="eastAsia" w:eastAsia="宋体" w:cs="Times New Roman"/>
          <w:snapToGrid/>
          <w:color w:val="0000FF"/>
          <w:spacing w:val="0"/>
          <w:kern w:val="2"/>
          <w:sz w:val="28"/>
          <w:szCs w:val="28"/>
          <w:highlight w:val="none"/>
          <w:u w:val="none"/>
          <w:lang w:val="en-US" w:eastAsia="zh-CN" w:bidi="ar-SA"/>
        </w:rPr>
        <w:t>《石化企业水体环境风险防控技术要求》</w:t>
      </w:r>
      <w:r>
        <w:rPr>
          <w:rFonts w:hint="eastAsia" w:cs="Times New Roman"/>
          <w:snapToGrid/>
          <w:color w:val="0000FF"/>
          <w:spacing w:val="0"/>
          <w:kern w:val="2"/>
          <w:sz w:val="28"/>
          <w:szCs w:val="28"/>
          <w:highlight w:val="none"/>
          <w:u w:val="none"/>
          <w:lang w:val="en-US" w:eastAsia="zh-CN" w:bidi="ar-SA"/>
        </w:rPr>
        <w:t>规定：事故池的有效容积不宜小于罐组内1个最大储罐的容积，事故排水系统宜与雨水系统合建。有条件或项目环境影响评价报告要求时，可设置独立的事故排水系统。本项目事故池得到容积大于罐组内1个最大储罐的容积，且雨水-清净下水系统和事故消防排水系统是独立设置的，符合</w:t>
      </w:r>
      <w:r>
        <w:rPr>
          <w:rFonts w:hint="eastAsia" w:eastAsia="宋体" w:cs="Times New Roman"/>
          <w:snapToGrid/>
          <w:color w:val="0000FF"/>
          <w:spacing w:val="0"/>
          <w:kern w:val="2"/>
          <w:sz w:val="28"/>
          <w:szCs w:val="28"/>
          <w:highlight w:val="none"/>
          <w:u w:val="none"/>
          <w:lang w:val="en-US" w:eastAsia="zh-CN" w:bidi="ar-SA"/>
        </w:rPr>
        <w:t>《石化企业水体环境风险防控技术要求》。</w:t>
      </w:r>
    </w:p>
    <w:p w14:paraId="287295C3">
      <w:pPr>
        <w:pStyle w:val="27"/>
        <w:outlineLvl w:val="2"/>
        <w:rPr>
          <w:rFonts w:hint="eastAsia" w:ascii="Times New Roman" w:hAnsi="Times New Roman" w:eastAsia="宋体" w:cs="Times New Roman"/>
          <w:b/>
          <w:bCs/>
          <w:snapToGrid/>
          <w:color w:val="0000FF"/>
          <w:spacing w:val="0"/>
          <w:kern w:val="2"/>
          <w:sz w:val="28"/>
          <w:szCs w:val="28"/>
          <w:highlight w:val="none"/>
          <w:u w:val="none"/>
          <w:lang w:val="en-US" w:eastAsia="zh-CN" w:bidi="ar-SA"/>
        </w:rPr>
      </w:pPr>
      <w:r>
        <w:rPr>
          <w:rFonts w:hint="eastAsia" w:ascii="Times New Roman" w:hAnsi="Times New Roman" w:eastAsia="宋体" w:cs="Times New Roman"/>
          <w:b/>
          <w:bCs/>
          <w:snapToGrid/>
          <w:color w:val="0000FF"/>
          <w:spacing w:val="0"/>
          <w:kern w:val="2"/>
          <w:sz w:val="28"/>
          <w:szCs w:val="28"/>
          <w:highlight w:val="none"/>
          <w:u w:val="none"/>
          <w:lang w:val="en-US" w:eastAsia="zh-CN" w:bidi="ar-SA"/>
        </w:rPr>
        <w:t>9.1.7泄露的应急处置措施</w:t>
      </w:r>
    </w:p>
    <w:p w14:paraId="56755207">
      <w:pPr>
        <w:pStyle w:val="27"/>
        <w:rPr>
          <w:rFonts w:hint="eastAsia" w:ascii="宋体" w:hAnsi="宋体" w:eastAsia="宋体" w:cs="宋体"/>
          <w:snapToGrid/>
          <w:color w:val="0000FF"/>
          <w:spacing w:val="0"/>
          <w:kern w:val="2"/>
          <w:sz w:val="28"/>
          <w:szCs w:val="28"/>
          <w:highlight w:val="none"/>
          <w:u w:val="none"/>
          <w:lang w:val="en-US" w:eastAsia="zh-CN" w:bidi="ar-SA"/>
        </w:rPr>
      </w:pPr>
      <w:r>
        <w:rPr>
          <w:rFonts w:hint="eastAsia" w:ascii="宋体" w:hAnsi="宋体" w:eastAsia="宋体" w:cs="宋体"/>
          <w:snapToGrid/>
          <w:color w:val="0000FF"/>
          <w:spacing w:val="0"/>
          <w:kern w:val="2"/>
          <w:sz w:val="28"/>
          <w:szCs w:val="28"/>
          <w:highlight w:val="none"/>
          <w:u w:val="none"/>
          <w:lang w:val="en-US" w:eastAsia="zh-CN" w:bidi="ar-SA"/>
        </w:rPr>
        <w:t>①人员疏散与隔离。立即疏散泄露区所有人员至安全区域，设置警戒线，禁止无关人员进入；确保撤离路径避开下风向，避免吸入硝酸蒸汽引发中毒。</w:t>
      </w:r>
    </w:p>
    <w:p w14:paraId="49236D1A">
      <w:pPr>
        <w:pStyle w:val="27"/>
        <w:rPr>
          <w:rFonts w:hint="eastAsia" w:ascii="宋体" w:hAnsi="宋体" w:eastAsia="宋体" w:cs="宋体"/>
          <w:snapToGrid/>
          <w:color w:val="0000FF"/>
          <w:spacing w:val="0"/>
          <w:kern w:val="2"/>
          <w:sz w:val="28"/>
          <w:szCs w:val="28"/>
          <w:highlight w:val="none"/>
          <w:u w:val="none"/>
          <w:lang w:val="en-US" w:eastAsia="zh-CN" w:bidi="ar-SA"/>
        </w:rPr>
      </w:pPr>
      <w:r>
        <w:rPr>
          <w:rFonts w:hint="default" w:ascii="宋体" w:hAnsi="宋体" w:eastAsia="宋体" w:cs="宋体"/>
          <w:snapToGrid/>
          <w:color w:val="0000FF"/>
          <w:spacing w:val="0"/>
          <w:kern w:val="2"/>
          <w:sz w:val="28"/>
          <w:szCs w:val="28"/>
          <w:highlight w:val="none"/>
          <w:u w:val="none"/>
          <w:lang w:val="en-US" w:eastAsia="zh-CN" w:bidi="ar-SA"/>
        </w:rPr>
        <w:t>②</w:t>
      </w:r>
      <w:r>
        <w:rPr>
          <w:rFonts w:hint="eastAsia" w:ascii="宋体" w:hAnsi="宋体" w:eastAsia="宋体" w:cs="宋体"/>
          <w:snapToGrid/>
          <w:color w:val="0000FF"/>
          <w:spacing w:val="0"/>
          <w:kern w:val="2"/>
          <w:sz w:val="28"/>
          <w:szCs w:val="28"/>
          <w:highlight w:val="none"/>
          <w:u w:val="none"/>
          <w:lang w:val="en-US" w:eastAsia="zh-CN" w:bidi="ar-SA"/>
        </w:rPr>
        <w:t>救援人员防护。必须佩戴正压式呼吸器、防酸碱服、护目镜及防化手套，严禁皮肤直接接触泄露物。</w:t>
      </w:r>
    </w:p>
    <w:p w14:paraId="65AECD0A">
      <w:pPr>
        <w:pStyle w:val="27"/>
        <w:rPr>
          <w:rFonts w:hint="eastAsia" w:ascii="宋体" w:hAnsi="宋体" w:eastAsia="宋体" w:cs="宋体"/>
          <w:snapToGrid/>
          <w:color w:val="0000FF"/>
          <w:spacing w:val="0"/>
          <w:kern w:val="2"/>
          <w:sz w:val="28"/>
          <w:szCs w:val="28"/>
          <w:highlight w:val="none"/>
          <w:u w:val="none"/>
          <w:lang w:val="en-US" w:eastAsia="zh-CN" w:bidi="ar-SA"/>
        </w:rPr>
      </w:pPr>
      <w:r>
        <w:rPr>
          <w:rFonts w:hint="default" w:ascii="宋体" w:hAnsi="宋体" w:eastAsia="宋体" w:cs="宋体"/>
          <w:snapToGrid/>
          <w:color w:val="0000FF"/>
          <w:spacing w:val="0"/>
          <w:kern w:val="2"/>
          <w:sz w:val="28"/>
          <w:szCs w:val="28"/>
          <w:highlight w:val="none"/>
          <w:u w:val="none"/>
          <w:lang w:val="en-US" w:eastAsia="zh-CN" w:bidi="ar-SA"/>
        </w:rPr>
        <w:t>③</w:t>
      </w:r>
      <w:r>
        <w:rPr>
          <w:rFonts w:hint="eastAsia" w:ascii="宋体" w:hAnsi="宋体" w:eastAsia="宋体" w:cs="宋体"/>
          <w:snapToGrid/>
          <w:color w:val="0000FF"/>
          <w:spacing w:val="0"/>
          <w:kern w:val="2"/>
          <w:sz w:val="28"/>
          <w:szCs w:val="28"/>
          <w:highlight w:val="none"/>
          <w:u w:val="none"/>
          <w:lang w:val="en-US" w:eastAsia="zh-CN" w:bidi="ar-SA"/>
        </w:rPr>
        <w:t>泄漏源控制。</w:t>
      </w:r>
    </w:p>
    <w:p w14:paraId="690A4874">
      <w:pPr>
        <w:pStyle w:val="27"/>
        <w:rPr>
          <w:rFonts w:hint="eastAsia" w:ascii="宋体" w:hAnsi="宋体" w:eastAsia="宋体" w:cs="宋体"/>
          <w:snapToGrid/>
          <w:color w:val="0000FF"/>
          <w:spacing w:val="0"/>
          <w:kern w:val="2"/>
          <w:sz w:val="28"/>
          <w:szCs w:val="28"/>
          <w:highlight w:val="none"/>
          <w:u w:val="none"/>
          <w:lang w:val="en-US" w:eastAsia="zh-CN" w:bidi="ar-SA"/>
        </w:rPr>
      </w:pPr>
      <w:r>
        <w:rPr>
          <w:rFonts w:hint="eastAsia" w:ascii="宋体" w:hAnsi="宋体" w:eastAsia="宋体" w:cs="宋体"/>
          <w:snapToGrid/>
          <w:color w:val="0000FF"/>
          <w:spacing w:val="0"/>
          <w:kern w:val="2"/>
          <w:sz w:val="28"/>
          <w:szCs w:val="28"/>
          <w:highlight w:val="none"/>
          <w:u w:val="none"/>
          <w:lang w:val="en-US" w:eastAsia="zh-CN" w:bidi="ar-SA"/>
        </w:rPr>
        <w:t>小量泄露：用砂土、干燥石灰或苏打灰混合吸附，禁止直接用水冲洗。</w:t>
      </w:r>
    </w:p>
    <w:p w14:paraId="6C1EB77F">
      <w:pPr>
        <w:pStyle w:val="27"/>
        <w:rPr>
          <w:rFonts w:hint="eastAsia" w:ascii="宋体" w:hAnsi="宋体" w:eastAsia="宋体" w:cs="宋体"/>
          <w:snapToGrid/>
          <w:color w:val="0000FF"/>
          <w:spacing w:val="0"/>
          <w:kern w:val="2"/>
          <w:sz w:val="28"/>
          <w:szCs w:val="28"/>
          <w:highlight w:val="none"/>
          <w:u w:val="none"/>
          <w:lang w:val="en-US" w:eastAsia="zh-CN" w:bidi="ar-SA"/>
        </w:rPr>
      </w:pPr>
      <w:r>
        <w:rPr>
          <w:rFonts w:hint="eastAsia" w:ascii="宋体" w:hAnsi="宋体" w:eastAsia="宋体" w:cs="宋体"/>
          <w:snapToGrid/>
          <w:color w:val="0000FF"/>
          <w:spacing w:val="0"/>
          <w:kern w:val="2"/>
          <w:sz w:val="28"/>
          <w:szCs w:val="28"/>
          <w:highlight w:val="none"/>
          <w:u w:val="none"/>
          <w:lang w:val="en-US" w:eastAsia="zh-CN" w:bidi="ar-SA"/>
        </w:rPr>
        <w:t>大量泄漏：立即关闭泄漏源上游阀门，通过输酸泵进行倒罐转移；构筑围堤，使用防爆泵转移至专用收集器；喷洒石灰石粉中和残留硝酸，确认中和反应完成后再用大量水稀释排放。</w:t>
      </w:r>
    </w:p>
    <w:p w14:paraId="4DE14F2A">
      <w:pPr>
        <w:pStyle w:val="27"/>
        <w:rPr>
          <w:rFonts w:hint="eastAsia" w:ascii="宋体" w:hAnsi="宋体" w:eastAsia="宋体" w:cs="宋体"/>
          <w:snapToGrid/>
          <w:color w:val="0000FF"/>
          <w:spacing w:val="0"/>
          <w:kern w:val="2"/>
          <w:sz w:val="28"/>
          <w:szCs w:val="28"/>
          <w:highlight w:val="none"/>
          <w:u w:val="none"/>
          <w:lang w:val="en-US" w:eastAsia="zh-CN" w:bidi="ar-SA"/>
        </w:rPr>
      </w:pPr>
      <w:r>
        <w:rPr>
          <w:rFonts w:hint="eastAsia" w:ascii="宋体" w:hAnsi="宋体" w:eastAsia="宋体" w:cs="宋体"/>
          <w:snapToGrid/>
          <w:color w:val="0000FF"/>
          <w:spacing w:val="0"/>
          <w:kern w:val="2"/>
          <w:sz w:val="28"/>
          <w:szCs w:val="28"/>
          <w:highlight w:val="none"/>
          <w:u w:val="none"/>
          <w:lang w:val="en-US" w:eastAsia="zh-CN" w:bidi="ar-SA"/>
        </w:rPr>
        <w:t>④环境处理与监测。泄露区域覆盖防雨膜并挖导流沟，防止雨水渗透污染地下水；实时监测周边空气、水质。</w:t>
      </w:r>
    </w:p>
    <w:p w14:paraId="01427700">
      <w:pPr>
        <w:pStyle w:val="27"/>
        <w:rPr>
          <w:rFonts w:hint="default" w:ascii="宋体" w:hAnsi="宋体" w:eastAsia="宋体" w:cs="宋体"/>
          <w:snapToGrid/>
          <w:color w:val="0000FF"/>
          <w:spacing w:val="0"/>
          <w:kern w:val="2"/>
          <w:sz w:val="28"/>
          <w:szCs w:val="28"/>
          <w:highlight w:val="none"/>
          <w:u w:val="none"/>
          <w:lang w:val="en-US" w:eastAsia="zh-CN" w:bidi="ar-SA"/>
        </w:rPr>
      </w:pPr>
      <w:r>
        <w:rPr>
          <w:rFonts w:hint="eastAsia" w:ascii="宋体" w:hAnsi="宋体" w:eastAsia="宋体" w:cs="宋体"/>
          <w:snapToGrid/>
          <w:color w:val="0000FF"/>
          <w:spacing w:val="0"/>
          <w:kern w:val="2"/>
          <w:sz w:val="28"/>
          <w:szCs w:val="28"/>
          <w:highlight w:val="none"/>
          <w:u w:val="none"/>
          <w:lang w:val="en-US" w:eastAsia="zh-CN" w:bidi="ar-SA"/>
        </w:rPr>
        <w:t>⑤</w:t>
      </w:r>
      <w:bookmarkStart w:id="49" w:name="_GoBack"/>
      <w:bookmarkEnd w:id="49"/>
      <w:r>
        <w:rPr>
          <w:rFonts w:hint="eastAsia" w:ascii="宋体" w:hAnsi="宋体" w:cs="宋体"/>
          <w:snapToGrid/>
          <w:color w:val="0000FF"/>
          <w:spacing w:val="0"/>
          <w:kern w:val="2"/>
          <w:sz w:val="28"/>
          <w:szCs w:val="28"/>
          <w:highlight w:val="none"/>
          <w:u w:val="none"/>
          <w:lang w:val="en-US" w:eastAsia="zh-CN" w:bidi="ar-SA"/>
        </w:rPr>
        <w:t>应急物资：呼吸器、防化服、安全警示带、防酸碱手套、防护眼罩、防毒面具、灭火器、防化靴等</w:t>
      </w:r>
    </w:p>
    <w:p w14:paraId="1DB9BC19">
      <w:pPr>
        <w:pStyle w:val="27"/>
        <w:outlineLvl w:val="2"/>
        <w:rPr>
          <w:rFonts w:hint="eastAsia" w:ascii="Times New Roman" w:hAnsi="Times New Roman" w:eastAsia="宋体" w:cs="Times New Roman"/>
          <w:b/>
          <w:bCs/>
          <w:snapToGrid/>
          <w:color w:val="0000FF"/>
          <w:spacing w:val="0"/>
          <w:kern w:val="2"/>
          <w:sz w:val="28"/>
          <w:szCs w:val="28"/>
          <w:highlight w:val="none"/>
          <w:u w:val="none"/>
          <w:lang w:val="en-US" w:eastAsia="zh-CN" w:bidi="ar-SA"/>
        </w:rPr>
      </w:pPr>
      <w:r>
        <w:rPr>
          <w:rFonts w:hint="eastAsia" w:ascii="Times New Roman" w:hAnsi="Times New Roman" w:eastAsia="宋体" w:cs="Times New Roman"/>
          <w:b/>
          <w:bCs/>
          <w:snapToGrid/>
          <w:color w:val="0000FF"/>
          <w:spacing w:val="0"/>
          <w:kern w:val="2"/>
          <w:sz w:val="28"/>
          <w:szCs w:val="28"/>
          <w:highlight w:val="none"/>
          <w:u w:val="none"/>
          <w:lang w:val="en-US" w:eastAsia="zh-CN" w:bidi="ar-SA"/>
        </w:rPr>
        <w:t>9.1.8与当地政府部门风险应急系统联动协调防范措施</w:t>
      </w:r>
    </w:p>
    <w:p w14:paraId="6F0B7988">
      <w:pPr>
        <w:pStyle w:val="27"/>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pPr>
      <w:r>
        <w:rPr>
          <w:rFonts w:hint="default" w:ascii="宋体" w:hAnsi="宋体" w:eastAsia="宋体" w:cs="宋体"/>
          <w:snapToGrid/>
          <w:color w:val="0000FF"/>
          <w:spacing w:val="0"/>
          <w:kern w:val="2"/>
          <w:sz w:val="28"/>
          <w:szCs w:val="28"/>
          <w:highlight w:val="none"/>
          <w:u w:val="none"/>
          <w:lang w:val="en-US" w:eastAsia="zh-CN" w:bidi="ar-SA"/>
        </w:rPr>
        <w:t>在危险区域均设置警报，当听到需要疏散人员的警报时，区域内的人员迅速、</w:t>
      </w: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有序地撤离危险区域，并到指定地点结合，从而避免人员伤亡。负责人在撤离前，利用最短的时间，关闭该领域内可能会引起更大事故的电源和管道阀门等。</w:t>
      </w:r>
    </w:p>
    <w:p w14:paraId="33D6DE16">
      <w:pPr>
        <w:pStyle w:val="27"/>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pP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（1）事故现场人员的撒离：人员自行撤离到上风口处，当班班长应组织本班人员有秩序地疏散，疏散顺序从最危险地段人员先开始，相互兼顾照应，并根据风向指明集合地点。人员在安全地点集合后</w:t>
      </w:r>
      <w:r>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t>，</w:t>
      </w: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由当班班组长负责清点本班人数</w:t>
      </w:r>
      <w:r>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t>，</w:t>
      </w: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班长清点人数后，向厂长或者值班长报告人员情况。发现缺员，应报告所缺员工的姓名和事故前所处位置等。</w:t>
      </w:r>
    </w:p>
    <w:p w14:paraId="10C19818">
      <w:pPr>
        <w:pStyle w:val="27"/>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pP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2）非事故现场人员紧急疏散：由事故单位负责报警，发出撤离命令，接命令后，当班负责人组织疏散，人员接通知后，自行撤离到上风口处。疏散顺序从最危险地段人员先开始，相互兼顾照应，并根据风向指明集合地点。人员在安全地点集合后，负责人清点人数后，向事故分部门负责人或者值班长报告人员情况。发现缺员，应报告所缺人员的姓名和事故前所处位置等。</w:t>
      </w:r>
    </w:p>
    <w:p w14:paraId="44E91A0C">
      <w:pPr>
        <w:pStyle w:val="27"/>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pP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（3）抢救人员在撤离前、撤离后的报告，负责抢险和救护的人员在接指挥部通知后</w:t>
      </w:r>
      <w:r>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t>，</w:t>
      </w: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立即带上救护和防护装备赶赴现场，等候调令</w:t>
      </w:r>
      <w:r>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t>，</w:t>
      </w: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听从指挥。由队长（或者组长）分工，分批进入事发点进行抢险或救护。在进入事故点前，队长必须向指挥部报告每批参加抢修</w:t>
      </w:r>
      <w:r>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t>（</w:t>
      </w: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或救护</w:t>
      </w:r>
      <w:r>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t>）</w:t>
      </w: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人员数量和名单并登记。抢修</w:t>
      </w:r>
      <w:r>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t>（</w:t>
      </w: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或救护</w:t>
      </w:r>
      <w:r>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t>）</w:t>
      </w: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队完成任务后，队长向指挥部报告任务执行情况以及抢险（或救护）人员安全状况，申请下达撤离命令，指挥部根据事故控制情况，必须做出撤离或继续抢险（或救护）的决定，向抢险（或救护）队下达命令。队长若接撤离命令后，带领抢险（或救护人员）撤离事故点至安全地带，清点人员，向指挥部报告。</w:t>
      </w:r>
    </w:p>
    <w:p w14:paraId="0C7E981E">
      <w:pPr>
        <w:pStyle w:val="27"/>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pP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（4）周边区域的单位、社区人员疏散的方式、方法</w:t>
      </w:r>
      <w:r>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t>：</w:t>
      </w:r>
      <w:r>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t>当事故危及周边单位，村庄时，由指挥部人员向政府以及周边单位书面发送警报。事态严重紧急时，通过指挥部直接联系政府以及周边单位负责人，由总指挥部亲自向政府或负责人发布消息，提出要求组织撤离疏散或者请求援助。在发布消息时，必须发布事态的缓急程度，提出撤离的具体方法和方式。撤离方式有步行和车辆运输两种。撇离方法中应明确应采取的预防措施、注意事项、撤离方向和撇离距离。撤离必须是有组织性的。</w:t>
      </w:r>
    </w:p>
    <w:p w14:paraId="025DF9A9">
      <w:pPr>
        <w:pStyle w:val="27"/>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pPr>
      <w:r>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t>（5）企业建立的应急预案必须与阜康市及园区应急预案相衔接。按照“企业自救、属地为主”的原则，一旦发生环境污染事件，企业可立即实行自救，采取一切措施控制事态发展，减少人员伤亡和财产损失，防止事态进一步扩大；同时及时上报阜康市应急指挥中心、安全生产监督管理局等相关单位，超出本企业应急处理能力时，将启动上一级预案，由地方政府部门动用社会应急救援力量，实行分级管理、分级响应和联动，充分发挥地方政府职能作用和各部门的专业优势，加强各部门的协同和合作，提高快速反应能力。必要时召集专家组进行分析、评估，提出处置建议，根据要求派遣人员赶赴现场进行抢险救助、医疗教护、卫生防疫、交通管制、现场监控、人员疏散、安全防护、社会动员等应急工作，并组成现场应急指挥部，指挥、协调应急行动。</w:t>
      </w:r>
    </w:p>
    <w:p w14:paraId="28968DC6">
      <w:pPr>
        <w:pStyle w:val="27"/>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pPr>
      <w:r>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t>（6）为及时了解和掌握建设项目在发生事故后主要的大气和水污染物对周边环境的影响状况，掌握其扩散运移以及分布规律，事故发生后，要尽快组织有资质的环境监测部门对事故现场及周围环境进行监测，对环境中的污染物质及时采样监测，以迅速了解事故性质、掌握危险类型、污染物浓度、危害程度，危害人数，从而为抢险，救援及防护防爆防扩散控制措施提供科学依据。</w:t>
      </w:r>
    </w:p>
    <w:p w14:paraId="71A4A035">
      <w:pPr>
        <w:pStyle w:val="27"/>
        <w:rPr>
          <w:rFonts w:hint="default" w:ascii="Times New Roman" w:hAnsi="Times New Roman" w:eastAsia="宋体" w:cs="Times New Roman"/>
          <w:b w:val="0"/>
          <w:bCs w:val="0"/>
          <w:snapToGrid/>
          <w:color w:val="0000FF"/>
          <w:spacing w:val="0"/>
          <w:kern w:val="2"/>
          <w:sz w:val="28"/>
          <w:szCs w:val="28"/>
          <w:highlight w:val="none"/>
          <w:u w:val="none"/>
          <w:lang w:val="en-US" w:eastAsia="zh-CN" w:bidi="ar-SA"/>
        </w:rPr>
      </w:pPr>
      <w:r>
        <w:rPr>
          <w:rFonts w:hint="eastAsia" w:ascii="Times New Roman" w:hAnsi="Times New Roman" w:eastAsia="宋体" w:cs="Times New Roman"/>
          <w:b w:val="0"/>
          <w:bCs w:val="0"/>
          <w:snapToGrid/>
          <w:color w:val="0000FF"/>
          <w:spacing w:val="0"/>
          <w:kern w:val="2"/>
          <w:sz w:val="28"/>
          <w:szCs w:val="28"/>
          <w:highlight w:val="none"/>
          <w:u w:val="none"/>
          <w:lang w:val="en-US" w:eastAsia="zh-CN" w:bidi="ar-SA"/>
        </w:rPr>
        <w:t>（7）事故抢险、救援、现场清理完成后要将事故原因，收援处理过程，监测结果等情况编辑成册建立档案并视情况向当地政府的主管部门，安监，公安、消防。交通，卫生、环保等部门汇报，并根据实践经验，组织专业部门对应急预案进行评估，并及时修订应急预案。</w:t>
      </w:r>
    </w:p>
    <w:p w14:paraId="7067FE17">
      <w:pPr>
        <w:ind w:left="0" w:leftChars="0" w:firstLine="0" w:firstLineChars="0"/>
        <w:outlineLvl w:val="1"/>
        <w:rPr>
          <w:rFonts w:hint="default" w:ascii="Times New Roman" w:hAnsi="Times New Roman" w:eastAsia="宋体" w:cs="Times New Roman"/>
          <w:color w:val="0000FF"/>
          <w:spacing w:val="0"/>
          <w:kern w:val="2"/>
          <w:sz w:val="28"/>
          <w:szCs w:val="28"/>
          <w:highlight w:val="none"/>
          <w:u w:val="none"/>
          <w:lang w:val="en-US" w:eastAsia="zh-CN" w:bidi="ar-SA"/>
        </w:rPr>
      </w:pPr>
      <w:bookmarkStart w:id="47" w:name="_Toc10625"/>
      <w:r>
        <w:rPr>
          <w:rFonts w:hint="eastAsia" w:ascii="Times New Roman" w:hAnsi="Times New Roman" w:eastAsia="宋体" w:cs="Times New Roman"/>
          <w:b/>
          <w:bCs/>
          <w:color w:val="0000FF"/>
          <w:spacing w:val="0"/>
          <w:kern w:val="2"/>
          <w:sz w:val="28"/>
          <w:szCs w:val="28"/>
          <w:highlight w:val="none"/>
          <w:u w:val="none"/>
          <w:lang w:val="en-US" w:eastAsia="zh-CN" w:bidi="ar-SA"/>
        </w:rPr>
        <w:t>9.2风险事故应急预案</w:t>
      </w:r>
      <w:bookmarkEnd w:id="47"/>
      <w:r>
        <w:rPr>
          <w:rFonts w:hint="eastAsia" w:ascii="Times New Roman" w:hAnsi="Times New Roman" w:eastAsia="宋体" w:cs="Times New Roman"/>
          <w:color w:val="0000FF"/>
          <w:spacing w:val="0"/>
          <w:kern w:val="2"/>
          <w:sz w:val="28"/>
          <w:szCs w:val="28"/>
          <w:highlight w:val="none"/>
          <w:u w:val="none"/>
          <w:lang w:val="en-US" w:eastAsia="zh-CN" w:bidi="ar-SA"/>
        </w:rPr>
        <w:t xml:space="preserve"> </w:t>
      </w:r>
    </w:p>
    <w:p w14:paraId="174803F1">
      <w:pPr>
        <w:rPr>
          <w:rFonts w:hint="default" w:ascii="Times New Roman" w:hAnsi="Times New Roman" w:eastAsia="宋体" w:cs="Times New Roman"/>
          <w:color w:val="0000FF"/>
          <w:spacing w:val="0"/>
          <w:kern w:val="2"/>
          <w:sz w:val="28"/>
          <w:szCs w:val="28"/>
          <w:highlight w:val="none"/>
          <w:u w:val="none"/>
          <w:lang w:val="en-US" w:eastAsia="zh-CN" w:bidi="ar-SA"/>
        </w:rPr>
      </w:pPr>
      <w:r>
        <w:rPr>
          <w:rFonts w:hint="eastAsia" w:ascii="Times New Roman" w:hAnsi="Times New Roman" w:eastAsia="宋体" w:cs="Times New Roman"/>
          <w:color w:val="0000FF"/>
          <w:spacing w:val="0"/>
          <w:kern w:val="2"/>
          <w:sz w:val="28"/>
          <w:szCs w:val="28"/>
          <w:highlight w:val="none"/>
          <w:u w:val="none"/>
          <w:lang w:val="en-US" w:eastAsia="zh-CN" w:bidi="ar-SA"/>
        </w:rPr>
        <w:t xml:space="preserve">新疆金象赛瑞化工科技有限公司为了预防突发环境污染事故，编制了《新疆金象赛瑞化工科技有限公司 突发环境事件应急预案》，成立了应急工作小组，并对突发环境事故安排了专门负责人。 </w:t>
      </w:r>
    </w:p>
    <w:p w14:paraId="2E12C8C3">
      <w:pPr>
        <w:rPr>
          <w:rFonts w:hint="default" w:ascii="Times New Roman" w:hAnsi="Times New Roman" w:eastAsia="宋体" w:cs="Times New Roman"/>
          <w:color w:val="0000FF"/>
          <w:spacing w:val="0"/>
          <w:kern w:val="2"/>
          <w:sz w:val="28"/>
          <w:szCs w:val="28"/>
          <w:highlight w:val="none"/>
          <w:u w:val="none"/>
          <w:lang w:val="en-US" w:eastAsia="zh-CN" w:bidi="ar-SA"/>
        </w:rPr>
      </w:pPr>
      <w:r>
        <w:rPr>
          <w:rFonts w:hint="eastAsia" w:ascii="Times New Roman" w:hAnsi="Times New Roman" w:eastAsia="宋体" w:cs="Times New Roman"/>
          <w:color w:val="0000FF"/>
          <w:spacing w:val="0"/>
          <w:kern w:val="2"/>
          <w:sz w:val="28"/>
          <w:szCs w:val="28"/>
          <w:highlight w:val="none"/>
          <w:u w:val="none"/>
          <w:lang w:val="en-US" w:eastAsia="zh-CN" w:bidi="ar-SA"/>
        </w:rPr>
        <w:t xml:space="preserve">环评要求新疆金象赛瑞化工科技有限公司将本项目内容纳入《新疆金象赛瑞化工科技有限公司突发环境事件应急预案》。 </w:t>
      </w:r>
    </w:p>
    <w:p w14:paraId="4633BBB6">
      <w:pPr>
        <w:rPr>
          <w:rFonts w:hint="default" w:ascii="Times New Roman" w:hAnsi="Times New Roman" w:eastAsia="宋体" w:cs="Times New Roman"/>
          <w:color w:val="0000FF"/>
          <w:spacing w:val="0"/>
          <w:kern w:val="2"/>
          <w:sz w:val="28"/>
          <w:szCs w:val="28"/>
          <w:highlight w:val="none"/>
          <w:u w:val="none"/>
          <w:lang w:val="en-US" w:eastAsia="zh-CN" w:bidi="ar-SA"/>
        </w:rPr>
      </w:pPr>
      <w:r>
        <w:rPr>
          <w:rFonts w:hint="eastAsia" w:ascii="Times New Roman" w:hAnsi="Times New Roman" w:eastAsia="宋体" w:cs="Times New Roman"/>
          <w:color w:val="0000FF"/>
          <w:spacing w:val="0"/>
          <w:kern w:val="2"/>
          <w:sz w:val="28"/>
          <w:szCs w:val="28"/>
          <w:highlight w:val="none"/>
          <w:u w:val="none"/>
          <w:lang w:val="en-US" w:eastAsia="zh-CN" w:bidi="ar-SA"/>
        </w:rPr>
        <w:t>当发生</w:t>
      </w:r>
      <w:r>
        <w:rPr>
          <w:rFonts w:hint="eastAsia" w:cs="Times New Roman"/>
          <w:color w:val="0000FF"/>
          <w:spacing w:val="0"/>
          <w:kern w:val="2"/>
          <w:sz w:val="28"/>
          <w:szCs w:val="28"/>
          <w:highlight w:val="none"/>
          <w:u w:val="none"/>
          <w:lang w:val="en-US" w:eastAsia="zh-CN" w:bidi="ar-SA"/>
        </w:rPr>
        <w:t>储罐</w:t>
      </w:r>
      <w:r>
        <w:rPr>
          <w:rFonts w:hint="eastAsia" w:ascii="Times New Roman" w:hAnsi="Times New Roman" w:eastAsia="宋体" w:cs="Times New Roman"/>
          <w:color w:val="0000FF"/>
          <w:spacing w:val="0"/>
          <w:kern w:val="2"/>
          <w:sz w:val="28"/>
          <w:szCs w:val="28"/>
          <w:highlight w:val="none"/>
          <w:u w:val="none"/>
          <w:lang w:val="en-US" w:eastAsia="zh-CN" w:bidi="ar-SA"/>
        </w:rPr>
        <w:t>泄露引发的火灾或爆炸事故时，采取应急措施以控制事故和减少对环境造成的影响。通过采取相关的风险防范措施，使本项目的环境风险降低到最小程度。本项目应急预案与园区应急联动。</w:t>
      </w:r>
    </w:p>
    <w:p w14:paraId="123433A6">
      <w:pPr>
        <w:rPr>
          <w:rFonts w:hint="eastAsia" w:ascii="Times New Roman" w:hAnsi="Times New Roman" w:eastAsia="宋体" w:cs="Times New Roman"/>
          <w:b/>
          <w:bCs/>
          <w:color w:val="auto"/>
          <w:spacing w:val="0"/>
          <w:kern w:val="2"/>
          <w:sz w:val="28"/>
          <w:szCs w:val="28"/>
          <w:highlight w:val="none"/>
          <w:u w:val="none"/>
          <w:lang w:val="en-US" w:eastAsia="zh-CN" w:bidi="ar-SA"/>
        </w:rPr>
      </w:pPr>
      <w:bookmarkStart w:id="48" w:name="_Toc29487"/>
      <w:r>
        <w:rPr>
          <w:rFonts w:hint="eastAsia" w:ascii="Times New Roman" w:hAnsi="Times New Roman" w:eastAsia="宋体" w:cs="Times New Roman"/>
          <w:b/>
          <w:bCs/>
          <w:color w:val="auto"/>
          <w:spacing w:val="0"/>
          <w:kern w:val="2"/>
          <w:sz w:val="28"/>
          <w:szCs w:val="28"/>
          <w:highlight w:val="none"/>
          <w:u w:val="none"/>
          <w:lang w:val="en-US" w:eastAsia="zh-CN" w:bidi="ar-SA"/>
        </w:rPr>
        <w:br w:type="page"/>
      </w:r>
    </w:p>
    <w:p w14:paraId="766690A5">
      <w:pPr>
        <w:keepNext w:val="0"/>
        <w:keepLines w:val="0"/>
        <w:widowControl/>
        <w:suppressLineNumbers w:val="0"/>
        <w:ind w:left="0" w:leftChars="0" w:firstLine="0" w:firstLineChars="0"/>
        <w:jc w:val="center"/>
        <w:outlineLvl w:val="0"/>
        <w:rPr>
          <w:rFonts w:hint="eastAsia" w:ascii="Times New Roman" w:hAnsi="Times New Roman" w:eastAsia="宋体" w:cs="Times New Roman"/>
          <w:b/>
          <w:bCs/>
          <w:color w:val="auto"/>
          <w:spacing w:val="0"/>
          <w:kern w:val="2"/>
          <w:sz w:val="28"/>
          <w:szCs w:val="28"/>
          <w:highlight w:val="none"/>
          <w:u w:val="none"/>
          <w:lang w:val="en-US" w:eastAsia="zh-CN" w:bidi="ar-SA"/>
        </w:rPr>
      </w:pPr>
      <w:r>
        <w:rPr>
          <w:rFonts w:hint="eastAsia" w:ascii="Times New Roman" w:hAnsi="Times New Roman" w:eastAsia="宋体" w:cs="Times New Roman"/>
          <w:b/>
          <w:bCs/>
          <w:color w:val="auto"/>
          <w:spacing w:val="0"/>
          <w:kern w:val="2"/>
          <w:sz w:val="28"/>
          <w:szCs w:val="28"/>
          <w:highlight w:val="none"/>
          <w:u w:val="none"/>
          <w:lang w:val="en-US" w:eastAsia="zh-CN" w:bidi="ar-SA"/>
        </w:rPr>
        <w:t>10.环境风险评价结论及建议</w:t>
      </w:r>
      <w:bookmarkEnd w:id="48"/>
    </w:p>
    <w:p w14:paraId="4C3EDD21">
      <w:pPr>
        <w:pStyle w:val="25"/>
        <w:ind w:firstLine="560" w:firstLineChars="200"/>
        <w:rPr>
          <w:rFonts w:hint="eastAsia" w:asci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（1）</w:t>
      </w:r>
      <w:r>
        <w:rPr>
          <w:rFonts w:hint="eastAsia" w:ascii="Times New Roman" w:eastAsia="宋体" w:cs="Times New Roman"/>
          <w:color w:val="auto"/>
          <w:spacing w:val="0"/>
          <w:kern w:val="2"/>
          <w:sz w:val="28"/>
          <w:szCs w:val="28"/>
          <w:highlight w:val="none"/>
          <w:u w:val="none"/>
          <w:lang w:val="en-US" w:eastAsia="zh-CN" w:bidi="ar-SA"/>
        </w:rPr>
        <w:t>项目危险因素</w:t>
      </w:r>
    </w:p>
    <w:p w14:paraId="26DF93E6">
      <w:pPr>
        <w:rPr>
          <w:rFonts w:hint="default" w:ascii="Times New Roman" w:hAnsi="Times New Roman" w:eastAsia="宋体" w:cs="Times New Roman"/>
          <w:color w:val="auto"/>
          <w:spacing w:val="0"/>
          <w:kern w:val="2"/>
          <w:sz w:val="28"/>
          <w:szCs w:val="28"/>
          <w:highlight w:val="none"/>
          <w:u w:val="none"/>
          <w:lang w:val="en-US" w:eastAsia="zh-CN" w:bidi="ar-SA"/>
        </w:rPr>
      </w:pPr>
      <w:r>
        <w:rPr>
          <w:rFonts w:hint="default" w:ascii="Times New Roman" w:hAnsi="Times New Roman" w:eastAsia="宋体" w:cs="Times New Roman"/>
          <w:color w:val="auto"/>
          <w:spacing w:val="0"/>
          <w:kern w:val="2"/>
          <w:sz w:val="28"/>
          <w:szCs w:val="28"/>
          <w:highlight w:val="none"/>
          <w:u w:val="none"/>
          <w:lang w:val="en-US" w:eastAsia="zh-CN" w:bidi="ar-SA"/>
        </w:rPr>
        <w:t>本项目所涉及的物料主要为</w:t>
      </w:r>
      <w:r>
        <w:rPr>
          <w:rFonts w:hint="eastAsia" w:eastAsia="宋体" w:cs="Times New Roman"/>
          <w:color w:val="auto"/>
          <w:spacing w:val="0"/>
          <w:kern w:val="2"/>
          <w:sz w:val="28"/>
          <w:szCs w:val="28"/>
          <w:highlight w:val="none"/>
          <w:u w:val="none"/>
          <w:lang w:val="en-US" w:eastAsia="zh-CN" w:bidi="ar-SA"/>
        </w:rPr>
        <w:t>硝酸</w:t>
      </w:r>
      <w:r>
        <w:rPr>
          <w:rFonts w:hint="default" w:ascii="Times New Roman" w:hAnsi="Times New Roman" w:eastAsia="宋体" w:cs="Times New Roman"/>
          <w:color w:val="auto"/>
          <w:spacing w:val="0"/>
          <w:kern w:val="2"/>
          <w:sz w:val="28"/>
          <w:szCs w:val="28"/>
          <w:highlight w:val="none"/>
          <w:u w:val="none"/>
          <w:lang w:val="en-US" w:eastAsia="zh-CN" w:bidi="ar-SA"/>
        </w:rPr>
        <w:t>，主要环境风险因素为储罐泄漏</w:t>
      </w:r>
      <w:r>
        <w:rPr>
          <w:rFonts w:hint="eastAsia" w:eastAsia="宋体" w:cs="Times New Roman"/>
          <w:color w:val="auto"/>
          <w:spacing w:val="0"/>
          <w:kern w:val="2"/>
          <w:sz w:val="28"/>
          <w:szCs w:val="28"/>
          <w:highlight w:val="none"/>
          <w:u w:val="none"/>
          <w:lang w:val="en-US" w:eastAsia="zh-CN" w:bidi="ar-SA"/>
        </w:rPr>
        <w:t>事故</w:t>
      </w:r>
      <w:r>
        <w:rPr>
          <w:rFonts w:hint="default" w:ascii="Times New Roman" w:hAnsi="Times New Roman" w:eastAsia="宋体" w:cs="Times New Roman"/>
          <w:color w:val="auto"/>
          <w:spacing w:val="0"/>
          <w:kern w:val="2"/>
          <w:sz w:val="28"/>
          <w:szCs w:val="28"/>
          <w:highlight w:val="none"/>
          <w:u w:val="none"/>
          <w:lang w:val="en-US" w:eastAsia="zh-CN" w:bidi="ar-SA"/>
        </w:rPr>
        <w:t>。</w:t>
      </w:r>
    </w:p>
    <w:p w14:paraId="226EEA56">
      <w:pPr>
        <w:rPr>
          <w:rFonts w:hint="eastAsia" w:eastAsia="宋体" w:cs="Times New Roman"/>
          <w:color w:val="auto"/>
          <w:spacing w:val="0"/>
          <w:kern w:val="2"/>
          <w:sz w:val="28"/>
          <w:szCs w:val="28"/>
          <w:highlight w:val="none"/>
          <w:u w:val="none"/>
          <w:lang w:val="en-US" w:eastAsia="zh-CN" w:bidi="ar-SA"/>
        </w:rPr>
      </w:pPr>
      <w:r>
        <w:rPr>
          <w:rFonts w:hint="eastAsia" w:eastAsia="宋体" w:cs="Times New Roman"/>
          <w:color w:val="auto"/>
          <w:spacing w:val="0"/>
          <w:kern w:val="2"/>
          <w:sz w:val="28"/>
          <w:szCs w:val="28"/>
          <w:highlight w:val="none"/>
          <w:u w:val="none"/>
          <w:lang w:val="en-US" w:eastAsia="zh-CN" w:bidi="ar-SA"/>
        </w:rPr>
        <w:t>（2）环境敏感性及事故环境影响</w:t>
      </w:r>
    </w:p>
    <w:p w14:paraId="35F89094">
      <w:pPr>
        <w:rPr>
          <w:rFonts w:hint="eastAsia" w:eastAsia="宋体" w:cs="Times New Roman"/>
          <w:color w:val="auto"/>
          <w:spacing w:val="0"/>
          <w:kern w:val="2"/>
          <w:sz w:val="28"/>
          <w:szCs w:val="28"/>
          <w:highlight w:val="none"/>
          <w:u w:val="none"/>
          <w:lang w:val="en-US" w:eastAsia="zh-CN" w:bidi="ar-SA"/>
        </w:rPr>
      </w:pPr>
      <w:r>
        <w:rPr>
          <w:rFonts w:hint="eastAsia" w:eastAsia="宋体" w:cs="Times New Roman"/>
          <w:color w:val="auto"/>
          <w:spacing w:val="0"/>
          <w:kern w:val="2"/>
          <w:sz w:val="28"/>
          <w:szCs w:val="28"/>
          <w:highlight w:val="none"/>
          <w:u w:val="none"/>
          <w:lang w:val="en-US" w:eastAsia="zh-CN" w:bidi="ar-SA"/>
        </w:rPr>
        <w:t>本项目事故情景设定为硝酸储罐泄露及泄露引发的火灾爆炸事故，当发生泄露时危害性较大。</w:t>
      </w:r>
    </w:p>
    <w:p w14:paraId="789C1C0A">
      <w:pPr>
        <w:rPr>
          <w:rFonts w:hint="default" w:eastAsia="宋体" w:cs="Times New Roman"/>
          <w:color w:val="auto"/>
          <w:spacing w:val="0"/>
          <w:kern w:val="2"/>
          <w:sz w:val="28"/>
          <w:szCs w:val="28"/>
          <w:highlight w:val="none"/>
          <w:u w:val="none"/>
          <w:lang w:val="en-US" w:eastAsia="zh-CN" w:bidi="ar-SA"/>
        </w:rPr>
      </w:pPr>
      <w:r>
        <w:rPr>
          <w:rFonts w:hint="default" w:eastAsia="宋体" w:cs="Times New Roman"/>
          <w:color w:val="auto"/>
          <w:spacing w:val="0"/>
          <w:kern w:val="2"/>
          <w:sz w:val="28"/>
          <w:szCs w:val="28"/>
          <w:highlight w:val="none"/>
          <w:u w:val="none"/>
          <w:lang w:val="en-US" w:eastAsia="zh-CN" w:bidi="ar-SA"/>
        </w:rPr>
        <w:t>建设单位制定完善《</w:t>
      </w:r>
      <w:r>
        <w:rPr>
          <w:rFonts w:hint="eastAsia" w:ascii="Times New Roman" w:hAnsi="Times New Roman" w:eastAsia="宋体" w:cs="Times New Roman"/>
          <w:color w:val="auto"/>
          <w:spacing w:val="0"/>
          <w:kern w:val="2"/>
          <w:sz w:val="28"/>
          <w:szCs w:val="28"/>
          <w:highlight w:val="none"/>
          <w:u w:val="none"/>
          <w:lang w:val="en-US" w:eastAsia="zh-CN" w:bidi="ar-SA"/>
        </w:rPr>
        <w:t>新疆金象赛瑞化工科技有限公司</w:t>
      </w:r>
      <w:r>
        <w:rPr>
          <w:rFonts w:hint="default" w:eastAsia="宋体" w:cs="Times New Roman"/>
          <w:color w:val="auto"/>
          <w:spacing w:val="0"/>
          <w:kern w:val="2"/>
          <w:sz w:val="28"/>
          <w:szCs w:val="28"/>
          <w:highlight w:val="none"/>
          <w:u w:val="none"/>
          <w:lang w:val="en-US" w:eastAsia="zh-CN" w:bidi="ar-SA"/>
        </w:rPr>
        <w:t>环境事件应急预案》，并与</w:t>
      </w:r>
      <w:r>
        <w:rPr>
          <w:rFonts w:hint="eastAsia" w:eastAsia="宋体" w:cs="Times New Roman"/>
          <w:color w:val="auto"/>
          <w:spacing w:val="0"/>
          <w:kern w:val="2"/>
          <w:sz w:val="28"/>
          <w:szCs w:val="28"/>
          <w:highlight w:val="none"/>
          <w:u w:val="none"/>
          <w:lang w:val="en-US" w:eastAsia="zh-CN" w:bidi="ar-SA"/>
        </w:rPr>
        <w:t>源强</w:t>
      </w:r>
      <w:r>
        <w:rPr>
          <w:rFonts w:hint="default" w:eastAsia="宋体" w:cs="Times New Roman"/>
          <w:color w:val="auto"/>
          <w:spacing w:val="0"/>
          <w:kern w:val="2"/>
          <w:sz w:val="28"/>
          <w:szCs w:val="28"/>
          <w:highlight w:val="none"/>
          <w:u w:val="none"/>
          <w:lang w:val="en-US" w:eastAsia="zh-CN" w:bidi="ar-SA"/>
        </w:rPr>
        <w:t>应急预案衔接。一旦发生事故，建设单位按照分级响应程序启动应急预案，做好应急监测和受影响群众的应急撤离工作。</w:t>
      </w:r>
    </w:p>
    <w:p w14:paraId="2FFE60A3">
      <w:pPr>
        <w:rPr>
          <w:rFonts w:hint="default" w:eastAsia="宋体" w:cs="Times New Roman"/>
          <w:color w:val="auto"/>
          <w:spacing w:val="0"/>
          <w:kern w:val="2"/>
          <w:sz w:val="28"/>
          <w:szCs w:val="28"/>
          <w:highlight w:val="none"/>
          <w:u w:val="none"/>
          <w:lang w:val="en-US" w:eastAsia="zh-CN" w:bidi="ar-SA"/>
        </w:rPr>
      </w:pPr>
      <w:r>
        <w:rPr>
          <w:rFonts w:hint="default" w:eastAsia="宋体" w:cs="Times New Roman"/>
          <w:color w:val="auto"/>
          <w:spacing w:val="0"/>
          <w:kern w:val="2"/>
          <w:sz w:val="28"/>
          <w:szCs w:val="28"/>
          <w:highlight w:val="none"/>
          <w:u w:val="none"/>
          <w:lang w:val="en-US" w:eastAsia="zh-CN" w:bidi="ar-SA"/>
        </w:rPr>
        <w:t>（3）环境风险防范措施和应急预案</w:t>
      </w:r>
    </w:p>
    <w:p w14:paraId="507D7739">
      <w:pPr>
        <w:rPr>
          <w:rFonts w:hint="default" w:eastAsia="宋体" w:cs="Times New Roman"/>
          <w:color w:val="auto"/>
          <w:spacing w:val="0"/>
          <w:kern w:val="2"/>
          <w:sz w:val="28"/>
          <w:szCs w:val="28"/>
          <w:highlight w:val="none"/>
          <w:u w:val="none"/>
          <w:lang w:val="en-US" w:eastAsia="zh-CN" w:bidi="ar-SA"/>
        </w:rPr>
      </w:pPr>
      <w:r>
        <w:rPr>
          <w:rFonts w:hint="default" w:eastAsia="宋体" w:cs="Times New Roman"/>
          <w:color w:val="auto"/>
          <w:spacing w:val="0"/>
          <w:kern w:val="2"/>
          <w:sz w:val="28"/>
          <w:szCs w:val="28"/>
          <w:highlight w:val="none"/>
          <w:u w:val="none"/>
          <w:lang w:val="en-US" w:eastAsia="zh-CN" w:bidi="ar-SA"/>
        </w:rPr>
        <w:t>本项目储罐四周安装泄漏报警装置，设置安全信号指示器、安装24 小时监控摄像头，设液位计，四周配备消防栓、灭火器等。一旦发生泄漏事故，应立即开启消防系统，阻止事故发生。</w:t>
      </w:r>
    </w:p>
    <w:p w14:paraId="2A8FA5C3">
      <w:pPr>
        <w:rPr>
          <w:rFonts w:hint="default" w:eastAsia="宋体" w:cs="Times New Roman"/>
          <w:color w:val="auto"/>
          <w:spacing w:val="0"/>
          <w:kern w:val="2"/>
          <w:sz w:val="28"/>
          <w:szCs w:val="28"/>
          <w:highlight w:val="none"/>
          <w:u w:val="none"/>
          <w:lang w:val="en-US" w:eastAsia="zh-CN" w:bidi="ar-SA"/>
        </w:rPr>
      </w:pPr>
      <w:r>
        <w:rPr>
          <w:rFonts w:hint="default" w:eastAsia="宋体" w:cs="Times New Roman"/>
          <w:color w:val="auto"/>
          <w:spacing w:val="0"/>
          <w:kern w:val="2"/>
          <w:sz w:val="28"/>
          <w:szCs w:val="28"/>
          <w:highlight w:val="none"/>
          <w:u w:val="none"/>
          <w:lang w:val="en-US" w:eastAsia="zh-CN" w:bidi="ar-SA"/>
        </w:rPr>
        <w:t>本项目</w:t>
      </w:r>
      <w:r>
        <w:rPr>
          <w:rFonts w:hint="eastAsia" w:eastAsia="宋体" w:cs="Times New Roman"/>
          <w:color w:val="auto"/>
          <w:spacing w:val="0"/>
          <w:kern w:val="2"/>
          <w:sz w:val="28"/>
          <w:szCs w:val="28"/>
          <w:highlight w:val="none"/>
          <w:u w:val="none"/>
          <w:lang w:val="en-US" w:eastAsia="zh-CN" w:bidi="ar-SA"/>
        </w:rPr>
        <w:t>硝酸储罐</w:t>
      </w:r>
      <w:r>
        <w:rPr>
          <w:rFonts w:hint="default" w:eastAsia="宋体" w:cs="Times New Roman"/>
          <w:color w:val="auto"/>
          <w:spacing w:val="0"/>
          <w:kern w:val="2"/>
          <w:sz w:val="28"/>
          <w:szCs w:val="28"/>
          <w:highlight w:val="none"/>
          <w:u w:val="none"/>
          <w:lang w:val="en-US" w:eastAsia="zh-CN" w:bidi="ar-SA"/>
        </w:rPr>
        <w:t>设有围堰、应急事故池、厂区建设应急防控系统。</w:t>
      </w:r>
    </w:p>
    <w:p w14:paraId="070B28B2">
      <w:pPr>
        <w:rPr>
          <w:rFonts w:hint="default" w:eastAsia="宋体" w:cs="Times New Roman"/>
          <w:color w:val="auto"/>
          <w:spacing w:val="0"/>
          <w:kern w:val="2"/>
          <w:sz w:val="28"/>
          <w:szCs w:val="28"/>
          <w:highlight w:val="none"/>
          <w:u w:val="none"/>
          <w:lang w:val="en-US" w:eastAsia="zh-CN" w:bidi="ar-SA"/>
        </w:rPr>
      </w:pPr>
      <w:r>
        <w:rPr>
          <w:rFonts w:hint="default" w:eastAsia="宋体" w:cs="Times New Roman"/>
          <w:color w:val="auto"/>
          <w:spacing w:val="0"/>
          <w:kern w:val="2"/>
          <w:sz w:val="28"/>
          <w:szCs w:val="28"/>
          <w:highlight w:val="none"/>
          <w:u w:val="none"/>
          <w:lang w:val="en-US" w:eastAsia="zh-CN" w:bidi="ar-SA"/>
        </w:rPr>
        <w:t>本项目厂内环境风险防控系统纳入区域环境风险防控体系，并与区域风险防控设施、管理的衔接，按分级响应要求及时启动区域环境风险防范措施，实现厂内与区域环境风险防控设施及管理有效联动，有效防控环境风险。</w:t>
      </w:r>
    </w:p>
    <w:p w14:paraId="6EFB453A">
      <w:pPr>
        <w:rPr>
          <w:rFonts w:hint="default" w:eastAsia="宋体" w:cs="Times New Roman"/>
          <w:color w:val="auto"/>
          <w:spacing w:val="0"/>
          <w:kern w:val="2"/>
          <w:sz w:val="28"/>
          <w:szCs w:val="28"/>
          <w:highlight w:val="none"/>
          <w:u w:val="none"/>
          <w:lang w:val="en-US" w:eastAsia="zh-CN" w:bidi="ar-SA"/>
        </w:rPr>
      </w:pPr>
      <w:r>
        <w:rPr>
          <w:rFonts w:hint="default" w:eastAsia="宋体" w:cs="Times New Roman"/>
          <w:color w:val="auto"/>
          <w:spacing w:val="0"/>
          <w:kern w:val="2"/>
          <w:sz w:val="28"/>
          <w:szCs w:val="28"/>
          <w:highlight w:val="none"/>
          <w:u w:val="none"/>
          <w:lang w:val="en-US" w:eastAsia="zh-CN" w:bidi="ar-SA"/>
        </w:rPr>
        <w:t>建设单位在项目设计、施工、建设和运行中，应严格执行国家有关规定，高度重视安全和事故防范，制定严格的管理制度，采取严密的防范和应急措施，以有效防范事故风险，缓释事故影响，把事故发生概率降到最低。</w:t>
      </w:r>
    </w:p>
    <w:p w14:paraId="0702CC3F">
      <w:pPr>
        <w:rPr>
          <w:rFonts w:hint="default" w:eastAsia="宋体" w:cs="Times New Roman"/>
          <w:color w:val="auto"/>
          <w:spacing w:val="0"/>
          <w:kern w:val="2"/>
          <w:sz w:val="28"/>
          <w:szCs w:val="28"/>
          <w:highlight w:val="none"/>
          <w:u w:val="none"/>
          <w:lang w:val="en-US" w:eastAsia="zh-CN" w:bidi="ar-SA"/>
        </w:rPr>
      </w:pPr>
      <w:r>
        <w:rPr>
          <w:rFonts w:hint="default" w:eastAsia="宋体" w:cs="Times New Roman"/>
          <w:color w:val="auto"/>
          <w:spacing w:val="0"/>
          <w:kern w:val="2"/>
          <w:sz w:val="28"/>
          <w:szCs w:val="28"/>
          <w:highlight w:val="none"/>
          <w:u w:val="none"/>
          <w:lang w:val="en-US" w:eastAsia="zh-CN" w:bidi="ar-SA"/>
        </w:rPr>
        <w:t>（4）环境风险评价结论与建议</w:t>
      </w:r>
    </w:p>
    <w:p w14:paraId="202AE00B">
      <w:pPr>
        <w:rPr>
          <w:rFonts w:hint="eastAsia"/>
          <w:lang w:val="en-US" w:eastAsia="zh-CN"/>
        </w:rPr>
      </w:pPr>
      <w:r>
        <w:rPr>
          <w:rFonts w:hint="default" w:eastAsia="宋体" w:cs="Times New Roman"/>
          <w:color w:val="auto"/>
          <w:spacing w:val="0"/>
          <w:kern w:val="2"/>
          <w:sz w:val="28"/>
          <w:szCs w:val="28"/>
          <w:highlight w:val="none"/>
          <w:u w:val="none"/>
          <w:lang w:val="en-US" w:eastAsia="zh-CN" w:bidi="ar-SA"/>
        </w:rPr>
        <w:t>本次评价制定了一系列的风险防范措施，可将事故风险概率和影响程度降至最低。通过采取有效的预防措施和已制定的应急救援预案，严格执行项目安全评价提出的安全对策措施，本项目的环境风险是可以防控的。</w:t>
      </w:r>
    </w:p>
    <w:p w14:paraId="4F4D80AA">
      <w:pPr>
        <w:pStyle w:val="30"/>
        <w:ind w:left="0" w:leftChars="0" w:firstLine="560" w:firstLineChars="200"/>
        <w:outlineLvl w:val="9"/>
        <w:rPr>
          <w:rFonts w:hint="eastAsia" w:ascii="Times New Roman" w:hAnsi="Times New Roman" w:eastAsia="宋体" w:cs="Times New Roman"/>
          <w:color w:val="auto"/>
          <w:spacing w:val="0"/>
          <w:kern w:val="2"/>
          <w:sz w:val="28"/>
          <w:szCs w:val="28"/>
          <w:highlight w:val="none"/>
          <w:u w:val="none"/>
          <w:lang w:val="en-US" w:eastAsia="zh-CN" w:bidi="ar-SA"/>
        </w:rPr>
      </w:pPr>
      <w:r>
        <w:rPr>
          <w:rFonts w:hint="eastAsia" w:ascii="Times New Roman" w:hAnsi="Times New Roman" w:eastAsia="宋体" w:cs="Times New Roman"/>
          <w:color w:val="auto"/>
          <w:spacing w:val="0"/>
          <w:kern w:val="2"/>
          <w:sz w:val="28"/>
          <w:szCs w:val="28"/>
          <w:highlight w:val="none"/>
          <w:u w:val="none"/>
          <w:lang w:val="en-US" w:eastAsia="zh-CN" w:bidi="ar-SA"/>
        </w:rPr>
        <w:t>建设项目环境风险自查表见表10-1。</w:t>
      </w:r>
    </w:p>
    <w:p w14:paraId="7C2A2EE2">
      <w:pPr>
        <w:pStyle w:val="61"/>
        <w:ind w:firstLine="0" w:firstLineChars="0"/>
        <w:jc w:val="center"/>
        <w:rPr>
          <w:rFonts w:ascii="Times New Roman" w:hAnsi="Times New Roman" w:eastAsia="宋体"/>
          <w:color w:val="0000FF"/>
        </w:rPr>
      </w:pPr>
      <w:r>
        <w:rPr>
          <w:rFonts w:ascii="Times New Roman" w:hAnsi="Times New Roman" w:eastAsia="宋体"/>
          <w:color w:val="0000FF"/>
        </w:rPr>
        <w:t>表</w:t>
      </w:r>
      <w:r>
        <w:rPr>
          <w:rFonts w:hint="eastAsia" w:ascii="Times New Roman" w:hAnsi="Times New Roman" w:eastAsia="宋体"/>
          <w:color w:val="0000FF"/>
        </w:rPr>
        <w:t>1</w:t>
      </w:r>
      <w:r>
        <w:rPr>
          <w:rFonts w:hint="eastAsia" w:ascii="Times New Roman" w:hAnsi="Times New Roman" w:eastAsia="宋体"/>
          <w:color w:val="0000FF"/>
          <w:lang w:val="en-US" w:eastAsia="zh-CN"/>
        </w:rPr>
        <w:t>0-1</w:t>
      </w:r>
      <w:r>
        <w:rPr>
          <w:rFonts w:ascii="Times New Roman" w:hAnsi="Times New Roman" w:eastAsia="宋体"/>
          <w:color w:val="0000FF"/>
        </w:rPr>
        <w:t xml:space="preserve">     建设项目环境风险自查表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4"/>
        <w:gridCol w:w="966"/>
        <w:gridCol w:w="1012"/>
        <w:gridCol w:w="645"/>
        <w:gridCol w:w="1001"/>
        <w:gridCol w:w="743"/>
        <w:gridCol w:w="547"/>
        <w:gridCol w:w="888"/>
        <w:gridCol w:w="306"/>
        <w:gridCol w:w="248"/>
        <w:gridCol w:w="1757"/>
      </w:tblGrid>
      <w:tr w14:paraId="54E5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600" w:type="dxa"/>
            <w:gridSpan w:val="2"/>
            <w:noWrap w:val="0"/>
            <w:vAlign w:val="center"/>
          </w:tcPr>
          <w:p w14:paraId="6AECACBB">
            <w:pPr>
              <w:pStyle w:val="62"/>
              <w:spacing w:line="280" w:lineRule="exact"/>
              <w:ind w:firstLineChars="0"/>
              <w:rPr>
                <w:rFonts w:ascii="Times New Roman" w:hAnsi="Times New Roman"/>
                <w:color w:val="0000FF"/>
                <w:szCs w:val="21"/>
              </w:rPr>
            </w:pPr>
            <w:r>
              <w:rPr>
                <w:rFonts w:ascii="Times New Roman" w:hAnsi="Times New Roman"/>
                <w:color w:val="0000FF"/>
                <w:szCs w:val="21"/>
              </w:rPr>
              <w:t>工作内容</w:t>
            </w:r>
          </w:p>
        </w:tc>
        <w:tc>
          <w:tcPr>
            <w:tcW w:w="7147" w:type="dxa"/>
            <w:gridSpan w:val="9"/>
            <w:noWrap w:val="0"/>
            <w:vAlign w:val="center"/>
          </w:tcPr>
          <w:p w14:paraId="0157F2B4">
            <w:pPr>
              <w:pStyle w:val="62"/>
              <w:spacing w:line="280" w:lineRule="exact"/>
              <w:ind w:firstLineChars="0"/>
              <w:rPr>
                <w:rFonts w:ascii="Times New Roman" w:hAnsi="Times New Roman"/>
                <w:color w:val="0000FF"/>
                <w:szCs w:val="21"/>
              </w:rPr>
            </w:pPr>
            <w:r>
              <w:rPr>
                <w:rFonts w:ascii="Times New Roman" w:hAnsi="Times New Roman"/>
                <w:color w:val="0000FF"/>
                <w:szCs w:val="21"/>
              </w:rPr>
              <w:t>完成情况</w:t>
            </w:r>
          </w:p>
        </w:tc>
      </w:tr>
      <w:tr w14:paraId="3AE1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restart"/>
            <w:noWrap w:val="0"/>
            <w:vAlign w:val="center"/>
          </w:tcPr>
          <w:p w14:paraId="2792DF4D">
            <w:pPr>
              <w:pStyle w:val="62"/>
              <w:spacing w:line="280" w:lineRule="exact"/>
              <w:ind w:firstLineChars="0"/>
              <w:rPr>
                <w:rFonts w:ascii="Times New Roman" w:hAnsi="Times New Roman"/>
                <w:color w:val="0000FF"/>
                <w:szCs w:val="21"/>
              </w:rPr>
            </w:pPr>
            <w:r>
              <w:rPr>
                <w:rFonts w:ascii="Times New Roman" w:hAnsi="Times New Roman"/>
                <w:color w:val="0000FF"/>
                <w:szCs w:val="21"/>
              </w:rPr>
              <w:t>风险调查</w:t>
            </w:r>
          </w:p>
        </w:tc>
        <w:tc>
          <w:tcPr>
            <w:tcW w:w="966" w:type="dxa"/>
            <w:vMerge w:val="restart"/>
            <w:noWrap w:val="0"/>
            <w:vAlign w:val="center"/>
          </w:tcPr>
          <w:p w14:paraId="11B30D7E">
            <w:pPr>
              <w:pStyle w:val="62"/>
              <w:spacing w:line="280" w:lineRule="exact"/>
              <w:ind w:firstLineChars="0"/>
              <w:rPr>
                <w:rFonts w:ascii="Times New Roman" w:hAnsi="Times New Roman"/>
                <w:color w:val="0000FF"/>
                <w:szCs w:val="21"/>
              </w:rPr>
            </w:pPr>
            <w:r>
              <w:rPr>
                <w:rFonts w:ascii="Times New Roman" w:hAnsi="Times New Roman"/>
                <w:color w:val="0000FF"/>
                <w:szCs w:val="21"/>
              </w:rPr>
              <w:t>危险物质</w:t>
            </w:r>
          </w:p>
        </w:tc>
        <w:tc>
          <w:tcPr>
            <w:tcW w:w="1012" w:type="dxa"/>
            <w:noWrap w:val="0"/>
            <w:vAlign w:val="center"/>
          </w:tcPr>
          <w:p w14:paraId="5F9157E6">
            <w:pPr>
              <w:pStyle w:val="62"/>
              <w:spacing w:line="280" w:lineRule="exact"/>
              <w:ind w:firstLineChars="0"/>
              <w:rPr>
                <w:rFonts w:ascii="Times New Roman" w:hAnsi="Times New Roman"/>
                <w:color w:val="0000FF"/>
                <w:szCs w:val="21"/>
              </w:rPr>
            </w:pPr>
            <w:r>
              <w:rPr>
                <w:rFonts w:ascii="Times New Roman" w:hAnsi="Times New Roman"/>
                <w:color w:val="0000FF"/>
                <w:szCs w:val="21"/>
              </w:rPr>
              <w:t>名称</w:t>
            </w:r>
          </w:p>
        </w:tc>
        <w:tc>
          <w:tcPr>
            <w:tcW w:w="6135" w:type="dxa"/>
            <w:gridSpan w:val="8"/>
            <w:noWrap w:val="0"/>
            <w:vAlign w:val="center"/>
          </w:tcPr>
          <w:p w14:paraId="1EC7D6E3">
            <w:pPr>
              <w:pStyle w:val="62"/>
              <w:spacing w:line="280" w:lineRule="exact"/>
              <w:ind w:firstLineChars="0"/>
              <w:rPr>
                <w:rFonts w:hint="eastAsia" w:ascii="Times New Roman" w:hAnsi="Times New Roman" w:eastAsia="宋体"/>
                <w:color w:val="0000FF"/>
                <w:szCs w:val="21"/>
                <w:lang w:eastAsia="zh-CN"/>
              </w:rPr>
            </w:pPr>
            <w:r>
              <w:rPr>
                <w:rFonts w:hint="eastAsia" w:ascii="Times New Roman" w:hAnsi="Times New Roman"/>
                <w:color w:val="0000FF"/>
                <w:szCs w:val="21"/>
                <w:lang w:val="en-US" w:eastAsia="zh-CN"/>
              </w:rPr>
              <w:t>58</w:t>
            </w:r>
            <w:r>
              <w:rPr>
                <w:rFonts w:hint="eastAsia" w:ascii="Times New Roman" w:hAnsi="Times New Roman"/>
                <w:color w:val="0000FF"/>
                <w:szCs w:val="21"/>
              </w:rPr>
              <w:t>%</w:t>
            </w:r>
            <w:r>
              <w:rPr>
                <w:rFonts w:hint="eastAsia" w:ascii="Times New Roman" w:hAnsi="Times New Roman"/>
                <w:color w:val="0000FF"/>
                <w:szCs w:val="21"/>
                <w:lang w:eastAsia="zh-CN"/>
              </w:rPr>
              <w:t>硝酸</w:t>
            </w:r>
          </w:p>
        </w:tc>
      </w:tr>
      <w:tr w14:paraId="0F42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4FD2845A">
            <w:pPr>
              <w:pStyle w:val="62"/>
              <w:spacing w:line="280" w:lineRule="exact"/>
              <w:ind w:firstLineChars="0"/>
              <w:rPr>
                <w:rFonts w:ascii="Times New Roman" w:hAnsi="Times New Roman"/>
                <w:color w:val="0000FF"/>
                <w:szCs w:val="21"/>
              </w:rPr>
            </w:pPr>
          </w:p>
        </w:tc>
        <w:tc>
          <w:tcPr>
            <w:tcW w:w="966" w:type="dxa"/>
            <w:vMerge w:val="continue"/>
            <w:noWrap w:val="0"/>
            <w:vAlign w:val="center"/>
          </w:tcPr>
          <w:p w14:paraId="4F4A8711">
            <w:pPr>
              <w:pStyle w:val="62"/>
              <w:spacing w:line="280" w:lineRule="exact"/>
              <w:ind w:firstLineChars="0"/>
              <w:rPr>
                <w:rFonts w:ascii="Times New Roman" w:hAnsi="Times New Roman"/>
                <w:color w:val="0000FF"/>
                <w:szCs w:val="21"/>
              </w:rPr>
            </w:pPr>
          </w:p>
        </w:tc>
        <w:tc>
          <w:tcPr>
            <w:tcW w:w="1012" w:type="dxa"/>
            <w:noWrap w:val="0"/>
            <w:vAlign w:val="center"/>
          </w:tcPr>
          <w:p w14:paraId="7F5A12ED">
            <w:pPr>
              <w:pStyle w:val="62"/>
              <w:spacing w:line="280" w:lineRule="exact"/>
              <w:ind w:firstLineChars="0"/>
              <w:rPr>
                <w:rFonts w:ascii="Times New Roman" w:hAnsi="Times New Roman"/>
                <w:color w:val="0000FF"/>
                <w:szCs w:val="21"/>
              </w:rPr>
            </w:pPr>
            <w:r>
              <w:rPr>
                <w:rFonts w:ascii="Times New Roman" w:hAnsi="Times New Roman"/>
                <w:color w:val="0000FF"/>
                <w:szCs w:val="21"/>
              </w:rPr>
              <w:t>存在总量/t</w:t>
            </w:r>
          </w:p>
        </w:tc>
        <w:tc>
          <w:tcPr>
            <w:tcW w:w="6135" w:type="dxa"/>
            <w:gridSpan w:val="8"/>
            <w:noWrap w:val="0"/>
            <w:vAlign w:val="center"/>
          </w:tcPr>
          <w:p w14:paraId="56059009">
            <w:pPr>
              <w:pStyle w:val="62"/>
              <w:spacing w:line="280" w:lineRule="exact"/>
              <w:ind w:firstLineChars="0"/>
              <w:rPr>
                <w:rFonts w:ascii="Times New Roman" w:hAnsi="Times New Roman"/>
                <w:color w:val="0000FF"/>
                <w:szCs w:val="21"/>
              </w:rPr>
            </w:pPr>
            <w:r>
              <w:rPr>
                <w:rFonts w:hint="eastAsia" w:ascii="Times New Roman" w:hAnsi="Times New Roman"/>
                <w:color w:val="0000FF"/>
                <w:szCs w:val="21"/>
              </w:rPr>
              <w:t>6152</w:t>
            </w:r>
          </w:p>
        </w:tc>
      </w:tr>
      <w:tr w14:paraId="47C0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7813DFDA">
            <w:pPr>
              <w:pStyle w:val="62"/>
              <w:spacing w:line="280" w:lineRule="exact"/>
              <w:ind w:firstLineChars="0"/>
              <w:rPr>
                <w:rFonts w:ascii="Times New Roman" w:hAnsi="Times New Roman"/>
                <w:color w:val="0000FF"/>
                <w:szCs w:val="21"/>
              </w:rPr>
            </w:pPr>
          </w:p>
        </w:tc>
        <w:tc>
          <w:tcPr>
            <w:tcW w:w="966" w:type="dxa"/>
            <w:vMerge w:val="restart"/>
            <w:noWrap w:val="0"/>
            <w:vAlign w:val="center"/>
          </w:tcPr>
          <w:p w14:paraId="0A1B5285">
            <w:pPr>
              <w:pStyle w:val="62"/>
              <w:spacing w:line="280" w:lineRule="exact"/>
              <w:ind w:firstLineChars="0"/>
              <w:rPr>
                <w:rFonts w:ascii="Times New Roman" w:hAnsi="Times New Roman"/>
                <w:color w:val="0000FF"/>
                <w:szCs w:val="21"/>
              </w:rPr>
            </w:pPr>
            <w:r>
              <w:rPr>
                <w:rFonts w:ascii="Times New Roman" w:hAnsi="Times New Roman"/>
                <w:color w:val="0000FF"/>
                <w:szCs w:val="21"/>
              </w:rPr>
              <w:t>环境敏感性</w:t>
            </w:r>
          </w:p>
        </w:tc>
        <w:tc>
          <w:tcPr>
            <w:tcW w:w="1012" w:type="dxa"/>
            <w:vMerge w:val="restart"/>
            <w:noWrap w:val="0"/>
            <w:vAlign w:val="center"/>
          </w:tcPr>
          <w:p w14:paraId="35F5F135">
            <w:pPr>
              <w:pStyle w:val="62"/>
              <w:spacing w:line="280" w:lineRule="exact"/>
              <w:ind w:firstLineChars="0"/>
              <w:rPr>
                <w:rFonts w:ascii="Times New Roman" w:hAnsi="Times New Roman"/>
                <w:color w:val="0000FF"/>
                <w:szCs w:val="21"/>
              </w:rPr>
            </w:pPr>
            <w:r>
              <w:rPr>
                <w:rFonts w:ascii="Times New Roman" w:hAnsi="Times New Roman"/>
                <w:color w:val="0000FF"/>
                <w:szCs w:val="21"/>
              </w:rPr>
              <w:t>大气</w:t>
            </w:r>
          </w:p>
        </w:tc>
        <w:tc>
          <w:tcPr>
            <w:tcW w:w="2936" w:type="dxa"/>
            <w:gridSpan w:val="4"/>
            <w:noWrap w:val="0"/>
            <w:vAlign w:val="center"/>
          </w:tcPr>
          <w:p w14:paraId="33684C51">
            <w:pPr>
              <w:pStyle w:val="62"/>
              <w:spacing w:line="280" w:lineRule="exact"/>
              <w:ind w:firstLineChars="0"/>
              <w:rPr>
                <w:rFonts w:ascii="Times New Roman" w:hAnsi="Times New Roman"/>
                <w:color w:val="0000FF"/>
                <w:szCs w:val="21"/>
              </w:rPr>
            </w:pPr>
            <w:r>
              <w:rPr>
                <w:rFonts w:ascii="Times New Roman" w:hAnsi="Times New Roman"/>
                <w:color w:val="0000FF"/>
                <w:szCs w:val="21"/>
              </w:rPr>
              <w:t xml:space="preserve">500m范围内人口数 </w:t>
            </w:r>
            <w:r>
              <w:rPr>
                <w:rFonts w:ascii="Times New Roman" w:hAnsi="Times New Roman"/>
                <w:color w:val="0000FF"/>
                <w:szCs w:val="21"/>
                <w:u w:val="single"/>
              </w:rPr>
              <w:t xml:space="preserve">0  </w:t>
            </w:r>
            <w:r>
              <w:rPr>
                <w:rFonts w:ascii="Times New Roman" w:hAnsi="Times New Roman"/>
                <w:color w:val="0000FF"/>
                <w:szCs w:val="21"/>
              </w:rPr>
              <w:t>人</w:t>
            </w:r>
          </w:p>
        </w:tc>
        <w:tc>
          <w:tcPr>
            <w:tcW w:w="3199" w:type="dxa"/>
            <w:gridSpan w:val="4"/>
            <w:noWrap w:val="0"/>
            <w:vAlign w:val="center"/>
          </w:tcPr>
          <w:p w14:paraId="07B0F8A1">
            <w:pPr>
              <w:pStyle w:val="62"/>
              <w:spacing w:line="280" w:lineRule="exact"/>
              <w:ind w:firstLineChars="0"/>
              <w:rPr>
                <w:rFonts w:ascii="Times New Roman" w:hAnsi="Times New Roman"/>
                <w:color w:val="0000FF"/>
                <w:szCs w:val="21"/>
              </w:rPr>
            </w:pPr>
            <w:r>
              <w:rPr>
                <w:rFonts w:ascii="Times New Roman" w:hAnsi="Times New Roman"/>
                <w:color w:val="0000FF"/>
                <w:szCs w:val="21"/>
              </w:rPr>
              <w:t>5km范围内人口数</w:t>
            </w:r>
            <w:r>
              <w:rPr>
                <w:rFonts w:ascii="Times New Roman" w:hAnsi="Times New Roman"/>
                <w:color w:val="0000FF"/>
                <w:szCs w:val="21"/>
                <w:u w:val="single"/>
              </w:rPr>
              <w:t xml:space="preserve"> </w:t>
            </w:r>
            <w:r>
              <w:rPr>
                <w:rFonts w:hint="eastAsia" w:ascii="Times New Roman" w:hAnsi="Times New Roman"/>
                <w:color w:val="0000FF"/>
                <w:szCs w:val="21"/>
                <w:u w:val="single"/>
              </w:rPr>
              <w:t xml:space="preserve">2600 </w:t>
            </w:r>
            <w:r>
              <w:rPr>
                <w:rFonts w:ascii="Times New Roman" w:hAnsi="Times New Roman"/>
                <w:color w:val="0000FF"/>
                <w:szCs w:val="21"/>
              </w:rPr>
              <w:t>人</w:t>
            </w:r>
          </w:p>
        </w:tc>
      </w:tr>
      <w:tr w14:paraId="658EE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7A1C9A36">
            <w:pPr>
              <w:pStyle w:val="62"/>
              <w:spacing w:line="280" w:lineRule="exact"/>
              <w:ind w:firstLineChars="0"/>
              <w:rPr>
                <w:rFonts w:ascii="Times New Roman" w:hAnsi="Times New Roman"/>
                <w:color w:val="0000FF"/>
                <w:szCs w:val="21"/>
              </w:rPr>
            </w:pPr>
          </w:p>
        </w:tc>
        <w:tc>
          <w:tcPr>
            <w:tcW w:w="966" w:type="dxa"/>
            <w:vMerge w:val="continue"/>
            <w:noWrap w:val="0"/>
            <w:vAlign w:val="center"/>
          </w:tcPr>
          <w:p w14:paraId="4AF96845">
            <w:pPr>
              <w:pStyle w:val="62"/>
              <w:spacing w:line="280" w:lineRule="exact"/>
              <w:ind w:firstLineChars="0"/>
              <w:rPr>
                <w:rFonts w:ascii="Times New Roman" w:hAnsi="Times New Roman"/>
                <w:color w:val="0000FF"/>
                <w:szCs w:val="21"/>
              </w:rPr>
            </w:pPr>
          </w:p>
        </w:tc>
        <w:tc>
          <w:tcPr>
            <w:tcW w:w="1012" w:type="dxa"/>
            <w:vMerge w:val="continue"/>
            <w:noWrap w:val="0"/>
            <w:vAlign w:val="center"/>
          </w:tcPr>
          <w:p w14:paraId="0864E6B4">
            <w:pPr>
              <w:pStyle w:val="62"/>
              <w:spacing w:line="280" w:lineRule="exact"/>
              <w:ind w:firstLineChars="0"/>
              <w:rPr>
                <w:rFonts w:ascii="Times New Roman" w:hAnsi="Times New Roman"/>
                <w:color w:val="0000FF"/>
                <w:szCs w:val="21"/>
              </w:rPr>
            </w:pPr>
          </w:p>
        </w:tc>
        <w:tc>
          <w:tcPr>
            <w:tcW w:w="4378" w:type="dxa"/>
            <w:gridSpan w:val="7"/>
            <w:noWrap w:val="0"/>
            <w:vAlign w:val="center"/>
          </w:tcPr>
          <w:p w14:paraId="506668CA">
            <w:pPr>
              <w:pStyle w:val="62"/>
              <w:spacing w:line="280" w:lineRule="exact"/>
              <w:ind w:firstLineChars="0"/>
              <w:rPr>
                <w:rFonts w:ascii="Times New Roman" w:hAnsi="Times New Roman"/>
                <w:color w:val="0000FF"/>
                <w:szCs w:val="21"/>
              </w:rPr>
            </w:pPr>
            <w:r>
              <w:rPr>
                <w:rFonts w:ascii="Times New Roman" w:hAnsi="Times New Roman"/>
                <w:color w:val="0000FF"/>
                <w:szCs w:val="21"/>
              </w:rPr>
              <w:t>每公里管段周边200m范围内人口数（最大）</w:t>
            </w:r>
          </w:p>
        </w:tc>
        <w:tc>
          <w:tcPr>
            <w:tcW w:w="1757" w:type="dxa"/>
            <w:noWrap w:val="0"/>
            <w:vAlign w:val="center"/>
          </w:tcPr>
          <w:p w14:paraId="04983D08">
            <w:pPr>
              <w:pStyle w:val="62"/>
              <w:spacing w:line="280" w:lineRule="exact"/>
              <w:ind w:firstLineChars="0"/>
              <w:rPr>
                <w:rFonts w:ascii="Times New Roman" w:hAnsi="Times New Roman"/>
                <w:color w:val="0000FF"/>
                <w:szCs w:val="21"/>
              </w:rPr>
            </w:pPr>
            <w:r>
              <w:rPr>
                <w:rFonts w:ascii="Times New Roman" w:hAnsi="Times New Roman"/>
                <w:color w:val="0000FF"/>
                <w:szCs w:val="21"/>
              </w:rPr>
              <w:t>人</w:t>
            </w:r>
          </w:p>
        </w:tc>
      </w:tr>
      <w:tr w14:paraId="583C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211A7873">
            <w:pPr>
              <w:pStyle w:val="62"/>
              <w:spacing w:line="280" w:lineRule="exact"/>
              <w:ind w:firstLineChars="0"/>
              <w:rPr>
                <w:rFonts w:ascii="Times New Roman" w:hAnsi="Times New Roman"/>
                <w:color w:val="0000FF"/>
                <w:szCs w:val="21"/>
              </w:rPr>
            </w:pPr>
          </w:p>
        </w:tc>
        <w:tc>
          <w:tcPr>
            <w:tcW w:w="966" w:type="dxa"/>
            <w:vMerge w:val="continue"/>
            <w:noWrap w:val="0"/>
            <w:vAlign w:val="center"/>
          </w:tcPr>
          <w:p w14:paraId="48F10C6A">
            <w:pPr>
              <w:pStyle w:val="62"/>
              <w:spacing w:line="280" w:lineRule="exact"/>
              <w:ind w:firstLineChars="0"/>
              <w:rPr>
                <w:rFonts w:ascii="Times New Roman" w:hAnsi="Times New Roman"/>
                <w:color w:val="0000FF"/>
                <w:szCs w:val="21"/>
              </w:rPr>
            </w:pPr>
          </w:p>
        </w:tc>
        <w:tc>
          <w:tcPr>
            <w:tcW w:w="1012" w:type="dxa"/>
            <w:vMerge w:val="restart"/>
            <w:noWrap w:val="0"/>
            <w:vAlign w:val="center"/>
          </w:tcPr>
          <w:p w14:paraId="7EC8BF87">
            <w:pPr>
              <w:pStyle w:val="62"/>
              <w:spacing w:line="280" w:lineRule="exact"/>
              <w:ind w:firstLineChars="0"/>
              <w:rPr>
                <w:rFonts w:ascii="Times New Roman" w:hAnsi="Times New Roman"/>
                <w:color w:val="0000FF"/>
                <w:szCs w:val="21"/>
              </w:rPr>
            </w:pPr>
            <w:r>
              <w:rPr>
                <w:rFonts w:ascii="Times New Roman" w:hAnsi="Times New Roman"/>
                <w:color w:val="0000FF"/>
                <w:szCs w:val="21"/>
              </w:rPr>
              <w:t>地表水</w:t>
            </w:r>
          </w:p>
        </w:tc>
        <w:tc>
          <w:tcPr>
            <w:tcW w:w="1646" w:type="dxa"/>
            <w:gridSpan w:val="2"/>
            <w:noWrap w:val="0"/>
            <w:vAlign w:val="center"/>
          </w:tcPr>
          <w:p w14:paraId="27E90B52">
            <w:pPr>
              <w:pStyle w:val="62"/>
              <w:spacing w:line="280" w:lineRule="exact"/>
              <w:ind w:firstLineChars="0"/>
              <w:rPr>
                <w:rFonts w:ascii="Times New Roman" w:hAnsi="Times New Roman"/>
                <w:color w:val="0000FF"/>
                <w:szCs w:val="21"/>
              </w:rPr>
            </w:pPr>
            <w:r>
              <w:rPr>
                <w:rFonts w:ascii="Times New Roman" w:hAnsi="Times New Roman"/>
                <w:color w:val="0000FF"/>
                <w:szCs w:val="21"/>
              </w:rPr>
              <w:t>地表水功能敏感性</w:t>
            </w:r>
          </w:p>
        </w:tc>
        <w:tc>
          <w:tcPr>
            <w:tcW w:w="1290" w:type="dxa"/>
            <w:gridSpan w:val="2"/>
            <w:noWrap w:val="0"/>
            <w:vAlign w:val="center"/>
          </w:tcPr>
          <w:p w14:paraId="52A8F935">
            <w:pPr>
              <w:pStyle w:val="62"/>
              <w:spacing w:line="280" w:lineRule="exact"/>
              <w:ind w:firstLineChars="0"/>
              <w:rPr>
                <w:rFonts w:ascii="Times New Roman" w:hAnsi="Times New Roman"/>
                <w:color w:val="0000FF"/>
                <w:szCs w:val="21"/>
              </w:rPr>
            </w:pPr>
            <w:r>
              <w:rPr>
                <w:rFonts w:ascii="Times New Roman" w:hAnsi="Times New Roman"/>
                <w:color w:val="0000FF"/>
                <w:szCs w:val="21"/>
              </w:rPr>
              <w:t>F1 □</w:t>
            </w:r>
          </w:p>
        </w:tc>
        <w:tc>
          <w:tcPr>
            <w:tcW w:w="1442" w:type="dxa"/>
            <w:gridSpan w:val="3"/>
            <w:noWrap w:val="0"/>
            <w:vAlign w:val="center"/>
          </w:tcPr>
          <w:p w14:paraId="2FC0A99B">
            <w:pPr>
              <w:pStyle w:val="62"/>
              <w:spacing w:line="280" w:lineRule="exact"/>
              <w:ind w:firstLineChars="0"/>
              <w:rPr>
                <w:rFonts w:ascii="Times New Roman" w:hAnsi="Times New Roman"/>
                <w:color w:val="0000FF"/>
                <w:szCs w:val="21"/>
              </w:rPr>
            </w:pPr>
            <w:r>
              <w:rPr>
                <w:rFonts w:ascii="Times New Roman" w:hAnsi="Times New Roman"/>
                <w:color w:val="0000FF"/>
                <w:szCs w:val="21"/>
              </w:rPr>
              <w:t>F2 □</w:t>
            </w:r>
          </w:p>
        </w:tc>
        <w:tc>
          <w:tcPr>
            <w:tcW w:w="1757" w:type="dxa"/>
            <w:noWrap w:val="0"/>
            <w:vAlign w:val="center"/>
          </w:tcPr>
          <w:p w14:paraId="7CE8CB8E">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F3 </w:t>
            </w:r>
            <w:r>
              <w:rPr>
                <w:rFonts w:ascii="Times New Roman" w:hAnsi="Times New Roman"/>
                <w:color w:val="0000FF"/>
                <w:szCs w:val="21"/>
              </w:rPr>
              <w:sym w:font="Wingdings 2" w:char="0052"/>
            </w:r>
          </w:p>
        </w:tc>
      </w:tr>
      <w:tr w14:paraId="5DE6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600CC613">
            <w:pPr>
              <w:pStyle w:val="62"/>
              <w:spacing w:line="280" w:lineRule="exact"/>
              <w:ind w:firstLineChars="0"/>
              <w:rPr>
                <w:rFonts w:ascii="Times New Roman" w:hAnsi="Times New Roman"/>
                <w:color w:val="0000FF"/>
                <w:szCs w:val="21"/>
              </w:rPr>
            </w:pPr>
          </w:p>
        </w:tc>
        <w:tc>
          <w:tcPr>
            <w:tcW w:w="966" w:type="dxa"/>
            <w:vMerge w:val="continue"/>
            <w:noWrap w:val="0"/>
            <w:vAlign w:val="center"/>
          </w:tcPr>
          <w:p w14:paraId="53C0029E">
            <w:pPr>
              <w:pStyle w:val="62"/>
              <w:spacing w:line="280" w:lineRule="exact"/>
              <w:ind w:firstLineChars="0"/>
              <w:rPr>
                <w:rFonts w:ascii="Times New Roman" w:hAnsi="Times New Roman"/>
                <w:color w:val="0000FF"/>
                <w:szCs w:val="21"/>
              </w:rPr>
            </w:pPr>
          </w:p>
        </w:tc>
        <w:tc>
          <w:tcPr>
            <w:tcW w:w="1012" w:type="dxa"/>
            <w:vMerge w:val="continue"/>
            <w:noWrap w:val="0"/>
            <w:vAlign w:val="center"/>
          </w:tcPr>
          <w:p w14:paraId="4C549EC6">
            <w:pPr>
              <w:pStyle w:val="62"/>
              <w:spacing w:line="280" w:lineRule="exact"/>
              <w:ind w:firstLineChars="0"/>
              <w:rPr>
                <w:rFonts w:ascii="Times New Roman" w:hAnsi="Times New Roman"/>
                <w:color w:val="0000FF"/>
                <w:szCs w:val="21"/>
              </w:rPr>
            </w:pPr>
          </w:p>
        </w:tc>
        <w:tc>
          <w:tcPr>
            <w:tcW w:w="1646" w:type="dxa"/>
            <w:gridSpan w:val="2"/>
            <w:noWrap w:val="0"/>
            <w:vAlign w:val="center"/>
          </w:tcPr>
          <w:p w14:paraId="0D8CF39B">
            <w:pPr>
              <w:pStyle w:val="62"/>
              <w:spacing w:line="280" w:lineRule="exact"/>
              <w:ind w:firstLineChars="0"/>
              <w:rPr>
                <w:rFonts w:ascii="Times New Roman" w:hAnsi="Times New Roman"/>
                <w:color w:val="0000FF"/>
                <w:szCs w:val="21"/>
              </w:rPr>
            </w:pPr>
            <w:r>
              <w:rPr>
                <w:rFonts w:ascii="Times New Roman" w:hAnsi="Times New Roman"/>
                <w:color w:val="0000FF"/>
                <w:szCs w:val="21"/>
              </w:rPr>
              <w:t>环境敏感目标分级</w:t>
            </w:r>
          </w:p>
        </w:tc>
        <w:tc>
          <w:tcPr>
            <w:tcW w:w="1290" w:type="dxa"/>
            <w:gridSpan w:val="2"/>
            <w:noWrap w:val="0"/>
            <w:vAlign w:val="center"/>
          </w:tcPr>
          <w:p w14:paraId="67BD4318">
            <w:pPr>
              <w:pStyle w:val="62"/>
              <w:spacing w:line="280" w:lineRule="exact"/>
              <w:ind w:firstLineChars="0"/>
              <w:rPr>
                <w:rFonts w:ascii="Times New Roman" w:hAnsi="Times New Roman"/>
                <w:color w:val="0000FF"/>
                <w:szCs w:val="21"/>
              </w:rPr>
            </w:pPr>
            <w:r>
              <w:rPr>
                <w:rFonts w:ascii="Times New Roman" w:hAnsi="Times New Roman"/>
                <w:color w:val="0000FF"/>
                <w:szCs w:val="21"/>
              </w:rPr>
              <w:t>S1 □</w:t>
            </w:r>
          </w:p>
        </w:tc>
        <w:tc>
          <w:tcPr>
            <w:tcW w:w="1442" w:type="dxa"/>
            <w:gridSpan w:val="3"/>
            <w:noWrap w:val="0"/>
            <w:vAlign w:val="center"/>
          </w:tcPr>
          <w:p w14:paraId="01A707CF">
            <w:pPr>
              <w:pStyle w:val="62"/>
              <w:spacing w:line="280" w:lineRule="exact"/>
              <w:ind w:firstLineChars="0"/>
              <w:rPr>
                <w:rFonts w:ascii="Times New Roman" w:hAnsi="Times New Roman"/>
                <w:color w:val="0000FF"/>
                <w:szCs w:val="21"/>
              </w:rPr>
            </w:pPr>
            <w:r>
              <w:rPr>
                <w:rFonts w:ascii="Times New Roman" w:hAnsi="Times New Roman"/>
                <w:color w:val="0000FF"/>
                <w:szCs w:val="21"/>
              </w:rPr>
              <w:t>S2 □</w:t>
            </w:r>
          </w:p>
        </w:tc>
        <w:tc>
          <w:tcPr>
            <w:tcW w:w="1757" w:type="dxa"/>
            <w:noWrap w:val="0"/>
            <w:vAlign w:val="center"/>
          </w:tcPr>
          <w:p w14:paraId="3FF93541">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S3 </w:t>
            </w:r>
            <w:r>
              <w:rPr>
                <w:rFonts w:ascii="Times New Roman" w:hAnsi="Times New Roman"/>
                <w:color w:val="0000FF"/>
                <w:szCs w:val="21"/>
              </w:rPr>
              <w:sym w:font="Wingdings 2" w:char="0052"/>
            </w:r>
          </w:p>
        </w:tc>
      </w:tr>
      <w:tr w14:paraId="19EA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255C5E67">
            <w:pPr>
              <w:pStyle w:val="62"/>
              <w:spacing w:line="280" w:lineRule="exact"/>
              <w:ind w:firstLineChars="0"/>
              <w:rPr>
                <w:rFonts w:ascii="Times New Roman" w:hAnsi="Times New Roman"/>
                <w:color w:val="0000FF"/>
                <w:szCs w:val="21"/>
              </w:rPr>
            </w:pPr>
          </w:p>
        </w:tc>
        <w:tc>
          <w:tcPr>
            <w:tcW w:w="966" w:type="dxa"/>
            <w:vMerge w:val="continue"/>
            <w:noWrap w:val="0"/>
            <w:vAlign w:val="center"/>
          </w:tcPr>
          <w:p w14:paraId="5C73D265">
            <w:pPr>
              <w:pStyle w:val="62"/>
              <w:spacing w:line="280" w:lineRule="exact"/>
              <w:ind w:firstLineChars="0"/>
              <w:rPr>
                <w:rFonts w:ascii="Times New Roman" w:hAnsi="Times New Roman"/>
                <w:color w:val="0000FF"/>
                <w:szCs w:val="21"/>
              </w:rPr>
            </w:pPr>
          </w:p>
        </w:tc>
        <w:tc>
          <w:tcPr>
            <w:tcW w:w="1012" w:type="dxa"/>
            <w:vMerge w:val="restart"/>
            <w:noWrap w:val="0"/>
            <w:vAlign w:val="center"/>
          </w:tcPr>
          <w:p w14:paraId="5A866457">
            <w:pPr>
              <w:pStyle w:val="62"/>
              <w:spacing w:line="280" w:lineRule="exact"/>
              <w:ind w:firstLineChars="0"/>
              <w:rPr>
                <w:rFonts w:ascii="Times New Roman" w:hAnsi="Times New Roman"/>
                <w:color w:val="0000FF"/>
                <w:szCs w:val="21"/>
              </w:rPr>
            </w:pPr>
            <w:r>
              <w:rPr>
                <w:rFonts w:ascii="Times New Roman" w:hAnsi="Times New Roman"/>
                <w:color w:val="0000FF"/>
                <w:szCs w:val="21"/>
              </w:rPr>
              <w:t>地下水</w:t>
            </w:r>
          </w:p>
        </w:tc>
        <w:tc>
          <w:tcPr>
            <w:tcW w:w="1646" w:type="dxa"/>
            <w:gridSpan w:val="2"/>
            <w:noWrap w:val="0"/>
            <w:vAlign w:val="center"/>
          </w:tcPr>
          <w:p w14:paraId="75401449">
            <w:pPr>
              <w:pStyle w:val="62"/>
              <w:spacing w:line="280" w:lineRule="exact"/>
              <w:ind w:firstLineChars="0"/>
              <w:rPr>
                <w:rFonts w:ascii="Times New Roman" w:hAnsi="Times New Roman"/>
                <w:color w:val="0000FF"/>
                <w:szCs w:val="21"/>
              </w:rPr>
            </w:pPr>
            <w:r>
              <w:rPr>
                <w:rFonts w:ascii="Times New Roman" w:hAnsi="Times New Roman"/>
                <w:color w:val="0000FF"/>
                <w:szCs w:val="21"/>
              </w:rPr>
              <w:t>地下水功能敏感性</w:t>
            </w:r>
          </w:p>
        </w:tc>
        <w:tc>
          <w:tcPr>
            <w:tcW w:w="1290" w:type="dxa"/>
            <w:gridSpan w:val="2"/>
            <w:noWrap w:val="0"/>
            <w:vAlign w:val="center"/>
          </w:tcPr>
          <w:p w14:paraId="64EC177B">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G1 □</w:t>
            </w:r>
          </w:p>
        </w:tc>
        <w:tc>
          <w:tcPr>
            <w:tcW w:w="1442" w:type="dxa"/>
            <w:gridSpan w:val="3"/>
            <w:noWrap w:val="0"/>
            <w:vAlign w:val="center"/>
          </w:tcPr>
          <w:p w14:paraId="43D126C0">
            <w:pPr>
              <w:pStyle w:val="62"/>
              <w:spacing w:line="280" w:lineRule="exact"/>
              <w:ind w:firstLineChars="0"/>
              <w:rPr>
                <w:rFonts w:ascii="Times New Roman" w:hAnsi="Times New Roman"/>
                <w:color w:val="0000FF"/>
                <w:szCs w:val="21"/>
              </w:rPr>
            </w:pPr>
            <w:r>
              <w:rPr>
                <w:rFonts w:ascii="Times New Roman" w:hAnsi="Times New Roman"/>
                <w:color w:val="0000FF"/>
                <w:szCs w:val="21"/>
              </w:rPr>
              <w:t>G2 □</w:t>
            </w:r>
          </w:p>
        </w:tc>
        <w:tc>
          <w:tcPr>
            <w:tcW w:w="1757" w:type="dxa"/>
            <w:noWrap w:val="0"/>
            <w:vAlign w:val="center"/>
          </w:tcPr>
          <w:p w14:paraId="62E15198">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G3 </w:t>
            </w:r>
            <w:r>
              <w:rPr>
                <w:rFonts w:ascii="Times New Roman" w:hAnsi="Times New Roman"/>
                <w:color w:val="0000FF"/>
                <w:szCs w:val="21"/>
              </w:rPr>
              <w:sym w:font="Wingdings 2" w:char="0052"/>
            </w:r>
          </w:p>
        </w:tc>
      </w:tr>
      <w:tr w14:paraId="4483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7C87473A">
            <w:pPr>
              <w:pStyle w:val="62"/>
              <w:spacing w:line="280" w:lineRule="exact"/>
              <w:ind w:firstLineChars="0"/>
              <w:rPr>
                <w:rFonts w:ascii="Times New Roman" w:hAnsi="Times New Roman"/>
                <w:color w:val="0000FF"/>
                <w:szCs w:val="21"/>
              </w:rPr>
            </w:pPr>
          </w:p>
        </w:tc>
        <w:tc>
          <w:tcPr>
            <w:tcW w:w="966" w:type="dxa"/>
            <w:vMerge w:val="continue"/>
            <w:noWrap w:val="0"/>
            <w:vAlign w:val="center"/>
          </w:tcPr>
          <w:p w14:paraId="34594871">
            <w:pPr>
              <w:pStyle w:val="62"/>
              <w:spacing w:line="280" w:lineRule="exact"/>
              <w:ind w:firstLineChars="0"/>
              <w:rPr>
                <w:rFonts w:ascii="Times New Roman" w:hAnsi="Times New Roman"/>
                <w:color w:val="0000FF"/>
                <w:szCs w:val="21"/>
              </w:rPr>
            </w:pPr>
          </w:p>
        </w:tc>
        <w:tc>
          <w:tcPr>
            <w:tcW w:w="1012" w:type="dxa"/>
            <w:vMerge w:val="continue"/>
            <w:noWrap w:val="0"/>
            <w:vAlign w:val="center"/>
          </w:tcPr>
          <w:p w14:paraId="2A1F05AA">
            <w:pPr>
              <w:pStyle w:val="62"/>
              <w:spacing w:line="280" w:lineRule="exact"/>
              <w:ind w:firstLineChars="0"/>
              <w:rPr>
                <w:rFonts w:ascii="Times New Roman" w:hAnsi="Times New Roman"/>
                <w:color w:val="0000FF"/>
                <w:szCs w:val="21"/>
              </w:rPr>
            </w:pPr>
          </w:p>
        </w:tc>
        <w:tc>
          <w:tcPr>
            <w:tcW w:w="1646" w:type="dxa"/>
            <w:gridSpan w:val="2"/>
            <w:noWrap w:val="0"/>
            <w:vAlign w:val="center"/>
          </w:tcPr>
          <w:p w14:paraId="4918935F">
            <w:pPr>
              <w:pStyle w:val="62"/>
              <w:spacing w:line="280" w:lineRule="exact"/>
              <w:ind w:firstLineChars="0"/>
              <w:rPr>
                <w:rFonts w:ascii="Times New Roman" w:hAnsi="Times New Roman"/>
                <w:color w:val="0000FF"/>
                <w:szCs w:val="21"/>
              </w:rPr>
            </w:pPr>
            <w:r>
              <w:rPr>
                <w:rFonts w:ascii="Times New Roman" w:hAnsi="Times New Roman"/>
                <w:color w:val="0000FF"/>
                <w:szCs w:val="21"/>
              </w:rPr>
              <w:t>包气带防污性能</w:t>
            </w:r>
          </w:p>
        </w:tc>
        <w:tc>
          <w:tcPr>
            <w:tcW w:w="1290" w:type="dxa"/>
            <w:gridSpan w:val="2"/>
            <w:noWrap w:val="0"/>
            <w:vAlign w:val="center"/>
          </w:tcPr>
          <w:p w14:paraId="4E8979FA">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D1 □</w:t>
            </w:r>
          </w:p>
        </w:tc>
        <w:tc>
          <w:tcPr>
            <w:tcW w:w="1442" w:type="dxa"/>
            <w:gridSpan w:val="3"/>
            <w:noWrap w:val="0"/>
            <w:vAlign w:val="center"/>
          </w:tcPr>
          <w:p w14:paraId="38EEC554">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D2 </w:t>
            </w:r>
            <w:r>
              <w:rPr>
                <w:rFonts w:ascii="Times New Roman" w:hAnsi="Times New Roman"/>
                <w:color w:val="0000FF"/>
                <w:szCs w:val="21"/>
              </w:rPr>
              <w:sym w:font="Wingdings 2" w:char="0052"/>
            </w:r>
          </w:p>
        </w:tc>
        <w:tc>
          <w:tcPr>
            <w:tcW w:w="1757" w:type="dxa"/>
            <w:noWrap w:val="0"/>
            <w:vAlign w:val="center"/>
          </w:tcPr>
          <w:p w14:paraId="179932B6">
            <w:pPr>
              <w:pStyle w:val="62"/>
              <w:spacing w:line="280" w:lineRule="exact"/>
              <w:ind w:firstLineChars="0"/>
              <w:rPr>
                <w:rFonts w:ascii="Times New Roman" w:hAnsi="Times New Roman"/>
                <w:color w:val="0000FF"/>
                <w:szCs w:val="21"/>
              </w:rPr>
            </w:pPr>
            <w:r>
              <w:rPr>
                <w:rFonts w:ascii="Times New Roman" w:hAnsi="Times New Roman"/>
                <w:color w:val="0000FF"/>
                <w:szCs w:val="21"/>
              </w:rPr>
              <w:t>D3 □</w:t>
            </w:r>
          </w:p>
        </w:tc>
      </w:tr>
      <w:tr w14:paraId="505A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600" w:type="dxa"/>
            <w:gridSpan w:val="2"/>
            <w:vMerge w:val="restart"/>
            <w:noWrap w:val="0"/>
            <w:vAlign w:val="center"/>
          </w:tcPr>
          <w:p w14:paraId="232B1615">
            <w:pPr>
              <w:pStyle w:val="62"/>
              <w:spacing w:line="280" w:lineRule="exact"/>
              <w:ind w:firstLineChars="0"/>
              <w:rPr>
                <w:rFonts w:ascii="Times New Roman" w:hAnsi="Times New Roman"/>
                <w:color w:val="0000FF"/>
                <w:szCs w:val="21"/>
              </w:rPr>
            </w:pPr>
            <w:r>
              <w:rPr>
                <w:rFonts w:ascii="Times New Roman" w:hAnsi="Times New Roman"/>
                <w:color w:val="0000FF"/>
                <w:szCs w:val="21"/>
              </w:rPr>
              <w:t>物质及工艺系统</w:t>
            </w:r>
          </w:p>
          <w:p w14:paraId="04FB9DD1">
            <w:pPr>
              <w:pStyle w:val="62"/>
              <w:spacing w:line="280" w:lineRule="exact"/>
              <w:ind w:firstLineChars="0"/>
              <w:rPr>
                <w:rFonts w:ascii="Times New Roman" w:hAnsi="Times New Roman"/>
                <w:color w:val="0000FF"/>
                <w:szCs w:val="21"/>
              </w:rPr>
            </w:pPr>
            <w:r>
              <w:rPr>
                <w:rFonts w:ascii="Times New Roman" w:hAnsi="Times New Roman"/>
                <w:color w:val="0000FF"/>
                <w:szCs w:val="21"/>
              </w:rPr>
              <w:t>危险性</w:t>
            </w:r>
          </w:p>
        </w:tc>
        <w:tc>
          <w:tcPr>
            <w:tcW w:w="1012" w:type="dxa"/>
            <w:noWrap w:val="0"/>
            <w:vAlign w:val="center"/>
          </w:tcPr>
          <w:p w14:paraId="78E1B283">
            <w:pPr>
              <w:pStyle w:val="62"/>
              <w:spacing w:line="280" w:lineRule="exact"/>
              <w:ind w:firstLineChars="0"/>
              <w:rPr>
                <w:rFonts w:ascii="Times New Roman" w:hAnsi="Times New Roman"/>
                <w:color w:val="0000FF"/>
                <w:szCs w:val="21"/>
              </w:rPr>
            </w:pPr>
            <w:r>
              <w:rPr>
                <w:rFonts w:ascii="Times New Roman" w:hAnsi="Times New Roman"/>
                <w:color w:val="0000FF"/>
                <w:szCs w:val="21"/>
              </w:rPr>
              <w:t>Q值</w:t>
            </w:r>
          </w:p>
        </w:tc>
        <w:tc>
          <w:tcPr>
            <w:tcW w:w="1646" w:type="dxa"/>
            <w:gridSpan w:val="2"/>
            <w:noWrap w:val="0"/>
            <w:vAlign w:val="center"/>
          </w:tcPr>
          <w:p w14:paraId="56A6AB1A">
            <w:pPr>
              <w:pStyle w:val="62"/>
              <w:spacing w:line="280" w:lineRule="exact"/>
              <w:ind w:firstLineChars="0"/>
              <w:rPr>
                <w:rFonts w:ascii="Times New Roman" w:hAnsi="Times New Roman"/>
                <w:color w:val="0000FF"/>
                <w:szCs w:val="21"/>
              </w:rPr>
            </w:pPr>
            <w:r>
              <w:rPr>
                <w:rFonts w:ascii="Times New Roman" w:hAnsi="Times New Roman"/>
                <w:color w:val="0000FF"/>
                <w:szCs w:val="21"/>
              </w:rPr>
              <w:t>Q＜1 □</w:t>
            </w:r>
          </w:p>
        </w:tc>
        <w:tc>
          <w:tcPr>
            <w:tcW w:w="1290" w:type="dxa"/>
            <w:gridSpan w:val="2"/>
            <w:noWrap w:val="0"/>
            <w:vAlign w:val="center"/>
          </w:tcPr>
          <w:p w14:paraId="4C907976">
            <w:pPr>
              <w:pStyle w:val="62"/>
              <w:spacing w:line="280" w:lineRule="exact"/>
              <w:ind w:firstLineChars="0"/>
              <w:rPr>
                <w:rFonts w:ascii="Times New Roman" w:hAnsi="Times New Roman"/>
                <w:color w:val="0000FF"/>
                <w:szCs w:val="21"/>
              </w:rPr>
            </w:pPr>
            <w:r>
              <w:rPr>
                <w:rFonts w:ascii="Times New Roman" w:hAnsi="Times New Roman"/>
                <w:color w:val="0000FF"/>
                <w:szCs w:val="21"/>
              </w:rPr>
              <w:t>1≤Q＜10□</w:t>
            </w:r>
          </w:p>
        </w:tc>
        <w:tc>
          <w:tcPr>
            <w:tcW w:w="1442" w:type="dxa"/>
            <w:gridSpan w:val="3"/>
            <w:noWrap w:val="0"/>
            <w:vAlign w:val="center"/>
          </w:tcPr>
          <w:p w14:paraId="725FD81B">
            <w:pPr>
              <w:pStyle w:val="62"/>
              <w:spacing w:line="280" w:lineRule="exact"/>
              <w:ind w:firstLineChars="0"/>
              <w:rPr>
                <w:rFonts w:ascii="Times New Roman" w:hAnsi="Times New Roman"/>
                <w:color w:val="0000FF"/>
                <w:szCs w:val="21"/>
              </w:rPr>
            </w:pPr>
            <w:r>
              <w:rPr>
                <w:rFonts w:ascii="Times New Roman" w:hAnsi="Times New Roman"/>
                <w:color w:val="0000FF"/>
                <w:szCs w:val="21"/>
              </w:rPr>
              <w:t>10≤Q＜100 □</w:t>
            </w:r>
          </w:p>
        </w:tc>
        <w:tc>
          <w:tcPr>
            <w:tcW w:w="1757" w:type="dxa"/>
            <w:noWrap w:val="0"/>
            <w:vAlign w:val="center"/>
          </w:tcPr>
          <w:p w14:paraId="2A8BA4C7">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Q</w:t>
            </w:r>
            <w:r>
              <w:rPr>
                <w:rFonts w:hint="eastAsia" w:ascii="Times New Roman" w:hAnsi="Times New Roman"/>
                <w:color w:val="0000FF"/>
                <w:szCs w:val="21"/>
              </w:rPr>
              <w:t>≥</w:t>
            </w:r>
            <w:r>
              <w:rPr>
                <w:rFonts w:ascii="Times New Roman" w:hAnsi="Times New Roman"/>
                <w:color w:val="0000FF"/>
                <w:szCs w:val="21"/>
              </w:rPr>
              <w:t xml:space="preserve">100 </w:t>
            </w:r>
            <w:r>
              <w:rPr>
                <w:rFonts w:ascii="Times New Roman" w:hAnsi="Times New Roman"/>
                <w:color w:val="0000FF"/>
                <w:szCs w:val="21"/>
              </w:rPr>
              <w:sym w:font="Wingdings 2" w:char="0052"/>
            </w:r>
          </w:p>
        </w:tc>
      </w:tr>
      <w:tr w14:paraId="7061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600" w:type="dxa"/>
            <w:gridSpan w:val="2"/>
            <w:vMerge w:val="continue"/>
            <w:noWrap w:val="0"/>
            <w:vAlign w:val="center"/>
          </w:tcPr>
          <w:p w14:paraId="07805DE3">
            <w:pPr>
              <w:pStyle w:val="62"/>
              <w:spacing w:line="280" w:lineRule="exact"/>
              <w:ind w:firstLineChars="0"/>
              <w:rPr>
                <w:rFonts w:ascii="Times New Roman" w:hAnsi="Times New Roman"/>
                <w:color w:val="0000FF"/>
                <w:szCs w:val="21"/>
              </w:rPr>
            </w:pPr>
          </w:p>
        </w:tc>
        <w:tc>
          <w:tcPr>
            <w:tcW w:w="1012" w:type="dxa"/>
            <w:noWrap w:val="0"/>
            <w:vAlign w:val="center"/>
          </w:tcPr>
          <w:p w14:paraId="486E7E07">
            <w:pPr>
              <w:pStyle w:val="62"/>
              <w:spacing w:line="280" w:lineRule="exact"/>
              <w:ind w:firstLineChars="0"/>
              <w:rPr>
                <w:rFonts w:ascii="Times New Roman" w:hAnsi="Times New Roman"/>
                <w:color w:val="0000FF"/>
                <w:szCs w:val="21"/>
              </w:rPr>
            </w:pPr>
            <w:r>
              <w:rPr>
                <w:rFonts w:ascii="Times New Roman" w:hAnsi="Times New Roman"/>
                <w:color w:val="0000FF"/>
                <w:szCs w:val="21"/>
              </w:rPr>
              <w:t>M值</w:t>
            </w:r>
          </w:p>
        </w:tc>
        <w:tc>
          <w:tcPr>
            <w:tcW w:w="1646" w:type="dxa"/>
            <w:gridSpan w:val="2"/>
            <w:noWrap w:val="0"/>
            <w:vAlign w:val="center"/>
          </w:tcPr>
          <w:p w14:paraId="2E59CE2A">
            <w:pPr>
              <w:pStyle w:val="62"/>
              <w:spacing w:line="280" w:lineRule="exact"/>
              <w:ind w:firstLineChars="0"/>
              <w:rPr>
                <w:rFonts w:ascii="Times New Roman" w:hAnsi="Times New Roman"/>
                <w:color w:val="0000FF"/>
                <w:szCs w:val="21"/>
              </w:rPr>
            </w:pPr>
            <w:r>
              <w:rPr>
                <w:rFonts w:ascii="Times New Roman" w:hAnsi="Times New Roman"/>
                <w:color w:val="0000FF"/>
                <w:szCs w:val="21"/>
              </w:rPr>
              <w:t>M1 □</w:t>
            </w:r>
          </w:p>
        </w:tc>
        <w:tc>
          <w:tcPr>
            <w:tcW w:w="1290" w:type="dxa"/>
            <w:gridSpan w:val="2"/>
            <w:noWrap w:val="0"/>
            <w:vAlign w:val="center"/>
          </w:tcPr>
          <w:p w14:paraId="3502C923">
            <w:pPr>
              <w:pStyle w:val="62"/>
              <w:spacing w:line="280" w:lineRule="exact"/>
              <w:ind w:firstLineChars="0"/>
              <w:rPr>
                <w:rFonts w:ascii="Times New Roman" w:hAnsi="Times New Roman"/>
                <w:color w:val="0000FF"/>
                <w:szCs w:val="21"/>
              </w:rPr>
            </w:pPr>
            <w:r>
              <w:rPr>
                <w:rFonts w:ascii="Times New Roman" w:hAnsi="Times New Roman"/>
                <w:color w:val="0000FF"/>
                <w:szCs w:val="21"/>
              </w:rPr>
              <w:t>M2 □</w:t>
            </w:r>
          </w:p>
        </w:tc>
        <w:tc>
          <w:tcPr>
            <w:tcW w:w="1442" w:type="dxa"/>
            <w:gridSpan w:val="3"/>
            <w:noWrap w:val="0"/>
            <w:vAlign w:val="center"/>
          </w:tcPr>
          <w:p w14:paraId="3B83D52F">
            <w:pPr>
              <w:pStyle w:val="62"/>
              <w:spacing w:line="280" w:lineRule="exact"/>
              <w:ind w:firstLineChars="0"/>
              <w:rPr>
                <w:rFonts w:ascii="Times New Roman" w:hAnsi="Times New Roman"/>
                <w:color w:val="0000FF"/>
                <w:szCs w:val="21"/>
              </w:rPr>
            </w:pPr>
            <w:r>
              <w:rPr>
                <w:rFonts w:ascii="Times New Roman" w:hAnsi="Times New Roman"/>
                <w:color w:val="0000FF"/>
                <w:szCs w:val="21"/>
              </w:rPr>
              <w:t>M3 □</w:t>
            </w:r>
          </w:p>
        </w:tc>
        <w:tc>
          <w:tcPr>
            <w:tcW w:w="1757" w:type="dxa"/>
            <w:noWrap w:val="0"/>
            <w:vAlign w:val="center"/>
          </w:tcPr>
          <w:p w14:paraId="4CAE3A3D">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M4 </w:t>
            </w:r>
            <w:r>
              <w:rPr>
                <w:rFonts w:ascii="Times New Roman" w:hAnsi="Times New Roman"/>
                <w:color w:val="0000FF"/>
                <w:szCs w:val="21"/>
              </w:rPr>
              <w:sym w:font="Wingdings 2" w:char="0052"/>
            </w:r>
          </w:p>
        </w:tc>
      </w:tr>
      <w:tr w14:paraId="37F7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600" w:type="dxa"/>
            <w:gridSpan w:val="2"/>
            <w:vMerge w:val="continue"/>
            <w:noWrap w:val="0"/>
            <w:vAlign w:val="center"/>
          </w:tcPr>
          <w:p w14:paraId="1020B377">
            <w:pPr>
              <w:pStyle w:val="62"/>
              <w:spacing w:line="280" w:lineRule="exact"/>
              <w:ind w:firstLineChars="0"/>
              <w:rPr>
                <w:rFonts w:ascii="Times New Roman" w:hAnsi="Times New Roman"/>
                <w:color w:val="0000FF"/>
                <w:szCs w:val="21"/>
              </w:rPr>
            </w:pPr>
          </w:p>
        </w:tc>
        <w:tc>
          <w:tcPr>
            <w:tcW w:w="1012" w:type="dxa"/>
            <w:noWrap w:val="0"/>
            <w:vAlign w:val="center"/>
          </w:tcPr>
          <w:p w14:paraId="66D16D0B">
            <w:pPr>
              <w:pStyle w:val="62"/>
              <w:spacing w:line="280" w:lineRule="exact"/>
              <w:ind w:firstLineChars="0"/>
              <w:rPr>
                <w:rFonts w:ascii="Times New Roman" w:hAnsi="Times New Roman"/>
                <w:color w:val="0000FF"/>
                <w:szCs w:val="21"/>
              </w:rPr>
            </w:pPr>
            <w:r>
              <w:rPr>
                <w:rFonts w:ascii="Times New Roman" w:hAnsi="Times New Roman"/>
                <w:color w:val="0000FF"/>
                <w:szCs w:val="21"/>
              </w:rPr>
              <w:t>P值</w:t>
            </w:r>
          </w:p>
        </w:tc>
        <w:tc>
          <w:tcPr>
            <w:tcW w:w="1646" w:type="dxa"/>
            <w:gridSpan w:val="2"/>
            <w:noWrap w:val="0"/>
            <w:vAlign w:val="center"/>
          </w:tcPr>
          <w:p w14:paraId="4BFA1755">
            <w:pPr>
              <w:pStyle w:val="62"/>
              <w:spacing w:line="280" w:lineRule="exact"/>
              <w:ind w:firstLineChars="0"/>
              <w:rPr>
                <w:rFonts w:ascii="Times New Roman" w:hAnsi="Times New Roman"/>
                <w:color w:val="0000FF"/>
                <w:szCs w:val="21"/>
              </w:rPr>
            </w:pPr>
            <w:r>
              <w:rPr>
                <w:rFonts w:ascii="Times New Roman" w:hAnsi="Times New Roman"/>
                <w:color w:val="0000FF"/>
                <w:szCs w:val="21"/>
              </w:rPr>
              <w:t>P1 □</w:t>
            </w:r>
          </w:p>
        </w:tc>
        <w:tc>
          <w:tcPr>
            <w:tcW w:w="1290" w:type="dxa"/>
            <w:gridSpan w:val="2"/>
            <w:noWrap w:val="0"/>
            <w:vAlign w:val="center"/>
          </w:tcPr>
          <w:p w14:paraId="30DE09BF">
            <w:pPr>
              <w:pStyle w:val="62"/>
              <w:spacing w:line="280" w:lineRule="exact"/>
              <w:ind w:firstLineChars="0"/>
              <w:rPr>
                <w:rFonts w:ascii="Times New Roman" w:hAnsi="Times New Roman"/>
                <w:color w:val="0000FF"/>
                <w:szCs w:val="21"/>
              </w:rPr>
            </w:pPr>
            <w:r>
              <w:rPr>
                <w:rFonts w:ascii="Times New Roman" w:hAnsi="Times New Roman"/>
                <w:color w:val="0000FF"/>
                <w:szCs w:val="21"/>
              </w:rPr>
              <w:t>P2 □</w:t>
            </w:r>
          </w:p>
        </w:tc>
        <w:tc>
          <w:tcPr>
            <w:tcW w:w="1442" w:type="dxa"/>
            <w:gridSpan w:val="3"/>
            <w:noWrap w:val="0"/>
            <w:vAlign w:val="center"/>
          </w:tcPr>
          <w:p w14:paraId="60AA99B3">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P3 </w:t>
            </w:r>
            <w:r>
              <w:rPr>
                <w:rFonts w:ascii="Times New Roman" w:hAnsi="Times New Roman"/>
                <w:color w:val="0000FF"/>
                <w:szCs w:val="21"/>
              </w:rPr>
              <w:sym w:font="Wingdings 2" w:char="0052"/>
            </w:r>
          </w:p>
        </w:tc>
        <w:tc>
          <w:tcPr>
            <w:tcW w:w="1757" w:type="dxa"/>
            <w:noWrap w:val="0"/>
            <w:vAlign w:val="center"/>
          </w:tcPr>
          <w:p w14:paraId="440A4337">
            <w:pPr>
              <w:pStyle w:val="62"/>
              <w:spacing w:line="280" w:lineRule="exact"/>
              <w:ind w:firstLineChars="0"/>
              <w:rPr>
                <w:rFonts w:ascii="Times New Roman" w:hAnsi="Times New Roman"/>
                <w:color w:val="0000FF"/>
                <w:szCs w:val="21"/>
              </w:rPr>
            </w:pPr>
            <w:r>
              <w:rPr>
                <w:rFonts w:ascii="Times New Roman" w:hAnsi="Times New Roman"/>
                <w:color w:val="0000FF"/>
                <w:szCs w:val="21"/>
              </w:rPr>
              <w:t>P4 □</w:t>
            </w:r>
          </w:p>
        </w:tc>
      </w:tr>
      <w:tr w14:paraId="4F5B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600" w:type="dxa"/>
            <w:gridSpan w:val="2"/>
            <w:vMerge w:val="restart"/>
            <w:noWrap w:val="0"/>
            <w:vAlign w:val="center"/>
          </w:tcPr>
          <w:p w14:paraId="6C380B75">
            <w:pPr>
              <w:pStyle w:val="62"/>
              <w:spacing w:line="280" w:lineRule="exact"/>
              <w:ind w:firstLineChars="0"/>
              <w:rPr>
                <w:rFonts w:ascii="Times New Roman" w:hAnsi="Times New Roman"/>
                <w:color w:val="0000FF"/>
                <w:szCs w:val="21"/>
              </w:rPr>
            </w:pPr>
            <w:r>
              <w:rPr>
                <w:rFonts w:ascii="Times New Roman" w:hAnsi="Times New Roman"/>
                <w:color w:val="0000FF"/>
                <w:szCs w:val="21"/>
              </w:rPr>
              <w:t>环境敏感</w:t>
            </w:r>
          </w:p>
          <w:p w14:paraId="116C757A">
            <w:pPr>
              <w:pStyle w:val="62"/>
              <w:spacing w:line="280" w:lineRule="exact"/>
              <w:ind w:firstLineChars="0"/>
              <w:rPr>
                <w:rFonts w:ascii="Times New Roman" w:hAnsi="Times New Roman"/>
                <w:color w:val="0000FF"/>
                <w:szCs w:val="21"/>
              </w:rPr>
            </w:pPr>
            <w:r>
              <w:rPr>
                <w:rFonts w:ascii="Times New Roman" w:hAnsi="Times New Roman"/>
                <w:color w:val="0000FF"/>
                <w:szCs w:val="21"/>
              </w:rPr>
              <w:t>程度</w:t>
            </w:r>
          </w:p>
        </w:tc>
        <w:tc>
          <w:tcPr>
            <w:tcW w:w="1012" w:type="dxa"/>
            <w:noWrap w:val="0"/>
            <w:vAlign w:val="center"/>
          </w:tcPr>
          <w:p w14:paraId="7528D6E6">
            <w:pPr>
              <w:pStyle w:val="62"/>
              <w:spacing w:line="280" w:lineRule="exact"/>
              <w:ind w:firstLineChars="0"/>
              <w:rPr>
                <w:rFonts w:ascii="Times New Roman" w:hAnsi="Times New Roman"/>
                <w:color w:val="0000FF"/>
                <w:szCs w:val="21"/>
              </w:rPr>
            </w:pPr>
            <w:r>
              <w:rPr>
                <w:rFonts w:ascii="Times New Roman" w:hAnsi="Times New Roman"/>
                <w:color w:val="0000FF"/>
                <w:szCs w:val="21"/>
              </w:rPr>
              <w:t>大气</w:t>
            </w:r>
          </w:p>
        </w:tc>
        <w:tc>
          <w:tcPr>
            <w:tcW w:w="1646" w:type="dxa"/>
            <w:gridSpan w:val="2"/>
            <w:noWrap w:val="0"/>
            <w:vAlign w:val="center"/>
          </w:tcPr>
          <w:p w14:paraId="2A307B77">
            <w:pPr>
              <w:pStyle w:val="62"/>
              <w:spacing w:line="280" w:lineRule="exact"/>
              <w:ind w:firstLineChars="0"/>
              <w:rPr>
                <w:rFonts w:ascii="Times New Roman" w:hAnsi="Times New Roman"/>
                <w:color w:val="0000FF"/>
                <w:szCs w:val="21"/>
              </w:rPr>
            </w:pPr>
            <w:r>
              <w:rPr>
                <w:rFonts w:ascii="Times New Roman" w:hAnsi="Times New Roman"/>
                <w:color w:val="0000FF"/>
                <w:szCs w:val="21"/>
              </w:rPr>
              <w:t>E1 □</w:t>
            </w:r>
          </w:p>
        </w:tc>
        <w:tc>
          <w:tcPr>
            <w:tcW w:w="2178" w:type="dxa"/>
            <w:gridSpan w:val="3"/>
            <w:noWrap w:val="0"/>
            <w:vAlign w:val="center"/>
          </w:tcPr>
          <w:p w14:paraId="7A8B8365">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E2 □</w:t>
            </w:r>
          </w:p>
        </w:tc>
        <w:tc>
          <w:tcPr>
            <w:tcW w:w="2311" w:type="dxa"/>
            <w:gridSpan w:val="3"/>
            <w:noWrap w:val="0"/>
            <w:vAlign w:val="center"/>
          </w:tcPr>
          <w:p w14:paraId="11BED0DD">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E3 </w:t>
            </w:r>
            <w:r>
              <w:rPr>
                <w:rFonts w:ascii="Times New Roman" w:hAnsi="Times New Roman"/>
                <w:color w:val="0000FF"/>
                <w:szCs w:val="21"/>
              </w:rPr>
              <w:sym w:font="Wingdings 2" w:char="0052"/>
            </w:r>
          </w:p>
        </w:tc>
      </w:tr>
      <w:tr w14:paraId="7C8C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600" w:type="dxa"/>
            <w:gridSpan w:val="2"/>
            <w:vMerge w:val="continue"/>
            <w:noWrap w:val="0"/>
            <w:vAlign w:val="center"/>
          </w:tcPr>
          <w:p w14:paraId="3C3282F1">
            <w:pPr>
              <w:pStyle w:val="62"/>
              <w:spacing w:line="280" w:lineRule="exact"/>
              <w:ind w:firstLineChars="0"/>
              <w:rPr>
                <w:rFonts w:ascii="Times New Roman" w:hAnsi="Times New Roman"/>
                <w:color w:val="0000FF"/>
                <w:szCs w:val="21"/>
              </w:rPr>
            </w:pPr>
          </w:p>
        </w:tc>
        <w:tc>
          <w:tcPr>
            <w:tcW w:w="1012" w:type="dxa"/>
            <w:noWrap w:val="0"/>
            <w:vAlign w:val="center"/>
          </w:tcPr>
          <w:p w14:paraId="7727F912">
            <w:pPr>
              <w:pStyle w:val="62"/>
              <w:spacing w:line="280" w:lineRule="exact"/>
              <w:ind w:firstLineChars="0"/>
              <w:rPr>
                <w:rFonts w:ascii="Times New Roman" w:hAnsi="Times New Roman"/>
                <w:color w:val="0000FF"/>
                <w:szCs w:val="21"/>
              </w:rPr>
            </w:pPr>
            <w:r>
              <w:rPr>
                <w:rFonts w:ascii="Times New Roman" w:hAnsi="Times New Roman"/>
                <w:color w:val="0000FF"/>
                <w:szCs w:val="21"/>
              </w:rPr>
              <w:t>地表水</w:t>
            </w:r>
          </w:p>
        </w:tc>
        <w:tc>
          <w:tcPr>
            <w:tcW w:w="1646" w:type="dxa"/>
            <w:gridSpan w:val="2"/>
            <w:noWrap w:val="0"/>
            <w:vAlign w:val="center"/>
          </w:tcPr>
          <w:p w14:paraId="1F574310">
            <w:pPr>
              <w:pStyle w:val="62"/>
              <w:spacing w:line="280" w:lineRule="exact"/>
              <w:ind w:firstLineChars="0"/>
              <w:rPr>
                <w:rFonts w:ascii="Times New Roman" w:hAnsi="Times New Roman"/>
                <w:color w:val="0000FF"/>
                <w:szCs w:val="21"/>
              </w:rPr>
            </w:pPr>
            <w:r>
              <w:rPr>
                <w:rFonts w:ascii="Times New Roman" w:hAnsi="Times New Roman"/>
                <w:color w:val="0000FF"/>
                <w:szCs w:val="21"/>
              </w:rPr>
              <w:t>E1 □</w:t>
            </w:r>
          </w:p>
        </w:tc>
        <w:tc>
          <w:tcPr>
            <w:tcW w:w="2178" w:type="dxa"/>
            <w:gridSpan w:val="3"/>
            <w:noWrap w:val="0"/>
            <w:vAlign w:val="center"/>
          </w:tcPr>
          <w:p w14:paraId="47C5704F">
            <w:pPr>
              <w:pStyle w:val="62"/>
              <w:spacing w:line="280" w:lineRule="exact"/>
              <w:ind w:firstLineChars="0"/>
              <w:rPr>
                <w:rFonts w:ascii="Times New Roman" w:hAnsi="Times New Roman"/>
                <w:color w:val="0000FF"/>
                <w:szCs w:val="21"/>
              </w:rPr>
            </w:pPr>
            <w:r>
              <w:rPr>
                <w:rFonts w:ascii="Times New Roman" w:hAnsi="Times New Roman"/>
                <w:color w:val="0000FF"/>
                <w:szCs w:val="21"/>
              </w:rPr>
              <w:t>E2 □</w:t>
            </w:r>
          </w:p>
        </w:tc>
        <w:tc>
          <w:tcPr>
            <w:tcW w:w="2311" w:type="dxa"/>
            <w:gridSpan w:val="3"/>
            <w:noWrap w:val="0"/>
            <w:vAlign w:val="center"/>
          </w:tcPr>
          <w:p w14:paraId="48DBF2A4">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E3 </w:t>
            </w:r>
            <w:r>
              <w:rPr>
                <w:rFonts w:ascii="Times New Roman" w:hAnsi="Times New Roman"/>
                <w:color w:val="0000FF"/>
                <w:szCs w:val="21"/>
              </w:rPr>
              <w:sym w:font="Wingdings 2" w:char="0052"/>
            </w:r>
          </w:p>
        </w:tc>
      </w:tr>
      <w:tr w14:paraId="5CF0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600" w:type="dxa"/>
            <w:gridSpan w:val="2"/>
            <w:vMerge w:val="continue"/>
            <w:noWrap w:val="0"/>
            <w:vAlign w:val="center"/>
          </w:tcPr>
          <w:p w14:paraId="2C58587A">
            <w:pPr>
              <w:pStyle w:val="62"/>
              <w:spacing w:line="280" w:lineRule="exact"/>
              <w:ind w:firstLineChars="0"/>
              <w:rPr>
                <w:rFonts w:ascii="Times New Roman" w:hAnsi="Times New Roman"/>
                <w:color w:val="0000FF"/>
                <w:szCs w:val="21"/>
              </w:rPr>
            </w:pPr>
          </w:p>
        </w:tc>
        <w:tc>
          <w:tcPr>
            <w:tcW w:w="1012" w:type="dxa"/>
            <w:noWrap w:val="0"/>
            <w:vAlign w:val="center"/>
          </w:tcPr>
          <w:p w14:paraId="65EBAEB0">
            <w:pPr>
              <w:pStyle w:val="62"/>
              <w:spacing w:line="280" w:lineRule="exact"/>
              <w:ind w:firstLineChars="0"/>
              <w:rPr>
                <w:rFonts w:ascii="Times New Roman" w:hAnsi="Times New Roman"/>
                <w:color w:val="0000FF"/>
                <w:szCs w:val="21"/>
              </w:rPr>
            </w:pPr>
            <w:r>
              <w:rPr>
                <w:rFonts w:ascii="Times New Roman" w:hAnsi="Times New Roman"/>
                <w:color w:val="0000FF"/>
                <w:szCs w:val="21"/>
              </w:rPr>
              <w:t>地下水</w:t>
            </w:r>
          </w:p>
        </w:tc>
        <w:tc>
          <w:tcPr>
            <w:tcW w:w="1646" w:type="dxa"/>
            <w:gridSpan w:val="2"/>
            <w:noWrap w:val="0"/>
            <w:vAlign w:val="center"/>
          </w:tcPr>
          <w:p w14:paraId="057C7861">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E1 □</w:t>
            </w:r>
          </w:p>
        </w:tc>
        <w:tc>
          <w:tcPr>
            <w:tcW w:w="2178" w:type="dxa"/>
            <w:gridSpan w:val="3"/>
            <w:noWrap w:val="0"/>
            <w:vAlign w:val="center"/>
          </w:tcPr>
          <w:p w14:paraId="166B1B0A">
            <w:pPr>
              <w:pStyle w:val="62"/>
              <w:spacing w:line="280" w:lineRule="exact"/>
              <w:ind w:firstLineChars="0"/>
              <w:rPr>
                <w:rFonts w:ascii="Times New Roman" w:hAnsi="Times New Roman"/>
                <w:color w:val="0000FF"/>
                <w:szCs w:val="21"/>
              </w:rPr>
            </w:pPr>
            <w:r>
              <w:rPr>
                <w:rFonts w:ascii="Times New Roman" w:hAnsi="Times New Roman"/>
                <w:color w:val="0000FF"/>
                <w:szCs w:val="21"/>
              </w:rPr>
              <w:t>E2 □</w:t>
            </w:r>
          </w:p>
        </w:tc>
        <w:tc>
          <w:tcPr>
            <w:tcW w:w="2311" w:type="dxa"/>
            <w:gridSpan w:val="3"/>
            <w:noWrap w:val="0"/>
            <w:vAlign w:val="center"/>
          </w:tcPr>
          <w:p w14:paraId="22EE53CD">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E3 </w:t>
            </w:r>
            <w:r>
              <w:rPr>
                <w:rFonts w:ascii="Times New Roman" w:hAnsi="Times New Roman"/>
                <w:color w:val="0000FF"/>
                <w:szCs w:val="21"/>
              </w:rPr>
              <w:sym w:font="Wingdings 2" w:char="0052"/>
            </w:r>
          </w:p>
        </w:tc>
      </w:tr>
      <w:tr w14:paraId="0CD5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600" w:type="dxa"/>
            <w:gridSpan w:val="2"/>
            <w:noWrap w:val="0"/>
            <w:vAlign w:val="center"/>
          </w:tcPr>
          <w:p w14:paraId="008FB5D8">
            <w:pPr>
              <w:pStyle w:val="62"/>
              <w:spacing w:line="280" w:lineRule="exact"/>
              <w:ind w:firstLineChars="0"/>
              <w:rPr>
                <w:rFonts w:ascii="Times New Roman" w:hAnsi="Times New Roman"/>
                <w:color w:val="0000FF"/>
                <w:szCs w:val="21"/>
              </w:rPr>
            </w:pPr>
            <w:r>
              <w:rPr>
                <w:rFonts w:ascii="Times New Roman" w:hAnsi="Times New Roman"/>
                <w:color w:val="0000FF"/>
                <w:szCs w:val="21"/>
              </w:rPr>
              <w:t>环境风险潜势</w:t>
            </w:r>
          </w:p>
        </w:tc>
        <w:tc>
          <w:tcPr>
            <w:tcW w:w="1012" w:type="dxa"/>
            <w:noWrap w:val="0"/>
            <w:vAlign w:val="center"/>
          </w:tcPr>
          <w:p w14:paraId="5AC0F731">
            <w:pPr>
              <w:pStyle w:val="62"/>
              <w:spacing w:line="280" w:lineRule="exact"/>
              <w:ind w:firstLineChars="0"/>
              <w:rPr>
                <w:rFonts w:ascii="Times New Roman" w:hAnsi="Times New Roman"/>
                <w:color w:val="0000FF"/>
                <w:szCs w:val="21"/>
              </w:rPr>
            </w:pPr>
            <w:r>
              <w:rPr>
                <w:rFonts w:ascii="Times New Roman" w:hAnsi="Times New Roman"/>
                <w:color w:val="0000FF"/>
                <w:szCs w:val="21"/>
              </w:rPr>
              <w:t>Ⅳ+  □</w:t>
            </w:r>
          </w:p>
        </w:tc>
        <w:tc>
          <w:tcPr>
            <w:tcW w:w="1646" w:type="dxa"/>
            <w:gridSpan w:val="2"/>
            <w:noWrap w:val="0"/>
            <w:vAlign w:val="center"/>
          </w:tcPr>
          <w:p w14:paraId="35408AD2">
            <w:pPr>
              <w:pStyle w:val="62"/>
              <w:spacing w:line="280" w:lineRule="exact"/>
              <w:ind w:firstLineChars="0"/>
              <w:rPr>
                <w:rFonts w:ascii="Times New Roman" w:hAnsi="Times New Roman"/>
                <w:color w:val="0000FF"/>
                <w:szCs w:val="21"/>
              </w:rPr>
            </w:pPr>
            <w:r>
              <w:rPr>
                <w:rFonts w:ascii="Times New Roman" w:hAnsi="Times New Roman"/>
                <w:color w:val="0000FF"/>
                <w:szCs w:val="21"/>
              </w:rPr>
              <w:t>Ⅳ  □</w:t>
            </w:r>
          </w:p>
        </w:tc>
        <w:tc>
          <w:tcPr>
            <w:tcW w:w="1290" w:type="dxa"/>
            <w:gridSpan w:val="2"/>
            <w:noWrap w:val="0"/>
            <w:vAlign w:val="center"/>
          </w:tcPr>
          <w:p w14:paraId="080AD6BA">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Ⅲ □</w:t>
            </w:r>
          </w:p>
        </w:tc>
        <w:tc>
          <w:tcPr>
            <w:tcW w:w="1442" w:type="dxa"/>
            <w:gridSpan w:val="3"/>
            <w:noWrap w:val="0"/>
            <w:vAlign w:val="center"/>
          </w:tcPr>
          <w:p w14:paraId="2C325EB4">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Ⅱ </w:t>
            </w:r>
            <w:r>
              <w:rPr>
                <w:rFonts w:ascii="Times New Roman" w:hAnsi="Times New Roman"/>
                <w:color w:val="0000FF"/>
                <w:szCs w:val="21"/>
              </w:rPr>
              <w:sym w:font="Wingdings 2" w:char="0052"/>
            </w:r>
          </w:p>
        </w:tc>
        <w:tc>
          <w:tcPr>
            <w:tcW w:w="1757" w:type="dxa"/>
            <w:noWrap w:val="0"/>
            <w:vAlign w:val="center"/>
          </w:tcPr>
          <w:p w14:paraId="3856E579">
            <w:pPr>
              <w:pStyle w:val="62"/>
              <w:spacing w:line="280" w:lineRule="exact"/>
              <w:ind w:firstLineChars="0"/>
              <w:rPr>
                <w:rFonts w:ascii="Times New Roman" w:hAnsi="Times New Roman"/>
                <w:color w:val="0000FF"/>
                <w:szCs w:val="21"/>
              </w:rPr>
            </w:pPr>
            <w:r>
              <w:rPr>
                <w:rFonts w:ascii="Times New Roman" w:hAnsi="Times New Roman"/>
                <w:color w:val="0000FF"/>
                <w:szCs w:val="21"/>
              </w:rPr>
              <w:t>I □</w:t>
            </w:r>
          </w:p>
        </w:tc>
      </w:tr>
      <w:tr w14:paraId="69BB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600" w:type="dxa"/>
            <w:gridSpan w:val="2"/>
            <w:noWrap w:val="0"/>
            <w:vAlign w:val="center"/>
          </w:tcPr>
          <w:p w14:paraId="3495AA29">
            <w:pPr>
              <w:pStyle w:val="62"/>
              <w:spacing w:line="280" w:lineRule="exact"/>
              <w:ind w:firstLineChars="0"/>
              <w:rPr>
                <w:rFonts w:ascii="Times New Roman" w:hAnsi="Times New Roman"/>
                <w:color w:val="0000FF"/>
                <w:szCs w:val="21"/>
              </w:rPr>
            </w:pPr>
            <w:r>
              <w:rPr>
                <w:rFonts w:ascii="Times New Roman" w:hAnsi="Times New Roman"/>
                <w:color w:val="0000FF"/>
                <w:szCs w:val="21"/>
              </w:rPr>
              <w:t>评价等级</w:t>
            </w:r>
          </w:p>
        </w:tc>
        <w:tc>
          <w:tcPr>
            <w:tcW w:w="1657" w:type="dxa"/>
            <w:gridSpan w:val="2"/>
            <w:noWrap w:val="0"/>
            <w:vAlign w:val="center"/>
          </w:tcPr>
          <w:p w14:paraId="40CFF5BC">
            <w:pPr>
              <w:pStyle w:val="62"/>
              <w:spacing w:line="280" w:lineRule="exact"/>
              <w:ind w:firstLineChars="0"/>
              <w:rPr>
                <w:rFonts w:ascii="Times New Roman" w:hAnsi="Times New Roman"/>
                <w:color w:val="0000FF"/>
                <w:szCs w:val="21"/>
              </w:rPr>
            </w:pPr>
            <w:r>
              <w:rPr>
                <w:rFonts w:ascii="Times New Roman" w:hAnsi="Times New Roman"/>
                <w:color w:val="0000FF"/>
                <w:szCs w:val="21"/>
              </w:rPr>
              <w:t>一级□</w:t>
            </w:r>
          </w:p>
        </w:tc>
        <w:tc>
          <w:tcPr>
            <w:tcW w:w="1744" w:type="dxa"/>
            <w:gridSpan w:val="2"/>
            <w:noWrap w:val="0"/>
            <w:vAlign w:val="center"/>
          </w:tcPr>
          <w:p w14:paraId="6284E429">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二级□</w:t>
            </w:r>
          </w:p>
        </w:tc>
        <w:tc>
          <w:tcPr>
            <w:tcW w:w="1741" w:type="dxa"/>
            <w:gridSpan w:val="3"/>
            <w:noWrap w:val="0"/>
            <w:vAlign w:val="center"/>
          </w:tcPr>
          <w:p w14:paraId="0E195F30">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三级</w:t>
            </w:r>
            <w:r>
              <w:rPr>
                <w:rFonts w:ascii="Times New Roman" w:hAnsi="Times New Roman"/>
                <w:color w:val="0000FF"/>
                <w:szCs w:val="21"/>
              </w:rPr>
              <w:sym w:font="Wingdings 2" w:char="0052"/>
            </w:r>
          </w:p>
        </w:tc>
        <w:tc>
          <w:tcPr>
            <w:tcW w:w="2005" w:type="dxa"/>
            <w:gridSpan w:val="2"/>
            <w:noWrap w:val="0"/>
            <w:vAlign w:val="center"/>
          </w:tcPr>
          <w:p w14:paraId="4A7A2237">
            <w:pPr>
              <w:pStyle w:val="62"/>
              <w:spacing w:line="280" w:lineRule="exact"/>
              <w:ind w:firstLineChars="0"/>
              <w:rPr>
                <w:rFonts w:ascii="Times New Roman" w:hAnsi="Times New Roman"/>
                <w:color w:val="0000FF"/>
                <w:szCs w:val="21"/>
              </w:rPr>
            </w:pPr>
            <w:r>
              <w:rPr>
                <w:rFonts w:ascii="Times New Roman" w:hAnsi="Times New Roman"/>
                <w:color w:val="0000FF"/>
                <w:szCs w:val="21"/>
              </w:rPr>
              <w:t>简单分析 □</w:t>
            </w:r>
          </w:p>
        </w:tc>
      </w:tr>
      <w:tr w14:paraId="2780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restart"/>
            <w:noWrap w:val="0"/>
            <w:vAlign w:val="center"/>
          </w:tcPr>
          <w:p w14:paraId="612168BD">
            <w:pPr>
              <w:pStyle w:val="62"/>
              <w:spacing w:line="280" w:lineRule="exact"/>
              <w:ind w:firstLineChars="0"/>
              <w:rPr>
                <w:rFonts w:ascii="Times New Roman" w:hAnsi="Times New Roman"/>
                <w:color w:val="0000FF"/>
                <w:szCs w:val="21"/>
              </w:rPr>
            </w:pPr>
            <w:r>
              <w:rPr>
                <w:rFonts w:ascii="Times New Roman" w:hAnsi="Times New Roman"/>
                <w:color w:val="0000FF"/>
                <w:szCs w:val="21"/>
              </w:rPr>
              <w:t>风险识别</w:t>
            </w:r>
          </w:p>
        </w:tc>
        <w:tc>
          <w:tcPr>
            <w:tcW w:w="966" w:type="dxa"/>
            <w:noWrap w:val="0"/>
            <w:vAlign w:val="center"/>
          </w:tcPr>
          <w:p w14:paraId="34F95562">
            <w:pPr>
              <w:pStyle w:val="62"/>
              <w:spacing w:line="280" w:lineRule="exact"/>
              <w:ind w:firstLineChars="0"/>
              <w:rPr>
                <w:rFonts w:ascii="Times New Roman" w:hAnsi="Times New Roman"/>
                <w:color w:val="0000FF"/>
                <w:szCs w:val="21"/>
              </w:rPr>
            </w:pPr>
            <w:r>
              <w:rPr>
                <w:rFonts w:ascii="Times New Roman" w:hAnsi="Times New Roman"/>
                <w:color w:val="0000FF"/>
                <w:szCs w:val="21"/>
              </w:rPr>
              <w:t>物质危险性</w:t>
            </w:r>
          </w:p>
        </w:tc>
        <w:tc>
          <w:tcPr>
            <w:tcW w:w="3401" w:type="dxa"/>
            <w:gridSpan w:val="4"/>
            <w:noWrap w:val="0"/>
            <w:vAlign w:val="center"/>
          </w:tcPr>
          <w:p w14:paraId="5FB000A5">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有毒有害 </w:t>
            </w:r>
            <w:r>
              <w:rPr>
                <w:rFonts w:ascii="Times New Roman" w:hAnsi="Times New Roman"/>
                <w:color w:val="0000FF"/>
                <w:szCs w:val="21"/>
              </w:rPr>
              <w:sym w:font="Wingdings 2" w:char="0052"/>
            </w:r>
          </w:p>
        </w:tc>
        <w:tc>
          <w:tcPr>
            <w:tcW w:w="3746" w:type="dxa"/>
            <w:gridSpan w:val="5"/>
            <w:noWrap w:val="0"/>
            <w:vAlign w:val="center"/>
          </w:tcPr>
          <w:p w14:paraId="3A51CEF6">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易燃易爆 □</w:t>
            </w:r>
          </w:p>
        </w:tc>
      </w:tr>
      <w:tr w14:paraId="0495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510C37FB">
            <w:pPr>
              <w:pStyle w:val="62"/>
              <w:spacing w:line="280" w:lineRule="exact"/>
              <w:ind w:firstLineChars="0"/>
              <w:rPr>
                <w:rFonts w:ascii="Times New Roman" w:hAnsi="Times New Roman"/>
                <w:color w:val="0000FF"/>
                <w:szCs w:val="21"/>
              </w:rPr>
            </w:pPr>
          </w:p>
        </w:tc>
        <w:tc>
          <w:tcPr>
            <w:tcW w:w="966" w:type="dxa"/>
            <w:noWrap w:val="0"/>
            <w:vAlign w:val="center"/>
          </w:tcPr>
          <w:p w14:paraId="5CB8BB50">
            <w:pPr>
              <w:pStyle w:val="62"/>
              <w:spacing w:line="280" w:lineRule="exact"/>
              <w:ind w:firstLineChars="0"/>
              <w:rPr>
                <w:rFonts w:ascii="Times New Roman" w:hAnsi="Times New Roman"/>
                <w:color w:val="0000FF"/>
                <w:szCs w:val="21"/>
              </w:rPr>
            </w:pPr>
            <w:r>
              <w:rPr>
                <w:rFonts w:ascii="Times New Roman" w:hAnsi="Times New Roman"/>
                <w:color w:val="0000FF"/>
                <w:szCs w:val="21"/>
              </w:rPr>
              <w:t>环境风险类别</w:t>
            </w:r>
          </w:p>
        </w:tc>
        <w:tc>
          <w:tcPr>
            <w:tcW w:w="2658" w:type="dxa"/>
            <w:gridSpan w:val="3"/>
            <w:noWrap w:val="0"/>
            <w:vAlign w:val="center"/>
          </w:tcPr>
          <w:p w14:paraId="5D138D5C">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泄漏 </w:t>
            </w:r>
            <w:r>
              <w:rPr>
                <w:rFonts w:ascii="Times New Roman" w:hAnsi="Times New Roman"/>
                <w:color w:val="0000FF"/>
                <w:szCs w:val="21"/>
              </w:rPr>
              <w:sym w:font="Wingdings 2" w:char="0052"/>
            </w:r>
          </w:p>
        </w:tc>
        <w:tc>
          <w:tcPr>
            <w:tcW w:w="4489" w:type="dxa"/>
            <w:gridSpan w:val="6"/>
            <w:noWrap w:val="0"/>
            <w:vAlign w:val="center"/>
          </w:tcPr>
          <w:p w14:paraId="57E44208">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火灾、爆炸引发伴生/次生污染物排放 □</w:t>
            </w:r>
          </w:p>
        </w:tc>
      </w:tr>
      <w:tr w14:paraId="1119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6EAE872B">
            <w:pPr>
              <w:pStyle w:val="62"/>
              <w:spacing w:line="280" w:lineRule="exact"/>
              <w:ind w:firstLineChars="0"/>
              <w:rPr>
                <w:rFonts w:ascii="Times New Roman" w:hAnsi="Times New Roman"/>
                <w:color w:val="0000FF"/>
                <w:szCs w:val="21"/>
              </w:rPr>
            </w:pPr>
          </w:p>
        </w:tc>
        <w:tc>
          <w:tcPr>
            <w:tcW w:w="966" w:type="dxa"/>
            <w:noWrap w:val="0"/>
            <w:vAlign w:val="center"/>
          </w:tcPr>
          <w:p w14:paraId="536E86A6">
            <w:pPr>
              <w:pStyle w:val="62"/>
              <w:spacing w:line="280" w:lineRule="exact"/>
              <w:ind w:firstLineChars="0"/>
              <w:rPr>
                <w:rFonts w:ascii="Times New Roman" w:hAnsi="Times New Roman"/>
                <w:color w:val="0000FF"/>
                <w:szCs w:val="21"/>
              </w:rPr>
            </w:pPr>
            <w:r>
              <w:rPr>
                <w:rFonts w:ascii="Times New Roman" w:hAnsi="Times New Roman"/>
                <w:color w:val="0000FF"/>
                <w:szCs w:val="21"/>
              </w:rPr>
              <w:t>影响途径</w:t>
            </w:r>
          </w:p>
        </w:tc>
        <w:tc>
          <w:tcPr>
            <w:tcW w:w="3401" w:type="dxa"/>
            <w:gridSpan w:val="4"/>
            <w:noWrap w:val="0"/>
            <w:vAlign w:val="center"/>
          </w:tcPr>
          <w:p w14:paraId="378AF93D">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大气 </w:t>
            </w:r>
            <w:r>
              <w:rPr>
                <w:rFonts w:ascii="Times New Roman" w:hAnsi="Times New Roman"/>
                <w:color w:val="0000FF"/>
                <w:szCs w:val="21"/>
              </w:rPr>
              <w:sym w:font="Wingdings 2" w:char="0052"/>
            </w:r>
          </w:p>
        </w:tc>
        <w:tc>
          <w:tcPr>
            <w:tcW w:w="1741" w:type="dxa"/>
            <w:gridSpan w:val="3"/>
            <w:noWrap w:val="0"/>
            <w:vAlign w:val="center"/>
          </w:tcPr>
          <w:p w14:paraId="1ADDCBDE">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地表水 </w:t>
            </w:r>
            <w:r>
              <w:rPr>
                <w:rFonts w:ascii="Times New Roman" w:hAnsi="Times New Roman"/>
                <w:color w:val="0000FF"/>
                <w:szCs w:val="21"/>
              </w:rPr>
              <w:sym w:font="Wingdings 2" w:char="0052"/>
            </w:r>
          </w:p>
        </w:tc>
        <w:tc>
          <w:tcPr>
            <w:tcW w:w="2005" w:type="dxa"/>
            <w:gridSpan w:val="2"/>
            <w:noWrap w:val="0"/>
            <w:vAlign w:val="center"/>
          </w:tcPr>
          <w:p w14:paraId="4B8678A0">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地下水 </w:t>
            </w:r>
            <w:r>
              <w:rPr>
                <w:rFonts w:ascii="Times New Roman" w:hAnsi="Times New Roman"/>
                <w:color w:val="0000FF"/>
                <w:szCs w:val="21"/>
              </w:rPr>
              <w:sym w:font="Wingdings 2" w:char="0052"/>
            </w:r>
          </w:p>
        </w:tc>
      </w:tr>
      <w:tr w14:paraId="1E36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600" w:type="dxa"/>
            <w:gridSpan w:val="2"/>
            <w:noWrap w:val="0"/>
            <w:vAlign w:val="center"/>
          </w:tcPr>
          <w:p w14:paraId="35474603">
            <w:pPr>
              <w:pStyle w:val="62"/>
              <w:spacing w:line="280" w:lineRule="exact"/>
              <w:ind w:firstLineChars="0"/>
              <w:rPr>
                <w:rFonts w:ascii="Times New Roman" w:hAnsi="Times New Roman"/>
                <w:color w:val="0000FF"/>
                <w:szCs w:val="21"/>
              </w:rPr>
            </w:pPr>
            <w:r>
              <w:rPr>
                <w:rFonts w:ascii="Times New Roman" w:hAnsi="Times New Roman"/>
                <w:color w:val="0000FF"/>
                <w:szCs w:val="21"/>
              </w:rPr>
              <w:t>事故情形分析</w:t>
            </w:r>
          </w:p>
        </w:tc>
        <w:tc>
          <w:tcPr>
            <w:tcW w:w="1657" w:type="dxa"/>
            <w:gridSpan w:val="2"/>
            <w:noWrap w:val="0"/>
            <w:vAlign w:val="center"/>
          </w:tcPr>
          <w:p w14:paraId="692F4F54">
            <w:pPr>
              <w:pStyle w:val="62"/>
              <w:spacing w:line="280" w:lineRule="exact"/>
              <w:ind w:firstLineChars="0"/>
              <w:rPr>
                <w:rFonts w:ascii="Times New Roman" w:hAnsi="Times New Roman"/>
                <w:color w:val="0000FF"/>
                <w:szCs w:val="21"/>
              </w:rPr>
            </w:pPr>
            <w:r>
              <w:rPr>
                <w:rFonts w:ascii="Times New Roman" w:hAnsi="Times New Roman"/>
                <w:color w:val="0000FF"/>
                <w:szCs w:val="21"/>
              </w:rPr>
              <w:t>源强设定方法</w:t>
            </w:r>
          </w:p>
        </w:tc>
        <w:tc>
          <w:tcPr>
            <w:tcW w:w="1744" w:type="dxa"/>
            <w:gridSpan w:val="2"/>
            <w:noWrap w:val="0"/>
            <w:vAlign w:val="center"/>
          </w:tcPr>
          <w:p w14:paraId="187E8A1A">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 xml:space="preserve">计算法 </w:t>
            </w:r>
            <w:r>
              <w:rPr>
                <w:rFonts w:ascii="Times New Roman" w:hAnsi="Times New Roman"/>
                <w:color w:val="0000FF"/>
                <w:szCs w:val="21"/>
              </w:rPr>
              <w:sym w:font="Wingdings 2" w:char="0052"/>
            </w:r>
          </w:p>
        </w:tc>
        <w:tc>
          <w:tcPr>
            <w:tcW w:w="1741" w:type="dxa"/>
            <w:gridSpan w:val="3"/>
            <w:noWrap w:val="0"/>
            <w:vAlign w:val="center"/>
          </w:tcPr>
          <w:p w14:paraId="4145F09A">
            <w:pPr>
              <w:pStyle w:val="62"/>
              <w:spacing w:line="280" w:lineRule="exact"/>
              <w:ind w:firstLineChars="0"/>
              <w:rPr>
                <w:rFonts w:ascii="Times New Roman" w:hAnsi="Times New Roman"/>
                <w:color w:val="0000FF"/>
                <w:szCs w:val="21"/>
              </w:rPr>
            </w:pPr>
            <w:r>
              <w:rPr>
                <w:rFonts w:ascii="Times New Roman" w:hAnsi="Times New Roman"/>
                <w:color w:val="0000FF"/>
                <w:szCs w:val="21"/>
              </w:rPr>
              <w:t>经验估算法 □</w:t>
            </w:r>
          </w:p>
        </w:tc>
        <w:tc>
          <w:tcPr>
            <w:tcW w:w="2005" w:type="dxa"/>
            <w:gridSpan w:val="2"/>
            <w:noWrap w:val="0"/>
            <w:vAlign w:val="center"/>
          </w:tcPr>
          <w:p w14:paraId="2F9119D7">
            <w:pPr>
              <w:pStyle w:val="62"/>
              <w:spacing w:line="280" w:lineRule="exact"/>
              <w:ind w:firstLineChars="0"/>
              <w:rPr>
                <w:rFonts w:ascii="Times New Roman" w:hAnsi="Times New Roman"/>
                <w:color w:val="0000FF"/>
                <w:szCs w:val="21"/>
              </w:rPr>
            </w:pPr>
            <w:r>
              <w:rPr>
                <w:rFonts w:ascii="Times New Roman" w:hAnsi="Times New Roman"/>
                <w:color w:val="0000FF"/>
                <w:szCs w:val="21"/>
              </w:rPr>
              <w:t>其他估算法 □</w:t>
            </w:r>
          </w:p>
        </w:tc>
      </w:tr>
      <w:tr w14:paraId="5B16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restart"/>
            <w:noWrap w:val="0"/>
            <w:vAlign w:val="center"/>
          </w:tcPr>
          <w:p w14:paraId="41B826E5">
            <w:pPr>
              <w:pStyle w:val="62"/>
              <w:spacing w:line="280" w:lineRule="exact"/>
              <w:ind w:firstLineChars="0"/>
              <w:rPr>
                <w:rFonts w:ascii="Times New Roman" w:hAnsi="Times New Roman"/>
                <w:color w:val="0000FF"/>
                <w:szCs w:val="21"/>
              </w:rPr>
            </w:pPr>
            <w:r>
              <w:rPr>
                <w:rFonts w:ascii="Times New Roman" w:hAnsi="Times New Roman"/>
                <w:color w:val="0000FF"/>
                <w:szCs w:val="21"/>
              </w:rPr>
              <w:t>环境风险预测与评价</w:t>
            </w:r>
          </w:p>
        </w:tc>
        <w:tc>
          <w:tcPr>
            <w:tcW w:w="966" w:type="dxa"/>
            <w:vMerge w:val="restart"/>
            <w:noWrap w:val="0"/>
            <w:vAlign w:val="center"/>
          </w:tcPr>
          <w:p w14:paraId="15C064C2">
            <w:pPr>
              <w:pStyle w:val="62"/>
              <w:spacing w:line="280" w:lineRule="exact"/>
              <w:ind w:firstLineChars="0"/>
              <w:rPr>
                <w:rFonts w:ascii="Times New Roman" w:hAnsi="Times New Roman"/>
                <w:color w:val="0000FF"/>
                <w:szCs w:val="21"/>
              </w:rPr>
            </w:pPr>
            <w:r>
              <w:rPr>
                <w:rFonts w:ascii="Times New Roman" w:hAnsi="Times New Roman"/>
                <w:color w:val="0000FF"/>
                <w:szCs w:val="21"/>
              </w:rPr>
              <w:t>大气</w:t>
            </w:r>
          </w:p>
        </w:tc>
        <w:tc>
          <w:tcPr>
            <w:tcW w:w="1657" w:type="dxa"/>
            <w:gridSpan w:val="2"/>
            <w:noWrap w:val="0"/>
            <w:vAlign w:val="center"/>
          </w:tcPr>
          <w:p w14:paraId="519C6BEF">
            <w:pPr>
              <w:pStyle w:val="62"/>
              <w:spacing w:line="280" w:lineRule="exact"/>
              <w:ind w:firstLineChars="0"/>
              <w:rPr>
                <w:rFonts w:ascii="Times New Roman" w:hAnsi="Times New Roman"/>
                <w:color w:val="0000FF"/>
                <w:szCs w:val="21"/>
              </w:rPr>
            </w:pPr>
            <w:r>
              <w:rPr>
                <w:rFonts w:ascii="Times New Roman" w:hAnsi="Times New Roman"/>
                <w:color w:val="0000FF"/>
                <w:szCs w:val="21"/>
              </w:rPr>
              <w:t>预测模型</w:t>
            </w:r>
          </w:p>
        </w:tc>
        <w:tc>
          <w:tcPr>
            <w:tcW w:w="1744" w:type="dxa"/>
            <w:gridSpan w:val="2"/>
            <w:noWrap w:val="0"/>
            <w:vAlign w:val="center"/>
          </w:tcPr>
          <w:p w14:paraId="581A631D">
            <w:pPr>
              <w:pStyle w:val="62"/>
              <w:spacing w:line="280" w:lineRule="exact"/>
              <w:ind w:firstLineChars="0"/>
              <w:rPr>
                <w:rFonts w:ascii="Times New Roman" w:hAnsi="Times New Roman"/>
                <w:color w:val="0000FF"/>
                <w:szCs w:val="21"/>
              </w:rPr>
            </w:pPr>
            <w:r>
              <w:rPr>
                <w:rFonts w:ascii="Times New Roman" w:hAnsi="Times New Roman"/>
                <w:color w:val="0000FF"/>
                <w:szCs w:val="21"/>
              </w:rPr>
              <w:t>SLAB □</w:t>
            </w:r>
          </w:p>
        </w:tc>
        <w:tc>
          <w:tcPr>
            <w:tcW w:w="1741" w:type="dxa"/>
            <w:gridSpan w:val="3"/>
            <w:noWrap w:val="0"/>
            <w:vAlign w:val="center"/>
          </w:tcPr>
          <w:p w14:paraId="21CE9B37">
            <w:pPr>
              <w:pStyle w:val="62"/>
              <w:spacing w:line="280" w:lineRule="exact"/>
              <w:ind w:firstLineChars="0"/>
              <w:rPr>
                <w:rFonts w:hint="eastAsia" w:ascii="Times New Roman" w:hAnsi="Times New Roman"/>
                <w:color w:val="0000FF"/>
                <w:szCs w:val="21"/>
              </w:rPr>
            </w:pPr>
            <w:r>
              <w:rPr>
                <w:rFonts w:ascii="Times New Roman" w:hAnsi="Times New Roman"/>
                <w:color w:val="0000FF"/>
                <w:szCs w:val="21"/>
              </w:rPr>
              <w:t>AFTOX □</w:t>
            </w:r>
          </w:p>
        </w:tc>
        <w:tc>
          <w:tcPr>
            <w:tcW w:w="2005" w:type="dxa"/>
            <w:gridSpan w:val="2"/>
            <w:noWrap w:val="0"/>
            <w:vAlign w:val="center"/>
          </w:tcPr>
          <w:p w14:paraId="1CEE603D">
            <w:pPr>
              <w:pStyle w:val="62"/>
              <w:spacing w:line="280" w:lineRule="exact"/>
              <w:ind w:firstLineChars="0"/>
              <w:rPr>
                <w:rFonts w:ascii="Times New Roman" w:hAnsi="Times New Roman"/>
                <w:color w:val="0000FF"/>
                <w:szCs w:val="21"/>
              </w:rPr>
            </w:pPr>
            <w:r>
              <w:rPr>
                <w:rFonts w:ascii="Times New Roman" w:hAnsi="Times New Roman"/>
                <w:color w:val="0000FF"/>
                <w:szCs w:val="21"/>
              </w:rPr>
              <w:t>其他  □</w:t>
            </w:r>
          </w:p>
        </w:tc>
      </w:tr>
      <w:tr w14:paraId="0B0B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177D8362">
            <w:pPr>
              <w:pStyle w:val="62"/>
              <w:spacing w:line="280" w:lineRule="exact"/>
              <w:ind w:firstLineChars="0"/>
              <w:rPr>
                <w:rFonts w:ascii="Times New Roman" w:hAnsi="Times New Roman"/>
                <w:color w:val="0000FF"/>
                <w:szCs w:val="21"/>
              </w:rPr>
            </w:pPr>
          </w:p>
        </w:tc>
        <w:tc>
          <w:tcPr>
            <w:tcW w:w="966" w:type="dxa"/>
            <w:vMerge w:val="continue"/>
            <w:noWrap w:val="0"/>
            <w:vAlign w:val="center"/>
          </w:tcPr>
          <w:p w14:paraId="3269FAD2">
            <w:pPr>
              <w:pStyle w:val="62"/>
              <w:spacing w:line="280" w:lineRule="exact"/>
              <w:ind w:firstLineChars="0"/>
              <w:rPr>
                <w:rFonts w:ascii="Times New Roman" w:hAnsi="Times New Roman"/>
                <w:color w:val="0000FF"/>
                <w:szCs w:val="21"/>
              </w:rPr>
            </w:pPr>
          </w:p>
        </w:tc>
        <w:tc>
          <w:tcPr>
            <w:tcW w:w="1657" w:type="dxa"/>
            <w:gridSpan w:val="2"/>
            <w:vMerge w:val="restart"/>
            <w:noWrap w:val="0"/>
            <w:vAlign w:val="center"/>
          </w:tcPr>
          <w:p w14:paraId="5981016D">
            <w:pPr>
              <w:pStyle w:val="62"/>
              <w:spacing w:line="280" w:lineRule="exact"/>
              <w:ind w:firstLineChars="0"/>
              <w:rPr>
                <w:rFonts w:ascii="Times New Roman" w:hAnsi="Times New Roman"/>
                <w:color w:val="0000FF"/>
                <w:szCs w:val="21"/>
              </w:rPr>
            </w:pPr>
            <w:r>
              <w:rPr>
                <w:rFonts w:ascii="Times New Roman" w:hAnsi="Times New Roman"/>
                <w:color w:val="0000FF"/>
                <w:szCs w:val="21"/>
              </w:rPr>
              <w:t>预测结果</w:t>
            </w:r>
          </w:p>
        </w:tc>
        <w:tc>
          <w:tcPr>
            <w:tcW w:w="5490" w:type="dxa"/>
            <w:gridSpan w:val="7"/>
            <w:noWrap w:val="0"/>
            <w:vAlign w:val="center"/>
          </w:tcPr>
          <w:p w14:paraId="7DA4A73C">
            <w:pPr>
              <w:pStyle w:val="62"/>
              <w:spacing w:line="280" w:lineRule="exact"/>
              <w:ind w:firstLineChars="0"/>
              <w:rPr>
                <w:rFonts w:ascii="Times New Roman" w:hAnsi="Times New Roman"/>
                <w:color w:val="0000FF"/>
                <w:szCs w:val="21"/>
              </w:rPr>
            </w:pPr>
            <w:r>
              <w:rPr>
                <w:rFonts w:ascii="Times New Roman" w:hAnsi="Times New Roman"/>
                <w:color w:val="0000FF"/>
                <w:szCs w:val="21"/>
              </w:rPr>
              <w:t>大气毒性终点浓度-1 最大影响范围</w:t>
            </w:r>
            <w:r>
              <w:rPr>
                <w:rFonts w:hint="eastAsia" w:ascii="Times New Roman" w:hAnsi="Times New Roman"/>
                <w:color w:val="0000FF"/>
                <w:szCs w:val="21"/>
                <w:lang w:val="en-US" w:eastAsia="zh-CN"/>
              </w:rPr>
              <w:t>300</w:t>
            </w:r>
            <w:r>
              <w:rPr>
                <w:rFonts w:ascii="Times New Roman" w:hAnsi="Times New Roman"/>
                <w:color w:val="0000FF"/>
                <w:szCs w:val="21"/>
              </w:rPr>
              <w:t>m</w:t>
            </w:r>
          </w:p>
        </w:tc>
      </w:tr>
      <w:tr w14:paraId="3448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76FAFBA8">
            <w:pPr>
              <w:pStyle w:val="62"/>
              <w:spacing w:line="280" w:lineRule="exact"/>
              <w:ind w:firstLineChars="0"/>
              <w:rPr>
                <w:rFonts w:ascii="Times New Roman" w:hAnsi="Times New Roman"/>
                <w:color w:val="0000FF"/>
                <w:szCs w:val="21"/>
              </w:rPr>
            </w:pPr>
          </w:p>
        </w:tc>
        <w:tc>
          <w:tcPr>
            <w:tcW w:w="966" w:type="dxa"/>
            <w:vMerge w:val="continue"/>
            <w:noWrap w:val="0"/>
            <w:vAlign w:val="center"/>
          </w:tcPr>
          <w:p w14:paraId="05470327">
            <w:pPr>
              <w:pStyle w:val="62"/>
              <w:spacing w:line="280" w:lineRule="exact"/>
              <w:ind w:firstLineChars="0"/>
              <w:rPr>
                <w:rFonts w:ascii="Times New Roman" w:hAnsi="Times New Roman"/>
                <w:color w:val="0000FF"/>
                <w:szCs w:val="21"/>
              </w:rPr>
            </w:pPr>
          </w:p>
        </w:tc>
        <w:tc>
          <w:tcPr>
            <w:tcW w:w="1657" w:type="dxa"/>
            <w:gridSpan w:val="2"/>
            <w:vMerge w:val="continue"/>
            <w:noWrap w:val="0"/>
            <w:vAlign w:val="center"/>
          </w:tcPr>
          <w:p w14:paraId="0F201272">
            <w:pPr>
              <w:pStyle w:val="62"/>
              <w:spacing w:line="280" w:lineRule="exact"/>
              <w:ind w:firstLineChars="0"/>
              <w:rPr>
                <w:rFonts w:ascii="Times New Roman" w:hAnsi="Times New Roman"/>
                <w:color w:val="0000FF"/>
                <w:szCs w:val="21"/>
              </w:rPr>
            </w:pPr>
          </w:p>
        </w:tc>
        <w:tc>
          <w:tcPr>
            <w:tcW w:w="5490" w:type="dxa"/>
            <w:gridSpan w:val="7"/>
            <w:noWrap w:val="0"/>
            <w:vAlign w:val="center"/>
          </w:tcPr>
          <w:p w14:paraId="27C7D2E6">
            <w:pPr>
              <w:pStyle w:val="62"/>
              <w:spacing w:line="280" w:lineRule="exact"/>
              <w:ind w:firstLineChars="0"/>
              <w:rPr>
                <w:rFonts w:ascii="Times New Roman" w:hAnsi="Times New Roman"/>
                <w:color w:val="0000FF"/>
                <w:szCs w:val="21"/>
              </w:rPr>
            </w:pPr>
            <w:r>
              <w:rPr>
                <w:rFonts w:ascii="Times New Roman" w:hAnsi="Times New Roman"/>
                <w:color w:val="0000FF"/>
                <w:szCs w:val="21"/>
              </w:rPr>
              <w:t>大气毒性终点浓度-2 最大影响范围</w:t>
            </w:r>
            <w:r>
              <w:rPr>
                <w:rFonts w:hint="eastAsia" w:ascii="Times New Roman" w:hAnsi="Times New Roman"/>
                <w:color w:val="0000FF"/>
                <w:szCs w:val="21"/>
                <w:lang w:val="en-US" w:eastAsia="zh-CN"/>
              </w:rPr>
              <w:t>700</w:t>
            </w:r>
            <w:r>
              <w:rPr>
                <w:rFonts w:ascii="Times New Roman" w:hAnsi="Times New Roman"/>
                <w:color w:val="0000FF"/>
                <w:szCs w:val="21"/>
              </w:rPr>
              <w:t>m</w:t>
            </w:r>
          </w:p>
        </w:tc>
      </w:tr>
      <w:tr w14:paraId="47F9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0C5C2572">
            <w:pPr>
              <w:pStyle w:val="62"/>
              <w:spacing w:line="280" w:lineRule="exact"/>
              <w:ind w:firstLineChars="0"/>
              <w:rPr>
                <w:rFonts w:ascii="Times New Roman" w:hAnsi="Times New Roman"/>
                <w:color w:val="0000FF"/>
                <w:szCs w:val="21"/>
              </w:rPr>
            </w:pPr>
          </w:p>
        </w:tc>
        <w:tc>
          <w:tcPr>
            <w:tcW w:w="966" w:type="dxa"/>
            <w:noWrap w:val="0"/>
            <w:vAlign w:val="center"/>
          </w:tcPr>
          <w:p w14:paraId="37F67133">
            <w:pPr>
              <w:pStyle w:val="62"/>
              <w:spacing w:line="280" w:lineRule="exact"/>
              <w:ind w:firstLineChars="0"/>
              <w:rPr>
                <w:rFonts w:ascii="Times New Roman" w:hAnsi="Times New Roman"/>
                <w:color w:val="0000FF"/>
                <w:szCs w:val="21"/>
              </w:rPr>
            </w:pPr>
            <w:r>
              <w:rPr>
                <w:rFonts w:ascii="Times New Roman" w:hAnsi="Times New Roman"/>
                <w:color w:val="0000FF"/>
                <w:szCs w:val="21"/>
              </w:rPr>
              <w:t>地表水</w:t>
            </w:r>
          </w:p>
        </w:tc>
        <w:tc>
          <w:tcPr>
            <w:tcW w:w="7147" w:type="dxa"/>
            <w:gridSpan w:val="9"/>
            <w:noWrap w:val="0"/>
            <w:vAlign w:val="center"/>
          </w:tcPr>
          <w:p w14:paraId="5183C033">
            <w:pPr>
              <w:pStyle w:val="62"/>
              <w:spacing w:line="280" w:lineRule="exact"/>
              <w:ind w:firstLineChars="0"/>
              <w:rPr>
                <w:rFonts w:ascii="Times New Roman" w:hAnsi="Times New Roman"/>
                <w:color w:val="0000FF"/>
                <w:szCs w:val="21"/>
              </w:rPr>
            </w:pPr>
            <w:r>
              <w:rPr>
                <w:rFonts w:ascii="Times New Roman" w:hAnsi="Times New Roman"/>
                <w:color w:val="0000FF"/>
                <w:szCs w:val="21"/>
              </w:rPr>
              <w:t>最近环境敏感目标：</w:t>
            </w:r>
            <w:r>
              <w:rPr>
                <w:rFonts w:hint="eastAsia" w:ascii="Times New Roman" w:hAnsi="Times New Roman"/>
                <w:color w:val="0000FF"/>
                <w:szCs w:val="21"/>
                <w:lang w:eastAsia="zh-CN"/>
              </w:rPr>
              <w:t>无</w:t>
            </w:r>
            <w:r>
              <w:rPr>
                <w:rFonts w:ascii="Times New Roman" w:hAnsi="Times New Roman"/>
                <w:color w:val="0000FF"/>
                <w:szCs w:val="21"/>
              </w:rPr>
              <w:t>，到达时间：</w:t>
            </w:r>
            <w:r>
              <w:rPr>
                <w:rFonts w:hint="eastAsia" w:ascii="Times New Roman" w:hAnsi="Times New Roman"/>
                <w:color w:val="0000FF"/>
                <w:szCs w:val="21"/>
              </w:rPr>
              <w:t xml:space="preserve">  </w:t>
            </w:r>
          </w:p>
        </w:tc>
      </w:tr>
      <w:tr w14:paraId="2547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2AE37FD8">
            <w:pPr>
              <w:pStyle w:val="62"/>
              <w:spacing w:line="280" w:lineRule="exact"/>
              <w:ind w:firstLineChars="0"/>
              <w:rPr>
                <w:rFonts w:ascii="Times New Roman" w:hAnsi="Times New Roman"/>
                <w:color w:val="0000FF"/>
                <w:szCs w:val="21"/>
              </w:rPr>
            </w:pPr>
          </w:p>
        </w:tc>
        <w:tc>
          <w:tcPr>
            <w:tcW w:w="966" w:type="dxa"/>
            <w:vMerge w:val="restart"/>
            <w:noWrap w:val="0"/>
            <w:vAlign w:val="center"/>
          </w:tcPr>
          <w:p w14:paraId="5D870568">
            <w:pPr>
              <w:pStyle w:val="62"/>
              <w:spacing w:line="280" w:lineRule="exact"/>
              <w:ind w:firstLineChars="0"/>
              <w:rPr>
                <w:rFonts w:ascii="Times New Roman" w:hAnsi="Times New Roman"/>
                <w:color w:val="0000FF"/>
                <w:szCs w:val="21"/>
              </w:rPr>
            </w:pPr>
            <w:r>
              <w:rPr>
                <w:rFonts w:ascii="Times New Roman" w:hAnsi="Times New Roman"/>
                <w:color w:val="0000FF"/>
                <w:szCs w:val="21"/>
              </w:rPr>
              <w:t>地下水</w:t>
            </w:r>
          </w:p>
        </w:tc>
        <w:tc>
          <w:tcPr>
            <w:tcW w:w="7147" w:type="dxa"/>
            <w:gridSpan w:val="9"/>
            <w:noWrap w:val="0"/>
            <w:vAlign w:val="center"/>
          </w:tcPr>
          <w:p w14:paraId="43F5A317">
            <w:pPr>
              <w:pStyle w:val="62"/>
              <w:spacing w:line="280" w:lineRule="exact"/>
              <w:ind w:firstLineChars="0"/>
              <w:rPr>
                <w:rFonts w:ascii="Times New Roman" w:hAnsi="Times New Roman"/>
                <w:color w:val="0000FF"/>
                <w:szCs w:val="21"/>
              </w:rPr>
            </w:pPr>
            <w:r>
              <w:rPr>
                <w:rFonts w:ascii="Times New Roman" w:hAnsi="Times New Roman"/>
                <w:color w:val="0000FF"/>
                <w:szCs w:val="21"/>
              </w:rPr>
              <w:t>下游厂区边界到达时间：</w:t>
            </w:r>
            <w:r>
              <w:rPr>
                <w:rFonts w:hint="eastAsia" w:ascii="Times New Roman" w:hAnsi="Times New Roman"/>
                <w:color w:val="0000FF"/>
                <w:szCs w:val="21"/>
              </w:rPr>
              <w:t xml:space="preserve">  </w:t>
            </w:r>
          </w:p>
        </w:tc>
      </w:tr>
      <w:tr w14:paraId="22BD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4" w:type="dxa"/>
            <w:vMerge w:val="continue"/>
            <w:noWrap w:val="0"/>
            <w:vAlign w:val="center"/>
          </w:tcPr>
          <w:p w14:paraId="7BF46C2A">
            <w:pPr>
              <w:pStyle w:val="62"/>
              <w:spacing w:line="280" w:lineRule="exact"/>
              <w:ind w:firstLineChars="0"/>
              <w:rPr>
                <w:rFonts w:ascii="Times New Roman" w:hAnsi="Times New Roman"/>
                <w:color w:val="0000FF"/>
                <w:szCs w:val="21"/>
              </w:rPr>
            </w:pPr>
          </w:p>
        </w:tc>
        <w:tc>
          <w:tcPr>
            <w:tcW w:w="966" w:type="dxa"/>
            <w:vMerge w:val="continue"/>
            <w:noWrap w:val="0"/>
            <w:vAlign w:val="center"/>
          </w:tcPr>
          <w:p w14:paraId="5CC7C7A2">
            <w:pPr>
              <w:pStyle w:val="62"/>
              <w:spacing w:line="280" w:lineRule="exact"/>
              <w:ind w:firstLineChars="0"/>
              <w:rPr>
                <w:rFonts w:ascii="Times New Roman" w:hAnsi="Times New Roman"/>
                <w:color w:val="0000FF"/>
                <w:szCs w:val="21"/>
              </w:rPr>
            </w:pPr>
          </w:p>
        </w:tc>
        <w:tc>
          <w:tcPr>
            <w:tcW w:w="7147" w:type="dxa"/>
            <w:gridSpan w:val="9"/>
            <w:noWrap w:val="0"/>
            <w:vAlign w:val="center"/>
          </w:tcPr>
          <w:p w14:paraId="039BC9D3">
            <w:pPr>
              <w:pStyle w:val="62"/>
              <w:spacing w:line="280" w:lineRule="exact"/>
              <w:ind w:firstLineChars="0"/>
              <w:rPr>
                <w:rFonts w:ascii="Times New Roman" w:hAnsi="Times New Roman"/>
                <w:color w:val="0000FF"/>
                <w:szCs w:val="21"/>
              </w:rPr>
            </w:pPr>
            <w:r>
              <w:rPr>
                <w:rFonts w:ascii="Times New Roman" w:hAnsi="Times New Roman"/>
                <w:color w:val="0000FF"/>
                <w:szCs w:val="21"/>
              </w:rPr>
              <w:t>最近环境敏感目标：无，到达时间：</w:t>
            </w:r>
            <w:r>
              <w:rPr>
                <w:rFonts w:hint="eastAsia" w:ascii="Times New Roman" w:hAnsi="Times New Roman"/>
                <w:color w:val="0000FF"/>
                <w:szCs w:val="21"/>
              </w:rPr>
              <w:t xml:space="preserve">  </w:t>
            </w:r>
          </w:p>
        </w:tc>
      </w:tr>
      <w:tr w14:paraId="72A5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1600" w:type="dxa"/>
            <w:gridSpan w:val="2"/>
            <w:noWrap w:val="0"/>
            <w:vAlign w:val="center"/>
          </w:tcPr>
          <w:p w14:paraId="372F6667">
            <w:pPr>
              <w:pStyle w:val="62"/>
              <w:spacing w:line="280" w:lineRule="exact"/>
              <w:ind w:firstLineChars="0"/>
              <w:rPr>
                <w:rFonts w:ascii="Times New Roman" w:hAnsi="Times New Roman"/>
                <w:color w:val="0000FF"/>
                <w:szCs w:val="21"/>
              </w:rPr>
            </w:pPr>
            <w:r>
              <w:rPr>
                <w:rFonts w:ascii="Times New Roman" w:hAnsi="Times New Roman"/>
                <w:color w:val="0000FF"/>
                <w:szCs w:val="21"/>
              </w:rPr>
              <w:t>重点风险防范</w:t>
            </w:r>
          </w:p>
          <w:p w14:paraId="020CC741">
            <w:pPr>
              <w:pStyle w:val="62"/>
              <w:spacing w:line="280" w:lineRule="exact"/>
              <w:ind w:firstLineChars="0"/>
              <w:rPr>
                <w:rFonts w:ascii="Times New Roman" w:hAnsi="Times New Roman"/>
                <w:color w:val="0000FF"/>
                <w:szCs w:val="21"/>
              </w:rPr>
            </w:pPr>
            <w:r>
              <w:rPr>
                <w:rFonts w:ascii="Times New Roman" w:hAnsi="Times New Roman"/>
                <w:color w:val="0000FF"/>
                <w:szCs w:val="21"/>
              </w:rPr>
              <w:t>措施</w:t>
            </w:r>
          </w:p>
        </w:tc>
        <w:tc>
          <w:tcPr>
            <w:tcW w:w="7147" w:type="dxa"/>
            <w:gridSpan w:val="9"/>
            <w:noWrap w:val="0"/>
            <w:vAlign w:val="center"/>
          </w:tcPr>
          <w:p w14:paraId="52488519">
            <w:pPr>
              <w:pStyle w:val="62"/>
              <w:spacing w:line="280" w:lineRule="exact"/>
              <w:ind w:firstLineChars="0"/>
              <w:rPr>
                <w:rFonts w:ascii="Times New Roman" w:hAnsi="Times New Roman"/>
                <w:color w:val="0000FF"/>
                <w:szCs w:val="21"/>
              </w:rPr>
            </w:pPr>
            <w:r>
              <w:rPr>
                <w:rFonts w:ascii="Times New Roman" w:hAnsi="Times New Roman"/>
                <w:color w:val="0000FF"/>
                <w:szCs w:val="21"/>
              </w:rPr>
              <w:t>储罐四周安装泄漏报警装置，设置安全信号指示器，安装24小时监控摄像头，设液位计，四周配备灭火器等；罐区设有</w:t>
            </w:r>
            <w:r>
              <w:rPr>
                <w:rFonts w:hint="eastAsia" w:ascii="Times New Roman" w:hAnsi="Times New Roman"/>
                <w:color w:val="0000FF"/>
                <w:szCs w:val="21"/>
              </w:rPr>
              <w:t>围堰</w:t>
            </w:r>
            <w:r>
              <w:rPr>
                <w:rFonts w:ascii="Times New Roman" w:hAnsi="Times New Roman"/>
                <w:color w:val="0000FF"/>
                <w:szCs w:val="21"/>
              </w:rPr>
              <w:t>、厂区设有事故池、厂区建设应急防控系统；</w:t>
            </w:r>
            <w:r>
              <w:rPr>
                <w:rFonts w:hint="eastAsia" w:ascii="Times New Roman" w:hAnsi="Times New Roman"/>
                <w:color w:val="0000FF"/>
                <w:szCs w:val="21"/>
              </w:rPr>
              <w:t>已制定</w:t>
            </w:r>
            <w:r>
              <w:rPr>
                <w:rFonts w:ascii="Times New Roman" w:hAnsi="Times New Roman"/>
                <w:color w:val="0000FF"/>
                <w:szCs w:val="21"/>
              </w:rPr>
              <w:t>突发环境</w:t>
            </w:r>
            <w:r>
              <w:rPr>
                <w:rFonts w:hint="eastAsia" w:ascii="Times New Roman" w:hAnsi="Times New Roman"/>
                <w:color w:val="0000FF"/>
                <w:szCs w:val="21"/>
              </w:rPr>
              <w:t>事件</w:t>
            </w:r>
            <w:r>
              <w:rPr>
                <w:rFonts w:ascii="Times New Roman" w:hAnsi="Times New Roman"/>
                <w:color w:val="0000FF"/>
                <w:szCs w:val="21"/>
              </w:rPr>
              <w:t>应急预案，并做好与地方政府突发环境事件应急预案相衔接</w:t>
            </w:r>
          </w:p>
        </w:tc>
      </w:tr>
      <w:tr w14:paraId="45AA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600" w:type="dxa"/>
            <w:gridSpan w:val="2"/>
            <w:noWrap w:val="0"/>
            <w:vAlign w:val="center"/>
          </w:tcPr>
          <w:p w14:paraId="635B5B10">
            <w:pPr>
              <w:pStyle w:val="62"/>
              <w:spacing w:line="280" w:lineRule="exact"/>
              <w:ind w:firstLineChars="0"/>
              <w:rPr>
                <w:rFonts w:ascii="Times New Roman" w:hAnsi="Times New Roman"/>
                <w:color w:val="0000FF"/>
                <w:szCs w:val="21"/>
              </w:rPr>
            </w:pPr>
            <w:r>
              <w:rPr>
                <w:rFonts w:ascii="Times New Roman" w:hAnsi="Times New Roman"/>
                <w:color w:val="0000FF"/>
                <w:szCs w:val="21"/>
              </w:rPr>
              <w:t>评价结论与建议</w:t>
            </w:r>
          </w:p>
        </w:tc>
        <w:tc>
          <w:tcPr>
            <w:tcW w:w="7147" w:type="dxa"/>
            <w:gridSpan w:val="9"/>
            <w:noWrap w:val="0"/>
            <w:vAlign w:val="center"/>
          </w:tcPr>
          <w:p w14:paraId="28F375D0">
            <w:pPr>
              <w:pStyle w:val="62"/>
              <w:spacing w:line="280" w:lineRule="exact"/>
              <w:ind w:firstLineChars="0"/>
              <w:rPr>
                <w:rFonts w:ascii="Times New Roman" w:hAnsi="Times New Roman"/>
                <w:color w:val="0000FF"/>
                <w:szCs w:val="21"/>
              </w:rPr>
            </w:pPr>
            <w:r>
              <w:rPr>
                <w:rFonts w:ascii="Times New Roman" w:hAnsi="Times New Roman"/>
                <w:color w:val="0000FF"/>
                <w:szCs w:val="21"/>
              </w:rPr>
              <w:t>在采取本环评要求的环境风险防范措施并严格落实的情况下，本项目环境风险处于可控可接受范围内。</w:t>
            </w:r>
          </w:p>
        </w:tc>
      </w:tr>
      <w:tr w14:paraId="15F9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747" w:type="dxa"/>
            <w:gridSpan w:val="11"/>
            <w:noWrap w:val="0"/>
            <w:vAlign w:val="center"/>
          </w:tcPr>
          <w:p w14:paraId="554370AF">
            <w:pPr>
              <w:pStyle w:val="62"/>
              <w:spacing w:line="280" w:lineRule="exact"/>
              <w:ind w:firstLineChars="0"/>
              <w:rPr>
                <w:rFonts w:ascii="Times New Roman" w:hAnsi="Times New Roman"/>
                <w:color w:val="0000FF"/>
                <w:szCs w:val="21"/>
              </w:rPr>
            </w:pPr>
            <w:r>
              <w:rPr>
                <w:rFonts w:ascii="Times New Roman" w:hAnsi="Times New Roman"/>
                <w:color w:val="0000FF"/>
                <w:szCs w:val="21"/>
              </w:rPr>
              <w:t>注：”□”为勾选项，填”√”；”（   ）”为内容填写项</w:t>
            </w:r>
          </w:p>
        </w:tc>
      </w:tr>
    </w:tbl>
    <w:p w14:paraId="0C07E375">
      <w:pPr>
        <w:pStyle w:val="30"/>
        <w:ind w:left="0" w:leftChars="0" w:firstLine="560" w:firstLineChars="200"/>
        <w:outlineLvl w:val="9"/>
        <w:rPr>
          <w:rFonts w:hint="default" w:ascii="Times New Roman" w:hAnsi="Times New Roman" w:eastAsia="宋体" w:cs="Times New Roman"/>
          <w:color w:val="auto"/>
          <w:spacing w:val="0"/>
          <w:kern w:val="2"/>
          <w:sz w:val="28"/>
          <w:szCs w:val="28"/>
          <w:highlight w:val="none"/>
          <w:u w:val="none"/>
          <w:lang w:val="en-US" w:eastAsia="zh-CN" w:bidi="ar-SA"/>
        </w:rPr>
      </w:pPr>
    </w:p>
    <w:sectPr>
      <w:footerReference r:id="rId8" w:type="default"/>
      <w:pgSz w:w="11906" w:h="16838"/>
      <w:pgMar w:top="1701" w:right="1531" w:bottom="1701" w:left="1531" w:header="851" w:footer="850" w:gutter="0"/>
      <w:pgBorders>
        <w:top w:val="none" w:sz="0" w:space="0"/>
        <w:left w:val="none" w:sz="0" w:space="0"/>
        <w:bottom w:val="none" w:sz="0" w:space="0"/>
        <w:right w:val="none" w:sz="0" w:space="0"/>
      </w:pgBorders>
      <w:pgNumType w:fmt="decimal" w:start="1"/>
      <w:cols w:space="0" w:num="1"/>
      <w:rtlGutter w:val="0"/>
      <w:docGrid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8DD01B2-60AB-4411-9C47-AF8259AB142F}"/>
  </w:font>
  <w:font w:name="黑体">
    <w:panose1 w:val="02010609060101010101"/>
    <w:charset w:val="86"/>
    <w:family w:val="auto"/>
    <w:pitch w:val="default"/>
    <w:sig w:usb0="800002BF" w:usb1="38CF7CFA" w:usb2="00000016" w:usb3="00000000" w:csb0="00040001" w:csb1="00000000"/>
    <w:embedRegular r:id="rId2" w:fontKey="{CBC57A5B-A6CE-4BFD-AF51-CF285BBCC11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embedRegular r:id="rId3" w:fontKey="{1083B055-19FE-4066-8EA4-C90979A7BCD3}"/>
  </w:font>
  <w:font w:name="仿宋">
    <w:panose1 w:val="02010609060101010101"/>
    <w:charset w:val="86"/>
    <w:family w:val="modern"/>
    <w:pitch w:val="default"/>
    <w:sig w:usb0="800002BF" w:usb1="38CF7CFA" w:usb2="00000016" w:usb3="00000000" w:csb0="00040001" w:csb1="00000000"/>
    <w:embedRegular r:id="rId4" w:fontKey="{53354015-8080-41BB-9767-AAA90E6C7D56}"/>
  </w:font>
  <w:font w:name="Wingdings 2">
    <w:panose1 w:val="05020102010507070707"/>
    <w:charset w:val="02"/>
    <w:family w:val="roman"/>
    <w:pitch w:val="default"/>
    <w:sig w:usb0="00000000" w:usb1="00000000" w:usb2="00000000" w:usb3="00000000" w:csb0="80000000" w:csb1="00000000"/>
    <w:embedRegular r:id="rId5" w:fontKey="{27BA0E11-BE20-4870-B31E-B6261B27B3C3}"/>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78DD2">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101D4">
                          <w:pPr>
                            <w:pStyle w:val="13"/>
                          </w:pPr>
                          <w:r>
                            <w:t xml:space="preserve">— </w:t>
                          </w:r>
                          <w:r>
                            <w:fldChar w:fldCharType="begin"/>
                          </w:r>
                          <w:r>
                            <w:instrText xml:space="preserve"> PAGE  \* MERGEFORMAT </w:instrText>
                          </w:r>
                          <w:r>
                            <w:fldChar w:fldCharType="separate"/>
                          </w:r>
                          <w:r>
                            <w:t>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75101D4">
                    <w:pPr>
                      <w:pStyle w:val="13"/>
                    </w:pPr>
                    <w:r>
                      <w:t xml:space="preserve">— </w:t>
                    </w:r>
                    <w:r>
                      <w:fldChar w:fldCharType="begin"/>
                    </w:r>
                    <w:r>
                      <w:instrText xml:space="preserve"> PAGE  \* MERGEFORMAT </w:instrText>
                    </w:r>
                    <w:r>
                      <w:fldChar w:fldCharType="separate"/>
                    </w:r>
                    <w:r>
                      <w:t>5</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D1420">
    <w:pPr>
      <w:pStyle w:val="1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5E76C">
                          <w:pPr>
                            <w:pStyle w:val="13"/>
                          </w:pPr>
                          <w:r>
                            <w:t xml:space="preserve">— </w:t>
                          </w:r>
                          <w:r>
                            <w:fldChar w:fldCharType="begin"/>
                          </w:r>
                          <w:r>
                            <w:instrText xml:space="preserve"> PAGE  \* MERGEFORMAT </w:instrText>
                          </w:r>
                          <w:r>
                            <w:fldChar w:fldCharType="separate"/>
                          </w:r>
                          <w:r>
                            <w:t>39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4425E76C">
                    <w:pPr>
                      <w:pStyle w:val="13"/>
                    </w:pPr>
                    <w:r>
                      <w:t xml:space="preserve">— </w:t>
                    </w:r>
                    <w:r>
                      <w:fldChar w:fldCharType="begin"/>
                    </w:r>
                    <w:r>
                      <w:instrText xml:space="preserve"> PAGE  \* MERGEFORMAT </w:instrText>
                    </w:r>
                    <w:r>
                      <w:fldChar w:fldCharType="separate"/>
                    </w:r>
                    <w:r>
                      <w:t>39</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A0EFB">
    <w:pPr>
      <w:pStyle w:val="1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3141E">
    <w:pPr>
      <w:pStyle w:val="13"/>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E3BC82">
                          <w:pPr>
                            <w:pStyle w:val="13"/>
                          </w:pPr>
                          <w:r>
                            <w:t xml:space="preserve">— </w:t>
                          </w:r>
                          <w:r>
                            <w:fldChar w:fldCharType="begin"/>
                          </w:r>
                          <w:r>
                            <w:instrText xml:space="preserve"> PAGE  \* MERGEFORMAT </w:instrText>
                          </w:r>
                          <w:r>
                            <w:fldChar w:fldCharType="separate"/>
                          </w:r>
                          <w:r>
                            <w:t>58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56E3BC82">
                    <w:pPr>
                      <w:pStyle w:val="13"/>
                    </w:pPr>
                    <w:r>
                      <w:t xml:space="preserve">— </w:t>
                    </w:r>
                    <w:r>
                      <w:fldChar w:fldCharType="begin"/>
                    </w:r>
                    <w:r>
                      <w:instrText xml:space="preserve"> PAGE  \* MERGEFORMAT </w:instrText>
                    </w:r>
                    <w:r>
                      <w:fldChar w:fldCharType="separate"/>
                    </w:r>
                    <w:r>
                      <w:t>58</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8AE9A9"/>
    <w:multiLevelType w:val="singleLevel"/>
    <w:tmpl w:val="A48AE9A9"/>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40"/>
  <w:drawingGridVerticalSpacing w:val="9999999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263E9"/>
    <w:rsid w:val="025D1400"/>
    <w:rsid w:val="036D03B5"/>
    <w:rsid w:val="04DE525A"/>
    <w:rsid w:val="06227245"/>
    <w:rsid w:val="09652ED7"/>
    <w:rsid w:val="0A491B44"/>
    <w:rsid w:val="11D87F8D"/>
    <w:rsid w:val="13BD38DE"/>
    <w:rsid w:val="14247EE5"/>
    <w:rsid w:val="149E54BE"/>
    <w:rsid w:val="156101D1"/>
    <w:rsid w:val="15ED328F"/>
    <w:rsid w:val="16F45A02"/>
    <w:rsid w:val="17EE2943"/>
    <w:rsid w:val="1C6074FD"/>
    <w:rsid w:val="1D500044"/>
    <w:rsid w:val="1D9753C4"/>
    <w:rsid w:val="1DA071CC"/>
    <w:rsid w:val="1E2F5728"/>
    <w:rsid w:val="1FED7E25"/>
    <w:rsid w:val="20293677"/>
    <w:rsid w:val="2253002B"/>
    <w:rsid w:val="232E520B"/>
    <w:rsid w:val="243C051D"/>
    <w:rsid w:val="24503733"/>
    <w:rsid w:val="26924756"/>
    <w:rsid w:val="26EA00EF"/>
    <w:rsid w:val="29421D3A"/>
    <w:rsid w:val="2A202079"/>
    <w:rsid w:val="2B3966D3"/>
    <w:rsid w:val="2E6609A2"/>
    <w:rsid w:val="2EA1315F"/>
    <w:rsid w:val="2F793A1F"/>
    <w:rsid w:val="30B32877"/>
    <w:rsid w:val="36CF768B"/>
    <w:rsid w:val="37852A78"/>
    <w:rsid w:val="3CE27D8E"/>
    <w:rsid w:val="3D0438FA"/>
    <w:rsid w:val="3D0715A3"/>
    <w:rsid w:val="423F17DF"/>
    <w:rsid w:val="4311679A"/>
    <w:rsid w:val="43831321"/>
    <w:rsid w:val="438F2C60"/>
    <w:rsid w:val="439B011E"/>
    <w:rsid w:val="45021E7F"/>
    <w:rsid w:val="455B692F"/>
    <w:rsid w:val="458C58E6"/>
    <w:rsid w:val="46127DA5"/>
    <w:rsid w:val="46477AC3"/>
    <w:rsid w:val="482E20D9"/>
    <w:rsid w:val="4B681359"/>
    <w:rsid w:val="4BF2348C"/>
    <w:rsid w:val="4EEE25C2"/>
    <w:rsid w:val="4F2E3450"/>
    <w:rsid w:val="50D4605C"/>
    <w:rsid w:val="51AB6549"/>
    <w:rsid w:val="55132A7D"/>
    <w:rsid w:val="56672240"/>
    <w:rsid w:val="571B279D"/>
    <w:rsid w:val="57685242"/>
    <w:rsid w:val="57711FE2"/>
    <w:rsid w:val="578F06BB"/>
    <w:rsid w:val="58920462"/>
    <w:rsid w:val="58D070EF"/>
    <w:rsid w:val="5C9652C6"/>
    <w:rsid w:val="5E3D788F"/>
    <w:rsid w:val="606940D8"/>
    <w:rsid w:val="60F8690E"/>
    <w:rsid w:val="62302746"/>
    <w:rsid w:val="63310878"/>
    <w:rsid w:val="63415E57"/>
    <w:rsid w:val="65961106"/>
    <w:rsid w:val="684E53F9"/>
    <w:rsid w:val="689D35F1"/>
    <w:rsid w:val="693B19F0"/>
    <w:rsid w:val="6B9F1FD4"/>
    <w:rsid w:val="6C804505"/>
    <w:rsid w:val="6D024F62"/>
    <w:rsid w:val="6E355267"/>
    <w:rsid w:val="6FF92977"/>
    <w:rsid w:val="71932705"/>
    <w:rsid w:val="739F6935"/>
    <w:rsid w:val="76DC6F10"/>
    <w:rsid w:val="7918107B"/>
    <w:rsid w:val="7C6C216B"/>
    <w:rsid w:val="7C937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spacing w:before="0" w:beforeAutospacing="0" w:after="0" w:afterAutospacing="0"/>
      <w:ind w:firstLine="0" w:firstLineChars="0"/>
      <w:jc w:val="center"/>
      <w:outlineLvl w:val="0"/>
    </w:pPr>
    <w:rPr>
      <w:rFonts w:hint="eastAsia" w:ascii="Times New Roman" w:hAnsi="Times New Roman" w:eastAsia="宋体" w:cs="Times New Roman"/>
      <w:b/>
      <w:bCs/>
      <w:sz w:val="44"/>
      <w:szCs w:val="44"/>
      <w:lang w:bidi="ar"/>
    </w:rPr>
  </w:style>
  <w:style w:type="paragraph" w:styleId="3">
    <w:name w:val="heading 2"/>
    <w:basedOn w:val="1"/>
    <w:next w:val="1"/>
    <w:unhideWhenUsed/>
    <w:qFormat/>
    <w:uiPriority w:val="0"/>
    <w:pPr>
      <w:keepNext/>
      <w:keepLines/>
      <w:jc w:val="left"/>
      <w:outlineLvl w:val="1"/>
    </w:pPr>
    <w:rPr>
      <w:sz w:val="28"/>
    </w:rPr>
  </w:style>
  <w:style w:type="paragraph" w:styleId="4">
    <w:name w:val="heading 3"/>
    <w:basedOn w:val="1"/>
    <w:next w:val="1"/>
    <w:qFormat/>
    <w:uiPriority w:val="0"/>
    <w:pPr>
      <w:keepNext/>
      <w:keepLines/>
      <w:spacing w:after="120"/>
      <w:outlineLvl w:val="2"/>
    </w:pPr>
    <w:rPr>
      <w:b/>
      <w:bCs/>
      <w:spacing w:val="20"/>
      <w:szCs w:val="32"/>
    </w:rPr>
  </w:style>
  <w:style w:type="paragraph" w:styleId="5">
    <w:name w:val="heading 4"/>
    <w:basedOn w:val="1"/>
    <w:next w:val="1"/>
    <w:qFormat/>
    <w:uiPriority w:val="0"/>
    <w:pPr>
      <w:keepNext/>
      <w:keepLines/>
      <w:spacing w:line="374" w:lineRule="auto"/>
      <w:outlineLvl w:val="3"/>
    </w:pPr>
    <w:rPr>
      <w:rFonts w:ascii="Arial" w:hAnsi="Arial" w:eastAsia="黑体"/>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rFonts w:ascii="Calibri" w:hAnsi="Calibri"/>
    </w:rPr>
  </w:style>
  <w:style w:type="paragraph" w:styleId="7">
    <w:name w:val="caption"/>
    <w:basedOn w:val="1"/>
    <w:next w:val="1"/>
    <w:qFormat/>
    <w:uiPriority w:val="0"/>
    <w:pPr>
      <w:spacing w:before="120" w:after="120" w:line="480" w:lineRule="exact"/>
      <w:jc w:val="center"/>
    </w:pPr>
    <w:rPr>
      <w:sz w:val="24"/>
    </w:rPr>
  </w:style>
  <w:style w:type="paragraph" w:styleId="8">
    <w:name w:val="annotation text"/>
    <w:basedOn w:val="1"/>
    <w:qFormat/>
    <w:uiPriority w:val="0"/>
    <w:pPr>
      <w:jc w:val="left"/>
    </w:pPr>
  </w:style>
  <w:style w:type="paragraph" w:styleId="9">
    <w:name w:val="Body Text"/>
    <w:basedOn w:val="1"/>
    <w:next w:val="10"/>
    <w:qFormat/>
    <w:uiPriority w:val="0"/>
    <w:pPr>
      <w:keepNext w:val="0"/>
      <w:keepLines w:val="0"/>
      <w:widowControl w:val="0"/>
      <w:suppressLineNumbers w:val="0"/>
      <w:autoSpaceDE w:val="0"/>
      <w:autoSpaceDN w:val="0"/>
      <w:spacing w:before="213" w:beforeAutospacing="0"/>
      <w:ind w:left="219"/>
      <w:jc w:val="left"/>
    </w:pPr>
    <w:rPr>
      <w:rFonts w:hint="eastAsia" w:ascii="宋体" w:hAnsi="宋体" w:eastAsia="宋体" w:cs="宋体"/>
      <w:kern w:val="0"/>
      <w:sz w:val="28"/>
      <w:szCs w:val="28"/>
      <w:lang w:val="en-US" w:eastAsia="zh-CN" w:bidi="ar"/>
    </w:rPr>
  </w:style>
  <w:style w:type="paragraph" w:styleId="10">
    <w:name w:val="Body Text 2"/>
    <w:basedOn w:val="1"/>
    <w:qFormat/>
    <w:uiPriority w:val="0"/>
    <w:pPr>
      <w:spacing w:line="360" w:lineRule="auto"/>
    </w:pPr>
    <w:rPr>
      <w:sz w:val="18"/>
    </w:rPr>
  </w:style>
  <w:style w:type="paragraph" w:styleId="11">
    <w:name w:val="Body Text Indent"/>
    <w:basedOn w:val="1"/>
    <w:qFormat/>
    <w:uiPriority w:val="0"/>
    <w:pPr>
      <w:spacing w:after="120"/>
      <w:ind w:left="420" w:leftChars="200"/>
    </w:pPr>
    <w:rPr>
      <w:kern w:val="0"/>
      <w:sz w:val="24"/>
      <w:szCs w:val="20"/>
    </w:rPr>
  </w:style>
  <w:style w:type="paragraph" w:styleId="12">
    <w:name w:val="Body Text Indent 2"/>
    <w:basedOn w:val="1"/>
    <w:qFormat/>
    <w:uiPriority w:val="0"/>
    <w:pPr>
      <w:ind w:left="10" w:leftChars="5" w:firstLine="210" w:firstLineChars="100"/>
    </w:pPr>
    <w:rPr>
      <w:rFonts w:ascii="宋体" w:hAnsi="宋体"/>
      <w:color w:val="000000"/>
      <w:szCs w:val="28"/>
    </w:rPr>
  </w:style>
  <w:style w:type="paragraph" w:styleId="13">
    <w:name w:val="footer"/>
    <w:basedOn w:val="1"/>
    <w:next w:val="1"/>
    <w:qFormat/>
    <w:uiPriority w:val="99"/>
    <w:pPr>
      <w:tabs>
        <w:tab w:val="center" w:pos="4153"/>
        <w:tab w:val="right" w:pos="8306"/>
      </w:tabs>
      <w:snapToGrid w:val="0"/>
      <w:jc w:val="left"/>
    </w:pPr>
    <w:rPr>
      <w:kern w:val="0"/>
      <w:sz w:val="18"/>
      <w:szCs w:val="20"/>
    </w:rPr>
  </w:style>
  <w:style w:type="paragraph" w:styleId="14">
    <w:name w:val="header"/>
    <w:basedOn w:val="1"/>
    <w:next w:val="1"/>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oc 1"/>
    <w:basedOn w:val="1"/>
    <w:next w:val="1"/>
    <w:qFormat/>
    <w:uiPriority w:val="0"/>
  </w:style>
  <w:style w:type="paragraph" w:styleId="16">
    <w:name w:val="index heading"/>
    <w:basedOn w:val="1"/>
    <w:next w:val="17"/>
    <w:qFormat/>
    <w:uiPriority w:val="99"/>
    <w:rPr>
      <w:szCs w:val="20"/>
    </w:rPr>
  </w:style>
  <w:style w:type="paragraph" w:styleId="17">
    <w:name w:val="index 1"/>
    <w:basedOn w:val="1"/>
    <w:next w:val="1"/>
    <w:qFormat/>
    <w:uiPriority w:val="99"/>
    <w:pPr>
      <w:spacing w:line="320" w:lineRule="exact"/>
      <w:jc w:val="center"/>
    </w:pPr>
    <w:rPr>
      <w:color w:val="000000"/>
      <w:szCs w:val="21"/>
    </w:rPr>
  </w:style>
  <w:style w:type="paragraph" w:styleId="18">
    <w:name w:val="List"/>
    <w:basedOn w:val="1"/>
    <w:next w:val="1"/>
    <w:qFormat/>
    <w:uiPriority w:val="0"/>
    <w:pPr>
      <w:keepNext w:val="0"/>
      <w:keepLines w:val="0"/>
      <w:widowControl w:val="0"/>
      <w:suppressLineNumbers w:val="0"/>
      <w:ind w:left="200" w:hanging="200" w:hangingChars="200"/>
      <w:jc w:val="both"/>
    </w:pPr>
    <w:rPr>
      <w:rFonts w:hint="default" w:ascii="Times New Roman" w:hAnsi="Times New Roman" w:eastAsia="宋体" w:cs="Times New Roman"/>
      <w:kern w:val="2"/>
      <w:sz w:val="21"/>
      <w:szCs w:val="21"/>
      <w:lang w:val="en-US" w:eastAsia="zh-CN" w:bidi="ar"/>
    </w:rPr>
  </w:style>
  <w:style w:type="paragraph" w:styleId="19">
    <w:name w:val="toc 2"/>
    <w:basedOn w:val="1"/>
    <w:next w:val="1"/>
    <w:qFormat/>
    <w:uiPriority w:val="0"/>
    <w:pPr>
      <w:ind w:left="420" w:leftChars="200"/>
    </w:pPr>
  </w:style>
  <w:style w:type="paragraph" w:styleId="20">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21">
    <w:name w:val="Body Text First Indent 2"/>
    <w:basedOn w:val="11"/>
    <w:qFormat/>
    <w:uiPriority w:val="0"/>
    <w:pPr>
      <w:spacing w:after="120"/>
      <w:ind w:left="420" w:leftChars="200" w:firstLine="420" w:firstLineChars="200"/>
    </w:pPr>
    <w:rPr>
      <w:sz w:val="21"/>
    </w:rPr>
  </w:style>
  <w:style w:type="table" w:styleId="23">
    <w:name w:val="Table Grid"/>
    <w:basedOn w:val="22"/>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25">
    <w:name w:val="Default"/>
    <w:basedOn w:val="26"/>
    <w:next w:val="1"/>
    <w:autoRedefine/>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26">
    <w:name w:val="表格标题"/>
    <w:basedOn w:val="7"/>
    <w:next w:val="1"/>
    <w:qFormat/>
    <w:uiPriority w:val="0"/>
    <w:pPr>
      <w:adjustRightInd/>
      <w:snapToGrid/>
      <w:spacing w:line="360" w:lineRule="auto"/>
      <w:ind w:firstLine="0" w:firstLineChars="0"/>
      <w:jc w:val="center"/>
    </w:pPr>
    <w:rPr>
      <w:rFonts w:eastAsia="宋体" w:cs="Arial"/>
      <w:sz w:val="21"/>
    </w:rPr>
  </w:style>
  <w:style w:type="paragraph" w:customStyle="1" w:styleId="27">
    <w:name w:val="样式 正文缩进正文缩进2正文缩进 Char Char正文缩进 Char Char Char Char正文缩进 Char ..."/>
    <w:basedOn w:val="6"/>
    <w:autoRedefine/>
    <w:qFormat/>
    <w:uiPriority w:val="99"/>
    <w:pPr>
      <w:ind w:firstLine="200"/>
    </w:pPr>
    <w:rPr>
      <w:rFonts w:cs="宋体"/>
    </w:rPr>
  </w:style>
  <w:style w:type="paragraph" w:customStyle="1" w:styleId="28">
    <w:name w:val="样式 正文文本 + 首行缩进:  2 字符"/>
    <w:qFormat/>
    <w:uiPriority w:val="99"/>
    <w:pPr>
      <w:spacing w:after="200" w:line="480" w:lineRule="exact"/>
      <w:ind w:firstLine="480" w:firstLineChars="200"/>
      <w:jc w:val="center"/>
    </w:pPr>
    <w:rPr>
      <w:rFonts w:ascii="宋体" w:hAnsi="宋体" w:eastAsia="Calibri" w:cs="Times New Roman"/>
      <w:sz w:val="24"/>
      <w:szCs w:val="22"/>
      <w:lang w:val="en-US" w:eastAsia="zh-CN" w:bidi="ar-SA"/>
    </w:rPr>
  </w:style>
  <w:style w:type="paragraph" w:customStyle="1" w:styleId="29">
    <w:name w:val="Body Text 21"/>
    <w:basedOn w:val="1"/>
    <w:autoRedefine/>
    <w:qFormat/>
    <w:uiPriority w:val="0"/>
    <w:pPr>
      <w:spacing w:after="120" w:line="480" w:lineRule="auto"/>
    </w:pPr>
  </w:style>
  <w:style w:type="paragraph" w:customStyle="1" w:styleId="30">
    <w:name w:val="样式 首行缩进:  2 字符1"/>
    <w:autoRedefine/>
    <w:qFormat/>
    <w:uiPriority w:val="0"/>
    <w:pPr>
      <w:adjustRightInd w:val="0"/>
      <w:snapToGrid w:val="0"/>
      <w:spacing w:line="360" w:lineRule="auto"/>
      <w:ind w:firstLine="480" w:firstLineChars="200"/>
    </w:pPr>
    <w:rPr>
      <w:rFonts w:ascii="Times New Roman" w:hAnsi="Times New Roman" w:eastAsia="Times New Roman" w:cs="宋体"/>
      <w:sz w:val="24"/>
      <w:lang w:val="en-US" w:eastAsia="zh-CN" w:bidi="ar-SA"/>
    </w:rPr>
  </w:style>
  <w:style w:type="paragraph" w:customStyle="1" w:styleId="31">
    <w:name w:val="正文(首行缩进)"/>
    <w:basedOn w:val="1"/>
    <w:next w:val="1"/>
    <w:autoRedefine/>
    <w:unhideWhenUsed/>
    <w:qFormat/>
    <w:uiPriority w:val="0"/>
    <w:pPr>
      <w:spacing w:beforeLines="0" w:afterLines="0" w:line="360" w:lineRule="auto"/>
      <w:ind w:firstLine="540" w:firstLineChars="225"/>
    </w:pPr>
    <w:rPr>
      <w:rFonts w:hint="default"/>
      <w:snapToGrid w:val="0"/>
      <w:color w:val="000000"/>
      <w:sz w:val="24"/>
    </w:rPr>
  </w:style>
  <w:style w:type="paragraph" w:customStyle="1" w:styleId="32">
    <w:name w:val="表格"/>
    <w:basedOn w:val="6"/>
    <w:next w:val="1"/>
    <w:autoRedefine/>
    <w:qFormat/>
    <w:uiPriority w:val="0"/>
    <w:pPr>
      <w:spacing w:line="240" w:lineRule="auto"/>
      <w:ind w:left="0" w:firstLine="0" w:firstLineChars="0"/>
      <w:jc w:val="center"/>
    </w:pPr>
    <w:rPr>
      <w:rFonts w:ascii="Times New Roman" w:hAnsi="Times New Roman" w:eastAsia="宋体"/>
      <w:sz w:val="21"/>
      <w:szCs w:val="21"/>
    </w:rPr>
  </w:style>
  <w:style w:type="paragraph" w:customStyle="1" w:styleId="33">
    <w:name w:val="正文（居中）"/>
    <w:basedOn w:val="1"/>
    <w:autoRedefine/>
    <w:qFormat/>
    <w:uiPriority w:val="0"/>
    <w:pPr>
      <w:spacing w:line="240" w:lineRule="auto"/>
      <w:ind w:firstLine="0" w:firstLineChars="0"/>
      <w:jc w:val="center"/>
    </w:pPr>
    <w:rPr>
      <w:rFonts w:ascii="Times New Roman" w:hAnsi="Times New Roman"/>
    </w:rPr>
  </w:style>
  <w:style w:type="paragraph" w:customStyle="1" w:styleId="34">
    <w:name w:val="Table Paragraph"/>
    <w:basedOn w:val="1"/>
    <w:autoRedefine/>
    <w:qFormat/>
    <w:uiPriority w:val="1"/>
    <w:rPr>
      <w:rFonts w:ascii="宋体" w:hAnsi="宋体" w:eastAsia="宋体" w:cs="宋体"/>
      <w:lang w:val="zh-CN" w:eastAsia="zh-CN" w:bidi="zh-CN"/>
    </w:rPr>
  </w:style>
  <w:style w:type="paragraph" w:customStyle="1" w:styleId="35">
    <w:name w:val="环评标题"/>
    <w:basedOn w:val="36"/>
    <w:autoRedefine/>
    <w:qFormat/>
    <w:uiPriority w:val="0"/>
    <w:rPr>
      <w:b/>
      <w:sz w:val="28"/>
    </w:rPr>
  </w:style>
  <w:style w:type="paragraph" w:customStyle="1" w:styleId="36">
    <w:name w:val="环评正文"/>
    <w:autoRedefine/>
    <w:qFormat/>
    <w:uiPriority w:val="0"/>
    <w:rPr>
      <w:rFonts w:ascii="Times New Roman" w:hAnsi="Times New Roman" w:eastAsia="宋体" w:cs="Times New Roman"/>
      <w:sz w:val="24"/>
      <w:lang w:val="en-US" w:eastAsia="zh-CN" w:bidi="ar-SA"/>
    </w:rPr>
  </w:style>
  <w:style w:type="paragraph" w:customStyle="1" w:styleId="37">
    <w:name w:val="文本"/>
    <w:basedOn w:val="1"/>
    <w:autoRedefine/>
    <w:qFormat/>
    <w:uiPriority w:val="0"/>
    <w:pPr>
      <w:adjustRightInd w:val="0"/>
      <w:snapToGrid w:val="0"/>
      <w:spacing w:line="360" w:lineRule="auto"/>
      <w:ind w:firstLine="480" w:firstLineChars="200"/>
      <w:jc w:val="left"/>
    </w:pPr>
    <w:rPr>
      <w:sz w:val="24"/>
      <w:szCs w:val="24"/>
    </w:rPr>
  </w:style>
  <w:style w:type="paragraph" w:customStyle="1" w:styleId="38">
    <w:name w:val="表内文字"/>
    <w:basedOn w:val="1"/>
    <w:autoRedefine/>
    <w:qFormat/>
    <w:uiPriority w:val="1"/>
    <w:pPr>
      <w:spacing w:line="240" w:lineRule="auto"/>
      <w:ind w:firstLine="0" w:firstLineChars="0"/>
      <w:jc w:val="center"/>
    </w:pPr>
    <w:rPr>
      <w:rFonts w:ascii="宋体" w:hAnsi="宋体" w:cs="宋体"/>
      <w:sz w:val="21"/>
      <w:szCs w:val="24"/>
      <w:lang w:val="zh-CN" w:bidi="zh-CN"/>
    </w:rPr>
  </w:style>
  <w:style w:type="paragraph" w:customStyle="1" w:styleId="39">
    <w:name w:val="111111"/>
    <w:basedOn w:val="1"/>
    <w:autoRedefine/>
    <w:qFormat/>
    <w:uiPriority w:val="0"/>
    <w:pPr>
      <w:jc w:val="left"/>
    </w:pPr>
    <w:rPr>
      <w:b/>
      <w:sz w:val="28"/>
    </w:rPr>
  </w:style>
  <w:style w:type="paragraph" w:customStyle="1" w:styleId="40">
    <w:name w:val="表头"/>
    <w:basedOn w:val="6"/>
    <w:next w:val="1"/>
    <w:autoRedefine/>
    <w:qFormat/>
    <w:uiPriority w:val="0"/>
    <w:pPr>
      <w:overflowPunct w:val="0"/>
      <w:snapToGrid w:val="0"/>
      <w:ind w:firstLine="200" w:firstLineChars="200"/>
    </w:pPr>
  </w:style>
  <w:style w:type="paragraph" w:customStyle="1" w:styleId="41">
    <w:name w:val="正文1"/>
    <w:basedOn w:val="6"/>
    <w:next w:val="6"/>
    <w:autoRedefine/>
    <w:qFormat/>
    <w:uiPriority w:val="0"/>
    <w:pPr>
      <w:spacing w:line="360" w:lineRule="auto"/>
      <w:ind w:firstLine="480" w:firstLineChars="200"/>
    </w:pPr>
    <w:rPr>
      <w:rFonts w:hAnsi="宋体"/>
      <w:sz w:val="24"/>
      <w:lang w:val="zh-CN"/>
    </w:rPr>
  </w:style>
  <w:style w:type="paragraph" w:customStyle="1" w:styleId="42">
    <w:name w:val="纯文本1"/>
    <w:basedOn w:val="1"/>
    <w:autoRedefine/>
    <w:qFormat/>
    <w:uiPriority w:val="0"/>
    <w:rPr>
      <w:rFonts w:ascii="宋体" w:hAnsi="Courier New" w:cs="Courier New"/>
      <w:szCs w:val="21"/>
    </w:rPr>
  </w:style>
  <w:style w:type="paragraph" w:customStyle="1" w:styleId="43">
    <w:name w:val="样式1"/>
    <w:basedOn w:val="16"/>
    <w:next w:val="1"/>
    <w:autoRedefine/>
    <w:qFormat/>
    <w:uiPriority w:val="0"/>
    <w:rPr>
      <w:sz w:val="21"/>
      <w:szCs w:val="22"/>
      <w:lang w:val="en-US" w:eastAsia="zh-CN" w:bidi="ar-SA"/>
    </w:rPr>
  </w:style>
  <w:style w:type="paragraph" w:customStyle="1" w:styleId="44">
    <w:name w:val="表头字体"/>
    <w:basedOn w:val="1"/>
    <w:autoRedefine/>
    <w:qFormat/>
    <w:uiPriority w:val="0"/>
    <w:pPr>
      <w:spacing w:line="360" w:lineRule="auto"/>
      <w:jc w:val="center"/>
    </w:pPr>
  </w:style>
  <w:style w:type="paragraph" w:customStyle="1" w:styleId="45">
    <w:name w:val="表格内容"/>
    <w:basedOn w:val="41"/>
    <w:next w:val="46"/>
    <w:autoRedefine/>
    <w:qFormat/>
    <w:uiPriority w:val="0"/>
    <w:pPr>
      <w:jc w:val="center"/>
    </w:pPr>
    <w:rPr>
      <w:rFonts w:ascii="Times New Roman" w:hAnsi="Times New Roman" w:eastAsia="宋体" w:cs="Times New Roman"/>
      <w:kern w:val="2"/>
      <w:sz w:val="21"/>
      <w:szCs w:val="24"/>
      <w:lang w:val="zh-TW" w:eastAsia="zh-TW" w:bidi="ar-SA"/>
    </w:rPr>
  </w:style>
  <w:style w:type="paragraph" w:customStyle="1" w:styleId="46">
    <w:name w:val="文本正文"/>
    <w:basedOn w:val="1"/>
    <w:autoRedefine/>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cs="Times New Roman"/>
      <w:kern w:val="2"/>
      <w:sz w:val="24"/>
      <w:szCs w:val="24"/>
      <w:lang w:val="en-US" w:eastAsia="zh-CN" w:bidi="ar"/>
    </w:rPr>
  </w:style>
  <w:style w:type="paragraph" w:customStyle="1" w:styleId="47">
    <w:name w:val="列出段落11"/>
    <w:basedOn w:val="1"/>
    <w:autoRedefine/>
    <w:qFormat/>
    <w:uiPriority w:val="34"/>
    <w:pPr>
      <w:ind w:firstLine="420"/>
    </w:pPr>
  </w:style>
  <w:style w:type="paragraph" w:customStyle="1" w:styleId="48">
    <w:name w:val="表格内"/>
    <w:basedOn w:val="1"/>
    <w:autoRedefine/>
    <w:qFormat/>
    <w:uiPriority w:val="0"/>
    <w:pPr>
      <w:spacing w:line="360" w:lineRule="exact"/>
      <w:jc w:val="center"/>
    </w:pPr>
    <w:rPr>
      <w:snapToGrid w:val="0"/>
      <w:szCs w:val="21"/>
    </w:rPr>
  </w:style>
  <w:style w:type="paragraph" w:customStyle="1" w:styleId="49">
    <w:name w:val="Body text|1"/>
    <w:basedOn w:val="1"/>
    <w:autoRedefine/>
    <w:qFormat/>
    <w:uiPriority w:val="0"/>
    <w:pPr>
      <w:spacing w:line="480" w:lineRule="auto"/>
    </w:pPr>
    <w:rPr>
      <w:rFonts w:ascii="宋体" w:hAnsi="宋体" w:cs="宋体"/>
      <w:color w:val="878D9A"/>
      <w:sz w:val="20"/>
      <w:szCs w:val="20"/>
      <w:lang w:val="zh-TW" w:eastAsia="zh-TW" w:bidi="zh-TW"/>
    </w:rPr>
  </w:style>
  <w:style w:type="paragraph" w:customStyle="1" w:styleId="50">
    <w:name w:val="Body text|2"/>
    <w:basedOn w:val="1"/>
    <w:autoRedefine/>
    <w:qFormat/>
    <w:uiPriority w:val="0"/>
    <w:rPr>
      <w:rFonts w:ascii="宋体" w:hAnsi="宋体" w:cs="宋体"/>
      <w:b/>
      <w:bCs/>
      <w:color w:val="878D9A"/>
      <w:sz w:val="16"/>
      <w:szCs w:val="16"/>
      <w:lang w:val="zh-TW" w:eastAsia="zh-TW" w:bidi="zh-TW"/>
    </w:rPr>
  </w:style>
  <w:style w:type="paragraph" w:customStyle="1" w:styleId="51">
    <w:name w:val="A表头"/>
    <w:basedOn w:val="1"/>
    <w:next w:val="1"/>
    <w:autoRedefine/>
    <w:qFormat/>
    <w:uiPriority w:val="0"/>
    <w:pPr>
      <w:adjustRightInd w:val="0"/>
      <w:snapToGrid w:val="0"/>
      <w:spacing w:line="240" w:lineRule="auto"/>
      <w:ind w:firstLine="0" w:firstLineChars="0"/>
      <w:jc w:val="center"/>
    </w:pPr>
    <w:rPr>
      <w:rFonts w:cs="宋体"/>
      <w:b/>
      <w:szCs w:val="20"/>
    </w:rPr>
  </w:style>
  <w:style w:type="paragraph" w:customStyle="1" w:styleId="52">
    <w:name w:val="A表内"/>
    <w:basedOn w:val="51"/>
    <w:next w:val="1"/>
    <w:autoRedefine/>
    <w:qFormat/>
    <w:uiPriority w:val="0"/>
    <w:pPr>
      <w:adjustRightInd w:val="0"/>
      <w:snapToGrid w:val="0"/>
      <w:spacing w:line="240" w:lineRule="auto"/>
      <w:ind w:firstLine="0" w:firstLineChars="0"/>
      <w:jc w:val="center"/>
    </w:pPr>
    <w:rPr>
      <w:rFonts w:cs="宋体"/>
      <w:sz w:val="21"/>
      <w:szCs w:val="20"/>
    </w:rPr>
  </w:style>
  <w:style w:type="paragraph" w:customStyle="1" w:styleId="53">
    <w:name w:val="正文 楷体"/>
    <w:basedOn w:val="1"/>
    <w:qFormat/>
    <w:uiPriority w:val="0"/>
    <w:pPr>
      <w:spacing w:line="500" w:lineRule="exact"/>
      <w:ind w:firstLine="200" w:firstLineChars="200"/>
    </w:pPr>
    <w:rPr>
      <w:rFonts w:ascii="楷体_GB2312" w:hAnsi="楷体_GB2312" w:eastAsia="楷体_GB2312"/>
      <w:sz w:val="24"/>
    </w:rPr>
  </w:style>
  <w:style w:type="paragraph" w:customStyle="1" w:styleId="54">
    <w:name w:val="Other|1"/>
    <w:basedOn w:val="1"/>
    <w:autoRedefine/>
    <w:qFormat/>
    <w:uiPriority w:val="0"/>
    <w:rPr>
      <w:rFonts w:ascii="宋体" w:hAnsi="宋体" w:cs="宋体"/>
    </w:rPr>
  </w:style>
  <w:style w:type="paragraph" w:customStyle="1" w:styleId="55">
    <w:name w:val="！正文"/>
    <w:basedOn w:val="1"/>
    <w:autoRedefine/>
    <w:qFormat/>
    <w:uiPriority w:val="0"/>
    <w:pPr>
      <w:spacing w:line="500" w:lineRule="exact"/>
      <w:ind w:firstLine="200" w:firstLineChars="200"/>
    </w:pPr>
    <w:rPr>
      <w:kern w:val="0"/>
      <w:sz w:val="24"/>
    </w:rPr>
  </w:style>
  <w:style w:type="paragraph" w:customStyle="1" w:styleId="56">
    <w:name w:val="正文新"/>
    <w:basedOn w:val="1"/>
    <w:autoRedefine/>
    <w:qFormat/>
    <w:uiPriority w:val="0"/>
    <w:pPr>
      <w:spacing w:line="460" w:lineRule="exact"/>
      <w:ind w:firstLine="480" w:firstLineChars="200"/>
    </w:pPr>
    <w:rPr>
      <w:sz w:val="24"/>
    </w:rPr>
  </w:style>
  <w:style w:type="table" w:customStyle="1" w:styleId="57">
    <w:name w:val="Table Normal"/>
    <w:autoRedefine/>
    <w:semiHidden/>
    <w:unhideWhenUsed/>
    <w:qFormat/>
    <w:uiPriority w:val="0"/>
    <w:tblPr>
      <w:tblCellMar>
        <w:top w:w="0" w:type="dxa"/>
        <w:left w:w="0" w:type="dxa"/>
        <w:bottom w:w="0" w:type="dxa"/>
        <w:right w:w="0" w:type="dxa"/>
      </w:tblCellMar>
    </w:tblPr>
  </w:style>
  <w:style w:type="paragraph" w:customStyle="1" w:styleId="58">
    <w:name w:val="正文 首行缩进:  2 字符"/>
    <w:basedOn w:val="1"/>
    <w:qFormat/>
    <w:uiPriority w:val="0"/>
    <w:pPr>
      <w:topLinePunct/>
      <w:ind w:firstLine="540" w:firstLineChars="225"/>
      <w:jc w:val="both"/>
    </w:pPr>
    <w:rPr>
      <w:rFonts w:eastAsia="宋体" w:asciiTheme="minorAscii" w:hAnsiTheme="minorAscii"/>
      <w:color w:val="000000" w:themeColor="text1"/>
      <w:kern w:val="0"/>
      <w14:textFill>
        <w14:solidFill>
          <w14:schemeClr w14:val="tx1"/>
        </w14:solidFill>
      </w14:textFill>
    </w:rPr>
  </w:style>
  <w:style w:type="paragraph" w:customStyle="1" w:styleId="59">
    <w:name w:val="text"/>
    <w:basedOn w:val="1"/>
    <w:autoRedefine/>
    <w:qFormat/>
    <w:uiPriority w:val="0"/>
    <w:pPr>
      <w:widowControl/>
      <w:spacing w:before="100" w:beforeAutospacing="1" w:after="100" w:afterAutospacing="1"/>
      <w:jc w:val="left"/>
    </w:pPr>
    <w:rPr>
      <w:rFonts w:ascii="宋体" w:hAnsi="宋体"/>
      <w:kern w:val="0"/>
      <w:sz w:val="17"/>
      <w:szCs w:val="17"/>
    </w:rPr>
  </w:style>
  <w:style w:type="paragraph" w:customStyle="1" w:styleId="60">
    <w:name w:val="txt"/>
    <w:basedOn w:val="59"/>
    <w:autoRedefine/>
    <w:qFormat/>
    <w:uiPriority w:val="0"/>
    <w:rPr>
      <w:sz w:val="21"/>
      <w:szCs w:val="21"/>
    </w:rPr>
  </w:style>
  <w:style w:type="paragraph" w:customStyle="1" w:styleId="61">
    <w:name w:val="表、图名"/>
    <w:basedOn w:val="1"/>
    <w:qFormat/>
    <w:uiPriority w:val="0"/>
    <w:pPr>
      <w:adjustRightInd w:val="0"/>
      <w:snapToGrid w:val="0"/>
      <w:spacing w:line="360" w:lineRule="auto"/>
    </w:pPr>
    <w:rPr>
      <w:rFonts w:ascii="黑体" w:hAnsi="宋体" w:eastAsia="黑体"/>
      <w:b/>
      <w:szCs w:val="21"/>
    </w:rPr>
  </w:style>
  <w:style w:type="paragraph" w:customStyle="1" w:styleId="62">
    <w:name w:val="表格文字"/>
    <w:basedOn w:val="6"/>
    <w:qFormat/>
    <w:uiPriority w:val="0"/>
    <w:pPr>
      <w:snapToGrid w:val="0"/>
      <w:spacing w:line="340" w:lineRule="exact"/>
      <w:ind w:firstLine="0"/>
      <w:jc w:val="center"/>
    </w:pPr>
    <w:rPr>
      <w:rFonts w:ascii="宋体" w:hAnsi="Arial"/>
      <w:sz w:val="21"/>
    </w:rPr>
  </w:style>
  <w:style w:type="paragraph" w:customStyle="1" w:styleId="63">
    <w:name w:val="标题四A"/>
    <w:basedOn w:val="5"/>
    <w:qFormat/>
    <w:uiPriority w:val="0"/>
    <w:pPr>
      <w:keepNext w:val="0"/>
      <w:keepLines w:val="0"/>
      <w:widowControl/>
      <w:spacing w:before="0" w:after="0" w:line="500" w:lineRule="exact"/>
      <w:jc w:val="left"/>
    </w:pPr>
    <w:rPr>
      <w:rFonts w:ascii="Times New Roman" w:hAnsi="Times New Roman" w:eastAsia="宋体" w:cs="Times New Roman"/>
      <w:kern w:val="0"/>
      <w:sz w:val="24"/>
    </w:rPr>
  </w:style>
  <w:style w:type="paragraph" w:customStyle="1" w:styleId="64">
    <w:name w:val="正文A"/>
    <w:basedOn w:val="1"/>
    <w:qFormat/>
    <w:uiPriority w:val="0"/>
    <w:pPr>
      <w:spacing w:line="500" w:lineRule="exact"/>
      <w:ind w:firstLine="200" w:firstLineChars="20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wmf"/><Relationship Id="rId26" Type="http://schemas.openxmlformats.org/officeDocument/2006/relationships/oleObject" Target="embeddings/oleObject2.bin"/><Relationship Id="rId25" Type="http://schemas.openxmlformats.org/officeDocument/2006/relationships/image" Target="media/image15.wmf"/><Relationship Id="rId24" Type="http://schemas.openxmlformats.org/officeDocument/2006/relationships/oleObject" Target="embeddings/oleObject1.bin"/><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A1NDIzMDQ4NjMzIiwKCSJHcm91cElkIiA6ICI3MjA0ODY3MTEiLAoJIkltYWdlIiA6ICJpVkJPUncwS0dnb0FBQUFOU1VoRVVnQUFBOTRBQUFHM0NBWUFBQUJDQ1kyUUFBQUFBWE5TUjBJQXJzNGM2UUFBSUFCSlJFRlVlSnpzM1hsMFUxVWVCL0R2ZlVuYmRHZXhCUkdrUXJGUWFKdVhBcUlJaUtDaUxBNkw2QWc2d0NpTHNxZzRJQWlNb29DaWdLQzRJTWltQ0xpd0tZaUs3SXRBazdSQUM0aFNaU2tJeU5ZMVRkNmRQNXBrbWpZdGJXa3QwTy9uSEEvdHZmZmQ5MHRnenB6ZmUvZitMa0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1CMTgzL2F5Ujl1TkhmVk9RQUFBQUJKUlU1RXJrSmdnZz09IiwKCSJUaGVtZSIgOiAiIiwKCSJUeXBlIiA6ICJmbG93IiwKCSJVc2VySWQiIDogIjY0MjUxODg2MyIsCgkiVmVyc2lvbiIgOiAiMT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1377</Words>
  <Characters>1507</Characters>
  <Lines>0</Lines>
  <Paragraphs>0</Paragraphs>
  <TotalTime>24</TotalTime>
  <ScaleCrop>false</ScaleCrop>
  <LinksUpToDate>false</LinksUpToDate>
  <CharactersWithSpaces>1604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2025-05-09T07:52:00Z</dcterms:created>
  <dc:creator>Administrator</dc:creator>
  <cp:lastModifiedBy>小麦啾</cp:lastModifiedBy>
  <dcterms:modified xsi:type="dcterms:W3CDTF">2025-07-21T08:34:28Z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eyJoZGlkIjoiMzcxN2Q5OGY0MzIxMzQ2YTVkNjkyNjY4OTc0MzQwMDIiLCJ1c2VySWQiOiIzMjQ5NjUzODcifQ==</vt:lpwstr>
  </property>
  <property fmtid="{D5CDD505-2E9C-101B-9397-08002B2CF9AE}" pid="4" name="ICV">
    <vt:lpwstr>C0204AAD22094D5AA2AECA9FA3D2332C_12</vt:lpwstr>
  </property>
</Properties>
</file>