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B7AC9">
      <w:pPr>
        <w:pStyle w:val="19"/>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4"/>
        <w:tblW w:w="101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27"/>
        <w:gridCol w:w="2592"/>
        <w:gridCol w:w="2212"/>
        <w:gridCol w:w="3896"/>
      </w:tblGrid>
      <w:tr w14:paraId="4C99A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24722758">
            <w:pPr>
              <w:adjustRightInd w:val="0"/>
              <w:snapToGrid w:val="0"/>
              <w:jc w:val="center"/>
              <w:rPr>
                <w:szCs w:val="21"/>
              </w:rPr>
            </w:pPr>
            <w:r>
              <w:rPr>
                <w:szCs w:val="21"/>
              </w:rPr>
              <w:t>建设项目名称</w:t>
            </w:r>
          </w:p>
        </w:tc>
        <w:tc>
          <w:tcPr>
            <w:tcW w:w="8700" w:type="dxa"/>
            <w:gridSpan w:val="3"/>
            <w:vAlign w:val="center"/>
          </w:tcPr>
          <w:p w14:paraId="4A5C28E5">
            <w:pPr>
              <w:adjustRightInd w:val="0"/>
              <w:snapToGrid w:val="0"/>
              <w:jc w:val="center"/>
              <w:rPr>
                <w:szCs w:val="21"/>
              </w:rPr>
            </w:pPr>
            <w:r>
              <w:rPr>
                <w:szCs w:val="21"/>
              </w:rPr>
              <w:t>S240线准东大井服务区至奇台公路改扩建项目临时厂区建设项目</w:t>
            </w:r>
          </w:p>
        </w:tc>
      </w:tr>
      <w:tr w14:paraId="3A54F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3EEC11C9">
            <w:pPr>
              <w:adjustRightInd w:val="0"/>
              <w:snapToGrid w:val="0"/>
              <w:jc w:val="center"/>
              <w:rPr>
                <w:szCs w:val="21"/>
              </w:rPr>
            </w:pPr>
            <w:r>
              <w:rPr>
                <w:szCs w:val="21"/>
              </w:rPr>
              <w:t>项目代码</w:t>
            </w:r>
          </w:p>
        </w:tc>
        <w:tc>
          <w:tcPr>
            <w:tcW w:w="8700" w:type="dxa"/>
            <w:gridSpan w:val="3"/>
            <w:vAlign w:val="center"/>
          </w:tcPr>
          <w:p w14:paraId="01732B68">
            <w:pPr>
              <w:adjustRightInd w:val="0"/>
              <w:snapToGrid w:val="0"/>
              <w:jc w:val="center"/>
              <w:rPr>
                <w:szCs w:val="21"/>
              </w:rPr>
            </w:pPr>
            <w:r>
              <w:rPr>
                <w:rFonts w:hint="eastAsia"/>
                <w:szCs w:val="21"/>
              </w:rPr>
              <w:t>无</w:t>
            </w:r>
          </w:p>
        </w:tc>
      </w:tr>
      <w:tr w14:paraId="66BBF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67AF4E84">
            <w:pPr>
              <w:adjustRightInd w:val="0"/>
              <w:snapToGrid w:val="0"/>
              <w:jc w:val="center"/>
              <w:rPr>
                <w:szCs w:val="21"/>
              </w:rPr>
            </w:pPr>
            <w:r>
              <w:rPr>
                <w:szCs w:val="21"/>
              </w:rPr>
              <w:t>建设单位联系人</w:t>
            </w:r>
          </w:p>
        </w:tc>
        <w:tc>
          <w:tcPr>
            <w:tcW w:w="2592" w:type="dxa"/>
            <w:vAlign w:val="center"/>
          </w:tcPr>
          <w:p w14:paraId="4B64135E">
            <w:pPr>
              <w:adjustRightInd w:val="0"/>
              <w:snapToGrid w:val="0"/>
              <w:jc w:val="center"/>
              <w:rPr>
                <w:szCs w:val="21"/>
              </w:rPr>
            </w:pPr>
            <w:r>
              <w:rPr>
                <w:rFonts w:hint="eastAsia"/>
              </w:rPr>
              <w:t>*</w:t>
            </w:r>
            <w:r>
              <w:t>**</w:t>
            </w:r>
          </w:p>
        </w:tc>
        <w:tc>
          <w:tcPr>
            <w:tcW w:w="2212" w:type="dxa"/>
            <w:vAlign w:val="center"/>
          </w:tcPr>
          <w:p w14:paraId="5947C8D3">
            <w:pPr>
              <w:adjustRightInd w:val="0"/>
              <w:snapToGrid w:val="0"/>
              <w:jc w:val="center"/>
              <w:rPr>
                <w:szCs w:val="21"/>
              </w:rPr>
            </w:pPr>
            <w:r>
              <w:t>联系方式</w:t>
            </w:r>
          </w:p>
        </w:tc>
        <w:tc>
          <w:tcPr>
            <w:tcW w:w="3896" w:type="dxa"/>
            <w:vAlign w:val="center"/>
          </w:tcPr>
          <w:p w14:paraId="31F03207">
            <w:pPr>
              <w:adjustRightInd w:val="0"/>
              <w:snapToGrid w:val="0"/>
              <w:jc w:val="center"/>
              <w:rPr>
                <w:szCs w:val="21"/>
              </w:rPr>
            </w:pPr>
            <w:r>
              <w:t>*****</w:t>
            </w:r>
          </w:p>
        </w:tc>
      </w:tr>
      <w:tr w14:paraId="30366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53B9E038">
            <w:pPr>
              <w:adjustRightInd w:val="0"/>
              <w:snapToGrid w:val="0"/>
              <w:jc w:val="center"/>
              <w:rPr>
                <w:szCs w:val="21"/>
              </w:rPr>
            </w:pPr>
            <w:r>
              <w:rPr>
                <w:szCs w:val="21"/>
              </w:rPr>
              <w:t>建设地点</w:t>
            </w:r>
          </w:p>
        </w:tc>
        <w:tc>
          <w:tcPr>
            <w:tcW w:w="8700" w:type="dxa"/>
            <w:gridSpan w:val="3"/>
            <w:vAlign w:val="center"/>
          </w:tcPr>
          <w:p w14:paraId="1CDB9D83">
            <w:pPr>
              <w:adjustRightInd w:val="0"/>
              <w:snapToGrid w:val="0"/>
              <w:jc w:val="center"/>
              <w:rPr>
                <w:szCs w:val="21"/>
              </w:rPr>
            </w:pPr>
            <w:bookmarkStart w:id="0" w:name="OLE_LINK13"/>
            <w:r>
              <w:rPr>
                <w:rFonts w:hint="eastAsia"/>
                <w:szCs w:val="21"/>
              </w:rPr>
              <w:t>新疆维吾尔自治区昌吉回族自治州奇台县喇嘛湖梁工业园区</w:t>
            </w:r>
            <w:bookmarkEnd w:id="0"/>
          </w:p>
        </w:tc>
      </w:tr>
      <w:tr w14:paraId="15FDC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31A3B9C3">
            <w:pPr>
              <w:adjustRightInd w:val="0"/>
              <w:snapToGrid w:val="0"/>
              <w:jc w:val="center"/>
              <w:rPr>
                <w:szCs w:val="21"/>
              </w:rPr>
            </w:pPr>
            <w:r>
              <w:rPr>
                <w:szCs w:val="21"/>
              </w:rPr>
              <w:t>地理坐标</w:t>
            </w:r>
          </w:p>
        </w:tc>
        <w:tc>
          <w:tcPr>
            <w:tcW w:w="8700" w:type="dxa"/>
            <w:gridSpan w:val="3"/>
            <w:vAlign w:val="center"/>
          </w:tcPr>
          <w:p w14:paraId="711A38B1">
            <w:pPr>
              <w:jc w:val="center"/>
              <w:rPr>
                <w:szCs w:val="21"/>
              </w:rPr>
            </w:pPr>
            <w:r>
              <w:rPr>
                <w:szCs w:val="21"/>
              </w:rPr>
              <w:t>89°37′21.948″E，44°8′15.721″N</w:t>
            </w:r>
          </w:p>
        </w:tc>
      </w:tr>
      <w:tr w14:paraId="34611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27" w:type="dxa"/>
            <w:tcMar>
              <w:top w:w="16" w:type="dxa"/>
              <w:left w:w="16" w:type="dxa"/>
              <w:right w:w="16" w:type="dxa"/>
            </w:tcMar>
            <w:vAlign w:val="center"/>
          </w:tcPr>
          <w:p w14:paraId="44319082">
            <w:pPr>
              <w:adjustRightInd w:val="0"/>
              <w:snapToGrid w:val="0"/>
              <w:jc w:val="center"/>
              <w:rPr>
                <w:szCs w:val="21"/>
              </w:rPr>
            </w:pPr>
            <w:r>
              <w:rPr>
                <w:szCs w:val="21"/>
              </w:rPr>
              <w:t>国民经济</w:t>
            </w:r>
          </w:p>
          <w:p w14:paraId="3C81A930">
            <w:pPr>
              <w:adjustRightInd w:val="0"/>
              <w:snapToGrid w:val="0"/>
              <w:jc w:val="center"/>
              <w:rPr>
                <w:szCs w:val="21"/>
              </w:rPr>
            </w:pPr>
            <w:r>
              <w:rPr>
                <w:szCs w:val="21"/>
              </w:rPr>
              <w:t>行业类别</w:t>
            </w:r>
          </w:p>
        </w:tc>
        <w:tc>
          <w:tcPr>
            <w:tcW w:w="2592" w:type="dxa"/>
            <w:vAlign w:val="center"/>
          </w:tcPr>
          <w:p w14:paraId="554467BC">
            <w:pPr>
              <w:adjustRightInd w:val="0"/>
              <w:snapToGrid w:val="0"/>
              <w:jc w:val="center"/>
              <w:rPr>
                <w:szCs w:val="21"/>
              </w:rPr>
            </w:pPr>
            <w:r>
              <w:rPr>
                <w:rFonts w:hint="eastAsia"/>
              </w:rPr>
              <w:t>水泥制品制造C</w:t>
            </w:r>
            <w:r>
              <w:t>3021</w:t>
            </w:r>
            <w:r>
              <w:rPr>
                <w:rFonts w:hint="eastAsia"/>
              </w:rPr>
              <w:t>；</w:t>
            </w:r>
            <w:r>
              <w:t>其他水泥类似制品制造C3029</w:t>
            </w:r>
            <w:r>
              <w:rPr>
                <w:rFonts w:hint="eastAsia"/>
              </w:rPr>
              <w:t>；其他非金属矿物制品制造</w:t>
            </w:r>
            <w:r>
              <w:t xml:space="preserve"> C3099</w:t>
            </w:r>
          </w:p>
        </w:tc>
        <w:tc>
          <w:tcPr>
            <w:tcW w:w="2212" w:type="dxa"/>
            <w:vAlign w:val="center"/>
          </w:tcPr>
          <w:p w14:paraId="3C4C7435">
            <w:pPr>
              <w:adjustRightInd w:val="0"/>
              <w:snapToGrid w:val="0"/>
              <w:jc w:val="center"/>
              <w:rPr>
                <w:szCs w:val="21"/>
              </w:rPr>
            </w:pPr>
            <w:bookmarkStart w:id="1" w:name="_Hlk49843745"/>
            <w:r>
              <w:rPr>
                <w:szCs w:val="21"/>
              </w:rPr>
              <w:t>建设项目</w:t>
            </w:r>
          </w:p>
          <w:p w14:paraId="5C12F815">
            <w:pPr>
              <w:adjustRightInd w:val="0"/>
              <w:snapToGrid w:val="0"/>
              <w:jc w:val="center"/>
              <w:rPr>
                <w:szCs w:val="21"/>
              </w:rPr>
            </w:pPr>
            <w:r>
              <w:rPr>
                <w:szCs w:val="21"/>
              </w:rPr>
              <w:t>行业类别</w:t>
            </w:r>
            <w:bookmarkEnd w:id="1"/>
          </w:p>
        </w:tc>
        <w:tc>
          <w:tcPr>
            <w:tcW w:w="3896" w:type="dxa"/>
            <w:vAlign w:val="center"/>
          </w:tcPr>
          <w:p w14:paraId="5EC42DDF">
            <w:pPr>
              <w:adjustRightInd w:val="0"/>
              <w:snapToGrid w:val="0"/>
            </w:pPr>
            <w:r>
              <w:t>二十七、非金属矿物制品业</w:t>
            </w:r>
          </w:p>
          <w:p w14:paraId="2720A199">
            <w:pPr>
              <w:adjustRightInd w:val="0"/>
              <w:snapToGrid w:val="0"/>
            </w:pPr>
            <w:r>
              <w:t xml:space="preserve">55石膏、水泥制品及类似制品制造302 </w:t>
            </w:r>
            <w:r>
              <w:rPr>
                <w:rFonts w:hint="eastAsia"/>
              </w:rPr>
              <w:t>商品混凝土；砼结构构件制造；水泥制品制造</w:t>
            </w:r>
          </w:p>
          <w:p w14:paraId="29E43F67">
            <w:pPr>
              <w:adjustRightInd w:val="0"/>
              <w:snapToGrid w:val="0"/>
              <w:rPr>
                <w:szCs w:val="21"/>
              </w:rPr>
            </w:pPr>
            <w:bookmarkStart w:id="2" w:name="OLE_LINK21"/>
            <w:r>
              <w:t>60 石墨及</w:t>
            </w:r>
            <w:r>
              <w:rPr>
                <w:rFonts w:hint="eastAsia"/>
              </w:rPr>
              <w:t>其他非金属矿物制品制造3</w:t>
            </w:r>
            <w:r>
              <w:t>09 其他</w:t>
            </w:r>
            <w:bookmarkEnd w:id="2"/>
          </w:p>
        </w:tc>
      </w:tr>
      <w:tr w14:paraId="4D933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27" w:type="dxa"/>
            <w:tcMar>
              <w:top w:w="16" w:type="dxa"/>
              <w:left w:w="16" w:type="dxa"/>
              <w:right w:w="16" w:type="dxa"/>
            </w:tcMar>
            <w:vAlign w:val="center"/>
          </w:tcPr>
          <w:p w14:paraId="0CB84B00">
            <w:pPr>
              <w:adjustRightInd w:val="0"/>
              <w:snapToGrid w:val="0"/>
              <w:jc w:val="center"/>
              <w:rPr>
                <w:szCs w:val="21"/>
              </w:rPr>
            </w:pPr>
            <w:r>
              <w:rPr>
                <w:szCs w:val="21"/>
              </w:rPr>
              <w:t>建设性质</w:t>
            </w:r>
          </w:p>
        </w:tc>
        <w:tc>
          <w:tcPr>
            <w:tcW w:w="2592" w:type="dxa"/>
            <w:vAlign w:val="center"/>
          </w:tcPr>
          <w:p w14:paraId="1521F421">
            <w:pPr>
              <w:jc w:val="left"/>
              <w:rPr>
                <w:szCs w:val="21"/>
              </w:rPr>
            </w:pPr>
            <w:r>
              <w:rPr>
                <w:szCs w:val="21"/>
              </w:rPr>
              <w:sym w:font="Wingdings 2" w:char="0052"/>
            </w:r>
            <w:r>
              <w:rPr>
                <w:szCs w:val="21"/>
              </w:rPr>
              <w:t>新建（迁建）</w:t>
            </w:r>
          </w:p>
          <w:p w14:paraId="529F4125">
            <w:pPr>
              <w:jc w:val="left"/>
              <w:rPr>
                <w:szCs w:val="21"/>
              </w:rPr>
            </w:pPr>
            <w:r>
              <w:rPr>
                <w:szCs w:val="21"/>
              </w:rPr>
              <w:t>□改建</w:t>
            </w:r>
          </w:p>
          <w:p w14:paraId="42931A42">
            <w:pPr>
              <w:jc w:val="left"/>
              <w:rPr>
                <w:szCs w:val="21"/>
              </w:rPr>
            </w:pPr>
            <w:r>
              <w:rPr>
                <w:szCs w:val="21"/>
              </w:rPr>
              <w:t>□扩建</w:t>
            </w:r>
          </w:p>
          <w:p w14:paraId="20632C72">
            <w:pPr>
              <w:jc w:val="left"/>
              <w:rPr>
                <w:szCs w:val="21"/>
              </w:rPr>
            </w:pPr>
            <w:r>
              <w:rPr>
                <w:szCs w:val="21"/>
              </w:rPr>
              <w:t>□技术改造</w:t>
            </w:r>
          </w:p>
        </w:tc>
        <w:tc>
          <w:tcPr>
            <w:tcW w:w="2212" w:type="dxa"/>
            <w:vAlign w:val="center"/>
          </w:tcPr>
          <w:p w14:paraId="17ACDC6C">
            <w:pPr>
              <w:adjustRightInd w:val="0"/>
              <w:snapToGrid w:val="0"/>
              <w:jc w:val="center"/>
              <w:rPr>
                <w:szCs w:val="21"/>
              </w:rPr>
            </w:pPr>
            <w:r>
              <w:rPr>
                <w:szCs w:val="21"/>
              </w:rPr>
              <w:t>建设项目</w:t>
            </w:r>
          </w:p>
          <w:p w14:paraId="5D90C7E4">
            <w:pPr>
              <w:adjustRightInd w:val="0"/>
              <w:snapToGrid w:val="0"/>
              <w:jc w:val="center"/>
              <w:rPr>
                <w:szCs w:val="21"/>
              </w:rPr>
            </w:pPr>
            <w:r>
              <w:rPr>
                <w:szCs w:val="21"/>
              </w:rPr>
              <w:t>申报情形</w:t>
            </w:r>
          </w:p>
        </w:tc>
        <w:tc>
          <w:tcPr>
            <w:tcW w:w="3896" w:type="dxa"/>
            <w:vAlign w:val="center"/>
          </w:tcPr>
          <w:p w14:paraId="16515990">
            <w:pPr>
              <w:jc w:val="left"/>
              <w:rPr>
                <w:szCs w:val="21"/>
              </w:rPr>
            </w:pPr>
            <w:r>
              <w:rPr>
                <w:szCs w:val="21"/>
              </w:rPr>
              <w:sym w:font="Wingdings 2" w:char="0052"/>
            </w:r>
            <w:r>
              <w:rPr>
                <w:szCs w:val="21"/>
              </w:rPr>
              <w:t xml:space="preserve">首次申报项目             </w:t>
            </w:r>
          </w:p>
          <w:p w14:paraId="49E593B9">
            <w:pPr>
              <w:jc w:val="left"/>
              <w:rPr>
                <w:szCs w:val="21"/>
              </w:rPr>
            </w:pPr>
            <w:r>
              <w:rPr>
                <w:szCs w:val="21"/>
              </w:rPr>
              <w:t>□不予批准后再次申报项目</w:t>
            </w:r>
          </w:p>
          <w:p w14:paraId="0760F2B5">
            <w:pPr>
              <w:adjustRightInd w:val="0"/>
              <w:snapToGrid w:val="0"/>
              <w:rPr>
                <w:szCs w:val="21"/>
              </w:rPr>
            </w:pPr>
            <w:r>
              <w:rPr>
                <w:szCs w:val="21"/>
              </w:rPr>
              <w:sym w:font="Wingdings 2" w:char="00A3"/>
            </w:r>
            <w:r>
              <w:rPr>
                <w:szCs w:val="21"/>
              </w:rPr>
              <w:t xml:space="preserve">超五年重新审核项目     </w:t>
            </w:r>
          </w:p>
          <w:p w14:paraId="2D4BBCB5">
            <w:pPr>
              <w:jc w:val="left"/>
              <w:rPr>
                <w:szCs w:val="21"/>
              </w:rPr>
            </w:pPr>
            <w:r>
              <w:rPr>
                <w:szCs w:val="21"/>
              </w:rPr>
              <w:t>□重大变动重新报批项目</w:t>
            </w:r>
          </w:p>
        </w:tc>
      </w:tr>
      <w:tr w14:paraId="164F4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27" w:type="dxa"/>
            <w:tcMar>
              <w:top w:w="16" w:type="dxa"/>
              <w:left w:w="16" w:type="dxa"/>
              <w:right w:w="16" w:type="dxa"/>
            </w:tcMar>
            <w:vAlign w:val="center"/>
          </w:tcPr>
          <w:p w14:paraId="2318C9F7">
            <w:pPr>
              <w:adjustRightInd w:val="0"/>
              <w:snapToGrid w:val="0"/>
              <w:jc w:val="center"/>
              <w:rPr>
                <w:szCs w:val="21"/>
              </w:rPr>
            </w:pPr>
            <w:r>
              <w:rPr>
                <w:szCs w:val="21"/>
              </w:rPr>
              <w:t>项目审批（核准/</w:t>
            </w:r>
          </w:p>
          <w:p w14:paraId="0908D456">
            <w:pPr>
              <w:adjustRightInd w:val="0"/>
              <w:snapToGrid w:val="0"/>
              <w:jc w:val="center"/>
              <w:rPr>
                <w:szCs w:val="21"/>
              </w:rPr>
            </w:pPr>
            <w:r>
              <w:rPr>
                <w:szCs w:val="21"/>
              </w:rPr>
              <w:t>备案）部门（选填）</w:t>
            </w:r>
          </w:p>
        </w:tc>
        <w:tc>
          <w:tcPr>
            <w:tcW w:w="2592" w:type="dxa"/>
            <w:vAlign w:val="center"/>
          </w:tcPr>
          <w:p w14:paraId="32C6A549">
            <w:pPr>
              <w:adjustRightInd w:val="0"/>
              <w:snapToGrid w:val="0"/>
              <w:jc w:val="center"/>
              <w:rPr>
                <w:szCs w:val="21"/>
              </w:rPr>
            </w:pPr>
            <w:r>
              <w:rPr>
                <w:szCs w:val="21"/>
              </w:rPr>
              <w:t>/</w:t>
            </w:r>
          </w:p>
        </w:tc>
        <w:tc>
          <w:tcPr>
            <w:tcW w:w="2212" w:type="dxa"/>
            <w:vAlign w:val="center"/>
          </w:tcPr>
          <w:p w14:paraId="09BFA449">
            <w:pPr>
              <w:adjustRightInd w:val="0"/>
              <w:snapToGrid w:val="0"/>
              <w:jc w:val="center"/>
              <w:rPr>
                <w:szCs w:val="21"/>
              </w:rPr>
            </w:pPr>
            <w:r>
              <w:rPr>
                <w:szCs w:val="21"/>
              </w:rPr>
              <w:t>项目审批（核准/</w:t>
            </w:r>
          </w:p>
          <w:p w14:paraId="180E31EE">
            <w:pPr>
              <w:adjustRightInd w:val="0"/>
              <w:snapToGrid w:val="0"/>
              <w:jc w:val="center"/>
              <w:rPr>
                <w:szCs w:val="21"/>
              </w:rPr>
            </w:pPr>
            <w:r>
              <w:rPr>
                <w:szCs w:val="21"/>
              </w:rPr>
              <w:t>备案）文号（选填）</w:t>
            </w:r>
          </w:p>
        </w:tc>
        <w:tc>
          <w:tcPr>
            <w:tcW w:w="3896" w:type="dxa"/>
            <w:vAlign w:val="center"/>
          </w:tcPr>
          <w:p w14:paraId="739E2DC8">
            <w:pPr>
              <w:adjustRightInd w:val="0"/>
              <w:snapToGrid w:val="0"/>
              <w:jc w:val="center"/>
              <w:rPr>
                <w:szCs w:val="21"/>
              </w:rPr>
            </w:pPr>
            <w:r>
              <w:rPr>
                <w:szCs w:val="21"/>
              </w:rPr>
              <w:t>/</w:t>
            </w:r>
          </w:p>
        </w:tc>
      </w:tr>
      <w:tr w14:paraId="29799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7A3B2B27">
            <w:pPr>
              <w:adjustRightInd w:val="0"/>
              <w:snapToGrid w:val="0"/>
              <w:jc w:val="center"/>
              <w:rPr>
                <w:szCs w:val="21"/>
              </w:rPr>
            </w:pPr>
            <w:r>
              <w:rPr>
                <w:szCs w:val="21"/>
              </w:rPr>
              <w:t>总投资（万元）</w:t>
            </w:r>
          </w:p>
        </w:tc>
        <w:tc>
          <w:tcPr>
            <w:tcW w:w="2592" w:type="dxa"/>
            <w:vAlign w:val="center"/>
          </w:tcPr>
          <w:p w14:paraId="4AF379FE">
            <w:pPr>
              <w:adjustRightInd w:val="0"/>
              <w:snapToGrid w:val="0"/>
              <w:jc w:val="center"/>
            </w:pPr>
            <w:r>
              <w:t>2000</w:t>
            </w:r>
          </w:p>
        </w:tc>
        <w:tc>
          <w:tcPr>
            <w:tcW w:w="2212" w:type="dxa"/>
            <w:tcMar>
              <w:top w:w="16" w:type="dxa"/>
              <w:left w:w="16" w:type="dxa"/>
              <w:right w:w="16" w:type="dxa"/>
            </w:tcMar>
            <w:vAlign w:val="center"/>
          </w:tcPr>
          <w:p w14:paraId="799BE4CE">
            <w:pPr>
              <w:adjustRightInd w:val="0"/>
              <w:snapToGrid w:val="0"/>
              <w:jc w:val="center"/>
            </w:pPr>
            <w:r>
              <w:t>环保投资（万元）</w:t>
            </w:r>
          </w:p>
        </w:tc>
        <w:tc>
          <w:tcPr>
            <w:tcW w:w="3896" w:type="dxa"/>
            <w:vAlign w:val="center"/>
          </w:tcPr>
          <w:p w14:paraId="6CA5A360">
            <w:pPr>
              <w:adjustRightInd w:val="0"/>
              <w:snapToGrid w:val="0"/>
              <w:jc w:val="center"/>
            </w:pPr>
            <w:r>
              <w:t>231.5</w:t>
            </w:r>
          </w:p>
        </w:tc>
      </w:tr>
      <w:tr w14:paraId="01282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381BCE65">
            <w:pPr>
              <w:adjustRightInd w:val="0"/>
              <w:snapToGrid w:val="0"/>
              <w:jc w:val="center"/>
              <w:rPr>
                <w:szCs w:val="21"/>
              </w:rPr>
            </w:pPr>
            <w:r>
              <w:rPr>
                <w:szCs w:val="21"/>
              </w:rPr>
              <w:t>环保投资占比（%）</w:t>
            </w:r>
          </w:p>
        </w:tc>
        <w:tc>
          <w:tcPr>
            <w:tcW w:w="2592" w:type="dxa"/>
            <w:vAlign w:val="center"/>
          </w:tcPr>
          <w:p w14:paraId="1DC9C412">
            <w:pPr>
              <w:adjustRightInd w:val="0"/>
              <w:snapToGrid w:val="0"/>
              <w:jc w:val="center"/>
            </w:pPr>
            <w:r>
              <w:t>11.58</w:t>
            </w:r>
          </w:p>
        </w:tc>
        <w:tc>
          <w:tcPr>
            <w:tcW w:w="2212" w:type="dxa"/>
            <w:tcMar>
              <w:top w:w="16" w:type="dxa"/>
              <w:left w:w="16" w:type="dxa"/>
              <w:right w:w="16" w:type="dxa"/>
            </w:tcMar>
            <w:vAlign w:val="center"/>
          </w:tcPr>
          <w:p w14:paraId="6073B609">
            <w:pPr>
              <w:adjustRightInd w:val="0"/>
              <w:snapToGrid w:val="0"/>
              <w:jc w:val="center"/>
            </w:pPr>
            <w:r>
              <w:t>施工工期</w:t>
            </w:r>
          </w:p>
        </w:tc>
        <w:tc>
          <w:tcPr>
            <w:tcW w:w="3896" w:type="dxa"/>
            <w:vAlign w:val="center"/>
          </w:tcPr>
          <w:p w14:paraId="521B6CC2">
            <w:pPr>
              <w:adjustRightInd w:val="0"/>
              <w:snapToGrid w:val="0"/>
              <w:jc w:val="center"/>
            </w:pPr>
            <w:r>
              <w:t>5个月</w:t>
            </w:r>
          </w:p>
        </w:tc>
      </w:tr>
      <w:tr w14:paraId="55A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14:paraId="7B8B8982">
            <w:pPr>
              <w:adjustRightInd w:val="0"/>
              <w:snapToGrid w:val="0"/>
              <w:jc w:val="center"/>
              <w:rPr>
                <w:szCs w:val="21"/>
              </w:rPr>
            </w:pPr>
            <w:r>
              <w:rPr>
                <w:szCs w:val="21"/>
              </w:rPr>
              <w:t>是否开工建设</w:t>
            </w:r>
          </w:p>
        </w:tc>
        <w:tc>
          <w:tcPr>
            <w:tcW w:w="2592" w:type="dxa"/>
            <w:vAlign w:val="center"/>
          </w:tcPr>
          <w:p w14:paraId="33274BF8">
            <w:pPr>
              <w:adjustRightInd w:val="0"/>
              <w:snapToGrid w:val="0"/>
              <w:rPr>
                <w:szCs w:val="21"/>
              </w:rPr>
            </w:pPr>
            <w:r>
              <w:rPr>
                <w:szCs w:val="21"/>
              </w:rPr>
              <w:sym w:font="Wingdings 2" w:char="0052"/>
            </w:r>
            <w:r>
              <w:rPr>
                <w:szCs w:val="21"/>
              </w:rPr>
              <w:t>否</w:t>
            </w:r>
          </w:p>
          <w:p w14:paraId="059A4556">
            <w:pPr>
              <w:adjustRightInd w:val="0"/>
              <w:snapToGrid w:val="0"/>
              <w:rPr>
                <w:szCs w:val="21"/>
              </w:rPr>
            </w:pPr>
            <w:r>
              <w:rPr>
                <w:szCs w:val="21"/>
              </w:rPr>
              <w:sym w:font="Wingdings 2" w:char="00A3"/>
            </w:r>
            <w:r>
              <w:rPr>
                <w:szCs w:val="21"/>
              </w:rPr>
              <w:t xml:space="preserve">是：          </w:t>
            </w:r>
          </w:p>
        </w:tc>
        <w:tc>
          <w:tcPr>
            <w:tcW w:w="2212" w:type="dxa"/>
            <w:tcMar>
              <w:top w:w="16" w:type="dxa"/>
              <w:left w:w="16" w:type="dxa"/>
              <w:right w:w="16" w:type="dxa"/>
            </w:tcMar>
            <w:vAlign w:val="center"/>
          </w:tcPr>
          <w:p w14:paraId="0A62985C">
            <w:pPr>
              <w:adjustRightInd w:val="0"/>
              <w:snapToGrid w:val="0"/>
              <w:jc w:val="center"/>
              <w:rPr>
                <w:spacing w:val="-6"/>
                <w:szCs w:val="21"/>
              </w:rPr>
            </w:pPr>
            <w:r>
              <w:rPr>
                <w:spacing w:val="-6"/>
                <w:szCs w:val="21"/>
              </w:rPr>
              <w:t>用地（用海）</w:t>
            </w:r>
          </w:p>
          <w:p w14:paraId="037BCA08">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3896" w:type="dxa"/>
            <w:vAlign w:val="center"/>
          </w:tcPr>
          <w:p w14:paraId="3F0248C2">
            <w:pPr>
              <w:adjustRightInd w:val="0"/>
              <w:snapToGrid w:val="0"/>
              <w:jc w:val="center"/>
              <w:rPr>
                <w:szCs w:val="21"/>
              </w:rPr>
            </w:pPr>
            <w:r>
              <w:t>147370</w:t>
            </w:r>
          </w:p>
        </w:tc>
      </w:tr>
      <w:tr w14:paraId="0AB50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7" w:type="dxa"/>
            <w:vAlign w:val="center"/>
          </w:tcPr>
          <w:p w14:paraId="108DCD47">
            <w:pPr>
              <w:autoSpaceDE w:val="0"/>
              <w:autoSpaceDN w:val="0"/>
              <w:adjustRightInd w:val="0"/>
              <w:snapToGrid w:val="0"/>
              <w:jc w:val="center"/>
              <w:rPr>
                <w:kern w:val="0"/>
                <w:szCs w:val="21"/>
              </w:rPr>
            </w:pPr>
            <w:r>
              <w:rPr>
                <w:kern w:val="0"/>
                <w:szCs w:val="21"/>
              </w:rPr>
              <w:t>专项评价设置情况</w:t>
            </w:r>
          </w:p>
        </w:tc>
        <w:tc>
          <w:tcPr>
            <w:tcW w:w="8700" w:type="dxa"/>
            <w:gridSpan w:val="3"/>
            <w:vAlign w:val="center"/>
          </w:tcPr>
          <w:p w14:paraId="2B08C688">
            <w:pPr>
              <w:autoSpaceDE w:val="0"/>
              <w:autoSpaceDN w:val="0"/>
              <w:adjustRightInd w:val="0"/>
              <w:snapToGrid w:val="0"/>
              <w:spacing w:line="480" w:lineRule="exact"/>
              <w:ind w:firstLine="480" w:firstLineChars="200"/>
              <w:jc w:val="center"/>
              <w:rPr>
                <w:kern w:val="0"/>
                <w:szCs w:val="21"/>
              </w:rPr>
            </w:pPr>
            <w:r>
              <w:rPr>
                <w:szCs w:val="21"/>
              </w:rPr>
              <w:t>无</w:t>
            </w:r>
          </w:p>
        </w:tc>
      </w:tr>
      <w:tr w14:paraId="13C4B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7" w:type="dxa"/>
            <w:vAlign w:val="center"/>
          </w:tcPr>
          <w:p w14:paraId="5E3C3E43">
            <w:pPr>
              <w:autoSpaceDE w:val="0"/>
              <w:autoSpaceDN w:val="0"/>
              <w:adjustRightInd w:val="0"/>
              <w:snapToGrid w:val="0"/>
              <w:jc w:val="center"/>
              <w:rPr>
                <w:kern w:val="0"/>
                <w:szCs w:val="21"/>
              </w:rPr>
            </w:pPr>
            <w:r>
              <w:rPr>
                <w:szCs w:val="21"/>
              </w:rPr>
              <w:t>规划情况</w:t>
            </w:r>
          </w:p>
        </w:tc>
        <w:tc>
          <w:tcPr>
            <w:tcW w:w="8700" w:type="dxa"/>
            <w:gridSpan w:val="3"/>
            <w:vAlign w:val="center"/>
          </w:tcPr>
          <w:p w14:paraId="482D7A97">
            <w:pPr>
              <w:autoSpaceDE w:val="0"/>
              <w:autoSpaceDN w:val="0"/>
              <w:adjustRightInd w:val="0"/>
              <w:snapToGrid w:val="0"/>
              <w:spacing w:line="460" w:lineRule="exact"/>
              <w:ind w:firstLine="480" w:firstLineChars="200"/>
              <w:rPr>
                <w:kern w:val="0"/>
                <w:szCs w:val="21"/>
              </w:rPr>
            </w:pPr>
            <w:r>
              <w:rPr>
                <w:rFonts w:hint="eastAsia"/>
                <w:kern w:val="0"/>
              </w:rPr>
              <w:t>2020年，奇台产业园区管理委员会对《奇台县喇嘛湖梁新型工业产品加工园区总体规划（2011-2030）》进行局部调整，规划名称调整为《奇台县喇嘛湖梁工业园区总体规划（2020-2030年）-局部调整》，基准年2020年，规划期限调整为2020-2030年，规划范围保持不变，重点调整内容为产业规划和土地利用规划。2021年5月15日，由奇台县人民政府出具《</w:t>
            </w:r>
            <w:bookmarkStart w:id="3" w:name="OLE_LINK12"/>
            <w:bookmarkStart w:id="4" w:name="OLE_LINK16"/>
            <w:r>
              <w:rPr>
                <w:rFonts w:hint="eastAsia"/>
                <w:kern w:val="0"/>
              </w:rPr>
              <w:t>关于将奇台县喇嘛湖梁工业园区设立为县级园区的批复</w:t>
            </w:r>
            <w:bookmarkEnd w:id="3"/>
            <w:bookmarkEnd w:id="4"/>
            <w:r>
              <w:rPr>
                <w:rFonts w:hint="eastAsia"/>
                <w:kern w:val="0"/>
              </w:rPr>
              <w:t>》（奇政函〔2021〕34号）批准设立。</w:t>
            </w:r>
          </w:p>
        </w:tc>
      </w:tr>
      <w:tr w14:paraId="78235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7" w:type="dxa"/>
            <w:vAlign w:val="center"/>
          </w:tcPr>
          <w:p w14:paraId="7D6F770B">
            <w:pPr>
              <w:adjustRightInd w:val="0"/>
              <w:snapToGrid w:val="0"/>
              <w:jc w:val="center"/>
              <w:rPr>
                <w:szCs w:val="21"/>
              </w:rPr>
            </w:pPr>
            <w:r>
              <w:rPr>
                <w:szCs w:val="21"/>
              </w:rPr>
              <w:t>规划环境影响</w:t>
            </w:r>
          </w:p>
          <w:p w14:paraId="3836DAE8">
            <w:pPr>
              <w:adjustRightInd w:val="0"/>
              <w:snapToGrid w:val="0"/>
              <w:jc w:val="center"/>
              <w:rPr>
                <w:kern w:val="0"/>
                <w:szCs w:val="21"/>
              </w:rPr>
            </w:pPr>
            <w:r>
              <w:rPr>
                <w:szCs w:val="21"/>
              </w:rPr>
              <w:t>评价情况</w:t>
            </w:r>
          </w:p>
        </w:tc>
        <w:tc>
          <w:tcPr>
            <w:tcW w:w="8700" w:type="dxa"/>
            <w:gridSpan w:val="3"/>
            <w:vAlign w:val="center"/>
          </w:tcPr>
          <w:p w14:paraId="2B78BE24">
            <w:pPr>
              <w:autoSpaceDE w:val="0"/>
              <w:autoSpaceDN w:val="0"/>
              <w:adjustRightInd w:val="0"/>
              <w:snapToGrid w:val="0"/>
              <w:spacing w:line="460" w:lineRule="exact"/>
              <w:ind w:firstLine="480" w:firstLineChars="200"/>
              <w:rPr>
                <w:kern w:val="0"/>
              </w:rPr>
            </w:pPr>
            <w:r>
              <w:rPr>
                <w:rFonts w:hint="eastAsia"/>
                <w:kern w:val="0"/>
              </w:rPr>
              <w:t>规划环评文件名称：《奇台县喇嘛湖梁工业园区总体规划（2020-2030年）局部调整环境影响报告书》；</w:t>
            </w:r>
          </w:p>
          <w:p w14:paraId="522325F9">
            <w:pPr>
              <w:autoSpaceDE w:val="0"/>
              <w:autoSpaceDN w:val="0"/>
              <w:adjustRightInd w:val="0"/>
              <w:snapToGrid w:val="0"/>
              <w:spacing w:line="460" w:lineRule="exact"/>
              <w:ind w:firstLine="480" w:firstLineChars="200"/>
              <w:rPr>
                <w:kern w:val="0"/>
              </w:rPr>
            </w:pPr>
            <w:r>
              <w:rPr>
                <w:rFonts w:hint="eastAsia"/>
                <w:kern w:val="0"/>
              </w:rPr>
              <w:t>审查机关：昌吉回族自治州生态环境局；</w:t>
            </w:r>
          </w:p>
          <w:p w14:paraId="29749275">
            <w:pPr>
              <w:autoSpaceDE w:val="0"/>
              <w:autoSpaceDN w:val="0"/>
              <w:adjustRightInd w:val="0"/>
              <w:snapToGrid w:val="0"/>
              <w:spacing w:line="460" w:lineRule="exact"/>
              <w:ind w:firstLine="480" w:firstLineChars="200"/>
              <w:rPr>
                <w:kern w:val="0"/>
                <w:szCs w:val="21"/>
              </w:rPr>
            </w:pPr>
            <w:r>
              <w:rPr>
                <w:rFonts w:hint="eastAsia"/>
                <w:kern w:val="0"/>
              </w:rPr>
              <w:t>审查文件名称及文号：关于《奇台县喇嘛湖梁工业园区总体规划（2020-2030年）局部调整环境影响报告书》的审查意见；文号：昌州环函〔2023〕49号</w:t>
            </w:r>
          </w:p>
        </w:tc>
      </w:tr>
      <w:tr w14:paraId="25398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7" w:type="dxa"/>
            <w:vAlign w:val="center"/>
          </w:tcPr>
          <w:p w14:paraId="7E48C872">
            <w:pPr>
              <w:autoSpaceDE w:val="0"/>
              <w:autoSpaceDN w:val="0"/>
              <w:adjustRightInd w:val="0"/>
              <w:snapToGrid w:val="0"/>
              <w:jc w:val="center"/>
              <w:rPr>
                <w:kern w:val="0"/>
                <w:szCs w:val="21"/>
              </w:rPr>
            </w:pPr>
            <w:r>
              <w:rPr>
                <w:kern w:val="0"/>
                <w:szCs w:val="21"/>
              </w:rPr>
              <w:t>规划及规划环境影响评价符合性分析</w:t>
            </w:r>
          </w:p>
        </w:tc>
        <w:tc>
          <w:tcPr>
            <w:tcW w:w="8700" w:type="dxa"/>
            <w:gridSpan w:val="3"/>
            <w:vAlign w:val="center"/>
          </w:tcPr>
          <w:p w14:paraId="493EAC3C">
            <w:pPr>
              <w:autoSpaceDE w:val="0"/>
              <w:autoSpaceDN w:val="0"/>
              <w:adjustRightInd w:val="0"/>
              <w:snapToGrid w:val="0"/>
              <w:spacing w:line="460" w:lineRule="exact"/>
              <w:ind w:firstLine="482" w:firstLineChars="200"/>
              <w:rPr>
                <w:b/>
                <w:bCs/>
                <w:kern w:val="0"/>
              </w:rPr>
            </w:pPr>
            <w:r>
              <w:rPr>
                <w:b/>
                <w:bCs/>
                <w:kern w:val="0"/>
              </w:rPr>
              <w:t>1、与</w:t>
            </w:r>
            <w:r>
              <w:rPr>
                <w:b/>
                <w:bCs/>
              </w:rPr>
              <w:t>《奇台县喇嘛湖梁工业园区总体规划（2020-2030年）-局部调整》</w:t>
            </w:r>
            <w:r>
              <w:rPr>
                <w:b/>
                <w:bCs/>
                <w:kern w:val="0"/>
              </w:rPr>
              <w:t>符合性分析</w:t>
            </w:r>
          </w:p>
          <w:p w14:paraId="04624627">
            <w:pPr>
              <w:pStyle w:val="69"/>
              <w:spacing w:line="460" w:lineRule="exact"/>
              <w:ind w:firstLine="480" w:firstLineChars="200"/>
              <w:jc w:val="both"/>
              <w:rPr>
                <w:sz w:val="24"/>
                <w:szCs w:val="24"/>
              </w:rPr>
            </w:pPr>
            <w:r>
              <w:rPr>
                <w:sz w:val="24"/>
                <w:szCs w:val="24"/>
              </w:rPr>
              <w:t>《奇台县喇嘛湖梁工业园区总体规划（2020-2030年）-局部调整》指出：喇嘛湖梁工业园区的产业定位是以精细化工、化工新材料、装备制造、新材料等产业为主辅助发展物流、信息服务、静脉产业的综合性工业园区。</w:t>
            </w:r>
          </w:p>
          <w:p w14:paraId="4929FD2A">
            <w:pPr>
              <w:pStyle w:val="69"/>
              <w:spacing w:line="460" w:lineRule="exact"/>
              <w:ind w:firstLine="480" w:firstLineChars="200"/>
              <w:jc w:val="both"/>
              <w:rPr>
                <w:sz w:val="24"/>
                <w:szCs w:val="24"/>
              </w:rPr>
            </w:pPr>
            <w:r>
              <w:rPr>
                <w:sz w:val="24"/>
                <w:szCs w:val="24"/>
              </w:rPr>
              <w:t>奇台县喇嘛湖梁工业园区内基础设施齐全，供水、排水管网、供电管网、供热管网均已建设完成，项目用水、用电、蒸汽均依托园区基础设施管网，项目产生的生活污水依托喇嘛湖梁工业园区污水处理厂处理，喇嘛湖梁工业园区污水处理厂位于园区以北5km处；项目产生的固体弃物，均可在园区内完成无害化和资源化处理。园区基础设施健全。</w:t>
            </w:r>
          </w:p>
          <w:p w14:paraId="6AE21A88">
            <w:pPr>
              <w:pStyle w:val="69"/>
              <w:spacing w:line="460" w:lineRule="exact"/>
              <w:ind w:firstLine="480" w:firstLineChars="200"/>
              <w:jc w:val="left"/>
              <w:rPr>
                <w:sz w:val="24"/>
                <w:szCs w:val="24"/>
              </w:rPr>
            </w:pPr>
            <w:r>
              <w:rPr>
                <w:rFonts w:hint="eastAsia"/>
                <w:sz w:val="24"/>
                <w:szCs w:val="24"/>
              </w:rPr>
              <w:t>园区交通规划：对外交通：对外公路目前已建设X166县道以及奇井路。</w:t>
            </w:r>
          </w:p>
          <w:p w14:paraId="7F20D148">
            <w:pPr>
              <w:pStyle w:val="69"/>
              <w:spacing w:line="460" w:lineRule="exact"/>
              <w:ind w:firstLine="482" w:firstLineChars="200"/>
              <w:jc w:val="both"/>
              <w:rPr>
                <w:sz w:val="24"/>
                <w:szCs w:val="24"/>
              </w:rPr>
            </w:pPr>
            <w:r>
              <w:rPr>
                <w:b/>
                <w:bCs/>
                <w:sz w:val="24"/>
                <w:szCs w:val="24"/>
              </w:rPr>
              <w:t>符合性分析：</w:t>
            </w:r>
            <w:r>
              <w:rPr>
                <w:rFonts w:hint="eastAsia"/>
                <w:sz w:val="24"/>
                <w:szCs w:val="24"/>
              </w:rPr>
              <w:t>本项目为S240线准东大井服务区至奇台公路改扩建项目临时厂区建设项目</w:t>
            </w:r>
            <w:r>
              <w:rPr>
                <w:sz w:val="24"/>
                <w:szCs w:val="24"/>
              </w:rPr>
              <w:t>，</w:t>
            </w:r>
            <w:r>
              <w:rPr>
                <w:rFonts w:hint="eastAsia"/>
                <w:sz w:val="24"/>
                <w:szCs w:val="24"/>
              </w:rPr>
              <w:t>主要</w:t>
            </w:r>
            <w:r>
              <w:rPr>
                <w:sz w:val="24"/>
                <w:szCs w:val="24"/>
              </w:rPr>
              <w:t>为S240公路工程施工期间的施工物料生产、储存、运输及机械设备停放等提供服务，建设内容为水稳站、沥青站、混凝土站、预制场等。项目与园区产业布局兼容，</w:t>
            </w:r>
            <w:r>
              <w:rPr>
                <w:rFonts w:hint="eastAsia"/>
                <w:sz w:val="24"/>
                <w:szCs w:val="24"/>
              </w:rPr>
              <w:t>项目建成后有利于保障S240公路（奇井路）顺利实施，</w:t>
            </w:r>
            <w:r>
              <w:rPr>
                <w:sz w:val="24"/>
                <w:szCs w:val="24"/>
              </w:rPr>
              <w:t>有助于完善园区</w:t>
            </w:r>
            <w:r>
              <w:rPr>
                <w:rFonts w:hint="eastAsia"/>
                <w:sz w:val="24"/>
                <w:szCs w:val="24"/>
              </w:rPr>
              <w:t>对</w:t>
            </w:r>
            <w:r>
              <w:rPr>
                <w:sz w:val="24"/>
                <w:szCs w:val="24"/>
              </w:rPr>
              <w:t>外部交通网络，利于后续园区内各类产业的产品运输、原料引进等物流活动，间接为园区产业发展提供便利，因此，基本满足园区整体产业定位。</w:t>
            </w:r>
          </w:p>
          <w:p w14:paraId="2909BD5B">
            <w:pPr>
              <w:pStyle w:val="69"/>
              <w:spacing w:line="460" w:lineRule="exact"/>
              <w:ind w:firstLine="480" w:firstLineChars="200"/>
              <w:jc w:val="both"/>
              <w:rPr>
                <w:sz w:val="24"/>
                <w:szCs w:val="24"/>
              </w:rPr>
            </w:pPr>
            <w:r>
              <w:rPr>
                <w:sz w:val="24"/>
                <w:szCs w:val="24"/>
              </w:rPr>
              <w:t>项目用地依托</w:t>
            </w:r>
            <w:r>
              <w:rPr>
                <w:rFonts w:hint="eastAsia"/>
                <w:sz w:val="24"/>
                <w:szCs w:val="24"/>
              </w:rPr>
              <w:t>现有废弃临建设施（用地类型为建设用地和草地，企业已取得临时用地手续）</w:t>
            </w:r>
            <w:r>
              <w:rPr>
                <w:sz w:val="24"/>
                <w:szCs w:val="24"/>
              </w:rPr>
              <w:t>，</w:t>
            </w:r>
            <w:r>
              <w:rPr>
                <w:rFonts w:hint="eastAsia"/>
                <w:sz w:val="24"/>
                <w:szCs w:val="24"/>
              </w:rPr>
              <w:t>按用地要求，在公路施工结束后，将拆除本项目并对迹地进行恢复</w:t>
            </w:r>
            <w:r>
              <w:rPr>
                <w:sz w:val="24"/>
                <w:szCs w:val="24"/>
              </w:rPr>
              <w:t>。</w:t>
            </w:r>
          </w:p>
          <w:p w14:paraId="75B20BD2">
            <w:pPr>
              <w:pStyle w:val="69"/>
              <w:spacing w:line="460" w:lineRule="exact"/>
              <w:ind w:firstLine="480" w:firstLineChars="200"/>
              <w:jc w:val="both"/>
              <w:rPr>
                <w:sz w:val="24"/>
                <w:szCs w:val="24"/>
              </w:rPr>
            </w:pPr>
            <w:r>
              <w:rPr>
                <w:rFonts w:hint="eastAsia"/>
                <w:sz w:val="24"/>
                <w:szCs w:val="24"/>
              </w:rPr>
              <w:t>项目与园区产业布局位置关系见图1-1，项目与园区土地利用规划位置关系见图1-2。</w:t>
            </w:r>
          </w:p>
          <w:p w14:paraId="4A7C673B">
            <w:pPr>
              <w:pStyle w:val="59"/>
              <w:ind w:firstLine="439" w:firstLineChars="182"/>
              <w:rPr>
                <w:rFonts w:cs="Times New Roman"/>
                <w:b/>
                <w:szCs w:val="24"/>
              </w:rPr>
            </w:pPr>
            <w:r>
              <w:rPr>
                <w:rFonts w:cs="Times New Roman"/>
                <w:b/>
                <w:szCs w:val="24"/>
              </w:rPr>
              <w:t>2、</w:t>
            </w:r>
            <w:r>
              <w:rPr>
                <w:rFonts w:hint="eastAsia" w:cs="Times New Roman"/>
                <w:b/>
                <w:szCs w:val="24"/>
              </w:rPr>
              <w:t>项目</w:t>
            </w:r>
            <w:r>
              <w:rPr>
                <w:rFonts w:cs="Times New Roman"/>
                <w:b/>
                <w:szCs w:val="24"/>
              </w:rPr>
              <w:t>与</w:t>
            </w:r>
            <w:r>
              <w:rPr>
                <w:rFonts w:hint="eastAsia" w:cs="Times New Roman"/>
                <w:b/>
                <w:szCs w:val="24"/>
              </w:rPr>
              <w:t>《奇台县喇嘛湖梁工业园区总体规划（2020-2030年）局部调整环境影响报告书》评价结论及其审查意见符合性分析</w:t>
            </w:r>
          </w:p>
          <w:p w14:paraId="21912AA9">
            <w:pPr>
              <w:pStyle w:val="76"/>
              <w:ind w:firstLine="420"/>
              <w:rPr>
                <w:color w:val="auto"/>
              </w:rPr>
            </w:pPr>
            <w:r>
              <w:rPr>
                <w:color w:val="auto"/>
              </w:rPr>
              <w:t>表1-1   项目与《</w:t>
            </w:r>
            <w:r>
              <w:rPr>
                <w:rFonts w:hint="eastAsia"/>
                <w:color w:val="auto"/>
              </w:rPr>
              <w:t>奇台县喇嘛湖梁工业园区总体规划（2020-2030年）局部调整环境影响报告书</w:t>
            </w:r>
            <w:r>
              <w:rPr>
                <w:color w:val="auto"/>
              </w:rPr>
              <w:t>》</w:t>
            </w:r>
            <w:r>
              <w:rPr>
                <w:rFonts w:hint="eastAsia"/>
                <w:color w:val="auto"/>
              </w:rPr>
              <w:t>评价结论及其审查意见</w:t>
            </w:r>
            <w:r>
              <w:rPr>
                <w:color w:val="auto"/>
              </w:rPr>
              <w:t>符合性分析</w:t>
            </w:r>
          </w:p>
          <w:tbl>
            <w:tblPr>
              <w:tblStyle w:val="24"/>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4033"/>
              <w:gridCol w:w="3092"/>
              <w:gridCol w:w="676"/>
            </w:tblGrid>
            <w:tr w14:paraId="4BBCB7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591E6245">
                  <w:pPr>
                    <w:widowControl/>
                    <w:jc w:val="center"/>
                    <w:textAlignment w:val="center"/>
                    <w:rPr>
                      <w:sz w:val="21"/>
                      <w:szCs w:val="21"/>
                    </w:rPr>
                  </w:pPr>
                  <w:r>
                    <w:rPr>
                      <w:kern w:val="0"/>
                      <w:sz w:val="21"/>
                      <w:szCs w:val="21"/>
                      <w:lang w:bidi="ar"/>
                    </w:rPr>
                    <w:t>序号</w:t>
                  </w:r>
                </w:p>
              </w:tc>
              <w:tc>
                <w:tcPr>
                  <w:tcW w:w="2379" w:type="pct"/>
                  <w:shd w:val="clear" w:color="auto" w:fill="auto"/>
                  <w:vAlign w:val="center"/>
                </w:tcPr>
                <w:p w14:paraId="7DACD8D7">
                  <w:pPr>
                    <w:widowControl/>
                    <w:jc w:val="center"/>
                    <w:textAlignment w:val="center"/>
                    <w:rPr>
                      <w:sz w:val="21"/>
                      <w:szCs w:val="21"/>
                    </w:rPr>
                  </w:pPr>
                  <w:r>
                    <w:rPr>
                      <w:kern w:val="0"/>
                      <w:sz w:val="21"/>
                      <w:szCs w:val="21"/>
                      <w:lang w:bidi="ar"/>
                    </w:rPr>
                    <w:t>规划环评要求</w:t>
                  </w:r>
                </w:p>
              </w:tc>
              <w:tc>
                <w:tcPr>
                  <w:tcW w:w="1824" w:type="pct"/>
                  <w:shd w:val="clear" w:color="auto" w:fill="auto"/>
                  <w:vAlign w:val="center"/>
                </w:tcPr>
                <w:p w14:paraId="6B079FE5">
                  <w:pPr>
                    <w:widowControl/>
                    <w:jc w:val="center"/>
                    <w:textAlignment w:val="center"/>
                    <w:rPr>
                      <w:sz w:val="21"/>
                      <w:szCs w:val="21"/>
                    </w:rPr>
                  </w:pPr>
                  <w:r>
                    <w:rPr>
                      <w:kern w:val="0"/>
                      <w:sz w:val="21"/>
                      <w:szCs w:val="21"/>
                      <w:lang w:bidi="ar"/>
                    </w:rPr>
                    <w:t>本项目建设情况</w:t>
                  </w:r>
                </w:p>
              </w:tc>
              <w:tc>
                <w:tcPr>
                  <w:tcW w:w="398" w:type="pct"/>
                  <w:shd w:val="clear" w:color="auto" w:fill="auto"/>
                  <w:vAlign w:val="center"/>
                </w:tcPr>
                <w:p w14:paraId="1E8E14B2">
                  <w:pPr>
                    <w:widowControl/>
                    <w:jc w:val="center"/>
                    <w:textAlignment w:val="center"/>
                    <w:rPr>
                      <w:sz w:val="21"/>
                      <w:szCs w:val="21"/>
                    </w:rPr>
                  </w:pPr>
                  <w:r>
                    <w:rPr>
                      <w:kern w:val="0"/>
                      <w:sz w:val="21"/>
                      <w:szCs w:val="21"/>
                      <w:lang w:bidi="ar"/>
                    </w:rPr>
                    <w:t>符合性</w:t>
                  </w:r>
                </w:p>
              </w:tc>
            </w:tr>
            <w:tr w14:paraId="3AB678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21E8A89C">
                  <w:pPr>
                    <w:widowControl/>
                    <w:jc w:val="center"/>
                    <w:textAlignment w:val="center"/>
                    <w:rPr>
                      <w:sz w:val="21"/>
                      <w:szCs w:val="21"/>
                    </w:rPr>
                  </w:pPr>
                  <w:r>
                    <w:rPr>
                      <w:kern w:val="0"/>
                      <w:sz w:val="21"/>
                      <w:szCs w:val="21"/>
                      <w:lang w:bidi="ar"/>
                    </w:rPr>
                    <w:t>1</w:t>
                  </w:r>
                </w:p>
              </w:tc>
              <w:tc>
                <w:tcPr>
                  <w:tcW w:w="2379" w:type="pct"/>
                  <w:shd w:val="clear" w:color="auto" w:fill="auto"/>
                  <w:vAlign w:val="center"/>
                </w:tcPr>
                <w:p w14:paraId="75993446">
                  <w:pPr>
                    <w:widowControl/>
                    <w:textAlignment w:val="center"/>
                    <w:rPr>
                      <w:kern w:val="0"/>
                      <w:sz w:val="21"/>
                      <w:szCs w:val="21"/>
                      <w:lang w:bidi="ar"/>
                    </w:rPr>
                  </w:pPr>
                  <w:r>
                    <w:rPr>
                      <w:kern w:val="0"/>
                      <w:sz w:val="21"/>
                      <w:szCs w:val="21"/>
                      <w:lang w:bidi="ar"/>
                    </w:rPr>
                    <w:t>1、严格执行国家产业政策</w:t>
                  </w:r>
                  <w:r>
                    <w:rPr>
                      <w:rFonts w:hint="eastAsia"/>
                      <w:kern w:val="0"/>
                      <w:sz w:val="21"/>
                      <w:szCs w:val="21"/>
                      <w:lang w:bidi="ar"/>
                    </w:rPr>
                    <w:t>。</w:t>
                  </w:r>
                  <w:r>
                    <w:rPr>
                      <w:kern w:val="0"/>
                      <w:sz w:val="21"/>
                      <w:szCs w:val="21"/>
                      <w:lang w:bidi="ar"/>
                    </w:rPr>
                    <w:t>新建项目必须严格落实国家《产业结构调整指导目录（20</w:t>
                  </w:r>
                  <w:r>
                    <w:rPr>
                      <w:rFonts w:hint="eastAsia"/>
                      <w:kern w:val="0"/>
                      <w:sz w:val="21"/>
                      <w:szCs w:val="21"/>
                      <w:lang w:bidi="ar"/>
                    </w:rPr>
                    <w:t>19</w:t>
                  </w:r>
                  <w:r>
                    <w:rPr>
                      <w:kern w:val="0"/>
                      <w:sz w:val="21"/>
                      <w:szCs w:val="21"/>
                      <w:lang w:bidi="ar"/>
                    </w:rPr>
                    <w:t>年本）》要求，对项目产品、工艺、技术、装备等属于限制类或淘汰类的，一律禁止建设。提高园区企业准入门槛，鼓励能耗低、工艺先进、废气污染物排放量少的企业入区。依据《严重污染环境（大气）的淘汰工艺和设备名录》，严禁大气污染严重的企业入区。</w:t>
                  </w:r>
                </w:p>
                <w:p w14:paraId="117745D6">
                  <w:pPr>
                    <w:widowControl/>
                    <w:textAlignment w:val="center"/>
                    <w:rPr>
                      <w:sz w:val="21"/>
                      <w:szCs w:val="21"/>
                    </w:rPr>
                  </w:pPr>
                  <w:r>
                    <w:rPr>
                      <w:kern w:val="0"/>
                      <w:sz w:val="21"/>
                      <w:szCs w:val="21"/>
                      <w:lang w:bidi="ar"/>
                    </w:rPr>
                    <w:t>2、严格控制项目环评审批对于新、改、扩建项目应严格执行《建设项目环境影响评价分类管理名录（2021年版）》确定的项目环境影响评价类别，不得随意更改。严控</w:t>
                  </w:r>
                  <w:r>
                    <w:rPr>
                      <w:rFonts w:ascii="宋体" w:hAnsi="宋体"/>
                      <w:kern w:val="0"/>
                      <w:sz w:val="21"/>
                      <w:szCs w:val="21"/>
                      <w:lang w:bidi="ar"/>
                    </w:rPr>
                    <w:t>“两高”项</w:t>
                  </w:r>
                  <w:r>
                    <w:rPr>
                      <w:kern w:val="0"/>
                      <w:sz w:val="21"/>
                      <w:szCs w:val="21"/>
                      <w:lang w:bidi="ar"/>
                    </w:rPr>
                    <w:t>目环评审批。</w:t>
                  </w:r>
                </w:p>
              </w:tc>
              <w:tc>
                <w:tcPr>
                  <w:tcW w:w="1824" w:type="pct"/>
                  <w:shd w:val="clear" w:color="auto" w:fill="auto"/>
                  <w:vAlign w:val="center"/>
                </w:tcPr>
                <w:p w14:paraId="27BEE581">
                  <w:pPr>
                    <w:widowControl/>
                    <w:textAlignment w:val="center"/>
                    <w:rPr>
                      <w:sz w:val="21"/>
                      <w:szCs w:val="21"/>
                    </w:rPr>
                  </w:pPr>
                  <w:r>
                    <w:rPr>
                      <w:kern w:val="0"/>
                      <w:sz w:val="21"/>
                      <w:szCs w:val="21"/>
                      <w:lang w:bidi="ar"/>
                    </w:rPr>
                    <w:t>本项目为公路建设附属设施，主要建设水稳站、沥青站、混凝土站、预制场等，不属于</w:t>
                  </w:r>
                  <w:r>
                    <w:rPr>
                      <w:rFonts w:hint="eastAsia"/>
                      <w:kern w:val="0"/>
                      <w:sz w:val="21"/>
                      <w:szCs w:val="21"/>
                      <w:lang w:bidi="ar"/>
                    </w:rPr>
                    <w:t>《产业结构调整指导目录（2024年本）》中的“鼓励类”、“限制类”、“淘汰类”，视为允许类。因此本项目符合国家的产业政策</w:t>
                  </w:r>
                  <w:r>
                    <w:rPr>
                      <w:kern w:val="0"/>
                      <w:sz w:val="21"/>
                      <w:szCs w:val="21"/>
                      <w:lang w:bidi="ar"/>
                    </w:rPr>
                    <w:t>，不属于两高项目</w:t>
                  </w:r>
                  <w:r>
                    <w:rPr>
                      <w:rFonts w:hint="eastAsia"/>
                      <w:kern w:val="0"/>
                      <w:sz w:val="21"/>
                      <w:szCs w:val="21"/>
                      <w:lang w:bidi="ar"/>
                    </w:rPr>
                    <w:t>。</w:t>
                  </w:r>
                  <w:r>
                    <w:rPr>
                      <w:rFonts w:hint="eastAsia"/>
                      <w:sz w:val="21"/>
                      <w:szCs w:val="21"/>
                    </w:rPr>
                    <w:t>本项目按要求碎石均采用半封闭料仓，采取防尘网覆盖的措施；砂采用全封闭料仓，并设置洒水喷淋措施</w:t>
                  </w:r>
                  <w:r>
                    <w:rPr>
                      <w:sz w:val="21"/>
                      <w:szCs w:val="21"/>
                    </w:rPr>
                    <w:t>；采用全封闭式物料输送廊道；粉料筒仓储存产生废气采用自带仓顶滤芯式除尘器处理后</w:t>
                  </w:r>
                  <w:r>
                    <w:rPr>
                      <w:rFonts w:hint="eastAsia"/>
                      <w:sz w:val="21"/>
                      <w:szCs w:val="21"/>
                    </w:rPr>
                    <w:t>无</w:t>
                  </w:r>
                  <w:r>
                    <w:rPr>
                      <w:sz w:val="21"/>
                      <w:szCs w:val="21"/>
                    </w:rPr>
                    <w:t>组织排放；搅拌废气经袋式除尘器处理后由15m高排气筒排放；</w:t>
                  </w:r>
                  <w:r>
                    <w:rPr>
                      <w:rFonts w:hint="eastAsia"/>
                      <w:bCs/>
                      <w:sz w:val="21"/>
                      <w:szCs w:val="21"/>
                    </w:rPr>
                    <w:t>沥青加热及搅拌废气经“喷淋塔+电捕焦油器+活性炭吸附装置”处理后由15m高排气筒排放</w:t>
                  </w:r>
                  <w:r>
                    <w:rPr>
                      <w:sz w:val="21"/>
                      <w:szCs w:val="21"/>
                    </w:rPr>
                    <w:t>；</w:t>
                  </w:r>
                  <w:r>
                    <w:rPr>
                      <w:rFonts w:hint="eastAsia"/>
                      <w:sz w:val="21"/>
                      <w:szCs w:val="21"/>
                    </w:rPr>
                    <w:t>沥青混凝土生产线导热油加热醇醚燃烧废气</w:t>
                  </w:r>
                  <w:r>
                    <w:rPr>
                      <w:rFonts w:ascii="宋体" w:hAnsi="宋体"/>
                      <w:sz w:val="21"/>
                      <w:szCs w:val="21"/>
                    </w:rPr>
                    <w:t>经“</w:t>
                  </w:r>
                  <w:r>
                    <w:rPr>
                      <w:rFonts w:hint="eastAsia" w:ascii="宋体" w:hAnsi="宋体"/>
                      <w:sz w:val="21"/>
                      <w:szCs w:val="21"/>
                    </w:rPr>
                    <w:t>低氮燃烧装置</w:t>
                  </w:r>
                  <w:r>
                    <w:rPr>
                      <w:rFonts w:ascii="宋体" w:hAnsi="宋体"/>
                      <w:sz w:val="21"/>
                      <w:szCs w:val="21"/>
                    </w:rPr>
                    <w:t>”</w:t>
                  </w:r>
                  <w:r>
                    <w:rPr>
                      <w:rFonts w:hint="eastAsia"/>
                      <w:sz w:val="21"/>
                      <w:szCs w:val="21"/>
                    </w:rPr>
                    <w:t>处理后由</w:t>
                  </w:r>
                  <w:r>
                    <w:rPr>
                      <w:sz w:val="21"/>
                      <w:szCs w:val="21"/>
                    </w:rPr>
                    <w:t>8m高排气筒排放</w:t>
                  </w:r>
                  <w:r>
                    <w:rPr>
                      <w:rFonts w:hint="eastAsia"/>
                      <w:sz w:val="21"/>
                      <w:szCs w:val="21"/>
                    </w:rPr>
                    <w:t>；沥青混凝土生产线骨料烘干废气</w:t>
                  </w:r>
                  <w:r>
                    <w:rPr>
                      <w:sz w:val="21"/>
                      <w:szCs w:val="21"/>
                    </w:rPr>
                    <w:t>经</w:t>
                  </w:r>
                  <w:r>
                    <w:rPr>
                      <w:rFonts w:ascii="宋体" w:hAnsi="宋体"/>
                      <w:sz w:val="21"/>
                      <w:szCs w:val="21"/>
                    </w:rPr>
                    <w:t>“</w:t>
                  </w:r>
                  <w:r>
                    <w:rPr>
                      <w:rFonts w:hint="eastAsia" w:ascii="宋体" w:hAnsi="宋体"/>
                      <w:sz w:val="21"/>
                      <w:szCs w:val="21"/>
                    </w:rPr>
                    <w:t>低氮燃烧装置+袋式除尘器</w:t>
                  </w:r>
                  <w:r>
                    <w:rPr>
                      <w:rFonts w:ascii="宋体" w:hAnsi="宋体"/>
                      <w:sz w:val="21"/>
                      <w:szCs w:val="21"/>
                    </w:rPr>
                    <w:t>”</w:t>
                  </w:r>
                  <w:r>
                    <w:rPr>
                      <w:rFonts w:hint="eastAsia"/>
                      <w:sz w:val="21"/>
                      <w:szCs w:val="21"/>
                    </w:rPr>
                    <w:t>处理后由</w:t>
                  </w:r>
                  <w:r>
                    <w:rPr>
                      <w:sz w:val="21"/>
                      <w:szCs w:val="21"/>
                    </w:rPr>
                    <w:t>15m高排气筒排放</w:t>
                  </w:r>
                  <w:r>
                    <w:rPr>
                      <w:rFonts w:hint="eastAsia"/>
                      <w:sz w:val="21"/>
                      <w:szCs w:val="21"/>
                    </w:rPr>
                    <w:t>；钢筋焊接烟尘经移动式焊烟净化器处理后排放；切割废气采取自然沉降，厂房阻隔措施；运输车辆出厂前必须经过冲洗，以减少扬尘的产生和逸散；食堂油烟经油烟净化器处理后由房顶排气筒排放。</w:t>
                  </w:r>
                </w:p>
              </w:tc>
              <w:tc>
                <w:tcPr>
                  <w:tcW w:w="398" w:type="pct"/>
                  <w:shd w:val="clear" w:color="auto" w:fill="auto"/>
                  <w:vAlign w:val="center"/>
                </w:tcPr>
                <w:p w14:paraId="617759A2">
                  <w:pPr>
                    <w:widowControl/>
                    <w:jc w:val="center"/>
                    <w:textAlignment w:val="center"/>
                    <w:rPr>
                      <w:sz w:val="21"/>
                      <w:szCs w:val="21"/>
                    </w:rPr>
                  </w:pPr>
                  <w:r>
                    <w:rPr>
                      <w:rFonts w:hint="eastAsia"/>
                      <w:sz w:val="21"/>
                      <w:szCs w:val="21"/>
                    </w:rPr>
                    <w:t>符合</w:t>
                  </w:r>
                </w:p>
              </w:tc>
            </w:tr>
            <w:tr w14:paraId="6530D4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053B1410">
                  <w:pPr>
                    <w:widowControl/>
                    <w:jc w:val="center"/>
                    <w:textAlignment w:val="center"/>
                    <w:rPr>
                      <w:sz w:val="21"/>
                      <w:szCs w:val="21"/>
                    </w:rPr>
                  </w:pPr>
                  <w:r>
                    <w:rPr>
                      <w:kern w:val="0"/>
                      <w:sz w:val="21"/>
                      <w:szCs w:val="21"/>
                      <w:lang w:bidi="ar"/>
                    </w:rPr>
                    <w:t>2</w:t>
                  </w:r>
                </w:p>
              </w:tc>
              <w:tc>
                <w:tcPr>
                  <w:tcW w:w="2379" w:type="pct"/>
                  <w:shd w:val="clear" w:color="auto" w:fill="auto"/>
                  <w:vAlign w:val="center"/>
                </w:tcPr>
                <w:p w14:paraId="467D59B1">
                  <w:pPr>
                    <w:widowControl/>
                    <w:textAlignment w:val="center"/>
                    <w:rPr>
                      <w:sz w:val="21"/>
                      <w:szCs w:val="21"/>
                    </w:rPr>
                  </w:pPr>
                  <w:r>
                    <w:rPr>
                      <w:kern w:val="0"/>
                      <w:sz w:val="21"/>
                      <w:szCs w:val="21"/>
                      <w:lang w:bidi="ar"/>
                    </w:rPr>
                    <w:t>完善各企业污水处理、循环利用配套设施的建设，区内各排污单位园区企业应根据自身污水特点设置污水处理站，选取合适可靠的污水处理工艺，污水处理单元、污水管网、事故池等单元应采取防渗措施，防止污水下渗。</w:t>
                  </w:r>
                </w:p>
              </w:tc>
              <w:tc>
                <w:tcPr>
                  <w:tcW w:w="1824" w:type="pct"/>
                  <w:shd w:val="clear" w:color="auto" w:fill="auto"/>
                  <w:vAlign w:val="center"/>
                </w:tcPr>
                <w:p w14:paraId="51E6B7C3">
                  <w:pPr>
                    <w:adjustRightInd w:val="0"/>
                    <w:snapToGrid w:val="0"/>
                    <w:jc w:val="center"/>
                    <w:rPr>
                      <w:sz w:val="21"/>
                      <w:szCs w:val="21"/>
                    </w:rPr>
                  </w:pPr>
                  <w:r>
                    <w:rPr>
                      <w:rFonts w:hint="eastAsia"/>
                      <w:kern w:val="0"/>
                      <w:sz w:val="21"/>
                      <w:szCs w:val="21"/>
                      <w:lang w:bidi="ar"/>
                    </w:rPr>
                    <w:t>本项目运营期废水</w:t>
                  </w:r>
                  <w:r>
                    <w:rPr>
                      <w:kern w:val="0"/>
                      <w:sz w:val="21"/>
                      <w:szCs w:val="21"/>
                      <w:lang w:bidi="ar"/>
                    </w:rPr>
                    <w:t>主要</w:t>
                  </w:r>
                  <w:r>
                    <w:rPr>
                      <w:rFonts w:hint="eastAsia"/>
                      <w:kern w:val="0"/>
                      <w:sz w:val="21"/>
                      <w:szCs w:val="21"/>
                      <w:lang w:bidi="ar"/>
                    </w:rPr>
                    <w:t>为</w:t>
                  </w:r>
                  <w:r>
                    <w:rPr>
                      <w:kern w:val="0"/>
                      <w:sz w:val="21"/>
                      <w:szCs w:val="21"/>
                      <w:lang w:bidi="ar"/>
                    </w:rPr>
                    <w:t>生产废水及生活污水，生产废水经沉淀池沉淀后循环使用不外排，生活污水</w:t>
                  </w:r>
                  <w:r>
                    <w:rPr>
                      <w:rFonts w:hint="eastAsia"/>
                      <w:kern w:val="0"/>
                      <w:sz w:val="21"/>
                      <w:szCs w:val="21"/>
                      <w:lang w:bidi="ar"/>
                    </w:rPr>
                    <w:t>满足</w:t>
                  </w:r>
                  <w:r>
                    <w:rPr>
                      <w:rFonts w:hint="eastAsia"/>
                      <w:sz w:val="21"/>
                      <w:szCs w:val="21"/>
                    </w:rPr>
                    <w:t>《污水综合排放标准》（GB8978-1996）表4 中三级标准限值要求，最后进入奇台县</w:t>
                  </w:r>
                  <w:r>
                    <w:rPr>
                      <w:kern w:val="0"/>
                      <w:sz w:val="21"/>
                      <w:szCs w:val="21"/>
                      <w:lang w:bidi="ar"/>
                    </w:rPr>
                    <w:t>喇嘛湖梁工业园区污水处理厂处理。</w:t>
                  </w:r>
                </w:p>
              </w:tc>
              <w:tc>
                <w:tcPr>
                  <w:tcW w:w="398" w:type="pct"/>
                  <w:shd w:val="clear" w:color="auto" w:fill="auto"/>
                  <w:vAlign w:val="center"/>
                </w:tcPr>
                <w:p w14:paraId="1B24933A">
                  <w:pPr>
                    <w:widowControl/>
                    <w:jc w:val="center"/>
                    <w:textAlignment w:val="center"/>
                    <w:rPr>
                      <w:sz w:val="21"/>
                      <w:szCs w:val="21"/>
                    </w:rPr>
                  </w:pPr>
                  <w:r>
                    <w:rPr>
                      <w:rFonts w:hint="eastAsia"/>
                      <w:sz w:val="21"/>
                      <w:szCs w:val="21"/>
                    </w:rPr>
                    <w:t>符合</w:t>
                  </w:r>
                </w:p>
              </w:tc>
            </w:tr>
            <w:tr w14:paraId="5CE7C9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1D4DDC67">
                  <w:pPr>
                    <w:widowControl/>
                    <w:jc w:val="center"/>
                    <w:textAlignment w:val="center"/>
                    <w:rPr>
                      <w:sz w:val="21"/>
                      <w:szCs w:val="21"/>
                    </w:rPr>
                  </w:pPr>
                  <w:r>
                    <w:rPr>
                      <w:kern w:val="0"/>
                      <w:sz w:val="21"/>
                      <w:szCs w:val="21"/>
                      <w:lang w:bidi="ar"/>
                    </w:rPr>
                    <w:t>3</w:t>
                  </w:r>
                </w:p>
              </w:tc>
              <w:tc>
                <w:tcPr>
                  <w:tcW w:w="2379" w:type="pct"/>
                  <w:shd w:val="clear" w:color="auto" w:fill="auto"/>
                  <w:vAlign w:val="center"/>
                </w:tcPr>
                <w:p w14:paraId="4F0D1F01">
                  <w:pPr>
                    <w:widowControl/>
                    <w:textAlignment w:val="center"/>
                    <w:rPr>
                      <w:sz w:val="21"/>
                      <w:szCs w:val="21"/>
                    </w:rPr>
                  </w:pPr>
                  <w:r>
                    <w:rPr>
                      <w:kern w:val="0"/>
                      <w:sz w:val="21"/>
                      <w:szCs w:val="21"/>
                      <w:lang w:bidi="ar"/>
                    </w:rPr>
                    <w:t>对各种工业噪声源分别采用隔声、吸声和消声等措施，必要时应设置隔声带，以降低其源强，减少对周围环境的影响；入园各项目的总图布置上应充分考虑高噪声设备的影响，将其布置在远离厂界处，以保证厂界噪声达标；加强园区及厂区绿化，特别是在有高噪声设备处和厂界之间应设置绿化带，利用树木的吸声、消声作用减小厂界噪声。</w:t>
                  </w:r>
                </w:p>
              </w:tc>
              <w:tc>
                <w:tcPr>
                  <w:tcW w:w="1824" w:type="pct"/>
                  <w:shd w:val="clear" w:color="auto" w:fill="auto"/>
                  <w:vAlign w:val="center"/>
                </w:tcPr>
                <w:p w14:paraId="456B3D0F">
                  <w:pPr>
                    <w:widowControl/>
                    <w:textAlignment w:val="center"/>
                    <w:rPr>
                      <w:sz w:val="21"/>
                      <w:szCs w:val="21"/>
                    </w:rPr>
                  </w:pPr>
                  <w:r>
                    <w:rPr>
                      <w:kern w:val="0"/>
                      <w:sz w:val="21"/>
                      <w:szCs w:val="21"/>
                      <w:lang w:bidi="ar"/>
                    </w:rPr>
                    <w:t>本项目对各设施采取降噪，通过基础</w:t>
                  </w:r>
                  <w:r>
                    <w:rPr>
                      <w:rFonts w:hint="eastAsia"/>
                      <w:kern w:val="0"/>
                      <w:sz w:val="21"/>
                      <w:szCs w:val="21"/>
                      <w:lang w:bidi="ar"/>
                    </w:rPr>
                    <w:t>减振</w:t>
                  </w:r>
                  <w:r>
                    <w:rPr>
                      <w:kern w:val="0"/>
                      <w:sz w:val="21"/>
                      <w:szCs w:val="21"/>
                      <w:lang w:bidi="ar"/>
                    </w:rPr>
                    <w:t>，厂房隔声，有效降低噪声排放</w:t>
                  </w:r>
                  <w:r>
                    <w:rPr>
                      <w:rFonts w:hint="eastAsia"/>
                      <w:kern w:val="0"/>
                      <w:sz w:val="21"/>
                      <w:szCs w:val="21"/>
                      <w:lang w:bidi="ar"/>
                    </w:rPr>
                    <w:t>。</w:t>
                  </w:r>
                </w:p>
              </w:tc>
              <w:tc>
                <w:tcPr>
                  <w:tcW w:w="398" w:type="pct"/>
                  <w:shd w:val="clear" w:color="auto" w:fill="auto"/>
                  <w:vAlign w:val="center"/>
                </w:tcPr>
                <w:p w14:paraId="3E123E2B">
                  <w:pPr>
                    <w:widowControl/>
                    <w:jc w:val="center"/>
                    <w:textAlignment w:val="center"/>
                    <w:rPr>
                      <w:sz w:val="21"/>
                      <w:szCs w:val="21"/>
                    </w:rPr>
                  </w:pPr>
                  <w:r>
                    <w:rPr>
                      <w:rFonts w:hint="eastAsia"/>
                      <w:sz w:val="21"/>
                      <w:szCs w:val="21"/>
                    </w:rPr>
                    <w:t>符合</w:t>
                  </w:r>
                </w:p>
              </w:tc>
            </w:tr>
            <w:tr w14:paraId="087458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43307AFD">
                  <w:pPr>
                    <w:widowControl/>
                    <w:jc w:val="center"/>
                    <w:textAlignment w:val="center"/>
                    <w:rPr>
                      <w:sz w:val="21"/>
                      <w:szCs w:val="21"/>
                    </w:rPr>
                  </w:pPr>
                  <w:r>
                    <w:rPr>
                      <w:kern w:val="0"/>
                      <w:sz w:val="21"/>
                      <w:szCs w:val="21"/>
                      <w:lang w:bidi="ar"/>
                    </w:rPr>
                    <w:t>4</w:t>
                  </w:r>
                </w:p>
              </w:tc>
              <w:tc>
                <w:tcPr>
                  <w:tcW w:w="2379" w:type="pct"/>
                  <w:shd w:val="clear" w:color="auto" w:fill="auto"/>
                  <w:vAlign w:val="center"/>
                </w:tcPr>
                <w:p w14:paraId="35EB1BE5">
                  <w:pPr>
                    <w:widowControl/>
                    <w:textAlignment w:val="center"/>
                    <w:rPr>
                      <w:sz w:val="21"/>
                      <w:szCs w:val="21"/>
                    </w:rPr>
                  </w:pPr>
                  <w:r>
                    <w:rPr>
                      <w:kern w:val="0"/>
                      <w:sz w:val="21"/>
                      <w:szCs w:val="21"/>
                      <w:lang w:bidi="ar"/>
                    </w:rPr>
                    <w:t>严格按照国家有关规定，对喇嘛梁湖工业园区的固体废物进行分类、集中收集、固废处理执行减量化、资源化和无害化原则。通过固体废物申报登记，强化对固废产生源的管理。配备清运车辆，推广垃圾袋装化，对生活垃圾、一般工业废物及危险废物中有用物质，尽可能综合利用。</w:t>
                  </w:r>
                </w:p>
              </w:tc>
              <w:tc>
                <w:tcPr>
                  <w:tcW w:w="1824" w:type="pct"/>
                  <w:shd w:val="clear" w:color="auto" w:fill="auto"/>
                  <w:vAlign w:val="center"/>
                </w:tcPr>
                <w:p w14:paraId="1799EDD2">
                  <w:pPr>
                    <w:widowControl/>
                    <w:textAlignment w:val="center"/>
                    <w:rPr>
                      <w:sz w:val="21"/>
                      <w:szCs w:val="21"/>
                    </w:rPr>
                  </w:pPr>
                  <w:r>
                    <w:rPr>
                      <w:kern w:val="0"/>
                      <w:sz w:val="21"/>
                      <w:szCs w:val="21"/>
                      <w:lang w:bidi="ar"/>
                    </w:rPr>
                    <w:t>项目对固体废物进行分类、集中收集，优先回收利用，无法回收利用的委托环卫部门统一清运，危险废物暂存于危废间，</w:t>
                  </w:r>
                  <w:r>
                    <w:rPr>
                      <w:rFonts w:hint="eastAsia"/>
                      <w:kern w:val="0"/>
                      <w:sz w:val="21"/>
                      <w:szCs w:val="21"/>
                      <w:lang w:bidi="ar"/>
                    </w:rPr>
                    <w:t>定期交由有危废处置资质单位处理</w:t>
                  </w:r>
                  <w:r>
                    <w:rPr>
                      <w:kern w:val="0"/>
                      <w:sz w:val="21"/>
                      <w:szCs w:val="21"/>
                      <w:lang w:bidi="ar"/>
                    </w:rPr>
                    <w:t>。</w:t>
                  </w:r>
                </w:p>
              </w:tc>
              <w:tc>
                <w:tcPr>
                  <w:tcW w:w="398" w:type="pct"/>
                  <w:shd w:val="clear" w:color="auto" w:fill="auto"/>
                  <w:vAlign w:val="center"/>
                </w:tcPr>
                <w:p w14:paraId="07454BA9">
                  <w:pPr>
                    <w:widowControl/>
                    <w:jc w:val="center"/>
                    <w:textAlignment w:val="center"/>
                    <w:rPr>
                      <w:sz w:val="21"/>
                      <w:szCs w:val="21"/>
                    </w:rPr>
                  </w:pPr>
                  <w:r>
                    <w:rPr>
                      <w:rFonts w:hint="eastAsia"/>
                      <w:sz w:val="21"/>
                      <w:szCs w:val="21"/>
                    </w:rPr>
                    <w:t>符合</w:t>
                  </w:r>
                </w:p>
              </w:tc>
            </w:tr>
            <w:tr w14:paraId="6E9248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5E209295">
                  <w:pPr>
                    <w:widowControl/>
                    <w:jc w:val="center"/>
                    <w:textAlignment w:val="center"/>
                    <w:rPr>
                      <w:kern w:val="0"/>
                      <w:sz w:val="21"/>
                      <w:szCs w:val="21"/>
                      <w:lang w:bidi="ar"/>
                    </w:rPr>
                  </w:pPr>
                  <w:r>
                    <w:rPr>
                      <w:kern w:val="0"/>
                      <w:sz w:val="21"/>
                      <w:szCs w:val="21"/>
                      <w:lang w:bidi="ar"/>
                    </w:rPr>
                    <w:t>序号</w:t>
                  </w:r>
                </w:p>
              </w:tc>
              <w:tc>
                <w:tcPr>
                  <w:tcW w:w="2379" w:type="pct"/>
                  <w:shd w:val="clear" w:color="auto" w:fill="auto"/>
                  <w:vAlign w:val="center"/>
                </w:tcPr>
                <w:p w14:paraId="22A4515F">
                  <w:pPr>
                    <w:widowControl/>
                    <w:jc w:val="center"/>
                    <w:textAlignment w:val="center"/>
                    <w:rPr>
                      <w:kern w:val="0"/>
                      <w:sz w:val="21"/>
                      <w:szCs w:val="21"/>
                      <w:lang w:bidi="ar"/>
                    </w:rPr>
                  </w:pPr>
                  <w:r>
                    <w:rPr>
                      <w:kern w:val="0"/>
                      <w:sz w:val="21"/>
                      <w:szCs w:val="21"/>
                      <w:lang w:bidi="ar"/>
                    </w:rPr>
                    <w:t>规划环评要求</w:t>
                  </w:r>
                </w:p>
              </w:tc>
              <w:tc>
                <w:tcPr>
                  <w:tcW w:w="1824" w:type="pct"/>
                  <w:shd w:val="clear" w:color="auto" w:fill="auto"/>
                  <w:vAlign w:val="center"/>
                </w:tcPr>
                <w:p w14:paraId="14D26AED">
                  <w:pPr>
                    <w:widowControl/>
                    <w:jc w:val="center"/>
                    <w:textAlignment w:val="center"/>
                    <w:rPr>
                      <w:kern w:val="0"/>
                      <w:sz w:val="21"/>
                      <w:szCs w:val="21"/>
                      <w:lang w:bidi="ar"/>
                    </w:rPr>
                  </w:pPr>
                  <w:r>
                    <w:rPr>
                      <w:kern w:val="0"/>
                      <w:sz w:val="21"/>
                      <w:szCs w:val="21"/>
                      <w:lang w:bidi="ar"/>
                    </w:rPr>
                    <w:t>本项目建设情况</w:t>
                  </w:r>
                </w:p>
              </w:tc>
              <w:tc>
                <w:tcPr>
                  <w:tcW w:w="398" w:type="pct"/>
                  <w:shd w:val="clear" w:color="auto" w:fill="auto"/>
                  <w:vAlign w:val="center"/>
                </w:tcPr>
                <w:p w14:paraId="675CCF86">
                  <w:pPr>
                    <w:widowControl/>
                    <w:jc w:val="center"/>
                    <w:textAlignment w:val="center"/>
                    <w:rPr>
                      <w:sz w:val="21"/>
                      <w:szCs w:val="21"/>
                    </w:rPr>
                  </w:pPr>
                  <w:r>
                    <w:rPr>
                      <w:kern w:val="0"/>
                      <w:sz w:val="21"/>
                      <w:szCs w:val="21"/>
                      <w:lang w:bidi="ar"/>
                    </w:rPr>
                    <w:t>符合性</w:t>
                  </w:r>
                </w:p>
              </w:tc>
            </w:tr>
            <w:tr w14:paraId="22EFDD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278F88E4">
                  <w:pPr>
                    <w:widowControl/>
                    <w:jc w:val="center"/>
                    <w:textAlignment w:val="center"/>
                    <w:rPr>
                      <w:kern w:val="0"/>
                      <w:sz w:val="21"/>
                      <w:szCs w:val="21"/>
                      <w:lang w:bidi="ar"/>
                    </w:rPr>
                  </w:pPr>
                  <w:r>
                    <w:rPr>
                      <w:rFonts w:hint="eastAsia"/>
                      <w:kern w:val="0"/>
                      <w:sz w:val="21"/>
                      <w:szCs w:val="21"/>
                      <w:lang w:bidi="ar"/>
                    </w:rPr>
                    <w:t>1</w:t>
                  </w:r>
                </w:p>
              </w:tc>
              <w:tc>
                <w:tcPr>
                  <w:tcW w:w="2379" w:type="pct"/>
                  <w:shd w:val="clear" w:color="auto" w:fill="auto"/>
                  <w:vAlign w:val="center"/>
                </w:tcPr>
                <w:p w14:paraId="48836A7E">
                  <w:pPr>
                    <w:widowControl/>
                    <w:jc w:val="left"/>
                    <w:textAlignment w:val="center"/>
                    <w:rPr>
                      <w:kern w:val="0"/>
                      <w:sz w:val="21"/>
                      <w:szCs w:val="21"/>
                      <w:lang w:bidi="ar"/>
                    </w:rPr>
                  </w:pPr>
                  <w:r>
                    <w:rPr>
                      <w:rFonts w:hint="eastAsia"/>
                      <w:kern w:val="0"/>
                      <w:sz w:val="21"/>
                      <w:szCs w:val="21"/>
                      <w:lang w:bidi="ar"/>
                    </w:rPr>
                    <w:t>（一）根据园区产业结构和产业链，结合资源利用上线，环境质量底线，依据《产业结构调整指导目录》《市场准入负面清单》完善重点产业生态环境准入清单。以促进经济绿色低碳可持续发展、引导重点行业和产业园区向绿色低碳方向转型为目的，应针对园区规划提出碳减排建议，推动减污治污减碳协同共治。</w:t>
                  </w:r>
                </w:p>
              </w:tc>
              <w:tc>
                <w:tcPr>
                  <w:tcW w:w="1824" w:type="pct"/>
                  <w:shd w:val="clear" w:color="auto" w:fill="auto"/>
                  <w:vAlign w:val="center"/>
                </w:tcPr>
                <w:p w14:paraId="7499518A">
                  <w:pPr>
                    <w:widowControl/>
                    <w:jc w:val="center"/>
                    <w:textAlignment w:val="center"/>
                    <w:rPr>
                      <w:kern w:val="0"/>
                      <w:sz w:val="21"/>
                      <w:szCs w:val="21"/>
                      <w:lang w:bidi="ar"/>
                    </w:rPr>
                  </w:pPr>
                  <w:r>
                    <w:rPr>
                      <w:rFonts w:hint="eastAsia"/>
                      <w:kern w:val="0"/>
                      <w:sz w:val="21"/>
                      <w:szCs w:val="21"/>
                      <w:lang w:bidi="ar"/>
                    </w:rPr>
                    <w:t>本项目不属于重点行业。</w:t>
                  </w:r>
                </w:p>
              </w:tc>
              <w:tc>
                <w:tcPr>
                  <w:tcW w:w="398" w:type="pct"/>
                  <w:shd w:val="clear" w:color="auto" w:fill="auto"/>
                  <w:vAlign w:val="center"/>
                </w:tcPr>
                <w:p w14:paraId="38DA1F4F">
                  <w:pPr>
                    <w:widowControl/>
                    <w:jc w:val="center"/>
                    <w:textAlignment w:val="center"/>
                    <w:rPr>
                      <w:sz w:val="21"/>
                      <w:szCs w:val="21"/>
                    </w:rPr>
                  </w:pPr>
                  <w:r>
                    <w:rPr>
                      <w:rFonts w:hint="eastAsia"/>
                      <w:sz w:val="21"/>
                      <w:szCs w:val="21"/>
                    </w:rPr>
                    <w:t>符合</w:t>
                  </w:r>
                </w:p>
              </w:tc>
            </w:tr>
            <w:tr w14:paraId="4FA4D4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690B3252">
                  <w:pPr>
                    <w:widowControl/>
                    <w:jc w:val="center"/>
                    <w:textAlignment w:val="center"/>
                    <w:rPr>
                      <w:kern w:val="0"/>
                      <w:sz w:val="21"/>
                      <w:szCs w:val="21"/>
                      <w:lang w:bidi="ar"/>
                    </w:rPr>
                  </w:pPr>
                  <w:r>
                    <w:rPr>
                      <w:rFonts w:hint="eastAsia"/>
                      <w:kern w:val="0"/>
                      <w:sz w:val="21"/>
                      <w:szCs w:val="21"/>
                      <w:lang w:bidi="ar"/>
                    </w:rPr>
                    <w:t>2</w:t>
                  </w:r>
                </w:p>
              </w:tc>
              <w:tc>
                <w:tcPr>
                  <w:tcW w:w="2379" w:type="pct"/>
                  <w:shd w:val="clear" w:color="auto" w:fill="auto"/>
                  <w:vAlign w:val="center"/>
                </w:tcPr>
                <w:p w14:paraId="6D9675A3">
                  <w:pPr>
                    <w:widowControl/>
                    <w:jc w:val="left"/>
                    <w:textAlignment w:val="center"/>
                    <w:rPr>
                      <w:kern w:val="0"/>
                      <w:sz w:val="21"/>
                      <w:szCs w:val="21"/>
                      <w:lang w:bidi="ar"/>
                    </w:rPr>
                  </w:pPr>
                  <w:r>
                    <w:rPr>
                      <w:rFonts w:hint="eastAsia"/>
                      <w:kern w:val="0"/>
                      <w:sz w:val="21"/>
                      <w:szCs w:val="21"/>
                      <w:lang w:bidi="ar"/>
                    </w:rPr>
                    <w:t>（二）综合考虑园区现状企业情况及环境管理要求，对园区现状不符合规划产业布局企业、不符合《新疆维吾尔自治区重点行业环境准入条件（修订）》选址要求的化工企业提出优化调整建议。</w:t>
                  </w:r>
                </w:p>
              </w:tc>
              <w:tc>
                <w:tcPr>
                  <w:tcW w:w="1824" w:type="pct"/>
                  <w:shd w:val="clear" w:color="auto" w:fill="auto"/>
                  <w:vAlign w:val="center"/>
                </w:tcPr>
                <w:p w14:paraId="402BE61A">
                  <w:pPr>
                    <w:widowControl/>
                    <w:jc w:val="center"/>
                    <w:textAlignment w:val="center"/>
                    <w:rPr>
                      <w:kern w:val="0"/>
                      <w:sz w:val="21"/>
                      <w:szCs w:val="21"/>
                      <w:lang w:bidi="ar"/>
                    </w:rPr>
                  </w:pPr>
                  <w:r>
                    <w:rPr>
                      <w:rFonts w:hint="eastAsia"/>
                      <w:kern w:val="0"/>
                      <w:sz w:val="21"/>
                      <w:szCs w:val="21"/>
                      <w:lang w:bidi="ar"/>
                    </w:rPr>
                    <w:t>项目属于S240线准东大井服务区至奇台公路改扩建项目配套工程，道路建设完成后拆除。</w:t>
                  </w:r>
                </w:p>
              </w:tc>
              <w:tc>
                <w:tcPr>
                  <w:tcW w:w="398" w:type="pct"/>
                  <w:shd w:val="clear" w:color="auto" w:fill="auto"/>
                  <w:vAlign w:val="center"/>
                </w:tcPr>
                <w:p w14:paraId="6F273EE5">
                  <w:pPr>
                    <w:widowControl/>
                    <w:jc w:val="center"/>
                    <w:textAlignment w:val="center"/>
                    <w:rPr>
                      <w:sz w:val="21"/>
                      <w:szCs w:val="21"/>
                    </w:rPr>
                  </w:pPr>
                  <w:r>
                    <w:rPr>
                      <w:rFonts w:hint="eastAsia"/>
                      <w:sz w:val="21"/>
                      <w:szCs w:val="21"/>
                    </w:rPr>
                    <w:t>符合</w:t>
                  </w:r>
                </w:p>
              </w:tc>
            </w:tr>
            <w:tr w14:paraId="0C79A1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2C3D5364">
                  <w:pPr>
                    <w:widowControl/>
                    <w:jc w:val="center"/>
                    <w:textAlignment w:val="center"/>
                    <w:rPr>
                      <w:kern w:val="0"/>
                      <w:sz w:val="21"/>
                      <w:szCs w:val="21"/>
                      <w:lang w:bidi="ar"/>
                    </w:rPr>
                  </w:pPr>
                  <w:r>
                    <w:rPr>
                      <w:rFonts w:hint="eastAsia"/>
                      <w:kern w:val="0"/>
                      <w:sz w:val="21"/>
                      <w:szCs w:val="21"/>
                      <w:lang w:bidi="ar"/>
                    </w:rPr>
                    <w:t>3</w:t>
                  </w:r>
                </w:p>
              </w:tc>
              <w:tc>
                <w:tcPr>
                  <w:tcW w:w="2379" w:type="pct"/>
                  <w:shd w:val="clear" w:color="auto" w:fill="auto"/>
                  <w:vAlign w:val="center"/>
                </w:tcPr>
                <w:p w14:paraId="47B4EFFB">
                  <w:pPr>
                    <w:widowControl/>
                    <w:jc w:val="left"/>
                    <w:textAlignment w:val="center"/>
                    <w:rPr>
                      <w:kern w:val="0"/>
                      <w:sz w:val="21"/>
                      <w:szCs w:val="21"/>
                      <w:lang w:bidi="ar"/>
                    </w:rPr>
                  </w:pPr>
                  <w:r>
                    <w:rPr>
                      <w:rFonts w:hint="eastAsia"/>
                      <w:kern w:val="0"/>
                      <w:sz w:val="21"/>
                      <w:szCs w:val="21"/>
                      <w:lang w:bidi="ar"/>
                    </w:rPr>
                    <w:t>（三）根据园区产业发展定位、产业发展规模及环境影响预测结果，合理确定园区产业发展规模，对园区废水集中处理、中水（再生水）综合利用措施提出优化调整建议，并结合区域水资源利用上线及园区水源保障性“以水定产、量水而行”.</w:t>
                  </w:r>
                </w:p>
              </w:tc>
              <w:tc>
                <w:tcPr>
                  <w:tcW w:w="1824" w:type="pct"/>
                  <w:shd w:val="clear" w:color="auto" w:fill="auto"/>
                  <w:vAlign w:val="center"/>
                </w:tcPr>
                <w:p w14:paraId="0367430F">
                  <w:pPr>
                    <w:widowControl/>
                    <w:jc w:val="center"/>
                    <w:textAlignment w:val="center"/>
                    <w:rPr>
                      <w:kern w:val="0"/>
                      <w:sz w:val="21"/>
                      <w:szCs w:val="21"/>
                      <w:lang w:bidi="ar"/>
                    </w:rPr>
                  </w:pPr>
                  <w:r>
                    <w:rPr>
                      <w:rFonts w:hint="eastAsia"/>
                      <w:kern w:val="0"/>
                      <w:sz w:val="21"/>
                      <w:szCs w:val="21"/>
                      <w:lang w:bidi="ar"/>
                    </w:rPr>
                    <w:t>项目仅排生活污水，生产废水循环利用不外排</w:t>
                  </w:r>
                </w:p>
              </w:tc>
              <w:tc>
                <w:tcPr>
                  <w:tcW w:w="398" w:type="pct"/>
                  <w:shd w:val="clear" w:color="auto" w:fill="auto"/>
                  <w:vAlign w:val="center"/>
                </w:tcPr>
                <w:p w14:paraId="2B8445E1">
                  <w:pPr>
                    <w:widowControl/>
                    <w:jc w:val="center"/>
                    <w:textAlignment w:val="center"/>
                    <w:rPr>
                      <w:sz w:val="21"/>
                      <w:szCs w:val="21"/>
                    </w:rPr>
                  </w:pPr>
                  <w:r>
                    <w:rPr>
                      <w:rFonts w:hint="eastAsia"/>
                      <w:sz w:val="21"/>
                      <w:szCs w:val="21"/>
                    </w:rPr>
                    <w:t>符合</w:t>
                  </w:r>
                </w:p>
              </w:tc>
            </w:tr>
            <w:tr w14:paraId="57F35F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5D64BFCB">
                  <w:pPr>
                    <w:widowControl/>
                    <w:jc w:val="center"/>
                    <w:textAlignment w:val="center"/>
                    <w:rPr>
                      <w:kern w:val="0"/>
                      <w:sz w:val="21"/>
                      <w:szCs w:val="21"/>
                      <w:lang w:bidi="ar"/>
                    </w:rPr>
                  </w:pPr>
                  <w:r>
                    <w:rPr>
                      <w:rFonts w:hint="eastAsia"/>
                      <w:kern w:val="0"/>
                      <w:sz w:val="21"/>
                      <w:szCs w:val="21"/>
                      <w:lang w:bidi="ar"/>
                    </w:rPr>
                    <w:t>4</w:t>
                  </w:r>
                </w:p>
              </w:tc>
              <w:tc>
                <w:tcPr>
                  <w:tcW w:w="2379" w:type="pct"/>
                  <w:shd w:val="clear" w:color="auto" w:fill="auto"/>
                  <w:vAlign w:val="center"/>
                </w:tcPr>
                <w:p w14:paraId="7D1EB7DE">
                  <w:pPr>
                    <w:widowControl/>
                    <w:jc w:val="left"/>
                    <w:textAlignment w:val="center"/>
                    <w:rPr>
                      <w:kern w:val="0"/>
                      <w:sz w:val="21"/>
                      <w:szCs w:val="21"/>
                      <w:lang w:bidi="ar"/>
                    </w:rPr>
                  </w:pPr>
                  <w:r>
                    <w:rPr>
                      <w:rFonts w:hint="eastAsia"/>
                      <w:kern w:val="0"/>
                      <w:sz w:val="21"/>
                      <w:szCs w:val="21"/>
                      <w:lang w:bidi="ar"/>
                    </w:rPr>
                    <w:t>（四）加强园区环境风险预警体系建设、重大风险源在线监控、危险化学品运输风险防控、突发性环境风险事故应急响应等能力建设，优化园区选址及产业定位、布局、结构和规模，从区域角度防范环境风险。</w:t>
                  </w:r>
                </w:p>
              </w:tc>
              <w:tc>
                <w:tcPr>
                  <w:tcW w:w="1824" w:type="pct"/>
                  <w:shd w:val="clear" w:color="auto" w:fill="auto"/>
                  <w:vAlign w:val="center"/>
                </w:tcPr>
                <w:p w14:paraId="1E80B9C9">
                  <w:pPr>
                    <w:widowControl/>
                    <w:jc w:val="center"/>
                    <w:textAlignment w:val="center"/>
                    <w:rPr>
                      <w:kern w:val="0"/>
                      <w:sz w:val="21"/>
                      <w:szCs w:val="21"/>
                      <w:lang w:bidi="ar"/>
                    </w:rPr>
                  </w:pPr>
                  <w:r>
                    <w:rPr>
                      <w:rFonts w:hint="eastAsia"/>
                      <w:kern w:val="0"/>
                      <w:sz w:val="21"/>
                      <w:szCs w:val="21"/>
                      <w:lang w:bidi="ar"/>
                    </w:rPr>
                    <w:t>本项目将健全防范化解突发生态环境事件风险和应急准备责任体系，加强突发性环境风险事故应急响应等能力建设，严格落实企业主体责任，加强风险管控。</w:t>
                  </w:r>
                </w:p>
              </w:tc>
              <w:tc>
                <w:tcPr>
                  <w:tcW w:w="398" w:type="pct"/>
                  <w:shd w:val="clear" w:color="auto" w:fill="auto"/>
                  <w:vAlign w:val="center"/>
                </w:tcPr>
                <w:p w14:paraId="4B640A7E">
                  <w:pPr>
                    <w:widowControl/>
                    <w:jc w:val="center"/>
                    <w:textAlignment w:val="center"/>
                    <w:rPr>
                      <w:sz w:val="21"/>
                      <w:szCs w:val="21"/>
                    </w:rPr>
                  </w:pPr>
                  <w:r>
                    <w:rPr>
                      <w:rFonts w:hint="eastAsia"/>
                      <w:sz w:val="21"/>
                      <w:szCs w:val="21"/>
                    </w:rPr>
                    <w:t>符合</w:t>
                  </w:r>
                </w:p>
              </w:tc>
            </w:tr>
            <w:tr w14:paraId="08AB03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09F25F2B">
                  <w:pPr>
                    <w:widowControl/>
                    <w:jc w:val="center"/>
                    <w:textAlignment w:val="center"/>
                    <w:rPr>
                      <w:kern w:val="0"/>
                      <w:sz w:val="21"/>
                      <w:szCs w:val="21"/>
                      <w:lang w:bidi="ar"/>
                    </w:rPr>
                  </w:pPr>
                  <w:r>
                    <w:rPr>
                      <w:rFonts w:hint="eastAsia"/>
                      <w:kern w:val="0"/>
                      <w:sz w:val="21"/>
                      <w:szCs w:val="21"/>
                      <w:lang w:bidi="ar"/>
                    </w:rPr>
                    <w:t>5</w:t>
                  </w:r>
                </w:p>
              </w:tc>
              <w:tc>
                <w:tcPr>
                  <w:tcW w:w="2379" w:type="pct"/>
                  <w:shd w:val="clear" w:color="auto" w:fill="auto"/>
                  <w:vAlign w:val="center"/>
                </w:tcPr>
                <w:p w14:paraId="3239AAB8">
                  <w:pPr>
                    <w:widowControl/>
                    <w:jc w:val="left"/>
                    <w:textAlignment w:val="center"/>
                    <w:rPr>
                      <w:kern w:val="0"/>
                      <w:sz w:val="21"/>
                      <w:szCs w:val="21"/>
                      <w:lang w:bidi="ar"/>
                    </w:rPr>
                  </w:pPr>
                  <w:r>
                    <w:rPr>
                      <w:rFonts w:hint="eastAsia"/>
                      <w:kern w:val="0"/>
                      <w:sz w:val="21"/>
                      <w:szCs w:val="21"/>
                      <w:lang w:bidi="ar"/>
                    </w:rPr>
                    <w:t>（五）根据《关于加强高耗能、高排放建设项目生态环境源头防控的指导意见》，规划环评中应提出统筹开展“两高”项目污染物和碳排放的源项识别、减污降碳措施要求，推动园区绿色发展。</w:t>
                  </w:r>
                </w:p>
              </w:tc>
              <w:tc>
                <w:tcPr>
                  <w:tcW w:w="1824" w:type="pct"/>
                  <w:shd w:val="clear" w:color="auto" w:fill="auto"/>
                  <w:vAlign w:val="center"/>
                </w:tcPr>
                <w:p w14:paraId="6957343A">
                  <w:pPr>
                    <w:widowControl/>
                    <w:jc w:val="center"/>
                    <w:textAlignment w:val="center"/>
                    <w:rPr>
                      <w:kern w:val="0"/>
                      <w:sz w:val="21"/>
                      <w:szCs w:val="21"/>
                      <w:lang w:bidi="ar"/>
                    </w:rPr>
                  </w:pPr>
                  <w:r>
                    <w:rPr>
                      <w:rFonts w:hint="eastAsia"/>
                      <w:kern w:val="0"/>
                      <w:sz w:val="21"/>
                      <w:szCs w:val="21"/>
                      <w:lang w:bidi="ar"/>
                    </w:rPr>
                    <w:t>本项目不属于“两高”项目</w:t>
                  </w:r>
                </w:p>
              </w:tc>
              <w:tc>
                <w:tcPr>
                  <w:tcW w:w="398" w:type="pct"/>
                  <w:shd w:val="clear" w:color="auto" w:fill="auto"/>
                  <w:vAlign w:val="center"/>
                </w:tcPr>
                <w:p w14:paraId="517B77AD">
                  <w:pPr>
                    <w:widowControl/>
                    <w:jc w:val="center"/>
                    <w:textAlignment w:val="center"/>
                    <w:rPr>
                      <w:sz w:val="21"/>
                      <w:szCs w:val="21"/>
                    </w:rPr>
                  </w:pPr>
                  <w:r>
                    <w:rPr>
                      <w:rFonts w:hint="eastAsia"/>
                      <w:sz w:val="21"/>
                      <w:szCs w:val="21"/>
                    </w:rPr>
                    <w:t>符合</w:t>
                  </w:r>
                </w:p>
              </w:tc>
            </w:tr>
            <w:tr w14:paraId="2E5F73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9" w:type="pct"/>
                  <w:shd w:val="clear" w:color="auto" w:fill="auto"/>
                  <w:vAlign w:val="center"/>
                </w:tcPr>
                <w:p w14:paraId="038054D6">
                  <w:pPr>
                    <w:widowControl/>
                    <w:jc w:val="center"/>
                    <w:textAlignment w:val="center"/>
                    <w:rPr>
                      <w:kern w:val="0"/>
                      <w:sz w:val="21"/>
                      <w:szCs w:val="21"/>
                      <w:lang w:bidi="ar"/>
                    </w:rPr>
                  </w:pPr>
                  <w:r>
                    <w:rPr>
                      <w:rFonts w:hint="eastAsia"/>
                      <w:kern w:val="0"/>
                      <w:sz w:val="21"/>
                      <w:szCs w:val="21"/>
                      <w:lang w:bidi="ar"/>
                    </w:rPr>
                    <w:t>6</w:t>
                  </w:r>
                </w:p>
              </w:tc>
              <w:tc>
                <w:tcPr>
                  <w:tcW w:w="2379" w:type="pct"/>
                  <w:shd w:val="clear" w:color="auto" w:fill="auto"/>
                  <w:vAlign w:val="center"/>
                </w:tcPr>
                <w:p w14:paraId="6D434D1D">
                  <w:pPr>
                    <w:widowControl/>
                    <w:jc w:val="left"/>
                    <w:textAlignment w:val="center"/>
                    <w:rPr>
                      <w:kern w:val="0"/>
                      <w:sz w:val="21"/>
                      <w:szCs w:val="21"/>
                      <w:lang w:bidi="ar"/>
                    </w:rPr>
                  </w:pPr>
                  <w:r>
                    <w:rPr>
                      <w:rFonts w:hint="eastAsia"/>
                      <w:kern w:val="0"/>
                      <w:sz w:val="21"/>
                      <w:szCs w:val="21"/>
                      <w:lang w:bidi="ar"/>
                    </w:rPr>
                    <w:t>（六）综合考虑规划区各项污染物排放情况，重点关注废气，固废、废水、VOCs的处置和资源化利用。</w:t>
                  </w:r>
                </w:p>
              </w:tc>
              <w:tc>
                <w:tcPr>
                  <w:tcW w:w="1824" w:type="pct"/>
                  <w:shd w:val="clear" w:color="auto" w:fill="auto"/>
                  <w:vAlign w:val="center"/>
                </w:tcPr>
                <w:p w14:paraId="7FE2D4ED">
                  <w:pPr>
                    <w:widowControl/>
                    <w:jc w:val="center"/>
                    <w:textAlignment w:val="center"/>
                    <w:rPr>
                      <w:kern w:val="0"/>
                      <w:sz w:val="21"/>
                      <w:szCs w:val="21"/>
                      <w:lang w:bidi="ar"/>
                    </w:rPr>
                  </w:pPr>
                  <w:r>
                    <w:rPr>
                      <w:rFonts w:hint="eastAsia"/>
                      <w:kern w:val="0"/>
                      <w:sz w:val="21"/>
                      <w:szCs w:val="21"/>
                      <w:lang w:bidi="ar"/>
                    </w:rPr>
                    <w:t>本项目碎石均采用半封闭料仓，采取防尘网覆盖的措施；砂采用全封闭料仓，并设置洒水喷淋措施；</w:t>
                  </w:r>
                  <w:r>
                    <w:rPr>
                      <w:kern w:val="0"/>
                      <w:sz w:val="21"/>
                      <w:szCs w:val="21"/>
                      <w:lang w:bidi="ar"/>
                    </w:rPr>
                    <w:t>采用全封闭式物料输送廊道；</w:t>
                  </w:r>
                  <w:r>
                    <w:rPr>
                      <w:rFonts w:hint="eastAsia"/>
                      <w:kern w:val="0"/>
                      <w:sz w:val="21"/>
                      <w:szCs w:val="21"/>
                      <w:lang w:bidi="ar"/>
                    </w:rPr>
                    <w:t>粉料筒仓储存产生废气采用自带仓顶滤芯式除尘器处理后无组织排放；搅拌废气经袋式除尘器处理后由15m高排气筒排放；沥青加热及搅拌废气经“喷淋塔+电捕焦油器+活性炭吸附装置”处理后由15m高排气筒排放；沥青混凝土生产线导热油加热醇醚燃烧废气经“低氮燃烧装置”处理后由8m高排气筒排放；沥青混凝土生产线骨料烘干废气经“低氮燃烧装置+袋式除尘器”处理后由15m高排气筒排放；钢筋焊接烟尘经移动式焊烟净化器处理后排放；切割废气采取自然沉降，厂房阻隔措施；运输车辆出厂前必须经过冲洗，以减少扬尘的产生和逸散；食堂油烟经油烟净化器处理后由房顶排气筒排放。</w:t>
                  </w:r>
                </w:p>
                <w:p w14:paraId="49F2344A">
                  <w:pPr>
                    <w:widowControl/>
                    <w:jc w:val="center"/>
                    <w:textAlignment w:val="center"/>
                    <w:rPr>
                      <w:kern w:val="0"/>
                      <w:sz w:val="21"/>
                      <w:szCs w:val="21"/>
                      <w:lang w:bidi="ar"/>
                    </w:rPr>
                  </w:pPr>
                  <w:r>
                    <w:rPr>
                      <w:rFonts w:hint="eastAsia"/>
                      <w:kern w:val="0"/>
                      <w:sz w:val="21"/>
                      <w:szCs w:val="21"/>
                      <w:lang w:bidi="ar"/>
                    </w:rPr>
                    <w:t>项目不合格骨料由供应商拉走、除尘器收集粉尘、滴漏沥青及拌合残渣等回用；废活性炭、废导热油、废机油、焦油沉渣、电捕焦油器废油、废含油手套、废含油抹布等危险废物要求建设危废暂存间（20m2），定期交由有危废处置资质单位处理；生活垃圾委托环卫部门清运。</w:t>
                  </w:r>
                  <w:r>
                    <w:rPr>
                      <w:sz w:val="21"/>
                      <w:szCs w:val="21"/>
                    </w:rPr>
                    <w:t>生活污水排入下水管网，最终进入奇台县喇嘛湖梁工业园区污水处理厂处理</w:t>
                  </w:r>
                  <w:r>
                    <w:rPr>
                      <w:rFonts w:hint="eastAsia"/>
                      <w:sz w:val="21"/>
                      <w:szCs w:val="21"/>
                    </w:rPr>
                    <w:t>。生产废水循环利用不外排。</w:t>
                  </w:r>
                </w:p>
              </w:tc>
              <w:tc>
                <w:tcPr>
                  <w:tcW w:w="398" w:type="pct"/>
                  <w:shd w:val="clear" w:color="auto" w:fill="auto"/>
                  <w:vAlign w:val="center"/>
                </w:tcPr>
                <w:p w14:paraId="6BCCE44E">
                  <w:pPr>
                    <w:widowControl/>
                    <w:jc w:val="center"/>
                    <w:textAlignment w:val="center"/>
                    <w:rPr>
                      <w:sz w:val="21"/>
                      <w:szCs w:val="21"/>
                    </w:rPr>
                  </w:pPr>
                </w:p>
              </w:tc>
            </w:tr>
          </w:tbl>
          <w:p w14:paraId="72864CB4">
            <w:pPr>
              <w:spacing w:line="460" w:lineRule="exact"/>
              <w:ind w:firstLine="482" w:firstLineChars="200"/>
              <w:rPr>
                <w:b/>
              </w:rPr>
            </w:pPr>
          </w:p>
        </w:tc>
      </w:tr>
      <w:tr w14:paraId="14C62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7" w:type="dxa"/>
            <w:vAlign w:val="center"/>
          </w:tcPr>
          <w:p w14:paraId="2AD9B4AA">
            <w:pPr>
              <w:autoSpaceDE w:val="0"/>
              <w:autoSpaceDN w:val="0"/>
              <w:adjustRightInd w:val="0"/>
              <w:snapToGrid w:val="0"/>
              <w:jc w:val="center"/>
              <w:rPr>
                <w:kern w:val="0"/>
                <w:szCs w:val="21"/>
              </w:rPr>
            </w:pPr>
            <w:r>
              <w:rPr>
                <w:kern w:val="0"/>
                <w:szCs w:val="21"/>
              </w:rPr>
              <w:t>其他符合性分析</w:t>
            </w:r>
          </w:p>
        </w:tc>
        <w:tc>
          <w:tcPr>
            <w:tcW w:w="8700" w:type="dxa"/>
            <w:gridSpan w:val="3"/>
            <w:vAlign w:val="center"/>
          </w:tcPr>
          <w:p w14:paraId="7CF499D9">
            <w:pPr>
              <w:tabs>
                <w:tab w:val="left" w:pos="737"/>
              </w:tabs>
              <w:autoSpaceDE w:val="0"/>
              <w:autoSpaceDN w:val="0"/>
              <w:adjustRightInd w:val="0"/>
              <w:snapToGrid w:val="0"/>
              <w:spacing w:line="460" w:lineRule="exact"/>
              <w:ind w:firstLine="482" w:firstLineChars="200"/>
              <w:rPr>
                <w:b/>
                <w:bCs/>
                <w:kern w:val="0"/>
              </w:rPr>
            </w:pPr>
            <w:r>
              <w:rPr>
                <w:b/>
                <w:bCs/>
                <w:kern w:val="0"/>
              </w:rPr>
              <w:t>1、产业政策符合性分析</w:t>
            </w:r>
          </w:p>
          <w:p w14:paraId="4EBF0D98">
            <w:pPr>
              <w:pStyle w:val="69"/>
              <w:spacing w:line="460" w:lineRule="exact"/>
              <w:ind w:firstLine="480" w:firstLineChars="200"/>
              <w:jc w:val="both"/>
              <w:rPr>
                <w:rFonts w:ascii="宋体" w:hAnsi="宋体"/>
                <w:sz w:val="24"/>
                <w:szCs w:val="24"/>
              </w:rPr>
            </w:pPr>
            <w:r>
              <w:rPr>
                <w:sz w:val="24"/>
                <w:szCs w:val="24"/>
              </w:rPr>
              <w:t>本项目为S240线准东大井服务区至奇台公路改扩建项目临时厂区建设项目，主要由水稳站、沥青站、混凝土站及预制</w:t>
            </w:r>
            <w:r>
              <w:rPr>
                <w:rFonts w:hint="eastAsia"/>
                <w:sz w:val="24"/>
                <w:szCs w:val="24"/>
              </w:rPr>
              <w:t>场</w:t>
            </w:r>
            <w:r>
              <w:rPr>
                <w:sz w:val="24"/>
                <w:szCs w:val="24"/>
              </w:rPr>
              <w:t>构成，不属于《产业结构调整指导目录（2024年本）》</w:t>
            </w:r>
            <w:r>
              <w:rPr>
                <w:rFonts w:ascii="宋体" w:hAnsi="宋体"/>
                <w:sz w:val="24"/>
                <w:szCs w:val="24"/>
              </w:rPr>
              <w:t>中的“鼓励类”、“限制类”、“淘汰类”，视为允许类。因此本项目符合国家的产业政策。</w:t>
            </w:r>
          </w:p>
          <w:p w14:paraId="1279727D">
            <w:pPr>
              <w:spacing w:line="460" w:lineRule="exact"/>
              <w:ind w:firstLine="482" w:firstLineChars="200"/>
              <w:rPr>
                <w:b/>
              </w:rPr>
            </w:pPr>
            <w:r>
              <w:rPr>
                <w:b/>
              </w:rPr>
              <w:t>2、与《新疆维吾尔自治区大气污染防治条例》的符合性分析</w:t>
            </w:r>
          </w:p>
          <w:p w14:paraId="5829D8F6">
            <w:pPr>
              <w:spacing w:line="460" w:lineRule="exact"/>
              <w:ind w:firstLine="480" w:firstLineChars="200"/>
            </w:pPr>
            <w:r>
              <w:t>《新疆维吾尔自治区大气污染防治条例》第四节，第四十三条明确：贮存易产生扬尘的煤炭、煤矸石、煤渣、煤灰、水泥、石灰、石膏、砂土等物料的堆场应当密闭；不能密闭的，贮存单位或者个人应当采取下列防尘措施：</w:t>
            </w:r>
          </w:p>
          <w:p w14:paraId="58752E02">
            <w:pPr>
              <w:spacing w:line="460" w:lineRule="exact"/>
              <w:ind w:firstLine="480" w:firstLineChars="200"/>
            </w:pPr>
            <w:r>
              <w:t>（一）堆场的场坪、路面应当进行硬化处理，并保持路面整洁；</w:t>
            </w:r>
          </w:p>
          <w:p w14:paraId="2272D7FF">
            <w:pPr>
              <w:spacing w:line="460" w:lineRule="exact"/>
              <w:ind w:firstLine="480" w:firstLineChars="200"/>
            </w:pPr>
            <w:r>
              <w:t>（二）堆场周边应当配备高于堆存物料的围挡、防风抑尘网等设施；</w:t>
            </w:r>
          </w:p>
          <w:p w14:paraId="2AD5203D">
            <w:pPr>
              <w:spacing w:line="460" w:lineRule="exact"/>
              <w:ind w:firstLine="480" w:firstLineChars="200"/>
            </w:pPr>
            <w:r>
              <w:t>（三）按照物料类别采取相应的覆盖、喷淋和围挡等防风抑尘措施。</w:t>
            </w:r>
          </w:p>
          <w:p w14:paraId="4D428C64">
            <w:pPr>
              <w:spacing w:line="460" w:lineRule="exact"/>
              <w:ind w:firstLine="480" w:firstLineChars="200"/>
            </w:pPr>
            <w:r>
              <w:rPr>
                <w:rFonts w:hint="eastAsia"/>
              </w:rPr>
              <w:t>露天装卸物料应当采取密闭或者喷淋等抑尘措施；输送的物料应当在装料、卸料处配备吸尘、喷淋等防尘设施。</w:t>
            </w:r>
          </w:p>
          <w:p w14:paraId="0D10B611">
            <w:pPr>
              <w:spacing w:line="460" w:lineRule="exact"/>
              <w:ind w:firstLine="482" w:firstLineChars="200"/>
              <w:rPr>
                <w:b/>
                <w:bCs/>
              </w:rPr>
            </w:pPr>
            <w:r>
              <w:rPr>
                <w:b/>
              </w:rPr>
              <w:t>符合性分析：</w:t>
            </w:r>
            <w:r>
              <w:rPr>
                <w:rFonts w:hint="eastAsia"/>
              </w:rPr>
              <w:t>本项目碎石均采用半封闭料仓，采取防尘网覆盖的措施；砂采用全封闭料仓，并设置洒水喷淋措施；采用全封闭式物料输送廊道；粉料筒仓储存产生废气采用自带仓顶滤芯式除尘器处理后无组织排放；搅拌废气经袋式除尘器处理后由15m高排气筒排放；沥青加热及搅拌废气经“喷淋塔+电捕焦油器+活性炭吸附装置”处理后由15m高排气筒排放；沥青混凝土生产线导热油加热醇醚燃烧废气经“低氮燃烧装置”处理后由8m高排气筒排放；沥青混凝土生产线骨料烘干废气经“低氮燃烧装置+袋式除尘器”处理后由15m高排气筒排放；钢筋焊接烟尘经移动式焊烟净化器处理后排放；切割废气采取自然沉降，厂房阻隔措施；运输车辆出厂前必须经过冲洗，以减少扬尘的产生和逸散；食堂油烟经油烟净化器处理后由房顶排气筒排放，符合要求。</w:t>
            </w:r>
          </w:p>
          <w:p w14:paraId="55256691">
            <w:pPr>
              <w:spacing w:line="460" w:lineRule="exact"/>
              <w:ind w:firstLine="482" w:firstLineChars="200"/>
              <w:rPr>
                <w:b/>
              </w:rPr>
            </w:pPr>
            <w:r>
              <w:rPr>
                <w:b/>
              </w:rPr>
              <w:t>3、与《工业料堆场扬尘整治规范》（DB65/T 4061-2017）的符合性分析</w:t>
            </w:r>
          </w:p>
          <w:p w14:paraId="16DCB1F4">
            <w:pPr>
              <w:spacing w:line="460" w:lineRule="exact"/>
              <w:ind w:firstLine="480" w:firstLineChars="200"/>
            </w:pPr>
            <w:r>
              <w:t>根据《工业料堆场扬尘整治规范》（DB65/T 4061-2017），本项目堆场属于</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t>类堆场</w:t>
            </w:r>
            <w:r>
              <w:rPr>
                <w:rFonts w:hint="eastAsia"/>
              </w:rPr>
              <w:t>，本项目碎石均采用半封闭料仓，采取防尘网覆盖的措施；砂采用全封闭料仓，并设置洒水喷淋措施</w:t>
            </w:r>
            <w:r>
              <w:t>，</w:t>
            </w:r>
            <w:r>
              <w:rPr>
                <w:rFonts w:hint="eastAsia"/>
              </w:rPr>
              <w:t>粉料（粉煤灰、水</w:t>
            </w:r>
            <w:bookmarkStart w:id="28" w:name="_GoBack"/>
            <w:r>
              <w:rPr>
                <w:rFonts w:hint="eastAsia"/>
              </w:rPr>
              <w:t>泥</w:t>
            </w:r>
            <w:bookmarkEnd w:id="28"/>
            <w:r>
              <w:rPr>
                <w:rFonts w:hint="eastAsia"/>
              </w:rPr>
              <w:t>、矿粉）采用筒仓的形式存储，</w:t>
            </w:r>
            <w:r>
              <w:t>符合《工业料堆场扬尘整治规范》（DB65/T 4061-2017）中要求。</w:t>
            </w:r>
          </w:p>
          <w:p w14:paraId="2BA398FC">
            <w:pPr>
              <w:spacing w:line="460" w:lineRule="exact"/>
              <w:ind w:firstLine="482" w:firstLineChars="200"/>
              <w:rPr>
                <w:b/>
                <w:bCs/>
                <w:snapToGrid w:val="0"/>
              </w:rPr>
            </w:pPr>
            <w:r>
              <w:rPr>
                <w:b/>
                <w:bCs/>
                <w:snapToGrid w:val="0"/>
              </w:rPr>
              <w:t>4、与《</w:t>
            </w:r>
            <w:r>
              <w:rPr>
                <w:rFonts w:hint="eastAsia" w:ascii="宋体" w:hAnsi="宋体"/>
                <w:b/>
                <w:snapToGrid w:val="0"/>
              </w:rPr>
              <w:t>新疆生态环境保护</w:t>
            </w:r>
            <w:r>
              <w:rPr>
                <w:rFonts w:ascii="宋体" w:hAnsi="宋体"/>
                <w:b/>
                <w:snapToGrid w:val="0"/>
              </w:rPr>
              <w:t>“</w:t>
            </w:r>
            <w:r>
              <w:rPr>
                <w:rFonts w:hint="eastAsia" w:ascii="宋体" w:hAnsi="宋体"/>
                <w:b/>
                <w:snapToGrid w:val="0"/>
              </w:rPr>
              <w:t>十四五</w:t>
            </w:r>
            <w:r>
              <w:rPr>
                <w:rFonts w:ascii="宋体" w:hAnsi="宋体"/>
                <w:b/>
                <w:snapToGrid w:val="0"/>
              </w:rPr>
              <w:t>”</w:t>
            </w:r>
            <w:r>
              <w:rPr>
                <w:rFonts w:hint="eastAsia" w:ascii="宋体" w:hAnsi="宋体"/>
                <w:b/>
                <w:snapToGrid w:val="0"/>
              </w:rPr>
              <w:t>规划</w:t>
            </w:r>
            <w:r>
              <w:rPr>
                <w:b/>
                <w:bCs/>
                <w:snapToGrid w:val="0"/>
              </w:rPr>
              <w:t>》的符合性分析</w:t>
            </w:r>
          </w:p>
          <w:p w14:paraId="3E30CFFE">
            <w:pPr>
              <w:spacing w:line="460" w:lineRule="exact"/>
              <w:ind w:firstLine="480" w:firstLineChars="200"/>
              <w:rPr>
                <w:rFonts w:ascii="宋体" w:hAnsi="宋体"/>
                <w:snapToGrid w:val="0"/>
              </w:rPr>
            </w:pPr>
            <w:r>
              <w:rPr>
                <w:rFonts w:ascii="宋体" w:hAnsi="宋体"/>
                <w:snapToGrid w:val="0"/>
              </w:rPr>
              <w:t>《</w:t>
            </w:r>
            <w:bookmarkStart w:id="5" w:name="OLE_LINK8"/>
            <w:bookmarkStart w:id="6" w:name="OLE_LINK7"/>
            <w:r>
              <w:rPr>
                <w:rFonts w:hint="eastAsia" w:ascii="宋体" w:hAnsi="宋体"/>
                <w:snapToGrid w:val="0"/>
              </w:rPr>
              <w:t>新疆生态环境保护</w:t>
            </w:r>
            <w:r>
              <w:rPr>
                <w:rFonts w:ascii="宋体" w:hAnsi="宋体"/>
                <w:snapToGrid w:val="0"/>
              </w:rPr>
              <w:t>“</w:t>
            </w:r>
            <w:r>
              <w:rPr>
                <w:rFonts w:hint="eastAsia" w:ascii="宋体" w:hAnsi="宋体"/>
                <w:snapToGrid w:val="0"/>
              </w:rPr>
              <w:t>十四五</w:t>
            </w:r>
            <w:r>
              <w:rPr>
                <w:rFonts w:ascii="宋体" w:hAnsi="宋体"/>
                <w:snapToGrid w:val="0"/>
              </w:rPr>
              <w:t>”</w:t>
            </w:r>
            <w:r>
              <w:rPr>
                <w:rFonts w:hint="eastAsia" w:ascii="宋体" w:hAnsi="宋体"/>
                <w:snapToGrid w:val="0"/>
              </w:rPr>
              <w:t>规划</w:t>
            </w:r>
            <w:bookmarkEnd w:id="5"/>
            <w:bookmarkEnd w:id="6"/>
            <w:r>
              <w:rPr>
                <w:rFonts w:ascii="宋体" w:hAnsi="宋体"/>
                <w:snapToGrid w:val="0"/>
              </w:rPr>
              <w:t>》</w:t>
            </w:r>
            <w:r>
              <w:rPr>
                <w:rFonts w:hint="eastAsia" w:ascii="宋体" w:hAnsi="宋体"/>
                <w:snapToGrid w:val="0"/>
              </w:rPr>
              <w:t>“第五章”“第三节持续推进涉气污染源治理”</w:t>
            </w:r>
            <w:r>
              <w:rPr>
                <w:rFonts w:ascii="宋体" w:hAnsi="宋体"/>
                <w:snapToGrid w:val="0"/>
              </w:rPr>
              <w:t>中明确：实施重点行业氮氧化物（以下简称“</w:t>
            </w:r>
            <w:r>
              <w:rPr>
                <w:snapToGrid w:val="0"/>
              </w:rPr>
              <w:t>NOx</w:t>
            </w:r>
            <w:r>
              <w:rPr>
                <w:rFonts w:ascii="宋体" w:hAnsi="宋体"/>
                <w:snapToGrid w:val="0"/>
              </w:rPr>
              <w:t>”）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r>
              <w:rPr>
                <w:rFonts w:hint="eastAsia" w:ascii="宋体" w:hAnsi="宋体"/>
                <w:snapToGrid w:val="0"/>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71A811F2">
            <w:pPr>
              <w:spacing w:line="460" w:lineRule="exact"/>
              <w:ind w:firstLine="480" w:firstLineChars="200"/>
              <w:rPr>
                <w:rFonts w:ascii="宋体" w:hAnsi="宋体"/>
                <w:snapToGrid w:val="0"/>
              </w:rPr>
            </w:pPr>
            <w:r>
              <w:rPr>
                <w:rFonts w:hint="eastAsia" w:ascii="宋体" w:hAnsi="宋体"/>
                <w:snapToGrid w:val="0"/>
              </w:rPr>
              <w:t>“第四节加强其他污染治理”中明确</w:t>
            </w:r>
            <w:r>
              <w:rPr>
                <w:rFonts w:hint="eastAsia"/>
              </w:rPr>
              <w:t>：</w:t>
            </w:r>
            <w:r>
              <w:rPr>
                <w:rFonts w:hint="eastAsia" w:ascii="宋体" w:hAnsi="宋体"/>
                <w:snapToGrid w:val="0"/>
              </w:rPr>
              <w:t>加强环境噪声污染防控。加强噪声污染源监管，继续强化和深入推进交通运输噪声、建筑施工噪声、社会生活噪声、工业企业、机场周边噪声污染防治，推进工业企业噪声纳入排污许可管理。优化重点区域声环境质量监测点位，加强城市环境噪声、道路交通噪声、功能区噪声例行监测与评价，推动功能区声环境质量自动监测，强化声环境功能区管理，适时调整完善声环境功能区。继续强化噪声信访处置，畅通噪声污染投诉渠道，完善生态环境与相关部门的噪声污染投诉信息共享处理机制。</w:t>
            </w:r>
          </w:p>
          <w:p w14:paraId="57C5667A">
            <w:pPr>
              <w:spacing w:line="460" w:lineRule="exact"/>
              <w:ind w:firstLine="482" w:firstLineChars="200"/>
            </w:pPr>
            <w:r>
              <w:rPr>
                <w:b/>
                <w:bCs/>
                <w:snapToGrid w:val="0"/>
              </w:rPr>
              <w:t>符合性：</w:t>
            </w:r>
            <w:r>
              <w:rPr>
                <w:rFonts w:hint="eastAsia"/>
                <w:snapToGrid w:val="0"/>
              </w:rPr>
              <w:t>本项目碎石均采用半封闭料仓，采取防尘网覆盖的措施；砂采用全封闭料仓，并设置洒水喷淋措施</w:t>
            </w:r>
            <w:r>
              <w:rPr>
                <w:snapToGrid w:val="0"/>
              </w:rPr>
              <w:t>；</w:t>
            </w:r>
            <w:r>
              <w:rPr>
                <w:rFonts w:hint="eastAsia"/>
                <w:snapToGrid w:val="0"/>
              </w:rPr>
              <w:t>采用全封闭式物料输送廊道；粉料筒仓储存产生废气采用自带仓顶滤芯式除尘器处理后无组织排放；搅拌废气经袋式除尘器处理后由15m高排气筒排放；沥青加热及搅拌废气经“喷淋塔+电捕焦油器+活性炭吸附装置”处理后由15m高排气筒排放；沥青混凝土生产线导热油加热醇醚燃烧废气经“低氮燃烧装置”处理后由8m高排气筒排放；沥青混凝土生产线骨料烘干废气经“低氮燃烧装置+袋式除尘器”处理后由15m高排气筒排放；钢筋焊接烟尘经移动式焊烟净化器处理后排放；</w:t>
            </w:r>
            <w:r>
              <w:rPr>
                <w:rFonts w:hint="eastAsia"/>
              </w:rPr>
              <w:t>切割废气采取自然沉降，厂房阻隔措施；运输车辆出厂前必须经过冲洗，以减少扬尘的产生和逸散；食堂油烟经油烟净化器处理后由房顶排气筒排放；</w:t>
            </w:r>
            <w:r>
              <w:t>运输车辆</w:t>
            </w:r>
            <w:r>
              <w:rPr>
                <w:rFonts w:hint="eastAsia"/>
              </w:rPr>
              <w:t>采取</w:t>
            </w:r>
            <w:r>
              <w:t>对车体进行覆盖</w:t>
            </w:r>
            <w:r>
              <w:rPr>
                <w:rFonts w:hint="eastAsia"/>
              </w:rPr>
              <w:t>的方式</w:t>
            </w:r>
            <w:r>
              <w:t>，道路定期人工清扫，场区配有一辆专用洒水车，在晴天对路面进行清扫和洒水，在除雨天均进行6次以上洒水降尘</w:t>
            </w:r>
            <w:r>
              <w:rPr>
                <w:rFonts w:hint="eastAsia"/>
              </w:rPr>
              <w:t>；噪声选用低噪声设备，基础减振厂房隔声等措施降噪，符合相关要求。</w:t>
            </w:r>
          </w:p>
          <w:p w14:paraId="4AF93002">
            <w:pPr>
              <w:pStyle w:val="69"/>
              <w:tabs>
                <w:tab w:val="left" w:pos="737"/>
              </w:tabs>
              <w:spacing w:line="460" w:lineRule="exact"/>
              <w:ind w:firstLine="482" w:firstLineChars="200"/>
              <w:jc w:val="left"/>
              <w:rPr>
                <w:rFonts w:ascii="宋体" w:hAnsi="宋体"/>
                <w:b/>
                <w:bCs/>
                <w:sz w:val="24"/>
                <w:szCs w:val="24"/>
              </w:rPr>
            </w:pPr>
            <w:r>
              <w:rPr>
                <w:b/>
                <w:bCs/>
                <w:sz w:val="24"/>
                <w:szCs w:val="24"/>
              </w:rPr>
              <w:t>5、</w:t>
            </w:r>
            <w:r>
              <w:rPr>
                <w:rFonts w:ascii="宋体" w:hAnsi="宋体"/>
                <w:b/>
                <w:bCs/>
                <w:sz w:val="24"/>
                <w:szCs w:val="24"/>
              </w:rPr>
              <w:t>与《昌吉回族自治州生态环境保护与建设“十四五”规划》符合性分析</w:t>
            </w:r>
          </w:p>
          <w:p w14:paraId="54B3A6D3">
            <w:pPr>
              <w:pStyle w:val="69"/>
              <w:spacing w:line="460" w:lineRule="exact"/>
              <w:ind w:firstLine="480" w:firstLineChars="200"/>
              <w:jc w:val="left"/>
              <w:rPr>
                <w:sz w:val="24"/>
                <w:szCs w:val="24"/>
              </w:rPr>
            </w:pPr>
            <w:r>
              <w:rPr>
                <w:rFonts w:ascii="宋体" w:hAnsi="宋体"/>
                <w:sz w:val="24"/>
                <w:szCs w:val="24"/>
              </w:rPr>
              <w:t>根据《昌吉回族自治州生态环境保护与建设“十四五”</w:t>
            </w:r>
            <w:r>
              <w:rPr>
                <w:sz w:val="24"/>
                <w:szCs w:val="24"/>
              </w:rPr>
              <w:t>规划》推进石化、化工、工业涂装、家具 制造、塑料、橡胶、包装印刷、汽修等重点行业领域VOCs 整治，加强VOCs源头、过程、末端全流程控制，重点加强对光化学反应活性强的VOCs物质控制，开展企业深度治理和精细化管控。加强工业节水。严格控制高污染、</w:t>
            </w:r>
          </w:p>
          <w:p w14:paraId="0B13CE4A">
            <w:pPr>
              <w:pStyle w:val="69"/>
              <w:spacing w:line="460" w:lineRule="exact"/>
              <w:ind w:firstLine="480" w:firstLineChars="200"/>
              <w:jc w:val="left"/>
              <w:rPr>
                <w:sz w:val="24"/>
                <w:szCs w:val="24"/>
              </w:rPr>
            </w:pPr>
            <w:r>
              <w:rPr>
                <w:sz w:val="24"/>
                <w:szCs w:val="24"/>
              </w:rPr>
              <w:t>加快推进建筑垃圾源头减量，推广绿色建筑，推行绿色建造方式，提倡绿色构造、绿色施工、绿色室内装修。</w:t>
            </w:r>
          </w:p>
          <w:p w14:paraId="11DD9400">
            <w:pPr>
              <w:pStyle w:val="69"/>
              <w:tabs>
                <w:tab w:val="left" w:pos="312"/>
              </w:tabs>
              <w:spacing w:line="460" w:lineRule="exact"/>
              <w:ind w:firstLine="482" w:firstLineChars="200"/>
              <w:jc w:val="both"/>
              <w:rPr>
                <w:sz w:val="24"/>
                <w:szCs w:val="24"/>
              </w:rPr>
            </w:pPr>
            <w:r>
              <w:rPr>
                <w:b/>
                <w:bCs/>
                <w:sz w:val="24"/>
                <w:szCs w:val="24"/>
              </w:rPr>
              <w:t>符合性：</w:t>
            </w:r>
            <w:r>
              <w:rPr>
                <w:sz w:val="24"/>
                <w:szCs w:val="24"/>
              </w:rPr>
              <w:t>本项目为公路附属设施建设项目</w:t>
            </w:r>
            <w:r>
              <w:rPr>
                <w:rFonts w:hint="eastAsia"/>
                <w:sz w:val="24"/>
                <w:szCs w:val="24"/>
              </w:rPr>
              <w:t>，</w:t>
            </w:r>
            <w:r>
              <w:rPr>
                <w:sz w:val="24"/>
                <w:szCs w:val="24"/>
              </w:rPr>
              <w:t>项目沥青搅拌站涉及非甲烷总烃排放，在沥青加热、混合搅拌工序会产生沥青烟，搅拌及沥青加热废气收集引入</w:t>
            </w:r>
            <w:r>
              <w:rPr>
                <w:rFonts w:hint="eastAsia"/>
                <w:sz w:val="24"/>
                <w:szCs w:val="24"/>
              </w:rPr>
              <w:t>喷淋塔+电捕焦油器+活性炭吸附装置</w:t>
            </w:r>
            <w:r>
              <w:rPr>
                <w:sz w:val="24"/>
                <w:szCs w:val="24"/>
              </w:rPr>
              <w:t>处理后（处理效率60%），通过</w:t>
            </w:r>
            <w:r>
              <w:rPr>
                <w:rFonts w:hint="eastAsia"/>
                <w:sz w:val="24"/>
                <w:szCs w:val="24"/>
              </w:rPr>
              <w:t>15m高</w:t>
            </w:r>
            <w:r>
              <w:rPr>
                <w:sz w:val="24"/>
                <w:szCs w:val="24"/>
              </w:rPr>
              <w:t>气筒排放，可以有效控制VOCs排放。</w:t>
            </w:r>
          </w:p>
          <w:p w14:paraId="7C83706E">
            <w:pPr>
              <w:pStyle w:val="69"/>
              <w:tabs>
                <w:tab w:val="left" w:pos="312"/>
              </w:tabs>
              <w:spacing w:line="460" w:lineRule="exact"/>
              <w:ind w:firstLine="480" w:firstLineChars="200"/>
              <w:jc w:val="both"/>
              <w:rPr>
                <w:b/>
                <w:bCs/>
                <w:sz w:val="24"/>
                <w:szCs w:val="24"/>
              </w:rPr>
            </w:pPr>
            <w:r>
              <w:rPr>
                <w:sz w:val="24"/>
                <w:szCs w:val="24"/>
              </w:rPr>
              <w:t>项目施工期严格执行</w:t>
            </w:r>
            <w:r>
              <w:rPr>
                <w:rFonts w:ascii="宋体" w:hAnsi="宋体"/>
                <w:sz w:val="24"/>
                <w:szCs w:val="24"/>
              </w:rPr>
              <w:t>“六个百分百”</w:t>
            </w:r>
            <w:r>
              <w:rPr>
                <w:sz w:val="24"/>
                <w:szCs w:val="24"/>
              </w:rPr>
              <w:t>，建筑垃圾优先回收利用，无法回收利用的统一清运至</w:t>
            </w:r>
            <w:r>
              <w:rPr>
                <w:rFonts w:hint="eastAsia"/>
                <w:sz w:val="24"/>
                <w:szCs w:val="24"/>
              </w:rPr>
              <w:t>当地政府主管部门指定地点填埋</w:t>
            </w:r>
            <w:r>
              <w:rPr>
                <w:sz w:val="24"/>
                <w:szCs w:val="24"/>
              </w:rPr>
              <w:t>。综合分析，本项目建设符合《昌吉回族自治州生态环境保护与建</w:t>
            </w:r>
            <w:r>
              <w:rPr>
                <w:rFonts w:ascii="宋体" w:hAnsi="宋体"/>
                <w:sz w:val="24"/>
                <w:szCs w:val="24"/>
              </w:rPr>
              <w:t>设“十四五”规划》</w:t>
            </w:r>
            <w:r>
              <w:rPr>
                <w:sz w:val="24"/>
                <w:szCs w:val="24"/>
              </w:rPr>
              <w:t>。</w:t>
            </w:r>
          </w:p>
          <w:p w14:paraId="7F10910C">
            <w:pPr>
              <w:pStyle w:val="69"/>
              <w:tabs>
                <w:tab w:val="left" w:pos="737"/>
              </w:tabs>
              <w:spacing w:line="460" w:lineRule="exact"/>
              <w:ind w:firstLine="482" w:firstLineChars="200"/>
              <w:rPr>
                <w:b/>
                <w:bCs/>
                <w:sz w:val="24"/>
              </w:rPr>
            </w:pPr>
            <w:r>
              <w:rPr>
                <w:b/>
                <w:bCs/>
                <w:sz w:val="24"/>
              </w:rPr>
              <w:t>6、与《</w:t>
            </w:r>
            <w:r>
              <w:rPr>
                <w:rFonts w:hint="eastAsia"/>
                <w:b/>
                <w:bCs/>
                <w:sz w:val="24"/>
              </w:rPr>
              <w:t>新疆维吾尔自治区2025年空气质量持续改善行动实施方案</w:t>
            </w:r>
            <w:r>
              <w:rPr>
                <w:b/>
                <w:bCs/>
                <w:sz w:val="24"/>
              </w:rPr>
              <w:t>》的通知</w:t>
            </w:r>
          </w:p>
          <w:p w14:paraId="597D2126">
            <w:pPr>
              <w:pStyle w:val="69"/>
              <w:tabs>
                <w:tab w:val="left" w:pos="737"/>
              </w:tabs>
              <w:spacing w:line="460" w:lineRule="exact"/>
              <w:jc w:val="both"/>
              <w:rPr>
                <w:b/>
                <w:bCs/>
                <w:sz w:val="24"/>
              </w:rPr>
            </w:pPr>
            <w:r>
              <w:rPr>
                <w:b/>
                <w:bCs/>
                <w:sz w:val="24"/>
              </w:rPr>
              <w:t>（</w:t>
            </w:r>
            <w:r>
              <w:rPr>
                <w:rFonts w:hint="eastAsia"/>
                <w:b/>
                <w:bCs/>
                <w:sz w:val="24"/>
              </w:rPr>
              <w:t>新政办发〔2024〕58号</w:t>
            </w:r>
            <w:r>
              <w:rPr>
                <w:b/>
                <w:bCs/>
                <w:sz w:val="24"/>
              </w:rPr>
              <w:t>）相符性分析</w:t>
            </w:r>
          </w:p>
          <w:p w14:paraId="177DB097">
            <w:pPr>
              <w:pStyle w:val="69"/>
              <w:tabs>
                <w:tab w:val="left" w:pos="737"/>
              </w:tabs>
              <w:spacing w:line="460" w:lineRule="exact"/>
              <w:ind w:firstLine="480" w:firstLineChars="200"/>
              <w:jc w:val="both"/>
              <w:rPr>
                <w:bCs/>
                <w:sz w:val="24"/>
                <w:szCs w:val="24"/>
              </w:rPr>
            </w:pPr>
            <w:r>
              <w:rPr>
                <w:rFonts w:hint="eastAsia"/>
                <w:bCs/>
                <w:sz w:val="24"/>
              </w:rPr>
              <w:t>本项目与《新疆维吾尔自治区2025年空气质量持续改善行动实施方案》符合性分析见表1</w:t>
            </w:r>
            <w:r>
              <w:rPr>
                <w:bCs/>
                <w:sz w:val="24"/>
              </w:rPr>
              <w:t>-2</w:t>
            </w:r>
            <w:r>
              <w:rPr>
                <w:rFonts w:hint="eastAsia"/>
                <w:bCs/>
                <w:sz w:val="24"/>
              </w:rPr>
              <w:t>。</w:t>
            </w:r>
          </w:p>
          <w:p w14:paraId="306D8BF1">
            <w:pPr>
              <w:pStyle w:val="76"/>
              <w:ind w:firstLine="420"/>
              <w:rPr>
                <w:color w:val="auto"/>
              </w:rPr>
            </w:pPr>
            <w:r>
              <w:rPr>
                <w:color w:val="auto"/>
              </w:rPr>
              <w:t>表1-2  项目与《</w:t>
            </w:r>
            <w:r>
              <w:rPr>
                <w:rFonts w:hint="eastAsia"/>
                <w:color w:val="auto"/>
              </w:rPr>
              <w:t>新疆维吾尔自治区2025年空气质量持续改善行动实施方案</w:t>
            </w:r>
            <w:r>
              <w:rPr>
                <w:color w:val="auto"/>
              </w:rPr>
              <w:t>》符合性分析</w:t>
            </w:r>
          </w:p>
          <w:tbl>
            <w:tblPr>
              <w:tblStyle w:val="24"/>
              <w:tblW w:w="49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autofit"/>
              <w:tblCellMar>
                <w:top w:w="0" w:type="dxa"/>
                <w:left w:w="0" w:type="dxa"/>
                <w:bottom w:w="0" w:type="dxa"/>
                <w:right w:w="0" w:type="dxa"/>
              </w:tblCellMar>
            </w:tblPr>
            <w:tblGrid>
              <w:gridCol w:w="461"/>
              <w:gridCol w:w="3736"/>
              <w:gridCol w:w="3361"/>
              <w:gridCol w:w="756"/>
            </w:tblGrid>
            <w:tr w14:paraId="481C8B88">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265" w:hRule="atLeast"/>
                <w:jc w:val="center"/>
              </w:trPr>
              <w:tc>
                <w:tcPr>
                  <w:tcW w:w="461" w:type="dxa"/>
                  <w:tcBorders>
                    <w:top w:val="single" w:color="000000" w:sz="12" w:space="0"/>
                    <w:left w:val="nil"/>
                    <w:bottom w:val="single" w:color="000000" w:sz="2" w:space="0"/>
                    <w:right w:val="single" w:color="000000" w:sz="4" w:space="0"/>
                  </w:tcBorders>
                  <w:shd w:val="clear" w:color="auto" w:fill="auto"/>
                  <w:vAlign w:val="center"/>
                </w:tcPr>
                <w:p w14:paraId="759E6DEC">
                  <w:pPr>
                    <w:autoSpaceDE w:val="0"/>
                    <w:autoSpaceDN w:val="0"/>
                    <w:jc w:val="center"/>
                    <w:rPr>
                      <w:sz w:val="21"/>
                      <w:szCs w:val="21"/>
                    </w:rPr>
                  </w:pPr>
                  <w:r>
                    <w:rPr>
                      <w:sz w:val="21"/>
                      <w:szCs w:val="21"/>
                    </w:rPr>
                    <w:t>序号</w:t>
                  </w:r>
                </w:p>
              </w:tc>
              <w:tc>
                <w:tcPr>
                  <w:tcW w:w="3736" w:type="dxa"/>
                  <w:tcBorders>
                    <w:top w:val="single" w:color="000000" w:sz="12" w:space="0"/>
                    <w:left w:val="single" w:color="000000" w:sz="4" w:space="0"/>
                    <w:bottom w:val="single" w:color="000000" w:sz="2" w:space="0"/>
                    <w:right w:val="single" w:color="000000" w:sz="4" w:space="0"/>
                  </w:tcBorders>
                  <w:shd w:val="clear" w:color="auto" w:fill="auto"/>
                  <w:vAlign w:val="center"/>
                </w:tcPr>
                <w:p w14:paraId="59EBDA9D">
                  <w:pPr>
                    <w:autoSpaceDE w:val="0"/>
                    <w:autoSpaceDN w:val="0"/>
                    <w:jc w:val="center"/>
                    <w:rPr>
                      <w:sz w:val="21"/>
                      <w:szCs w:val="21"/>
                    </w:rPr>
                  </w:pPr>
                  <w:r>
                    <w:rPr>
                      <w:sz w:val="21"/>
                      <w:szCs w:val="21"/>
                    </w:rPr>
                    <w:t>要求</w:t>
                  </w:r>
                </w:p>
              </w:tc>
              <w:tc>
                <w:tcPr>
                  <w:tcW w:w="3361" w:type="dxa"/>
                  <w:tcBorders>
                    <w:top w:val="single" w:color="000000" w:sz="12" w:space="0"/>
                    <w:left w:val="single" w:color="000000" w:sz="4" w:space="0"/>
                    <w:bottom w:val="single" w:color="000000" w:sz="2" w:space="0"/>
                    <w:right w:val="single" w:color="000000" w:sz="4" w:space="0"/>
                  </w:tcBorders>
                  <w:shd w:val="clear" w:color="auto" w:fill="auto"/>
                  <w:vAlign w:val="center"/>
                </w:tcPr>
                <w:p w14:paraId="482E97D2">
                  <w:pPr>
                    <w:autoSpaceDE w:val="0"/>
                    <w:autoSpaceDN w:val="0"/>
                    <w:jc w:val="center"/>
                    <w:rPr>
                      <w:sz w:val="21"/>
                      <w:szCs w:val="21"/>
                    </w:rPr>
                  </w:pPr>
                  <w:r>
                    <w:rPr>
                      <w:sz w:val="21"/>
                      <w:szCs w:val="21"/>
                    </w:rPr>
                    <w:t>本项目</w:t>
                  </w:r>
                </w:p>
              </w:tc>
              <w:tc>
                <w:tcPr>
                  <w:tcW w:w="756" w:type="dxa"/>
                  <w:tcBorders>
                    <w:top w:val="single" w:color="000000" w:sz="12" w:space="0"/>
                    <w:left w:val="single" w:color="000000" w:sz="4" w:space="0"/>
                    <w:bottom w:val="single" w:color="000000" w:sz="2" w:space="0"/>
                    <w:right w:val="nil"/>
                  </w:tcBorders>
                  <w:shd w:val="clear" w:color="auto" w:fill="auto"/>
                  <w:vAlign w:val="center"/>
                </w:tcPr>
                <w:p w14:paraId="3E832483">
                  <w:pPr>
                    <w:autoSpaceDE w:val="0"/>
                    <w:autoSpaceDN w:val="0"/>
                    <w:jc w:val="center"/>
                    <w:rPr>
                      <w:sz w:val="21"/>
                      <w:szCs w:val="21"/>
                    </w:rPr>
                  </w:pPr>
                  <w:r>
                    <w:rPr>
                      <w:sz w:val="21"/>
                      <w:szCs w:val="21"/>
                    </w:rPr>
                    <w:t>符合性</w:t>
                  </w:r>
                </w:p>
              </w:tc>
            </w:tr>
            <w:tr w14:paraId="4F1FEEB4">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1876" w:hRule="atLeast"/>
                <w:jc w:val="center"/>
              </w:trPr>
              <w:tc>
                <w:tcPr>
                  <w:tcW w:w="461" w:type="dxa"/>
                  <w:tcBorders>
                    <w:top w:val="single" w:color="000000" w:sz="2" w:space="0"/>
                    <w:left w:val="nil"/>
                    <w:bottom w:val="single" w:color="000000" w:sz="2" w:space="0"/>
                    <w:right w:val="single" w:color="000000" w:sz="4" w:space="0"/>
                  </w:tcBorders>
                  <w:shd w:val="clear" w:color="auto" w:fill="auto"/>
                  <w:vAlign w:val="center"/>
                </w:tcPr>
                <w:p w14:paraId="0A21C75D">
                  <w:pPr>
                    <w:autoSpaceDE w:val="0"/>
                    <w:autoSpaceDN w:val="0"/>
                    <w:jc w:val="center"/>
                    <w:rPr>
                      <w:sz w:val="21"/>
                      <w:szCs w:val="21"/>
                    </w:rPr>
                  </w:pPr>
                  <w:r>
                    <w:rPr>
                      <w:sz w:val="21"/>
                      <w:szCs w:val="21"/>
                    </w:rPr>
                    <w:t>1</w:t>
                  </w:r>
                </w:p>
              </w:tc>
              <w:tc>
                <w:tcPr>
                  <w:tcW w:w="3736" w:type="dxa"/>
                  <w:shd w:val="clear" w:color="auto" w:fill="auto"/>
                  <w:vAlign w:val="center"/>
                </w:tcPr>
                <w:p w14:paraId="4CE9DDED">
                  <w:pPr>
                    <w:autoSpaceDE w:val="0"/>
                    <w:autoSpaceDN w:val="0"/>
                    <w:jc w:val="center"/>
                    <w:rPr>
                      <w:sz w:val="21"/>
                      <w:szCs w:val="21"/>
                    </w:rPr>
                  </w:pPr>
                  <w:r>
                    <w:rPr>
                      <w:rFonts w:hint="eastAsia"/>
                      <w:sz w:val="21"/>
                      <w:szCs w:val="21"/>
                    </w:rPr>
                    <w:t>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tc>
              <w:tc>
                <w:tcPr>
                  <w:tcW w:w="3361" w:type="dxa"/>
                  <w:shd w:val="clear" w:color="auto" w:fill="auto"/>
                  <w:vAlign w:val="center"/>
                </w:tcPr>
                <w:p w14:paraId="42F3AE34">
                  <w:pPr>
                    <w:autoSpaceDE w:val="0"/>
                    <w:autoSpaceDN w:val="0"/>
                    <w:jc w:val="center"/>
                    <w:rPr>
                      <w:sz w:val="21"/>
                      <w:szCs w:val="21"/>
                    </w:rPr>
                  </w:pPr>
                  <w:r>
                    <w:rPr>
                      <w:sz w:val="21"/>
                      <w:szCs w:val="21"/>
                    </w:rPr>
                    <w:t>本项目严格落实国家产业规划、产业政策、生态环境分区管控方案、规划环评、项目环评、节能审查、产能置换、重点污染物总量控制、污染物排放区域削减、碳排放达峰目标等相关要求，项目不涉及产能置换。</w:t>
                  </w:r>
                </w:p>
              </w:tc>
              <w:tc>
                <w:tcPr>
                  <w:tcW w:w="756" w:type="dxa"/>
                  <w:tcBorders>
                    <w:top w:val="single" w:color="000000" w:sz="2" w:space="0"/>
                    <w:left w:val="single" w:color="000000" w:sz="4" w:space="0"/>
                    <w:bottom w:val="single" w:color="000000" w:sz="2" w:space="0"/>
                    <w:right w:val="nil"/>
                  </w:tcBorders>
                  <w:shd w:val="clear" w:color="auto" w:fill="auto"/>
                  <w:vAlign w:val="center"/>
                </w:tcPr>
                <w:p w14:paraId="196EEA51">
                  <w:pPr>
                    <w:autoSpaceDE w:val="0"/>
                    <w:autoSpaceDN w:val="0"/>
                    <w:jc w:val="center"/>
                    <w:rPr>
                      <w:sz w:val="21"/>
                      <w:szCs w:val="21"/>
                    </w:rPr>
                  </w:pPr>
                  <w:r>
                    <w:rPr>
                      <w:sz w:val="21"/>
                      <w:szCs w:val="21"/>
                    </w:rPr>
                    <w:t>符合</w:t>
                  </w:r>
                </w:p>
              </w:tc>
            </w:tr>
            <w:tr w14:paraId="616174A2">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2343" w:hRule="atLeast"/>
                <w:jc w:val="center"/>
              </w:trPr>
              <w:tc>
                <w:tcPr>
                  <w:tcW w:w="461" w:type="dxa"/>
                  <w:tcBorders>
                    <w:top w:val="single" w:color="000000" w:sz="2" w:space="0"/>
                    <w:left w:val="nil"/>
                    <w:bottom w:val="single" w:color="000000" w:sz="2" w:space="0"/>
                    <w:right w:val="single" w:color="000000" w:sz="4" w:space="0"/>
                  </w:tcBorders>
                  <w:shd w:val="clear" w:color="auto" w:fill="auto"/>
                  <w:vAlign w:val="center"/>
                </w:tcPr>
                <w:p w14:paraId="171561F5">
                  <w:pPr>
                    <w:autoSpaceDE w:val="0"/>
                    <w:autoSpaceDN w:val="0"/>
                    <w:jc w:val="center"/>
                    <w:rPr>
                      <w:sz w:val="21"/>
                      <w:szCs w:val="21"/>
                    </w:rPr>
                  </w:pPr>
                  <w:r>
                    <w:rPr>
                      <w:sz w:val="21"/>
                      <w:szCs w:val="21"/>
                    </w:rPr>
                    <w:t>2</w:t>
                  </w:r>
                </w:p>
              </w:tc>
              <w:tc>
                <w:tcPr>
                  <w:tcW w:w="3736" w:type="dxa"/>
                  <w:shd w:val="clear" w:color="auto" w:fill="auto"/>
                  <w:vAlign w:val="center"/>
                </w:tcPr>
                <w:p w14:paraId="2A5BC36E">
                  <w:pPr>
                    <w:autoSpaceDE w:val="0"/>
                    <w:autoSpaceDN w:val="0"/>
                    <w:jc w:val="center"/>
                    <w:rPr>
                      <w:sz w:val="21"/>
                      <w:szCs w:val="21"/>
                    </w:rPr>
                  </w:pPr>
                  <w:r>
                    <w:rPr>
                      <w:rFonts w:hint="eastAsia"/>
                      <w:sz w:val="21"/>
                      <w:szCs w:val="21"/>
                    </w:rPr>
                    <w:t>严格执行《产业结构调整指导目录》，依法依规淘汰落后产能。联防联控区进一步提高落后产能能耗、环保、质量、安全、技术等要求，逐步退出限制类涉气行业工艺和装备。提升工业重点领域产能能效标杆水平，到2025年，重点行业能效标杆水平产能比例力争达到30%，能效基准水平以下产能基本清零。联防联控区淘汰炭化室高度4.3米及以下焦炉。</w:t>
                  </w:r>
                </w:p>
              </w:tc>
              <w:tc>
                <w:tcPr>
                  <w:tcW w:w="3361" w:type="dxa"/>
                  <w:shd w:val="clear" w:color="auto" w:fill="auto"/>
                  <w:vAlign w:val="center"/>
                </w:tcPr>
                <w:p w14:paraId="1D651B1F">
                  <w:pPr>
                    <w:autoSpaceDE w:val="0"/>
                    <w:autoSpaceDN w:val="0"/>
                    <w:jc w:val="center"/>
                    <w:rPr>
                      <w:sz w:val="21"/>
                      <w:szCs w:val="21"/>
                    </w:rPr>
                  </w:pPr>
                  <w:r>
                    <w:rPr>
                      <w:sz w:val="21"/>
                      <w:szCs w:val="21"/>
                    </w:rPr>
                    <w:t>本项目采用先进生产工艺和设备，符合国家《产业结构调整指导目录（2024</w:t>
                  </w:r>
                  <w:r>
                    <w:rPr>
                      <w:rFonts w:hint="eastAsia"/>
                      <w:sz w:val="21"/>
                      <w:szCs w:val="21"/>
                    </w:rPr>
                    <w:t>年</w:t>
                  </w:r>
                  <w:r>
                    <w:rPr>
                      <w:sz w:val="21"/>
                      <w:szCs w:val="21"/>
                    </w:rPr>
                    <w:t>本）》要求。</w:t>
                  </w:r>
                </w:p>
              </w:tc>
              <w:tc>
                <w:tcPr>
                  <w:tcW w:w="756" w:type="dxa"/>
                  <w:tcBorders>
                    <w:top w:val="single" w:color="000000" w:sz="2" w:space="0"/>
                    <w:left w:val="single" w:color="000000" w:sz="4" w:space="0"/>
                    <w:bottom w:val="single" w:color="000000" w:sz="2" w:space="0"/>
                    <w:right w:val="nil"/>
                  </w:tcBorders>
                  <w:shd w:val="clear" w:color="auto" w:fill="auto"/>
                  <w:vAlign w:val="center"/>
                </w:tcPr>
                <w:p w14:paraId="4ACE24AA">
                  <w:pPr>
                    <w:autoSpaceDE w:val="0"/>
                    <w:autoSpaceDN w:val="0"/>
                    <w:jc w:val="center"/>
                    <w:rPr>
                      <w:sz w:val="21"/>
                      <w:szCs w:val="21"/>
                    </w:rPr>
                  </w:pPr>
                  <w:r>
                    <w:rPr>
                      <w:sz w:val="21"/>
                      <w:szCs w:val="21"/>
                    </w:rPr>
                    <w:t>符合</w:t>
                  </w:r>
                </w:p>
              </w:tc>
            </w:tr>
            <w:tr w14:paraId="131C3FF1">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1644" w:hRule="atLeast"/>
                <w:jc w:val="center"/>
              </w:trPr>
              <w:tc>
                <w:tcPr>
                  <w:tcW w:w="461" w:type="dxa"/>
                  <w:tcBorders>
                    <w:top w:val="single" w:color="000000" w:sz="2" w:space="0"/>
                    <w:left w:val="nil"/>
                    <w:bottom w:val="single" w:color="000000" w:sz="2" w:space="0"/>
                    <w:right w:val="single" w:color="000000" w:sz="4" w:space="0"/>
                  </w:tcBorders>
                  <w:shd w:val="clear" w:color="auto" w:fill="auto"/>
                  <w:vAlign w:val="center"/>
                </w:tcPr>
                <w:p w14:paraId="2AACCB28">
                  <w:pPr>
                    <w:autoSpaceDE w:val="0"/>
                    <w:autoSpaceDN w:val="0"/>
                    <w:jc w:val="center"/>
                    <w:rPr>
                      <w:sz w:val="21"/>
                      <w:szCs w:val="21"/>
                    </w:rPr>
                  </w:pPr>
                  <w:r>
                    <w:rPr>
                      <w:sz w:val="21"/>
                      <w:szCs w:val="21"/>
                    </w:rPr>
                    <w:t>3</w:t>
                  </w:r>
                </w:p>
              </w:tc>
              <w:tc>
                <w:tcPr>
                  <w:tcW w:w="3736" w:type="dxa"/>
                  <w:tcBorders>
                    <w:top w:val="single" w:color="000000" w:sz="2" w:space="0"/>
                    <w:left w:val="single" w:color="000000" w:sz="4" w:space="0"/>
                    <w:bottom w:val="single" w:color="000000" w:sz="2" w:space="0"/>
                    <w:right w:val="single" w:color="000000" w:sz="4" w:space="0"/>
                  </w:tcBorders>
                  <w:shd w:val="clear" w:color="auto" w:fill="auto"/>
                  <w:vAlign w:val="center"/>
                </w:tcPr>
                <w:p w14:paraId="41FA9439">
                  <w:pPr>
                    <w:autoSpaceDE w:val="0"/>
                    <w:autoSpaceDN w:val="0"/>
                    <w:jc w:val="center"/>
                    <w:rPr>
                      <w:sz w:val="21"/>
                      <w:szCs w:val="21"/>
                    </w:rPr>
                  </w:pPr>
                  <w:r>
                    <w:rPr>
                      <w:rFonts w:hint="eastAsia"/>
                      <w:sz w:val="21"/>
                      <w:szCs w:val="21"/>
                    </w:rPr>
                    <w:t>持续开展燃煤锅炉综合整治。县级及以上城市建成区原则上不再新建35蒸吨/小时及以下燃煤锅炉。到2025年，基本淘汰10蒸吨/小时及以下的燃煤锅炉，联防联控区基本淘汰65蒸吨/小时以下的燃煤锅炉；基本完成65蒸吨/小时及以上燃煤锅炉超低排放改造，联防联控区2024年完成。实施煤电机组“三改联动”，推动煤电向基础性、支撑性、调节性电源转型，鼓励拆小建大等容量替代。充分发挥30万千瓦及以上热电联产电厂的供热能力，关停或整合其供热半径15公里范围内的燃煤锅炉和落后燃煤小热电机组（含自备电厂）</w:t>
                  </w:r>
                </w:p>
              </w:tc>
              <w:tc>
                <w:tcPr>
                  <w:tcW w:w="3361" w:type="dxa"/>
                  <w:tcBorders>
                    <w:top w:val="single" w:color="000000" w:sz="2" w:space="0"/>
                    <w:left w:val="single" w:color="000000" w:sz="4" w:space="0"/>
                    <w:bottom w:val="single" w:color="000000" w:sz="2" w:space="0"/>
                    <w:right w:val="single" w:color="000000" w:sz="4" w:space="0"/>
                  </w:tcBorders>
                  <w:shd w:val="clear" w:color="auto" w:fill="auto"/>
                  <w:vAlign w:val="center"/>
                </w:tcPr>
                <w:p w14:paraId="45152E9E">
                  <w:pPr>
                    <w:autoSpaceDE w:val="0"/>
                    <w:autoSpaceDN w:val="0"/>
                    <w:jc w:val="center"/>
                    <w:rPr>
                      <w:sz w:val="21"/>
                      <w:szCs w:val="21"/>
                    </w:rPr>
                  </w:pPr>
                  <w:r>
                    <w:rPr>
                      <w:sz w:val="21"/>
                      <w:szCs w:val="21"/>
                    </w:rPr>
                    <w:t>本项目燃料为醇醚，主要用于</w:t>
                  </w:r>
                  <w:r>
                    <w:rPr>
                      <w:rFonts w:hint="eastAsia"/>
                      <w:sz w:val="21"/>
                      <w:szCs w:val="21"/>
                    </w:rPr>
                    <w:t>导热油</w:t>
                  </w:r>
                  <w:r>
                    <w:rPr>
                      <w:sz w:val="21"/>
                      <w:szCs w:val="21"/>
                    </w:rPr>
                    <w:t>加热</w:t>
                  </w:r>
                  <w:r>
                    <w:rPr>
                      <w:rFonts w:hint="eastAsia"/>
                      <w:sz w:val="21"/>
                      <w:szCs w:val="21"/>
                    </w:rPr>
                    <w:t>燃料和骨料烘干燃料</w:t>
                  </w:r>
                  <w:r>
                    <w:rPr>
                      <w:sz w:val="21"/>
                      <w:szCs w:val="21"/>
                    </w:rPr>
                    <w:t>，不涉及燃煤锅炉。</w:t>
                  </w:r>
                </w:p>
              </w:tc>
              <w:tc>
                <w:tcPr>
                  <w:tcW w:w="756" w:type="dxa"/>
                  <w:tcBorders>
                    <w:top w:val="single" w:color="000000" w:sz="2" w:space="0"/>
                    <w:left w:val="single" w:color="000000" w:sz="4" w:space="0"/>
                    <w:bottom w:val="single" w:color="000000" w:sz="2" w:space="0"/>
                    <w:right w:val="nil"/>
                  </w:tcBorders>
                  <w:shd w:val="clear" w:color="auto" w:fill="auto"/>
                  <w:vAlign w:val="center"/>
                </w:tcPr>
                <w:p w14:paraId="58AA2A0E">
                  <w:pPr>
                    <w:autoSpaceDE w:val="0"/>
                    <w:autoSpaceDN w:val="0"/>
                    <w:jc w:val="center"/>
                    <w:rPr>
                      <w:sz w:val="21"/>
                      <w:szCs w:val="21"/>
                    </w:rPr>
                  </w:pPr>
                  <w:r>
                    <w:rPr>
                      <w:sz w:val="21"/>
                      <w:szCs w:val="21"/>
                    </w:rPr>
                    <w:t>符合</w:t>
                  </w:r>
                </w:p>
              </w:tc>
            </w:tr>
            <w:tr w14:paraId="7E256BA8">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0" w:type="dxa"/>
                  <w:bottom w:w="0" w:type="dxa"/>
                  <w:right w:w="0" w:type="dxa"/>
                </w:tblCellMar>
              </w:tblPrEx>
              <w:trPr>
                <w:trHeight w:val="262" w:hRule="atLeast"/>
                <w:jc w:val="center"/>
              </w:trPr>
              <w:tc>
                <w:tcPr>
                  <w:tcW w:w="461" w:type="dxa"/>
                  <w:tcBorders>
                    <w:top w:val="single" w:color="000000" w:sz="2" w:space="0"/>
                    <w:left w:val="nil"/>
                    <w:bottom w:val="single" w:color="000000" w:sz="12" w:space="0"/>
                    <w:right w:val="single" w:color="000000" w:sz="4" w:space="0"/>
                  </w:tcBorders>
                  <w:shd w:val="clear" w:color="auto" w:fill="auto"/>
                  <w:vAlign w:val="center"/>
                </w:tcPr>
                <w:p w14:paraId="3DCDC6C2">
                  <w:pPr>
                    <w:autoSpaceDE w:val="0"/>
                    <w:autoSpaceDN w:val="0"/>
                    <w:jc w:val="center"/>
                    <w:rPr>
                      <w:sz w:val="21"/>
                      <w:szCs w:val="21"/>
                    </w:rPr>
                  </w:pPr>
                  <w:r>
                    <w:rPr>
                      <w:sz w:val="21"/>
                      <w:szCs w:val="21"/>
                    </w:rPr>
                    <w:t>4</w:t>
                  </w:r>
                </w:p>
              </w:tc>
              <w:tc>
                <w:tcPr>
                  <w:tcW w:w="3736" w:type="dxa"/>
                  <w:tcBorders>
                    <w:top w:val="single" w:color="000000" w:sz="2" w:space="0"/>
                    <w:left w:val="single" w:color="000000" w:sz="4" w:space="0"/>
                    <w:bottom w:val="single" w:color="000000" w:sz="12" w:space="0"/>
                    <w:right w:val="single" w:color="000000" w:sz="4" w:space="0"/>
                  </w:tcBorders>
                  <w:shd w:val="clear" w:color="auto" w:fill="auto"/>
                  <w:vAlign w:val="center"/>
                </w:tcPr>
                <w:p w14:paraId="1A4EE1E3">
                  <w:pPr>
                    <w:autoSpaceDE w:val="0"/>
                    <w:autoSpaceDN w:val="0"/>
                    <w:jc w:val="center"/>
                    <w:rPr>
                      <w:sz w:val="21"/>
                      <w:szCs w:val="21"/>
                    </w:rPr>
                  </w:pPr>
                  <w:r>
                    <w:rPr>
                      <w:rFonts w:hint="eastAsia"/>
                      <w:sz w:val="21"/>
                      <w:szCs w:val="21"/>
                    </w:rPr>
                    <w:t>持续推进工业炉窑清洁能源替代。有序推进以电代煤，稳妥推进以气代煤。联防联控区原则上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3361" w:type="dxa"/>
                  <w:tcBorders>
                    <w:top w:val="single" w:color="000000" w:sz="2" w:space="0"/>
                    <w:left w:val="single" w:color="000000" w:sz="4" w:space="0"/>
                    <w:bottom w:val="single" w:color="000000" w:sz="12" w:space="0"/>
                    <w:right w:val="single" w:color="000000" w:sz="4" w:space="0"/>
                  </w:tcBorders>
                  <w:shd w:val="clear" w:color="auto" w:fill="auto"/>
                  <w:vAlign w:val="center"/>
                </w:tcPr>
                <w:p w14:paraId="5F3C7A09">
                  <w:pPr>
                    <w:autoSpaceDE w:val="0"/>
                    <w:autoSpaceDN w:val="0"/>
                    <w:jc w:val="center"/>
                    <w:rPr>
                      <w:sz w:val="21"/>
                      <w:szCs w:val="21"/>
                    </w:rPr>
                  </w:pPr>
                  <w:r>
                    <w:rPr>
                      <w:sz w:val="21"/>
                      <w:szCs w:val="21"/>
                    </w:rPr>
                    <w:t>本项目燃料为醇醚，主要用于沥青站</w:t>
                  </w:r>
                  <w:r>
                    <w:rPr>
                      <w:rFonts w:hint="eastAsia"/>
                      <w:sz w:val="21"/>
                      <w:szCs w:val="21"/>
                    </w:rPr>
                    <w:t>导热油</w:t>
                  </w:r>
                  <w:r>
                    <w:rPr>
                      <w:sz w:val="21"/>
                      <w:szCs w:val="21"/>
                    </w:rPr>
                    <w:t>加热</w:t>
                  </w:r>
                  <w:r>
                    <w:rPr>
                      <w:rFonts w:hint="eastAsia"/>
                      <w:sz w:val="21"/>
                      <w:szCs w:val="21"/>
                    </w:rPr>
                    <w:t>燃料和骨料烘干燃料</w:t>
                  </w:r>
                  <w:r>
                    <w:rPr>
                      <w:sz w:val="21"/>
                      <w:szCs w:val="21"/>
                    </w:rPr>
                    <w:t>，不涉及燃煤锅炉、煤气发生炉。</w:t>
                  </w:r>
                </w:p>
              </w:tc>
              <w:tc>
                <w:tcPr>
                  <w:tcW w:w="756" w:type="dxa"/>
                  <w:tcBorders>
                    <w:top w:val="single" w:color="000000" w:sz="2" w:space="0"/>
                    <w:left w:val="single" w:color="000000" w:sz="4" w:space="0"/>
                    <w:bottom w:val="single" w:color="000000" w:sz="12" w:space="0"/>
                    <w:right w:val="nil"/>
                  </w:tcBorders>
                  <w:shd w:val="clear" w:color="auto" w:fill="auto"/>
                  <w:vAlign w:val="center"/>
                </w:tcPr>
                <w:p w14:paraId="2E228A6E">
                  <w:pPr>
                    <w:autoSpaceDE w:val="0"/>
                    <w:autoSpaceDN w:val="0"/>
                    <w:jc w:val="center"/>
                    <w:rPr>
                      <w:sz w:val="21"/>
                      <w:szCs w:val="21"/>
                    </w:rPr>
                  </w:pPr>
                  <w:r>
                    <w:rPr>
                      <w:sz w:val="21"/>
                      <w:szCs w:val="21"/>
                    </w:rPr>
                    <w:t>符合</w:t>
                  </w:r>
                </w:p>
              </w:tc>
            </w:tr>
          </w:tbl>
          <w:p w14:paraId="7CA01A18">
            <w:pPr>
              <w:spacing w:line="460" w:lineRule="exact"/>
              <w:ind w:firstLine="482" w:firstLineChars="200"/>
              <w:rPr>
                <w:b/>
                <w:bCs/>
                <w:snapToGrid w:val="0"/>
                <w:szCs w:val="21"/>
              </w:rPr>
            </w:pPr>
            <w:r>
              <w:rPr>
                <w:b/>
                <w:bCs/>
                <w:snapToGrid w:val="0"/>
                <w:szCs w:val="21"/>
              </w:rPr>
              <w:t>7、</w:t>
            </w:r>
            <w:r>
              <w:rPr>
                <w:rFonts w:hint="eastAsia"/>
                <w:b/>
                <w:bCs/>
                <w:snapToGrid w:val="0"/>
                <w:szCs w:val="21"/>
              </w:rPr>
              <w:t>生态环境分区管控要求符合性分析</w:t>
            </w:r>
          </w:p>
          <w:p w14:paraId="2515F38C">
            <w:pPr>
              <w:pStyle w:val="69"/>
              <w:spacing w:line="460" w:lineRule="exact"/>
              <w:ind w:firstLine="482" w:firstLineChars="200"/>
              <w:jc w:val="both"/>
              <w:rPr>
                <w:b/>
                <w:bCs/>
                <w:sz w:val="24"/>
                <w:szCs w:val="24"/>
              </w:rPr>
            </w:pPr>
            <w:r>
              <w:rPr>
                <w:b/>
                <w:bCs/>
                <w:sz w:val="24"/>
                <w:szCs w:val="24"/>
              </w:rPr>
              <w:t>7.1、与《新疆维吾尔自治区七大片区</w:t>
            </w:r>
            <w:r>
              <w:rPr>
                <w:rFonts w:ascii="宋体" w:hAnsi="宋体"/>
                <w:b/>
                <w:bCs/>
                <w:sz w:val="24"/>
                <w:szCs w:val="24"/>
              </w:rPr>
              <w:t>“三线一单”</w:t>
            </w:r>
            <w:r>
              <w:rPr>
                <w:b/>
                <w:bCs/>
                <w:sz w:val="24"/>
                <w:szCs w:val="24"/>
              </w:rPr>
              <w:t>生态环境分区管控要求》（新环环评发〔2021〕162号）符合性分析</w:t>
            </w:r>
          </w:p>
          <w:p w14:paraId="562CF9D4">
            <w:pPr>
              <w:pStyle w:val="69"/>
              <w:spacing w:line="460" w:lineRule="exact"/>
              <w:ind w:firstLine="480" w:firstLineChars="200"/>
              <w:jc w:val="both"/>
              <w:rPr>
                <w:sz w:val="24"/>
                <w:szCs w:val="24"/>
              </w:rPr>
            </w:pPr>
            <w:r>
              <w:rPr>
                <w:sz w:val="24"/>
                <w:szCs w:val="24"/>
              </w:rPr>
              <w:t>本项目位于奇台县喇嘛湖梁工业园区</w:t>
            </w:r>
            <w:r>
              <w:rPr>
                <w:rFonts w:hint="eastAsia"/>
                <w:sz w:val="24"/>
                <w:szCs w:val="24"/>
              </w:rPr>
              <w:t>，</w:t>
            </w:r>
            <w:r>
              <w:rPr>
                <w:sz w:val="24"/>
                <w:szCs w:val="24"/>
              </w:rPr>
              <w:t>项目与《新疆维吾尔自治区七大片区</w:t>
            </w:r>
            <w:r>
              <w:rPr>
                <w:rFonts w:ascii="宋体" w:hAnsi="宋体"/>
                <w:sz w:val="24"/>
                <w:szCs w:val="24"/>
              </w:rPr>
              <w:t>“三线一单”</w:t>
            </w:r>
            <w:r>
              <w:rPr>
                <w:sz w:val="24"/>
                <w:szCs w:val="24"/>
              </w:rPr>
              <w:t>生态环境分区管控要求》</w:t>
            </w:r>
            <w:r>
              <w:rPr>
                <w:bCs/>
                <w:sz w:val="24"/>
                <w:szCs w:val="24"/>
              </w:rPr>
              <w:t>（新环环评发〔2021〕162号）</w:t>
            </w:r>
            <w:r>
              <w:rPr>
                <w:rFonts w:hint="eastAsia"/>
                <w:bCs/>
                <w:sz w:val="24"/>
                <w:szCs w:val="24"/>
              </w:rPr>
              <w:t>符合性</w:t>
            </w:r>
            <w:r>
              <w:rPr>
                <w:sz w:val="24"/>
                <w:szCs w:val="24"/>
              </w:rPr>
              <w:t>分析详见表1-3。</w:t>
            </w:r>
          </w:p>
          <w:p w14:paraId="16792E28">
            <w:pPr>
              <w:pStyle w:val="76"/>
              <w:ind w:firstLine="420"/>
              <w:rPr>
                <w:color w:val="auto"/>
              </w:rPr>
            </w:pPr>
            <w:r>
              <w:rPr>
                <w:color w:val="auto"/>
              </w:rPr>
              <w:t>表1-3       项目与七大片区</w:t>
            </w:r>
            <w:r>
              <w:rPr>
                <w:rFonts w:ascii="宋体" w:hAnsi="宋体" w:eastAsia="宋体"/>
                <w:color w:val="auto"/>
              </w:rPr>
              <w:t>“</w:t>
            </w:r>
            <w:r>
              <w:rPr>
                <w:rFonts w:ascii="黑体" w:hAnsi="黑体"/>
                <w:color w:val="auto"/>
              </w:rPr>
              <w:t>三线一单</w:t>
            </w:r>
            <w:r>
              <w:rPr>
                <w:rFonts w:ascii="宋体" w:hAnsi="宋体" w:eastAsia="宋体"/>
                <w:color w:val="auto"/>
              </w:rPr>
              <w:t>”</w:t>
            </w:r>
            <w:r>
              <w:rPr>
                <w:color w:val="auto"/>
              </w:rPr>
              <w:t>生态环境分区管控要求符合</w:t>
            </w:r>
            <w:r>
              <w:rPr>
                <w:rFonts w:hint="eastAsia"/>
                <w:color w:val="auto"/>
              </w:rPr>
              <w:t>性</w:t>
            </w:r>
          </w:p>
          <w:tbl>
            <w:tblPr>
              <w:tblStyle w:val="24"/>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3191"/>
              <w:gridCol w:w="3471"/>
              <w:gridCol w:w="1203"/>
            </w:tblGrid>
            <w:tr w14:paraId="7417E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62" w:type="pct"/>
                  <w:shd w:val="clear" w:color="auto" w:fill="auto"/>
                  <w:vAlign w:val="center"/>
                </w:tcPr>
                <w:p w14:paraId="41EC7CD6">
                  <w:pPr>
                    <w:pStyle w:val="69"/>
                    <w:spacing w:line="240" w:lineRule="auto"/>
                    <w:rPr>
                      <w:rFonts w:ascii="宋体" w:hAnsi="宋体"/>
                    </w:rPr>
                  </w:pPr>
                  <w:r>
                    <w:rPr>
                      <w:rFonts w:ascii="宋体" w:hAnsi="宋体"/>
                    </w:rPr>
                    <w:t>类别</w:t>
                  </w:r>
                </w:p>
              </w:tc>
              <w:tc>
                <w:tcPr>
                  <w:tcW w:w="1882" w:type="pct"/>
                  <w:shd w:val="clear" w:color="auto" w:fill="auto"/>
                  <w:vAlign w:val="center"/>
                </w:tcPr>
                <w:p w14:paraId="287E0273">
                  <w:pPr>
                    <w:pStyle w:val="69"/>
                    <w:spacing w:line="240" w:lineRule="auto"/>
                    <w:rPr>
                      <w:rFonts w:ascii="宋体" w:hAnsi="宋体"/>
                    </w:rPr>
                  </w:pPr>
                  <w:r>
                    <w:rPr>
                      <w:rFonts w:ascii="宋体" w:hAnsi="宋体"/>
                    </w:rPr>
                    <w:t>三线一单要求</w:t>
                  </w:r>
                </w:p>
              </w:tc>
              <w:tc>
                <w:tcPr>
                  <w:tcW w:w="2047" w:type="pct"/>
                  <w:shd w:val="clear" w:color="auto" w:fill="auto"/>
                  <w:vAlign w:val="center"/>
                </w:tcPr>
                <w:p w14:paraId="0530AE0D">
                  <w:pPr>
                    <w:pStyle w:val="69"/>
                    <w:spacing w:line="240" w:lineRule="auto"/>
                    <w:rPr>
                      <w:rFonts w:ascii="宋体" w:hAnsi="宋体"/>
                    </w:rPr>
                  </w:pPr>
                  <w:r>
                    <w:rPr>
                      <w:rFonts w:ascii="宋体" w:hAnsi="宋体"/>
                    </w:rPr>
                    <w:t>本项目情况</w:t>
                  </w:r>
                </w:p>
              </w:tc>
              <w:tc>
                <w:tcPr>
                  <w:tcW w:w="709" w:type="pct"/>
                  <w:shd w:val="clear" w:color="auto" w:fill="auto"/>
                  <w:vAlign w:val="center"/>
                </w:tcPr>
                <w:p w14:paraId="3791EC02">
                  <w:pPr>
                    <w:pStyle w:val="69"/>
                    <w:spacing w:line="240" w:lineRule="auto"/>
                    <w:rPr>
                      <w:rFonts w:ascii="宋体" w:hAnsi="宋体"/>
                    </w:rPr>
                  </w:pPr>
                  <w:r>
                    <w:rPr>
                      <w:rFonts w:ascii="宋体" w:hAnsi="宋体"/>
                    </w:rPr>
                    <w:t>符合性</w:t>
                  </w:r>
                </w:p>
              </w:tc>
            </w:tr>
            <w:tr w14:paraId="189A19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62" w:type="pct"/>
                  <w:shd w:val="clear" w:color="auto" w:fill="auto"/>
                  <w:vAlign w:val="center"/>
                </w:tcPr>
                <w:p w14:paraId="54025ED9">
                  <w:pPr>
                    <w:pStyle w:val="69"/>
                    <w:spacing w:line="240" w:lineRule="auto"/>
                    <w:rPr>
                      <w:rFonts w:ascii="宋体" w:hAnsi="宋体"/>
                    </w:rPr>
                  </w:pPr>
                  <w:r>
                    <w:rPr>
                      <w:rFonts w:ascii="宋体" w:hAnsi="宋体"/>
                    </w:rPr>
                    <w:t>空间布局约束</w:t>
                  </w:r>
                </w:p>
              </w:tc>
              <w:tc>
                <w:tcPr>
                  <w:tcW w:w="1882" w:type="pct"/>
                  <w:shd w:val="clear" w:color="auto" w:fill="auto"/>
                  <w:vAlign w:val="center"/>
                </w:tcPr>
                <w:p w14:paraId="79FD7B60">
                  <w:pPr>
                    <w:pStyle w:val="69"/>
                    <w:spacing w:line="240" w:lineRule="auto"/>
                    <w:jc w:val="both"/>
                    <w:rPr>
                      <w:rFonts w:ascii="宋体" w:hAnsi="宋体"/>
                    </w:rPr>
                  </w:pPr>
                  <w:r>
                    <w:rPr>
                      <w:rFonts w:ascii="宋体" w:hAnsi="宋体"/>
                    </w:rPr>
                    <w:t>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2047" w:type="pct"/>
                  <w:shd w:val="clear" w:color="auto" w:fill="auto"/>
                  <w:vAlign w:val="center"/>
                </w:tcPr>
                <w:p w14:paraId="0C731C32">
                  <w:pPr>
                    <w:pStyle w:val="69"/>
                    <w:spacing w:line="240" w:lineRule="auto"/>
                    <w:jc w:val="both"/>
                    <w:rPr>
                      <w:rFonts w:ascii="宋体" w:hAnsi="宋体"/>
                    </w:rPr>
                  </w:pPr>
                  <w:r>
                    <w:rPr>
                      <w:rFonts w:ascii="宋体" w:hAnsi="宋体"/>
                    </w:rPr>
                    <w:t>本项</w:t>
                  </w:r>
                  <w:r>
                    <w:rPr>
                      <w:rFonts w:hint="eastAsia" w:ascii="宋体" w:hAnsi="宋体"/>
                    </w:rPr>
                    <w:t>目</w:t>
                  </w:r>
                  <w:r>
                    <w:rPr>
                      <w:rFonts w:ascii="宋体" w:hAnsi="宋体"/>
                    </w:rPr>
                    <w:t>严格执行国家和自治区产业政策及准入要求。本项目不属于“三高项目”，通过</w:t>
                  </w:r>
                  <w:r>
                    <w:rPr>
                      <w:rFonts w:hint="eastAsia" w:ascii="宋体" w:hAnsi="宋体"/>
                    </w:rPr>
                    <w:t>采取严格的大气污染防治措施，生活污水进入园区污水处理厂，一般固废、危废分类收集处置措施</w:t>
                  </w:r>
                  <w:r>
                    <w:rPr>
                      <w:rFonts w:ascii="宋体" w:hAnsi="宋体"/>
                    </w:rPr>
                    <w:t>可将污染控制在较低程度。</w:t>
                  </w:r>
                  <w:r>
                    <w:rPr>
                      <w:rFonts w:hint="eastAsia" w:ascii="宋体" w:hAnsi="宋体"/>
                    </w:rPr>
                    <w:t>项目</w:t>
                  </w:r>
                  <w:r>
                    <w:rPr>
                      <w:rFonts w:ascii="宋体" w:hAnsi="宋体"/>
                    </w:rPr>
                    <w:t>消耗电能、水能、</w:t>
                  </w:r>
                  <w:r>
                    <w:rPr>
                      <w:rFonts w:hint="eastAsia" w:ascii="宋体" w:hAnsi="宋体"/>
                    </w:rPr>
                    <w:t>沥青混凝土生产线醇醚</w:t>
                  </w:r>
                  <w:r>
                    <w:rPr>
                      <w:rFonts w:ascii="宋体" w:hAnsi="宋体"/>
                    </w:rPr>
                    <w:t>燃料产生污染物</w:t>
                  </w:r>
                  <w:r>
                    <w:rPr>
                      <w:rFonts w:hint="eastAsia" w:ascii="宋体" w:hAnsi="宋体"/>
                    </w:rPr>
                    <w:t>较少</w:t>
                  </w:r>
                  <w:r>
                    <w:rPr>
                      <w:rFonts w:ascii="宋体" w:hAnsi="宋体"/>
                    </w:rPr>
                    <w:t>，采取相应环保措施可以</w:t>
                  </w:r>
                  <w:r>
                    <w:rPr>
                      <w:rFonts w:hint="eastAsia" w:ascii="宋体" w:hAnsi="宋体"/>
                    </w:rPr>
                    <w:t>达标排放</w:t>
                  </w:r>
                  <w:r>
                    <w:rPr>
                      <w:rFonts w:ascii="宋体" w:hAnsi="宋体"/>
                    </w:rPr>
                    <w:t>。项目位于奇台县喇嘛湖梁工业园区，项目不在水源涵养区、饮用水水源保护区内和河流、湖泊、水库等周边。</w:t>
                  </w:r>
                </w:p>
              </w:tc>
              <w:tc>
                <w:tcPr>
                  <w:tcW w:w="709" w:type="pct"/>
                  <w:shd w:val="clear" w:color="auto" w:fill="auto"/>
                  <w:vAlign w:val="center"/>
                </w:tcPr>
                <w:p w14:paraId="370D69A1">
                  <w:pPr>
                    <w:pStyle w:val="69"/>
                    <w:spacing w:line="240" w:lineRule="auto"/>
                    <w:rPr>
                      <w:rFonts w:ascii="宋体" w:hAnsi="宋体"/>
                    </w:rPr>
                  </w:pPr>
                  <w:r>
                    <w:rPr>
                      <w:rFonts w:ascii="宋体" w:hAnsi="宋体"/>
                    </w:rPr>
                    <w:t>符合</w:t>
                  </w:r>
                </w:p>
              </w:tc>
            </w:tr>
            <w:tr w14:paraId="55157B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62" w:type="pct"/>
                  <w:shd w:val="clear" w:color="auto" w:fill="auto"/>
                  <w:vAlign w:val="center"/>
                </w:tcPr>
                <w:p w14:paraId="6AD35525">
                  <w:pPr>
                    <w:pStyle w:val="69"/>
                    <w:spacing w:line="240" w:lineRule="auto"/>
                    <w:rPr>
                      <w:rFonts w:ascii="宋体" w:hAnsi="宋体"/>
                    </w:rPr>
                  </w:pPr>
                  <w:r>
                    <w:rPr>
                      <w:rFonts w:ascii="宋体" w:hAnsi="宋体"/>
                    </w:rPr>
                    <w:t>污染物排放管控</w:t>
                  </w:r>
                </w:p>
              </w:tc>
              <w:tc>
                <w:tcPr>
                  <w:tcW w:w="1882" w:type="pct"/>
                  <w:shd w:val="clear" w:color="auto" w:fill="auto"/>
                  <w:vAlign w:val="center"/>
                </w:tcPr>
                <w:p w14:paraId="4876503F">
                  <w:pPr>
                    <w:pStyle w:val="69"/>
                    <w:spacing w:line="240" w:lineRule="auto"/>
                    <w:jc w:val="both"/>
                    <w:rPr>
                      <w:rFonts w:ascii="宋体" w:hAnsi="宋体"/>
                    </w:rPr>
                  </w:pPr>
                  <w:r>
                    <w:rPr>
                      <w:rFonts w:ascii="宋体" w:hAnsi="宋体"/>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2047" w:type="pct"/>
                  <w:shd w:val="clear" w:color="auto" w:fill="auto"/>
                  <w:vAlign w:val="center"/>
                </w:tcPr>
                <w:p w14:paraId="7DF158A0">
                  <w:pPr>
                    <w:pStyle w:val="69"/>
                    <w:spacing w:line="240" w:lineRule="auto"/>
                    <w:jc w:val="both"/>
                    <w:rPr>
                      <w:rFonts w:ascii="宋体" w:hAnsi="宋体"/>
                    </w:rPr>
                  </w:pPr>
                  <w:r>
                    <w:rPr>
                      <w:rFonts w:ascii="宋体" w:hAnsi="宋体"/>
                    </w:rPr>
                    <w:t>大气环境：本项目生产过程中大气污染物达标排放，排放总量少，对周围环境影响小。</w:t>
                  </w:r>
                </w:p>
                <w:p w14:paraId="2EE1E6DD">
                  <w:pPr>
                    <w:pStyle w:val="69"/>
                    <w:spacing w:line="240" w:lineRule="auto"/>
                    <w:jc w:val="both"/>
                    <w:rPr>
                      <w:rFonts w:ascii="宋体" w:hAnsi="宋体"/>
                    </w:rPr>
                  </w:pPr>
                  <w:r>
                    <w:rPr>
                      <w:rFonts w:ascii="宋体" w:hAnsi="宋体"/>
                    </w:rPr>
                    <w:t>水环境：本项目</w:t>
                  </w:r>
                  <w:r>
                    <w:rPr>
                      <w:rFonts w:hint="eastAsia" w:ascii="宋体" w:hAnsi="宋体"/>
                    </w:rPr>
                    <w:t>施工</w:t>
                  </w:r>
                  <w:r>
                    <w:rPr>
                      <w:rFonts w:ascii="宋体" w:hAnsi="宋体"/>
                    </w:rPr>
                    <w:t>废水经沉淀池沉淀后循环使用不外排，</w:t>
                  </w:r>
                  <w:r>
                    <w:rPr>
                      <w:rFonts w:hint="eastAsia" w:ascii="宋体" w:hAnsi="宋体"/>
                    </w:rPr>
                    <w:t>生活污水排入下水管网，最终进入奇台县喇嘛湖梁工业园区污水处理厂</w:t>
                  </w:r>
                  <w:r>
                    <w:rPr>
                      <w:rFonts w:ascii="宋体" w:hAnsi="宋体"/>
                    </w:rPr>
                    <w:t>。</w:t>
                  </w:r>
                </w:p>
                <w:p w14:paraId="2B628620">
                  <w:pPr>
                    <w:pStyle w:val="69"/>
                    <w:spacing w:line="240" w:lineRule="auto"/>
                    <w:jc w:val="both"/>
                    <w:rPr>
                      <w:rFonts w:ascii="宋体" w:hAnsi="宋体"/>
                    </w:rPr>
                  </w:pPr>
                  <w:r>
                    <w:rPr>
                      <w:rFonts w:ascii="宋体" w:hAnsi="宋体"/>
                    </w:rPr>
                    <w:t>声环境：项目无较大的噪声源，声环境质量良好。固废：生活垃圾集中收集后由环卫部门统一清运；本项目采取的环保措施能确保污染物对环境质量影响降到最小。</w:t>
                  </w:r>
                </w:p>
              </w:tc>
              <w:tc>
                <w:tcPr>
                  <w:tcW w:w="709" w:type="pct"/>
                  <w:shd w:val="clear" w:color="auto" w:fill="auto"/>
                  <w:vAlign w:val="center"/>
                </w:tcPr>
                <w:p w14:paraId="7DC04B4B">
                  <w:pPr>
                    <w:pStyle w:val="69"/>
                    <w:spacing w:line="240" w:lineRule="auto"/>
                    <w:rPr>
                      <w:rFonts w:ascii="宋体" w:hAnsi="宋体"/>
                    </w:rPr>
                  </w:pPr>
                  <w:r>
                    <w:rPr>
                      <w:rFonts w:ascii="宋体" w:hAnsi="宋体"/>
                    </w:rPr>
                    <w:t>符合</w:t>
                  </w:r>
                </w:p>
              </w:tc>
            </w:tr>
            <w:tr w14:paraId="0709E5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62" w:type="pct"/>
                  <w:shd w:val="clear" w:color="auto" w:fill="auto"/>
                  <w:vAlign w:val="center"/>
                </w:tcPr>
                <w:p w14:paraId="3442DA4D">
                  <w:pPr>
                    <w:pStyle w:val="69"/>
                    <w:spacing w:line="240" w:lineRule="auto"/>
                    <w:rPr>
                      <w:rFonts w:ascii="宋体" w:hAnsi="宋体"/>
                    </w:rPr>
                  </w:pPr>
                  <w:r>
                    <w:rPr>
                      <w:rFonts w:ascii="宋体" w:hAnsi="宋体"/>
                    </w:rPr>
                    <w:t>环境风险防控</w:t>
                  </w:r>
                </w:p>
              </w:tc>
              <w:tc>
                <w:tcPr>
                  <w:tcW w:w="1882" w:type="pct"/>
                  <w:shd w:val="clear" w:color="auto" w:fill="auto"/>
                  <w:vAlign w:val="center"/>
                </w:tcPr>
                <w:p w14:paraId="03BD8EB3">
                  <w:pPr>
                    <w:pStyle w:val="69"/>
                    <w:spacing w:line="240" w:lineRule="auto"/>
                    <w:jc w:val="both"/>
                    <w:rPr>
                      <w:rFonts w:ascii="宋体" w:hAnsi="宋体"/>
                    </w:rPr>
                  </w:pPr>
                  <w:r>
                    <w:rPr>
                      <w:rFonts w:ascii="宋体" w:hAnsi="宋体"/>
                    </w:rPr>
                    <w:t>禁止在化工园区外新建、扩建危险化学品生产项目。严格落实危险废物处置相关要求。加强重点流域水环境风险管控，保障水环境安全。</w:t>
                  </w:r>
                </w:p>
              </w:tc>
              <w:tc>
                <w:tcPr>
                  <w:tcW w:w="2047" w:type="pct"/>
                  <w:shd w:val="clear" w:color="auto" w:fill="auto"/>
                  <w:vAlign w:val="center"/>
                </w:tcPr>
                <w:p w14:paraId="1A180A86">
                  <w:pPr>
                    <w:pStyle w:val="69"/>
                    <w:spacing w:line="240" w:lineRule="auto"/>
                    <w:jc w:val="both"/>
                    <w:rPr>
                      <w:rFonts w:ascii="宋体" w:hAnsi="宋体"/>
                    </w:rPr>
                  </w:pPr>
                  <w:r>
                    <w:rPr>
                      <w:rFonts w:ascii="宋体" w:hAnsi="宋体"/>
                    </w:rPr>
                    <w:t>本项目不涉及危险化学品生产。项目运行过程产生的危废严格按照危险废物收集、储存及处置要求。</w:t>
                  </w:r>
                </w:p>
              </w:tc>
              <w:tc>
                <w:tcPr>
                  <w:tcW w:w="709" w:type="pct"/>
                  <w:shd w:val="clear" w:color="auto" w:fill="auto"/>
                  <w:vAlign w:val="center"/>
                </w:tcPr>
                <w:p w14:paraId="27587193">
                  <w:pPr>
                    <w:pStyle w:val="69"/>
                    <w:spacing w:line="240" w:lineRule="auto"/>
                    <w:rPr>
                      <w:rFonts w:ascii="宋体" w:hAnsi="宋体"/>
                    </w:rPr>
                  </w:pPr>
                  <w:r>
                    <w:rPr>
                      <w:rFonts w:ascii="宋体" w:hAnsi="宋体"/>
                    </w:rPr>
                    <w:t>符合</w:t>
                  </w:r>
                </w:p>
              </w:tc>
            </w:tr>
            <w:tr w14:paraId="79843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362" w:type="pct"/>
                  <w:shd w:val="clear" w:color="auto" w:fill="auto"/>
                  <w:vAlign w:val="center"/>
                </w:tcPr>
                <w:p w14:paraId="21B26175">
                  <w:pPr>
                    <w:pStyle w:val="69"/>
                    <w:spacing w:line="240" w:lineRule="auto"/>
                    <w:rPr>
                      <w:rFonts w:ascii="宋体" w:hAnsi="宋体"/>
                    </w:rPr>
                  </w:pPr>
                  <w:r>
                    <w:rPr>
                      <w:rFonts w:ascii="宋体" w:hAnsi="宋体"/>
                    </w:rPr>
                    <w:t>资源利用效率要求</w:t>
                  </w:r>
                </w:p>
              </w:tc>
              <w:tc>
                <w:tcPr>
                  <w:tcW w:w="1882" w:type="pct"/>
                  <w:shd w:val="clear" w:color="auto" w:fill="auto"/>
                  <w:vAlign w:val="center"/>
                </w:tcPr>
                <w:p w14:paraId="53519274">
                  <w:pPr>
                    <w:pStyle w:val="69"/>
                    <w:spacing w:line="240" w:lineRule="auto"/>
                    <w:jc w:val="both"/>
                    <w:rPr>
                      <w:rFonts w:ascii="宋体" w:hAnsi="宋体"/>
                    </w:rPr>
                  </w:pPr>
                  <w:r>
                    <w:rPr>
                      <w:rFonts w:ascii="宋体" w:hAnsi="宋体"/>
                    </w:rPr>
                    <w:t>优化能源结构，控制煤炭等化石能源使用量，鼓励使用清洁能源，协同推进减污降碳。全面实施节水工程，合理开发利用水资源，提升水资源利用效率，保障生态用水，严防地下水超采。</w:t>
                  </w:r>
                </w:p>
              </w:tc>
              <w:tc>
                <w:tcPr>
                  <w:tcW w:w="2047" w:type="pct"/>
                  <w:shd w:val="clear" w:color="auto" w:fill="auto"/>
                  <w:vAlign w:val="center"/>
                </w:tcPr>
                <w:p w14:paraId="7B6C5AE2">
                  <w:pPr>
                    <w:pStyle w:val="69"/>
                    <w:spacing w:line="240" w:lineRule="auto"/>
                    <w:jc w:val="both"/>
                    <w:rPr>
                      <w:rFonts w:ascii="宋体" w:hAnsi="宋体"/>
                    </w:rPr>
                  </w:pPr>
                  <w:r>
                    <w:rPr>
                      <w:rFonts w:ascii="宋体" w:hAnsi="宋体"/>
                    </w:rPr>
                    <w:t>本项目生产运营过程中会消耗电、水、醇醚燃料等清洁能源。项目生产废水经沉淀池沉淀后循环使用不外排，</w:t>
                  </w:r>
                  <w:r>
                    <w:rPr>
                      <w:rFonts w:hint="eastAsia" w:ascii="宋体" w:hAnsi="宋体"/>
                    </w:rPr>
                    <w:t>生活污水排入下水管网，最终进入奇台县喇嘛湖梁工业园区污水处理厂</w:t>
                  </w:r>
                  <w:r>
                    <w:rPr>
                      <w:rFonts w:ascii="宋体" w:hAnsi="宋体"/>
                    </w:rPr>
                    <w:t>，且不涉及地下水开采。</w:t>
                  </w:r>
                </w:p>
              </w:tc>
              <w:tc>
                <w:tcPr>
                  <w:tcW w:w="709" w:type="pct"/>
                  <w:shd w:val="clear" w:color="auto" w:fill="auto"/>
                  <w:vAlign w:val="center"/>
                </w:tcPr>
                <w:p w14:paraId="06E77BC7">
                  <w:pPr>
                    <w:pStyle w:val="69"/>
                    <w:spacing w:line="240" w:lineRule="auto"/>
                    <w:rPr>
                      <w:rFonts w:ascii="宋体" w:hAnsi="宋体"/>
                    </w:rPr>
                  </w:pPr>
                  <w:r>
                    <w:rPr>
                      <w:rFonts w:ascii="宋体" w:hAnsi="宋体"/>
                    </w:rPr>
                    <w:t>符合</w:t>
                  </w:r>
                </w:p>
              </w:tc>
            </w:tr>
            <w:tr w14:paraId="2A661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362" w:type="pct"/>
                  <w:shd w:val="clear" w:color="auto" w:fill="auto"/>
                  <w:vAlign w:val="center"/>
                </w:tcPr>
                <w:p w14:paraId="6005F9F1">
                  <w:pPr>
                    <w:pStyle w:val="69"/>
                    <w:spacing w:line="240" w:lineRule="auto"/>
                    <w:rPr>
                      <w:rFonts w:ascii="宋体" w:hAnsi="宋体"/>
                    </w:rPr>
                  </w:pPr>
                  <w:r>
                    <w:rPr>
                      <w:rFonts w:hint="eastAsia" w:ascii="宋体" w:hAnsi="宋体"/>
                    </w:rPr>
                    <w:t>各片区管控要求</w:t>
                  </w:r>
                </w:p>
              </w:tc>
              <w:tc>
                <w:tcPr>
                  <w:tcW w:w="1882" w:type="pct"/>
                  <w:shd w:val="clear" w:color="auto" w:fill="auto"/>
                  <w:vAlign w:val="center"/>
                </w:tcPr>
                <w:p w14:paraId="60528F74">
                  <w:pPr>
                    <w:pStyle w:val="69"/>
                    <w:spacing w:line="240" w:lineRule="auto"/>
                    <w:jc w:val="both"/>
                    <w:rPr>
                      <w:rFonts w:ascii="宋体" w:hAnsi="宋体"/>
                    </w:rPr>
                  </w:pPr>
                  <w:r>
                    <w:rPr>
                      <w:rFonts w:hint="eastAsia" w:ascii="宋体" w:hAnsi="宋体"/>
                    </w:rPr>
                    <w:t>乌昌石片区包括乌鲁木齐市、昌吉回族自治州和沙湾市。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进“乌-昌-石”同防同治区域大气环境治理。强化与生产建设兵团第六师、第八师、第十一师、第十二师的同防同治，所有新建、改建、扩建工业项目执行最严格的大气污染物排放标准，强化氮氧化物深度治理，确保区域环境空气质量持续改善。强化挥发性有机物污染防治措施。推广使用低挥发性有机物</w:t>
                  </w:r>
                  <w:r>
                    <w:rPr>
                      <w:rFonts w:ascii="宋体" w:hAnsi="宋体"/>
                    </w:rPr>
                    <w:t>原辅料，推动有条件的园区（工业集聚区）建设集中喷涂工程中心，配备高效治污设施，替代企业独立喷涂工序。强化企业清洁生产改造，推进节水型企业、节水型工业园区建设，提高资源集约节约利用水平。积极推进地下水超采治理，逐步压减地下水超采量，实现地下水采补平衡。强化油（气）资源开发区土壤环境污染综合整治。加强涉重金属行业污染防控与工业废物处理处置。煤炭、石油、天然气开发单位应当制定生态保护和恢复治理方案，并予以实施。生态保护和恢复治理方案内容应当向社会公布，接受社会监督。</w:t>
                  </w:r>
                </w:p>
              </w:tc>
              <w:tc>
                <w:tcPr>
                  <w:tcW w:w="2047" w:type="pct"/>
                  <w:shd w:val="clear" w:color="auto" w:fill="auto"/>
                  <w:vAlign w:val="center"/>
                </w:tcPr>
                <w:p w14:paraId="5A564D79">
                  <w:pPr>
                    <w:pStyle w:val="69"/>
                    <w:spacing w:line="240" w:lineRule="auto"/>
                    <w:jc w:val="both"/>
                  </w:pPr>
                  <w:r>
                    <w:t>本项目为S240线准东大井服务区至奇台公路改扩建项目临时厂区建设项目，</w:t>
                  </w:r>
                  <w:r>
                    <w:rPr>
                      <w:rFonts w:hint="eastAsia"/>
                    </w:rPr>
                    <w:t>碎石均采用半封闭料仓，采取防尘网覆盖的措施；砂采用全封闭料仓，并设置洒水喷淋措施</w:t>
                  </w:r>
                  <w:r>
                    <w:t>；</w:t>
                  </w:r>
                  <w:r>
                    <w:rPr>
                      <w:rFonts w:hint="eastAsia"/>
                    </w:rPr>
                    <w:t>采用全封闭式物料输送廊道；粉料筒仓储存产生废气采用自带仓顶滤芯式除尘器处理后无组织排放；搅拌废气经袋式除尘器处理后由15m高排气筒排放；沥青加热及搅拌废气经“喷淋塔+电捕焦油器+活性炭吸附装置”处理后由15m高排气筒排放；沥青混凝土生产线导热油加热醇醚燃烧废气经“低氮燃烧装置”处理后由8m高排气筒排放；沥青混凝土生产线骨料烘干废气经“低氮燃烧装置+袋式除尘器”处理后由15m高排气筒排放；钢筋焊接烟尘经移动式焊烟净化器处理后排放；</w:t>
                  </w:r>
                  <w:r>
                    <w:t>切割废气采取自然沉降，厂房阻隔措施；运输车辆出厂前必须经过冲洗，以减少扬尘的产生和逸散；食堂油烟经油烟净化器处理后由房顶排气筒排放。排放浓度及速率均符合相关标准要求。</w:t>
                  </w:r>
                </w:p>
              </w:tc>
              <w:tc>
                <w:tcPr>
                  <w:tcW w:w="709" w:type="pct"/>
                  <w:shd w:val="clear" w:color="auto" w:fill="auto"/>
                  <w:vAlign w:val="center"/>
                </w:tcPr>
                <w:p w14:paraId="3BE71038">
                  <w:pPr>
                    <w:pStyle w:val="69"/>
                    <w:spacing w:line="240" w:lineRule="auto"/>
                    <w:rPr>
                      <w:rFonts w:ascii="宋体" w:hAnsi="宋体"/>
                    </w:rPr>
                  </w:pPr>
                  <w:r>
                    <w:rPr>
                      <w:rFonts w:hint="eastAsia" w:ascii="宋体" w:hAnsi="宋体"/>
                    </w:rPr>
                    <w:t>符合</w:t>
                  </w:r>
                </w:p>
              </w:tc>
            </w:tr>
          </w:tbl>
          <w:p w14:paraId="0BC8FBFF">
            <w:pPr>
              <w:pStyle w:val="69"/>
              <w:spacing w:line="460" w:lineRule="exact"/>
              <w:ind w:firstLine="482" w:firstLineChars="200"/>
              <w:jc w:val="both"/>
              <w:rPr>
                <w:b/>
                <w:bCs/>
                <w:sz w:val="24"/>
                <w:szCs w:val="24"/>
              </w:rPr>
            </w:pPr>
            <w:r>
              <w:rPr>
                <w:b/>
                <w:bCs/>
                <w:sz w:val="24"/>
                <w:szCs w:val="24"/>
              </w:rPr>
              <w:t>7.2</w:t>
            </w:r>
            <w:r>
              <w:rPr>
                <w:rFonts w:hint="eastAsia"/>
                <w:b/>
                <w:bCs/>
                <w:sz w:val="24"/>
                <w:szCs w:val="24"/>
              </w:rPr>
              <w:t>、</w:t>
            </w:r>
            <w:r>
              <w:rPr>
                <w:b/>
                <w:bCs/>
                <w:sz w:val="24"/>
                <w:szCs w:val="24"/>
              </w:rPr>
              <w:t>与</w:t>
            </w:r>
            <w:r>
              <w:rPr>
                <w:rFonts w:hint="eastAsia"/>
                <w:b/>
                <w:bCs/>
                <w:sz w:val="24"/>
                <w:szCs w:val="24"/>
              </w:rPr>
              <w:t xml:space="preserve"> “关于印发《新疆维吾尔自治区生态环境分区管控动态更新成果》的通知”（新环环评发〔2024〕157号）符合性分析</w:t>
            </w:r>
          </w:p>
          <w:p w14:paraId="387811B2">
            <w:pPr>
              <w:pStyle w:val="51"/>
              <w:spacing w:line="480" w:lineRule="exact"/>
              <w:rPr>
                <w:color w:val="auto"/>
              </w:rPr>
            </w:pPr>
            <w:r>
              <w:rPr>
                <w:rFonts w:hint="eastAsia"/>
                <w:color w:val="auto"/>
              </w:rPr>
              <w:t>本项目与“关于印发《新疆维吾尔自治区生态环境分区管控动态更新成果》的通知”（新环环评发〔2024〕157号）符合性分析见表1-</w:t>
            </w:r>
            <w:r>
              <w:rPr>
                <w:color w:val="auto"/>
              </w:rPr>
              <w:t>4</w:t>
            </w:r>
            <w:r>
              <w:rPr>
                <w:rFonts w:hint="eastAsia"/>
                <w:color w:val="auto"/>
              </w:rPr>
              <w:t>。</w:t>
            </w:r>
          </w:p>
          <w:p w14:paraId="714BAC02">
            <w:pPr>
              <w:pStyle w:val="76"/>
              <w:ind w:firstLine="420"/>
              <w:rPr>
                <w:color w:val="auto"/>
              </w:rPr>
            </w:pPr>
            <w:r>
              <w:rPr>
                <w:color w:val="auto"/>
              </w:rPr>
              <w:t>表1-4   与</w:t>
            </w:r>
            <w:r>
              <w:rPr>
                <w:rFonts w:hint="eastAsia"/>
                <w:color w:val="auto"/>
              </w:rPr>
              <w:t>《新疆维吾尔自治区生态环境分区管控动态更新成果》的通知”（新环环评发〔2024〕157号）</w:t>
            </w:r>
            <w:r>
              <w:rPr>
                <w:color w:val="auto"/>
              </w:rPr>
              <w:t>符合性</w:t>
            </w:r>
            <w:r>
              <w:rPr>
                <w:rFonts w:hint="eastAsia"/>
                <w:color w:val="auto"/>
              </w:rPr>
              <w:t>分析</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35"/>
              <w:gridCol w:w="3829"/>
              <w:gridCol w:w="2397"/>
              <w:gridCol w:w="528"/>
            </w:tblGrid>
            <w:tr w14:paraId="47DEC7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gridSpan w:val="2"/>
                  <w:tcBorders>
                    <w:top w:val="single" w:color="auto" w:sz="12" w:space="0"/>
                    <w:left w:val="nil"/>
                    <w:bottom w:val="single" w:color="auto" w:sz="4" w:space="0"/>
                    <w:right w:val="single" w:color="auto" w:sz="4" w:space="0"/>
                  </w:tcBorders>
                  <w:shd w:val="clear" w:color="auto" w:fill="auto"/>
                  <w:vAlign w:val="center"/>
                </w:tcPr>
                <w:p w14:paraId="7F12BA77">
                  <w:pPr>
                    <w:widowControl/>
                    <w:jc w:val="center"/>
                    <w:rPr>
                      <w:kern w:val="0"/>
                      <w:sz w:val="21"/>
                      <w:szCs w:val="21"/>
                    </w:rPr>
                  </w:pPr>
                  <w:r>
                    <w:rPr>
                      <w:rFonts w:ascii="宋体" w:hAnsi="宋体"/>
                      <w:kern w:val="0"/>
                      <w:sz w:val="21"/>
                      <w:szCs w:val="21"/>
                    </w:rPr>
                    <w:t>管控维度</w:t>
                  </w:r>
                </w:p>
              </w:tc>
              <w:tc>
                <w:tcPr>
                  <w:tcW w:w="3829" w:type="dxa"/>
                  <w:tcBorders>
                    <w:top w:val="single" w:color="auto" w:sz="12" w:space="0"/>
                    <w:left w:val="single" w:color="auto" w:sz="4" w:space="0"/>
                    <w:bottom w:val="single" w:color="auto" w:sz="4" w:space="0"/>
                    <w:right w:val="single" w:color="auto" w:sz="4" w:space="0"/>
                  </w:tcBorders>
                  <w:shd w:val="clear" w:color="auto" w:fill="auto"/>
                  <w:vAlign w:val="center"/>
                </w:tcPr>
                <w:p w14:paraId="0C885D3F">
                  <w:pPr>
                    <w:widowControl/>
                    <w:jc w:val="center"/>
                    <w:rPr>
                      <w:kern w:val="0"/>
                      <w:sz w:val="21"/>
                      <w:szCs w:val="21"/>
                    </w:rPr>
                  </w:pPr>
                  <w:r>
                    <w:rPr>
                      <w:rFonts w:ascii="宋体" w:hAnsi="宋体"/>
                      <w:kern w:val="0"/>
                      <w:sz w:val="21"/>
                      <w:szCs w:val="21"/>
                    </w:rPr>
                    <w:t>管控要</w:t>
                  </w:r>
                  <w:r>
                    <w:rPr>
                      <w:rFonts w:hint="eastAsia" w:ascii="宋体" w:hAnsi="宋体"/>
                      <w:kern w:val="0"/>
                      <w:sz w:val="21"/>
                      <w:szCs w:val="21"/>
                    </w:rPr>
                    <w:t>求</w:t>
                  </w:r>
                </w:p>
              </w:tc>
              <w:tc>
                <w:tcPr>
                  <w:tcW w:w="2397" w:type="dxa"/>
                  <w:tcBorders>
                    <w:top w:val="single" w:color="auto" w:sz="12" w:space="0"/>
                    <w:left w:val="single" w:color="auto" w:sz="4" w:space="0"/>
                    <w:bottom w:val="single" w:color="auto" w:sz="4" w:space="0"/>
                    <w:right w:val="single" w:color="auto" w:sz="4" w:space="0"/>
                  </w:tcBorders>
                  <w:shd w:val="clear" w:color="auto" w:fill="auto"/>
                  <w:vAlign w:val="center"/>
                </w:tcPr>
                <w:p w14:paraId="666DF0A8">
                  <w:pPr>
                    <w:widowControl/>
                    <w:jc w:val="center"/>
                    <w:rPr>
                      <w:kern w:val="0"/>
                      <w:sz w:val="21"/>
                      <w:szCs w:val="21"/>
                    </w:rPr>
                  </w:pPr>
                  <w:r>
                    <w:rPr>
                      <w:rFonts w:ascii="宋体" w:hAnsi="宋体"/>
                      <w:kern w:val="0"/>
                      <w:sz w:val="21"/>
                      <w:szCs w:val="21"/>
                    </w:rPr>
                    <w:t>本项目情况</w:t>
                  </w:r>
                </w:p>
              </w:tc>
              <w:tc>
                <w:tcPr>
                  <w:tcW w:w="528" w:type="dxa"/>
                  <w:tcBorders>
                    <w:top w:val="single" w:color="auto" w:sz="12" w:space="0"/>
                    <w:left w:val="single" w:color="auto" w:sz="4" w:space="0"/>
                    <w:bottom w:val="single" w:color="auto" w:sz="4" w:space="0"/>
                    <w:right w:val="nil"/>
                  </w:tcBorders>
                  <w:shd w:val="clear" w:color="auto" w:fill="auto"/>
                  <w:vAlign w:val="center"/>
                </w:tcPr>
                <w:p w14:paraId="22B654C5">
                  <w:pPr>
                    <w:widowControl/>
                    <w:jc w:val="center"/>
                    <w:rPr>
                      <w:kern w:val="0"/>
                      <w:sz w:val="21"/>
                      <w:szCs w:val="21"/>
                    </w:rPr>
                  </w:pPr>
                  <w:r>
                    <w:rPr>
                      <w:rFonts w:ascii="宋体" w:hAnsi="宋体"/>
                      <w:kern w:val="0"/>
                      <w:sz w:val="21"/>
                      <w:szCs w:val="21"/>
                    </w:rPr>
                    <w:t>符合性</w:t>
                  </w:r>
                </w:p>
              </w:tc>
            </w:tr>
            <w:tr w14:paraId="11C003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restart"/>
                  <w:tcBorders>
                    <w:top w:val="single" w:color="auto" w:sz="4" w:space="0"/>
                    <w:left w:val="nil"/>
                    <w:bottom w:val="single" w:color="auto" w:sz="4" w:space="0"/>
                    <w:right w:val="single" w:color="auto" w:sz="4" w:space="0"/>
                  </w:tcBorders>
                  <w:shd w:val="clear" w:color="auto" w:fill="auto"/>
                  <w:vAlign w:val="center"/>
                </w:tcPr>
                <w:p w14:paraId="48884F57">
                  <w:pPr>
                    <w:widowControl/>
                    <w:jc w:val="center"/>
                    <w:rPr>
                      <w:kern w:val="0"/>
                      <w:sz w:val="21"/>
                      <w:szCs w:val="21"/>
                    </w:rPr>
                  </w:pPr>
                  <w:r>
                    <w:rPr>
                      <w:rFonts w:hint="eastAsia"/>
                      <w:kern w:val="0"/>
                      <w:sz w:val="21"/>
                      <w:szCs w:val="21"/>
                    </w:rPr>
                    <w:t>A1</w:t>
                  </w:r>
                  <w:r>
                    <w:rPr>
                      <w:rFonts w:hint="eastAsia" w:ascii="宋体" w:hAnsi="宋体"/>
                      <w:kern w:val="0"/>
                      <w:sz w:val="21"/>
                      <w:szCs w:val="21"/>
                    </w:rPr>
                    <w:t>空间布局约束</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886DC">
                  <w:pPr>
                    <w:widowControl/>
                    <w:jc w:val="center"/>
                    <w:rPr>
                      <w:kern w:val="0"/>
                      <w:sz w:val="21"/>
                      <w:szCs w:val="21"/>
                    </w:rPr>
                  </w:pPr>
                  <w:r>
                    <w:rPr>
                      <w:rFonts w:hint="eastAsia"/>
                      <w:kern w:val="0"/>
                      <w:sz w:val="21"/>
                      <w:szCs w:val="21"/>
                    </w:rPr>
                    <w:t>A1.1</w:t>
                  </w:r>
                  <w:r>
                    <w:rPr>
                      <w:rFonts w:hint="eastAsia" w:ascii="宋体" w:hAnsi="宋体"/>
                      <w:kern w:val="0"/>
                      <w:sz w:val="21"/>
                      <w:szCs w:val="21"/>
                    </w:rPr>
                    <w:t>禁止开发建设的活动</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F3A7FFC">
                  <w:pPr>
                    <w:widowControl/>
                    <w:jc w:val="center"/>
                    <w:rPr>
                      <w:kern w:val="0"/>
                      <w:sz w:val="21"/>
                      <w:szCs w:val="21"/>
                    </w:rPr>
                  </w:pPr>
                  <w:r>
                    <w:rPr>
                      <w:rFonts w:hint="eastAsia" w:ascii="宋体" w:hAnsi="宋体"/>
                      <w:kern w:val="0"/>
                      <w:sz w:val="21"/>
                      <w:szCs w:val="21"/>
                    </w:rPr>
                    <w:t>禁止新建、扩建《产业结构调整指导目录（</w:t>
                  </w:r>
                  <w:r>
                    <w:rPr>
                      <w:rFonts w:hint="eastAsia"/>
                      <w:kern w:val="0"/>
                      <w:sz w:val="21"/>
                      <w:szCs w:val="21"/>
                    </w:rPr>
                    <w:t>2024</w:t>
                  </w:r>
                  <w:r>
                    <w:rPr>
                      <w:rFonts w:hint="eastAsia" w:ascii="宋体" w:hAnsi="宋体"/>
                      <w:kern w:val="0"/>
                      <w:sz w:val="21"/>
                      <w:szCs w:val="21"/>
                    </w:rPr>
                    <w:t>年本）》中淘汰类项目。禁止引入《市场准入负面清单（</w:t>
                  </w:r>
                  <w:r>
                    <w:rPr>
                      <w:rFonts w:hint="eastAsia"/>
                      <w:kern w:val="0"/>
                      <w:sz w:val="21"/>
                      <w:szCs w:val="21"/>
                    </w:rPr>
                    <w:t>2022</w:t>
                  </w:r>
                  <w:r>
                    <w:rPr>
                      <w:rFonts w:hint="eastAsia" w:ascii="宋体" w:hAnsi="宋体"/>
                      <w:kern w:val="0"/>
                      <w:sz w:val="21"/>
                      <w:szCs w:val="21"/>
                    </w:rPr>
                    <w:t>年版）》禁止准入类事项</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24CCD20">
                  <w:pPr>
                    <w:widowControl/>
                    <w:jc w:val="center"/>
                    <w:rPr>
                      <w:kern w:val="0"/>
                      <w:sz w:val="21"/>
                      <w:szCs w:val="21"/>
                    </w:rPr>
                  </w:pPr>
                  <w:r>
                    <w:rPr>
                      <w:rFonts w:hint="eastAsia" w:ascii="宋体" w:hAnsi="宋体"/>
                      <w:kern w:val="0"/>
                      <w:sz w:val="21"/>
                      <w:szCs w:val="21"/>
                    </w:rPr>
                    <w:t>根据《产业结构调整指导目录（</w:t>
                  </w:r>
                  <w:r>
                    <w:rPr>
                      <w:rFonts w:hint="eastAsia"/>
                      <w:kern w:val="0"/>
                      <w:sz w:val="21"/>
                      <w:szCs w:val="21"/>
                    </w:rPr>
                    <w:t>2024</w:t>
                  </w:r>
                  <w:r>
                    <w:rPr>
                      <w:rFonts w:hint="eastAsia" w:ascii="宋体" w:hAnsi="宋体"/>
                      <w:kern w:val="0"/>
                      <w:sz w:val="21"/>
                      <w:szCs w:val="21"/>
                    </w:rPr>
                    <w:t>年本）》，本项目不属于限制和淘汰类，属于允许类；本项目不属于《市场准入负面清单（</w:t>
                  </w:r>
                  <w:r>
                    <w:rPr>
                      <w:rFonts w:hint="eastAsia"/>
                      <w:kern w:val="0"/>
                      <w:sz w:val="21"/>
                      <w:szCs w:val="21"/>
                    </w:rPr>
                    <w:t>2022</w:t>
                  </w:r>
                  <w:r>
                    <w:rPr>
                      <w:rFonts w:hint="eastAsia" w:ascii="宋体" w:hAnsi="宋体"/>
                      <w:kern w:val="0"/>
                      <w:sz w:val="21"/>
                      <w:szCs w:val="21"/>
                    </w:rPr>
                    <w:t>年版）》禁止准入类事项</w:t>
                  </w:r>
                </w:p>
              </w:tc>
              <w:tc>
                <w:tcPr>
                  <w:tcW w:w="528" w:type="dxa"/>
                  <w:tcBorders>
                    <w:top w:val="single" w:color="auto" w:sz="4" w:space="0"/>
                    <w:left w:val="single" w:color="auto" w:sz="4" w:space="0"/>
                    <w:bottom w:val="single" w:color="auto" w:sz="4" w:space="0"/>
                    <w:right w:val="nil"/>
                  </w:tcBorders>
                  <w:shd w:val="clear" w:color="auto" w:fill="auto"/>
                  <w:vAlign w:val="center"/>
                </w:tcPr>
                <w:p w14:paraId="276611A7">
                  <w:pPr>
                    <w:widowControl/>
                    <w:jc w:val="center"/>
                    <w:rPr>
                      <w:kern w:val="0"/>
                      <w:sz w:val="21"/>
                      <w:szCs w:val="21"/>
                    </w:rPr>
                  </w:pPr>
                  <w:r>
                    <w:rPr>
                      <w:rFonts w:ascii="宋体" w:hAnsi="宋体"/>
                      <w:kern w:val="0"/>
                      <w:sz w:val="21"/>
                      <w:szCs w:val="21"/>
                    </w:rPr>
                    <w:t>符合</w:t>
                  </w:r>
                </w:p>
              </w:tc>
            </w:tr>
            <w:tr w14:paraId="3FBEE4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E409802">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43940">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5E532C1">
                  <w:pPr>
                    <w:widowControl/>
                    <w:jc w:val="center"/>
                    <w:rPr>
                      <w:kern w:val="0"/>
                      <w:sz w:val="21"/>
                      <w:szCs w:val="21"/>
                    </w:rPr>
                  </w:pPr>
                  <w:r>
                    <w:rPr>
                      <w:rFonts w:hint="eastAsia" w:ascii="宋体" w:hAnsi="宋体"/>
                      <w:kern w:val="0"/>
                      <w:sz w:val="21"/>
                      <w:szCs w:val="21"/>
                    </w:rPr>
                    <w:t>禁止建设不符合国家和自治区环境保护标准的项目</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4D8DC2B">
                  <w:pPr>
                    <w:widowControl/>
                    <w:jc w:val="center"/>
                    <w:rPr>
                      <w:kern w:val="0"/>
                      <w:sz w:val="21"/>
                      <w:szCs w:val="21"/>
                    </w:rPr>
                  </w:pPr>
                  <w:r>
                    <w:rPr>
                      <w:rFonts w:hint="eastAsia" w:ascii="宋体" w:hAnsi="宋体"/>
                      <w:kern w:val="0"/>
                      <w:sz w:val="21"/>
                      <w:szCs w:val="21"/>
                    </w:rPr>
                    <w:t>本项目不属于不符合国家和自治区环境保护标准的项目</w:t>
                  </w:r>
                </w:p>
              </w:tc>
              <w:tc>
                <w:tcPr>
                  <w:tcW w:w="528" w:type="dxa"/>
                  <w:tcBorders>
                    <w:top w:val="single" w:color="auto" w:sz="4" w:space="0"/>
                    <w:left w:val="single" w:color="auto" w:sz="4" w:space="0"/>
                    <w:bottom w:val="single" w:color="auto" w:sz="4" w:space="0"/>
                    <w:right w:val="nil"/>
                  </w:tcBorders>
                  <w:shd w:val="clear" w:color="auto" w:fill="auto"/>
                  <w:vAlign w:val="center"/>
                </w:tcPr>
                <w:p w14:paraId="6E835774">
                  <w:pPr>
                    <w:widowControl/>
                    <w:jc w:val="center"/>
                    <w:rPr>
                      <w:kern w:val="0"/>
                      <w:sz w:val="21"/>
                      <w:szCs w:val="21"/>
                    </w:rPr>
                  </w:pPr>
                  <w:r>
                    <w:rPr>
                      <w:rFonts w:hint="eastAsia" w:ascii="宋体" w:hAnsi="宋体"/>
                      <w:kern w:val="0"/>
                      <w:sz w:val="21"/>
                      <w:szCs w:val="21"/>
                    </w:rPr>
                    <w:t>符合</w:t>
                  </w:r>
                </w:p>
              </w:tc>
            </w:tr>
            <w:tr w14:paraId="055CD5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949D5EA">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0275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B12B47C">
                  <w:pPr>
                    <w:widowControl/>
                    <w:jc w:val="center"/>
                    <w:rPr>
                      <w:kern w:val="0"/>
                      <w:sz w:val="21"/>
                      <w:szCs w:val="21"/>
                    </w:rPr>
                  </w:pPr>
                  <w:r>
                    <w:rPr>
                      <w:rFonts w:hint="eastAsia" w:ascii="宋体" w:hAnsi="宋体"/>
                      <w:kern w:val="0"/>
                      <w:sz w:val="21"/>
                      <w:szCs w:val="21"/>
                    </w:rPr>
                    <w:t>禁止在饮用水水源保护区、风景名胜区、自然保护区的核心区和缓冲区、城镇居民区、文化教育科学研究区等人口集中区域以及法律、法规规定的其他禁止养殖区域建设畜禽养殖场、养殖小区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7A2DE7F">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3E3EAC17">
                  <w:pPr>
                    <w:widowControl/>
                    <w:jc w:val="center"/>
                    <w:rPr>
                      <w:kern w:val="0"/>
                      <w:sz w:val="21"/>
                      <w:szCs w:val="21"/>
                    </w:rPr>
                  </w:pPr>
                  <w:r>
                    <w:rPr>
                      <w:rFonts w:hint="eastAsia" w:ascii="宋体" w:hAnsi="宋体"/>
                      <w:kern w:val="0"/>
                      <w:sz w:val="21"/>
                      <w:szCs w:val="21"/>
                    </w:rPr>
                    <w:t>符合</w:t>
                  </w:r>
                </w:p>
              </w:tc>
            </w:tr>
            <w:tr w14:paraId="169FD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56D2155">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49F1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478B7DD">
                  <w:pPr>
                    <w:widowControl/>
                    <w:jc w:val="center"/>
                    <w:rPr>
                      <w:kern w:val="0"/>
                      <w:sz w:val="21"/>
                      <w:szCs w:val="21"/>
                    </w:rPr>
                  </w:pPr>
                  <w:r>
                    <w:rPr>
                      <w:rFonts w:hint="eastAsia" w:ascii="宋体" w:hAnsi="宋体"/>
                      <w:kern w:val="0"/>
                      <w:sz w:val="21"/>
                      <w:szCs w:val="21"/>
                    </w:rPr>
                    <w:t>禁止在水源涵养区、地下水源、饮用水源、自然保护区、风景名胜区、森林公园、重要湿地及人群密集区等生态敏感区域内进行煤炭、石油、天然气开发</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6323FBA">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70C37D03">
                  <w:pPr>
                    <w:widowControl/>
                    <w:jc w:val="center"/>
                    <w:rPr>
                      <w:kern w:val="0"/>
                      <w:sz w:val="21"/>
                      <w:szCs w:val="21"/>
                    </w:rPr>
                  </w:pPr>
                  <w:r>
                    <w:rPr>
                      <w:rFonts w:hint="eastAsia" w:ascii="宋体" w:hAnsi="宋体"/>
                      <w:kern w:val="0"/>
                      <w:sz w:val="21"/>
                      <w:szCs w:val="21"/>
                    </w:rPr>
                    <w:t>符合</w:t>
                  </w:r>
                </w:p>
              </w:tc>
            </w:tr>
            <w:tr w14:paraId="5B92CC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BFB9035">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7EC90">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29B29B4">
                  <w:pPr>
                    <w:widowControl/>
                    <w:rPr>
                      <w:kern w:val="0"/>
                      <w:sz w:val="21"/>
                      <w:szCs w:val="21"/>
                    </w:rPr>
                  </w:pPr>
                  <w:r>
                    <w:rPr>
                      <w:rFonts w:hint="eastAsia" w:ascii="宋体" w:hAnsi="宋体"/>
                      <w:kern w:val="0"/>
                      <w:sz w:val="21"/>
                      <w:szCs w:val="21"/>
                    </w:rPr>
                    <w:t>禁止下列破坏湿地及其生态功能的行为：</w:t>
                  </w:r>
                </w:p>
                <w:p w14:paraId="659BAC9D">
                  <w:pPr>
                    <w:widowControl/>
                    <w:numPr>
                      <w:ilvl w:val="0"/>
                      <w:numId w:val="2"/>
                    </w:numPr>
                    <w:rPr>
                      <w:kern w:val="0"/>
                      <w:sz w:val="21"/>
                      <w:szCs w:val="21"/>
                    </w:rPr>
                  </w:pPr>
                  <w:r>
                    <w:rPr>
                      <w:rFonts w:hint="eastAsia" w:ascii="宋体" w:hAnsi="宋体"/>
                      <w:kern w:val="0"/>
                      <w:sz w:val="21"/>
                      <w:szCs w:val="21"/>
                    </w:rPr>
                    <w:t>开（围）垦、排干自然湿地，永久性截断自然湿地水源；</w:t>
                  </w:r>
                </w:p>
                <w:p w14:paraId="2039F527">
                  <w:pPr>
                    <w:widowControl/>
                    <w:numPr>
                      <w:ilvl w:val="0"/>
                      <w:numId w:val="2"/>
                    </w:numPr>
                    <w:rPr>
                      <w:kern w:val="0"/>
                      <w:sz w:val="21"/>
                      <w:szCs w:val="21"/>
                    </w:rPr>
                  </w:pPr>
                  <w:r>
                    <w:rPr>
                      <w:rFonts w:hint="eastAsia" w:ascii="宋体" w:hAnsi="宋体"/>
                      <w:kern w:val="0"/>
                      <w:sz w:val="21"/>
                      <w:szCs w:val="21"/>
                    </w:rPr>
                    <w:t>擅自填埋自然湿地，擅自采砂、采矿、取土；</w:t>
                  </w:r>
                </w:p>
                <w:p w14:paraId="6A7EA525">
                  <w:pPr>
                    <w:widowControl/>
                    <w:numPr>
                      <w:ilvl w:val="0"/>
                      <w:numId w:val="2"/>
                    </w:numPr>
                    <w:rPr>
                      <w:kern w:val="0"/>
                      <w:sz w:val="21"/>
                      <w:szCs w:val="21"/>
                    </w:rPr>
                  </w:pPr>
                  <w:r>
                    <w:rPr>
                      <w:rFonts w:hint="eastAsia" w:ascii="宋体" w:hAnsi="宋体"/>
                      <w:kern w:val="0"/>
                      <w:sz w:val="21"/>
                      <w:szCs w:val="21"/>
                    </w:rPr>
                    <w:t>排放不符合水污染物排放标准的工业废水、生活污水及其他污染湿地的废水、污水，倾倒、堆放丢弃、遗撒固体废物；</w:t>
                  </w:r>
                </w:p>
                <w:p w14:paraId="17925D54">
                  <w:pPr>
                    <w:widowControl/>
                    <w:numPr>
                      <w:ilvl w:val="0"/>
                      <w:numId w:val="2"/>
                    </w:numPr>
                    <w:rPr>
                      <w:kern w:val="0"/>
                      <w:sz w:val="21"/>
                      <w:szCs w:val="21"/>
                    </w:rPr>
                  </w:pPr>
                  <w:r>
                    <w:rPr>
                      <w:rFonts w:hint="eastAsia" w:ascii="宋体" w:hAnsi="宋体"/>
                      <w:kern w:val="0"/>
                      <w:sz w:val="21"/>
                      <w:szCs w:val="21"/>
                    </w:rPr>
                    <w:t>过度放牧或者滥采野生植物，过度捕捞或者灭绝式捕捞，过度施肥、投药、投放饵料等污染湿地的种植养殖行为；</w:t>
                  </w:r>
                </w:p>
                <w:p w14:paraId="65130DAB">
                  <w:pPr>
                    <w:widowControl/>
                    <w:numPr>
                      <w:ilvl w:val="0"/>
                      <w:numId w:val="2"/>
                    </w:numPr>
                    <w:rPr>
                      <w:kern w:val="0"/>
                      <w:sz w:val="21"/>
                      <w:szCs w:val="21"/>
                    </w:rPr>
                  </w:pPr>
                  <w:r>
                    <w:rPr>
                      <w:rFonts w:hint="eastAsia" w:ascii="宋体" w:hAnsi="宋体"/>
                      <w:kern w:val="0"/>
                      <w:sz w:val="21"/>
                      <w:szCs w:val="21"/>
                    </w:rPr>
                    <w:t>其他破坏湿地及其生态功能的行为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7005521">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52CE9E11">
                  <w:pPr>
                    <w:widowControl/>
                    <w:jc w:val="center"/>
                    <w:rPr>
                      <w:kern w:val="0"/>
                      <w:sz w:val="21"/>
                      <w:szCs w:val="21"/>
                    </w:rPr>
                  </w:pPr>
                  <w:r>
                    <w:rPr>
                      <w:rFonts w:hint="eastAsia" w:ascii="宋体" w:hAnsi="宋体"/>
                      <w:kern w:val="0"/>
                      <w:sz w:val="21"/>
                      <w:szCs w:val="21"/>
                    </w:rPr>
                    <w:t>符合</w:t>
                  </w:r>
                </w:p>
              </w:tc>
            </w:tr>
            <w:tr w14:paraId="0729B4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9AF46DE">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E83CC">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D52F816">
                  <w:pPr>
                    <w:widowControl/>
                    <w:jc w:val="center"/>
                    <w:rPr>
                      <w:kern w:val="0"/>
                      <w:sz w:val="21"/>
                      <w:szCs w:val="21"/>
                    </w:rPr>
                  </w:pPr>
                  <w:r>
                    <w:rPr>
                      <w:rFonts w:hint="eastAsia" w:ascii="宋体" w:hAnsi="宋体"/>
                      <w:kern w:val="0"/>
                      <w:sz w:val="21"/>
                      <w:szCs w:val="21"/>
                    </w:rPr>
                    <w:t>禁止在自治区行政区域内引进能（水）耗不符合相关国家标准中准入值要求且污染物排放和环境风险防控不符合国家（地方）标准及有关产业准入条件的高污染（排放）、高能（水）耗、高环境风险的工业项目</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30428B3">
                  <w:pPr>
                    <w:widowControl/>
                    <w:jc w:val="center"/>
                    <w:rPr>
                      <w:kern w:val="0"/>
                      <w:sz w:val="21"/>
                      <w:szCs w:val="21"/>
                    </w:rPr>
                  </w:pPr>
                  <w:r>
                    <w:rPr>
                      <w:rFonts w:hint="eastAsia" w:ascii="宋体" w:hAnsi="宋体"/>
                      <w:kern w:val="0"/>
                      <w:sz w:val="21"/>
                      <w:szCs w:val="21"/>
                    </w:rPr>
                    <w:t>本项目不属于高能（水）耗，项目污染物排放能满足相关污染物排放标准</w:t>
                  </w:r>
                </w:p>
              </w:tc>
              <w:tc>
                <w:tcPr>
                  <w:tcW w:w="528" w:type="dxa"/>
                  <w:tcBorders>
                    <w:top w:val="single" w:color="auto" w:sz="4" w:space="0"/>
                    <w:left w:val="single" w:color="auto" w:sz="4" w:space="0"/>
                    <w:bottom w:val="single" w:color="auto" w:sz="4" w:space="0"/>
                    <w:right w:val="nil"/>
                  </w:tcBorders>
                  <w:shd w:val="clear" w:color="auto" w:fill="auto"/>
                  <w:vAlign w:val="center"/>
                </w:tcPr>
                <w:p w14:paraId="319A4A86">
                  <w:pPr>
                    <w:widowControl/>
                    <w:jc w:val="center"/>
                    <w:rPr>
                      <w:kern w:val="0"/>
                      <w:sz w:val="21"/>
                      <w:szCs w:val="21"/>
                    </w:rPr>
                  </w:pPr>
                  <w:r>
                    <w:rPr>
                      <w:rFonts w:hint="eastAsia" w:ascii="宋体" w:hAnsi="宋体"/>
                      <w:kern w:val="0"/>
                      <w:sz w:val="21"/>
                      <w:szCs w:val="21"/>
                    </w:rPr>
                    <w:t>符合</w:t>
                  </w:r>
                </w:p>
              </w:tc>
            </w:tr>
            <w:tr w14:paraId="3B9947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660F7F94">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E3E8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0D1EB95">
                  <w:pPr>
                    <w:widowControl/>
                    <w:jc w:val="center"/>
                    <w:rPr>
                      <w:kern w:val="0"/>
                      <w:sz w:val="21"/>
                      <w:szCs w:val="21"/>
                    </w:rPr>
                  </w:pPr>
                  <w:r>
                    <w:rPr>
                      <w:rFonts w:hint="eastAsia" w:ascii="宋体" w:hAnsi="宋体"/>
                      <w:kern w:val="0"/>
                      <w:sz w:val="21"/>
                      <w:szCs w:val="21"/>
                    </w:rPr>
                    <w:t>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047767E">
                  <w:pPr>
                    <w:widowControl/>
                    <w:jc w:val="center"/>
                    <w:rPr>
                      <w:kern w:val="0"/>
                      <w:sz w:val="21"/>
                      <w:szCs w:val="21"/>
                    </w:rPr>
                  </w:pPr>
                  <w:r>
                    <w:rPr>
                      <w:rFonts w:hint="eastAsia" w:ascii="宋体" w:hAnsi="宋体"/>
                      <w:kern w:val="0"/>
                      <w:sz w:val="21"/>
                      <w:szCs w:val="21"/>
                    </w:rPr>
                    <w:t>本项目不属于高耗能高排放低水平项目。本项目不属于重点行业。</w:t>
                  </w:r>
                </w:p>
              </w:tc>
              <w:tc>
                <w:tcPr>
                  <w:tcW w:w="528" w:type="dxa"/>
                  <w:tcBorders>
                    <w:top w:val="single" w:color="auto" w:sz="4" w:space="0"/>
                    <w:left w:val="single" w:color="auto" w:sz="4" w:space="0"/>
                    <w:bottom w:val="single" w:color="auto" w:sz="4" w:space="0"/>
                    <w:right w:val="nil"/>
                  </w:tcBorders>
                  <w:shd w:val="clear" w:color="auto" w:fill="auto"/>
                  <w:vAlign w:val="center"/>
                </w:tcPr>
                <w:p w14:paraId="20997E91">
                  <w:pPr>
                    <w:widowControl/>
                    <w:jc w:val="center"/>
                    <w:rPr>
                      <w:kern w:val="0"/>
                      <w:sz w:val="21"/>
                      <w:szCs w:val="21"/>
                    </w:rPr>
                  </w:pPr>
                  <w:r>
                    <w:rPr>
                      <w:rFonts w:hint="eastAsia" w:ascii="宋体" w:hAnsi="宋体"/>
                      <w:kern w:val="0"/>
                      <w:sz w:val="21"/>
                      <w:szCs w:val="21"/>
                    </w:rPr>
                    <w:t>符合</w:t>
                  </w:r>
                </w:p>
              </w:tc>
            </w:tr>
            <w:tr w14:paraId="0F6829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267FBC4">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248A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619D5DC">
                  <w:pPr>
                    <w:widowControl/>
                    <w:jc w:val="center"/>
                    <w:rPr>
                      <w:kern w:val="0"/>
                      <w:sz w:val="21"/>
                      <w:szCs w:val="21"/>
                    </w:rPr>
                  </w:pPr>
                  <w:r>
                    <w:rPr>
                      <w:rFonts w:hint="eastAsia" w:ascii="宋体" w:hAnsi="宋体"/>
                      <w:kern w:val="0"/>
                      <w:sz w:val="21"/>
                      <w:szCs w:val="21"/>
                    </w:rPr>
                    <w:t>严格执行危险化学品“禁限控”目录，新建危险化学品生产项目必须进入一般或较低安全风险的化工园区（与其他行业生产装置配套建设的项目除外），引导其他石化化工项目在化工园区发展</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482E2353">
                  <w:pPr>
                    <w:widowControl/>
                    <w:jc w:val="center"/>
                    <w:rPr>
                      <w:kern w:val="0"/>
                      <w:sz w:val="21"/>
                      <w:szCs w:val="21"/>
                    </w:rPr>
                  </w:pPr>
                  <w:r>
                    <w:rPr>
                      <w:rFonts w:hint="eastAsia" w:ascii="宋体" w:hAnsi="宋体"/>
                      <w:kern w:val="0"/>
                      <w:sz w:val="21"/>
                      <w:szCs w:val="21"/>
                    </w:rPr>
                    <w:t>本项目不涉及危险化学品，不属于化工项目</w:t>
                  </w:r>
                </w:p>
              </w:tc>
              <w:tc>
                <w:tcPr>
                  <w:tcW w:w="528" w:type="dxa"/>
                  <w:tcBorders>
                    <w:top w:val="single" w:color="auto" w:sz="4" w:space="0"/>
                    <w:left w:val="single" w:color="auto" w:sz="4" w:space="0"/>
                    <w:bottom w:val="single" w:color="auto" w:sz="4" w:space="0"/>
                    <w:right w:val="nil"/>
                  </w:tcBorders>
                  <w:shd w:val="clear" w:color="auto" w:fill="auto"/>
                  <w:vAlign w:val="center"/>
                </w:tcPr>
                <w:p w14:paraId="2D0E0F27">
                  <w:pPr>
                    <w:widowControl/>
                    <w:jc w:val="center"/>
                    <w:rPr>
                      <w:kern w:val="0"/>
                      <w:sz w:val="21"/>
                      <w:szCs w:val="21"/>
                    </w:rPr>
                  </w:pPr>
                  <w:r>
                    <w:rPr>
                      <w:rFonts w:hint="eastAsia" w:ascii="宋体" w:hAnsi="宋体"/>
                      <w:kern w:val="0"/>
                      <w:sz w:val="21"/>
                      <w:szCs w:val="21"/>
                    </w:rPr>
                    <w:t>符合</w:t>
                  </w:r>
                </w:p>
              </w:tc>
            </w:tr>
            <w:tr w14:paraId="75F74E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A0D07A4">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AE6E2">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EA850CE">
                  <w:pPr>
                    <w:widowControl/>
                    <w:jc w:val="center"/>
                    <w:rPr>
                      <w:kern w:val="0"/>
                      <w:sz w:val="21"/>
                      <w:szCs w:val="21"/>
                    </w:rPr>
                  </w:pPr>
                  <w:r>
                    <w:rPr>
                      <w:rFonts w:hint="eastAsia" w:ascii="宋体" w:hAnsi="宋体"/>
                      <w:kern w:val="0"/>
                      <w:sz w:val="21"/>
                      <w:szCs w:val="21"/>
                    </w:rPr>
                    <w:t>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w:t>
                  </w:r>
                  <w:r>
                    <w:rPr>
                      <w:rFonts w:hint="eastAsia"/>
                      <w:kern w:val="0"/>
                      <w:sz w:val="21"/>
                      <w:szCs w:val="21"/>
                    </w:rPr>
                    <w:t>1</w:t>
                  </w:r>
                  <w:r>
                    <w:rPr>
                      <w:rFonts w:hint="eastAsia" w:ascii="宋体" w:hAnsi="宋体"/>
                      <w:kern w:val="0"/>
                      <w:sz w:val="21"/>
                      <w:szCs w:val="21"/>
                    </w:rPr>
                    <w:t>公里范围内，除提升安全、环保、节能、智能化、产品质量水平的技术改造项目外，严格禁止新建、扩建化工项目，不得布局新的化工园区（含化工集中区）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A30CD78">
                  <w:pPr>
                    <w:widowControl/>
                    <w:jc w:val="center"/>
                    <w:rPr>
                      <w:kern w:val="0"/>
                      <w:sz w:val="21"/>
                      <w:szCs w:val="21"/>
                    </w:rPr>
                  </w:pPr>
                  <w:r>
                    <w:rPr>
                      <w:rFonts w:hint="eastAsia" w:ascii="宋体" w:hAnsi="宋体"/>
                      <w:kern w:val="0"/>
                      <w:sz w:val="21"/>
                      <w:szCs w:val="21"/>
                    </w:rPr>
                    <w:t>本项目不属于危险化学品化工项目</w:t>
                  </w:r>
                </w:p>
              </w:tc>
              <w:tc>
                <w:tcPr>
                  <w:tcW w:w="528" w:type="dxa"/>
                  <w:tcBorders>
                    <w:top w:val="single" w:color="auto" w:sz="4" w:space="0"/>
                    <w:left w:val="single" w:color="auto" w:sz="4" w:space="0"/>
                    <w:bottom w:val="single" w:color="auto" w:sz="4" w:space="0"/>
                    <w:right w:val="nil"/>
                  </w:tcBorders>
                  <w:shd w:val="clear" w:color="auto" w:fill="auto"/>
                  <w:vAlign w:val="center"/>
                </w:tcPr>
                <w:p w14:paraId="3D475E3E">
                  <w:pPr>
                    <w:widowControl/>
                    <w:jc w:val="center"/>
                    <w:rPr>
                      <w:kern w:val="0"/>
                      <w:sz w:val="21"/>
                      <w:szCs w:val="21"/>
                    </w:rPr>
                  </w:pPr>
                  <w:r>
                    <w:rPr>
                      <w:rFonts w:hint="eastAsia" w:ascii="宋体" w:hAnsi="宋体"/>
                      <w:kern w:val="0"/>
                      <w:sz w:val="21"/>
                      <w:szCs w:val="21"/>
                    </w:rPr>
                    <w:t>符合</w:t>
                  </w:r>
                </w:p>
              </w:tc>
            </w:tr>
            <w:tr w14:paraId="41D49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B991BB3">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86A7C">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2A9E353">
                  <w:pPr>
                    <w:widowControl/>
                    <w:jc w:val="center"/>
                    <w:rPr>
                      <w:kern w:val="0"/>
                      <w:sz w:val="21"/>
                      <w:szCs w:val="21"/>
                    </w:rPr>
                  </w:pPr>
                  <w:r>
                    <w:rPr>
                      <w:rFonts w:hint="eastAsia" w:ascii="宋体" w:hAnsi="宋体"/>
                      <w:kern w:val="0"/>
                      <w:sz w:val="21"/>
                      <w:szCs w:val="21"/>
                    </w:rPr>
                    <w:t>推动涉重金属产业集中优化发展，禁止新建用录的电石法（聚）氯乙烯生产工艺，新建、扩建的重有色金属冶炼、</w:t>
                  </w:r>
                  <w:r>
                    <w:rPr>
                      <w:rFonts w:hint="eastAsia"/>
                      <w:kern w:val="0"/>
                      <w:sz w:val="21"/>
                      <w:szCs w:val="21"/>
                    </w:rPr>
                    <w:t xml:space="preserve"> </w:t>
                  </w:r>
                  <w:r>
                    <w:rPr>
                      <w:rFonts w:hint="eastAsia" w:ascii="宋体" w:hAnsi="宋体"/>
                      <w:kern w:val="0"/>
                      <w:sz w:val="21"/>
                      <w:szCs w:val="21"/>
                    </w:rPr>
                    <w:t>电镀、制革企业优先选择布设在依法合规设立并依法开展规划环境影响评价的产业园区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A82BD8C">
                  <w:pPr>
                    <w:widowControl/>
                    <w:jc w:val="center"/>
                    <w:rPr>
                      <w:kern w:val="0"/>
                      <w:sz w:val="21"/>
                      <w:szCs w:val="21"/>
                    </w:rPr>
                  </w:pPr>
                  <w:r>
                    <w:rPr>
                      <w:rFonts w:hint="eastAsia" w:ascii="宋体" w:hAnsi="宋体"/>
                      <w:kern w:val="0"/>
                      <w:sz w:val="21"/>
                      <w:szCs w:val="21"/>
                    </w:rPr>
                    <w:t>本项目不涉及重金属</w:t>
                  </w:r>
                </w:p>
              </w:tc>
              <w:tc>
                <w:tcPr>
                  <w:tcW w:w="528" w:type="dxa"/>
                  <w:tcBorders>
                    <w:top w:val="single" w:color="auto" w:sz="4" w:space="0"/>
                    <w:left w:val="single" w:color="auto" w:sz="4" w:space="0"/>
                    <w:bottom w:val="single" w:color="auto" w:sz="4" w:space="0"/>
                    <w:right w:val="nil"/>
                  </w:tcBorders>
                  <w:shd w:val="clear" w:color="auto" w:fill="auto"/>
                  <w:vAlign w:val="center"/>
                </w:tcPr>
                <w:p w14:paraId="54AE67E5">
                  <w:pPr>
                    <w:widowControl/>
                    <w:jc w:val="center"/>
                    <w:rPr>
                      <w:kern w:val="0"/>
                      <w:sz w:val="21"/>
                      <w:szCs w:val="21"/>
                    </w:rPr>
                  </w:pPr>
                  <w:r>
                    <w:rPr>
                      <w:rFonts w:hint="eastAsia" w:ascii="宋体" w:hAnsi="宋体"/>
                      <w:kern w:val="0"/>
                      <w:sz w:val="21"/>
                      <w:szCs w:val="21"/>
                    </w:rPr>
                    <w:t>符合</w:t>
                  </w:r>
                </w:p>
              </w:tc>
            </w:tr>
            <w:tr w14:paraId="56B92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325073D">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35D1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6672275">
                  <w:pPr>
                    <w:widowControl/>
                    <w:jc w:val="center"/>
                    <w:rPr>
                      <w:kern w:val="0"/>
                      <w:sz w:val="21"/>
                      <w:szCs w:val="21"/>
                    </w:rPr>
                  </w:pPr>
                  <w:r>
                    <w:rPr>
                      <w:rFonts w:hint="eastAsia" w:ascii="宋体" w:hAnsi="宋体"/>
                      <w:kern w:val="0"/>
                      <w:sz w:val="21"/>
                      <w:szCs w:val="21"/>
                    </w:rPr>
                    <w:t>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DA1B9F1">
                  <w:pPr>
                    <w:widowControl/>
                    <w:jc w:val="center"/>
                    <w:rPr>
                      <w:kern w:val="0"/>
                      <w:sz w:val="21"/>
                      <w:szCs w:val="21"/>
                    </w:rPr>
                  </w:pPr>
                  <w:r>
                    <w:rPr>
                      <w:rFonts w:hint="eastAsia" w:ascii="宋体" w:hAnsi="宋体"/>
                      <w:kern w:val="0"/>
                      <w:sz w:val="21"/>
                      <w:szCs w:val="21"/>
                    </w:rPr>
                    <w:t>本项目位于奇台县喇嘛湖梁工业园区，不涉及高原雪山冰川冻土等</w:t>
                  </w:r>
                </w:p>
              </w:tc>
              <w:tc>
                <w:tcPr>
                  <w:tcW w:w="528" w:type="dxa"/>
                  <w:tcBorders>
                    <w:top w:val="single" w:color="auto" w:sz="4" w:space="0"/>
                    <w:left w:val="single" w:color="auto" w:sz="4" w:space="0"/>
                    <w:bottom w:val="single" w:color="auto" w:sz="4" w:space="0"/>
                    <w:right w:val="nil"/>
                  </w:tcBorders>
                  <w:shd w:val="clear" w:color="auto" w:fill="auto"/>
                  <w:vAlign w:val="center"/>
                </w:tcPr>
                <w:p w14:paraId="406751C8">
                  <w:pPr>
                    <w:widowControl/>
                    <w:jc w:val="center"/>
                    <w:rPr>
                      <w:kern w:val="0"/>
                      <w:sz w:val="21"/>
                      <w:szCs w:val="21"/>
                    </w:rPr>
                  </w:pPr>
                  <w:r>
                    <w:rPr>
                      <w:rFonts w:ascii="宋体" w:hAnsi="宋体"/>
                      <w:kern w:val="0"/>
                      <w:sz w:val="21"/>
                      <w:szCs w:val="21"/>
                    </w:rPr>
                    <w:t>符合</w:t>
                  </w:r>
                </w:p>
              </w:tc>
            </w:tr>
            <w:tr w14:paraId="74D13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87E6293">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86284">
                  <w:pPr>
                    <w:widowControl/>
                    <w:jc w:val="center"/>
                    <w:rPr>
                      <w:kern w:val="0"/>
                      <w:sz w:val="21"/>
                      <w:szCs w:val="21"/>
                    </w:rPr>
                  </w:pPr>
                  <w:r>
                    <w:rPr>
                      <w:rFonts w:hint="eastAsia"/>
                      <w:kern w:val="0"/>
                      <w:sz w:val="21"/>
                      <w:szCs w:val="21"/>
                    </w:rPr>
                    <w:t>A1.2</w:t>
                  </w:r>
                  <w:r>
                    <w:rPr>
                      <w:rFonts w:hint="eastAsia" w:ascii="宋体" w:hAnsi="宋体"/>
                      <w:kern w:val="0"/>
                      <w:sz w:val="21"/>
                      <w:szCs w:val="21"/>
                    </w:rPr>
                    <w:t>限制开发建设的活动</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80835DF">
                  <w:pPr>
                    <w:widowControl/>
                    <w:jc w:val="center"/>
                    <w:rPr>
                      <w:kern w:val="0"/>
                      <w:sz w:val="21"/>
                      <w:szCs w:val="21"/>
                    </w:rPr>
                  </w:pPr>
                  <w:r>
                    <w:rPr>
                      <w:rFonts w:hint="eastAsia" w:ascii="宋体" w:hAnsi="宋体"/>
                      <w:kern w:val="0"/>
                      <w:sz w:val="21"/>
                      <w:szCs w:val="21"/>
                    </w:rPr>
                    <w:t>严格控制缺水地区、水污染严重区域和敏感区域高耗水、高污染行业发展</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E0796A2">
                  <w:pPr>
                    <w:widowControl/>
                    <w:jc w:val="center"/>
                    <w:rPr>
                      <w:kern w:val="0"/>
                      <w:sz w:val="21"/>
                      <w:szCs w:val="21"/>
                    </w:rPr>
                  </w:pPr>
                  <w:r>
                    <w:rPr>
                      <w:rFonts w:hint="eastAsia" w:ascii="宋体" w:hAnsi="宋体"/>
                      <w:kern w:val="0"/>
                      <w:sz w:val="21"/>
                      <w:szCs w:val="21"/>
                    </w:rPr>
                    <w:t>本项目生产废水经处理后循环利用不外排，不属于高耗水、高污染行业</w:t>
                  </w:r>
                </w:p>
              </w:tc>
              <w:tc>
                <w:tcPr>
                  <w:tcW w:w="528" w:type="dxa"/>
                  <w:tcBorders>
                    <w:top w:val="single" w:color="auto" w:sz="4" w:space="0"/>
                    <w:left w:val="single" w:color="auto" w:sz="4" w:space="0"/>
                    <w:bottom w:val="single" w:color="auto" w:sz="4" w:space="0"/>
                    <w:right w:val="nil"/>
                  </w:tcBorders>
                  <w:shd w:val="clear" w:color="auto" w:fill="auto"/>
                  <w:vAlign w:val="center"/>
                </w:tcPr>
                <w:p w14:paraId="042AB0E7">
                  <w:pPr>
                    <w:widowControl/>
                    <w:jc w:val="center"/>
                    <w:rPr>
                      <w:kern w:val="0"/>
                      <w:sz w:val="21"/>
                      <w:szCs w:val="21"/>
                    </w:rPr>
                  </w:pPr>
                  <w:r>
                    <w:rPr>
                      <w:rFonts w:hint="eastAsia" w:ascii="宋体" w:hAnsi="宋体"/>
                      <w:kern w:val="0"/>
                      <w:sz w:val="21"/>
                      <w:szCs w:val="21"/>
                    </w:rPr>
                    <w:t>符合</w:t>
                  </w:r>
                </w:p>
              </w:tc>
            </w:tr>
            <w:tr w14:paraId="4D3424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A5F1606">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C9243">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4E3E304">
                  <w:pPr>
                    <w:widowControl/>
                    <w:jc w:val="center"/>
                    <w:rPr>
                      <w:bCs/>
                      <w:kern w:val="0"/>
                      <w:sz w:val="21"/>
                      <w:szCs w:val="21"/>
                    </w:rPr>
                  </w:pPr>
                  <w:r>
                    <w:rPr>
                      <w:rFonts w:hint="eastAsia" w:ascii="宋体" w:hAnsi="宋体"/>
                      <w:bCs/>
                      <w:kern w:val="0"/>
                      <w:sz w:val="21"/>
                      <w:szCs w:val="21"/>
                    </w:rPr>
                    <w:t>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588DFA6">
                  <w:pPr>
                    <w:widowControl/>
                    <w:jc w:val="center"/>
                    <w:rPr>
                      <w:kern w:val="0"/>
                      <w:sz w:val="21"/>
                      <w:szCs w:val="21"/>
                    </w:rPr>
                  </w:pPr>
                  <w:r>
                    <w:rPr>
                      <w:rFonts w:hint="eastAsia" w:ascii="宋体" w:hAnsi="宋体"/>
                      <w:kern w:val="0"/>
                      <w:sz w:val="21"/>
                      <w:szCs w:val="21"/>
                    </w:rPr>
                    <w:t>本项目占地为建设用地和草地，已按照相关要求进行草地补偿，不占用永久基本农田</w:t>
                  </w:r>
                </w:p>
              </w:tc>
              <w:tc>
                <w:tcPr>
                  <w:tcW w:w="528" w:type="dxa"/>
                  <w:tcBorders>
                    <w:top w:val="single" w:color="auto" w:sz="4" w:space="0"/>
                    <w:left w:val="single" w:color="auto" w:sz="4" w:space="0"/>
                    <w:bottom w:val="single" w:color="auto" w:sz="4" w:space="0"/>
                    <w:right w:val="nil"/>
                  </w:tcBorders>
                  <w:shd w:val="clear" w:color="auto" w:fill="auto"/>
                  <w:vAlign w:val="center"/>
                </w:tcPr>
                <w:p w14:paraId="1EF8E349">
                  <w:pPr>
                    <w:widowControl/>
                    <w:jc w:val="center"/>
                    <w:rPr>
                      <w:kern w:val="0"/>
                      <w:sz w:val="21"/>
                      <w:szCs w:val="21"/>
                    </w:rPr>
                  </w:pPr>
                  <w:r>
                    <w:rPr>
                      <w:rFonts w:ascii="宋体" w:hAnsi="宋体"/>
                      <w:kern w:val="0"/>
                      <w:sz w:val="21"/>
                      <w:szCs w:val="21"/>
                    </w:rPr>
                    <w:t>符合</w:t>
                  </w:r>
                </w:p>
              </w:tc>
            </w:tr>
            <w:tr w14:paraId="6460E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6460EA45">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84C87">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A6CD3B9">
                  <w:pPr>
                    <w:widowControl/>
                    <w:jc w:val="center"/>
                    <w:rPr>
                      <w:bCs/>
                      <w:kern w:val="0"/>
                      <w:sz w:val="21"/>
                      <w:szCs w:val="21"/>
                    </w:rPr>
                  </w:pPr>
                  <w:r>
                    <w:rPr>
                      <w:rFonts w:hint="eastAsia" w:ascii="宋体" w:hAnsi="宋体"/>
                      <w:bCs/>
                      <w:kern w:val="0"/>
                      <w:sz w:val="21"/>
                      <w:szCs w:val="21"/>
                    </w:rPr>
                    <w:t>以用途变更为住宅、公共管理与公共服务用地的地块为重点，严格建设用地准入管理和风险管控，未依法完成土壤污染状况调查或风险评估的地块，不得开工建设与风险管控和修复无关的项目</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C0343A4">
                  <w:pPr>
                    <w:widowControl/>
                    <w:jc w:val="center"/>
                    <w:rPr>
                      <w:kern w:val="0"/>
                      <w:sz w:val="21"/>
                      <w:szCs w:val="21"/>
                    </w:rPr>
                  </w:pPr>
                  <w:r>
                    <w:rPr>
                      <w:rFonts w:hint="eastAsia" w:ascii="宋体" w:hAnsi="宋体"/>
                      <w:kern w:val="0"/>
                      <w:sz w:val="21"/>
                      <w:szCs w:val="21"/>
                    </w:rPr>
                    <w:t>本项目</w:t>
                  </w:r>
                  <w:r>
                    <w:rPr>
                      <w:rFonts w:hint="eastAsia" w:ascii="宋体" w:hAnsi="宋体"/>
                      <w:bCs/>
                      <w:kern w:val="0"/>
                      <w:sz w:val="21"/>
                      <w:szCs w:val="21"/>
                    </w:rPr>
                    <w:t>严格建设用地准入管理和风险管控</w:t>
                  </w:r>
                </w:p>
              </w:tc>
              <w:tc>
                <w:tcPr>
                  <w:tcW w:w="528" w:type="dxa"/>
                  <w:tcBorders>
                    <w:top w:val="single" w:color="auto" w:sz="4" w:space="0"/>
                    <w:left w:val="single" w:color="auto" w:sz="4" w:space="0"/>
                    <w:bottom w:val="single" w:color="auto" w:sz="4" w:space="0"/>
                    <w:right w:val="nil"/>
                  </w:tcBorders>
                  <w:shd w:val="clear" w:color="auto" w:fill="auto"/>
                  <w:vAlign w:val="center"/>
                </w:tcPr>
                <w:p w14:paraId="44469F7A">
                  <w:pPr>
                    <w:widowControl/>
                    <w:jc w:val="center"/>
                    <w:rPr>
                      <w:kern w:val="0"/>
                      <w:sz w:val="21"/>
                      <w:szCs w:val="21"/>
                    </w:rPr>
                  </w:pPr>
                  <w:r>
                    <w:rPr>
                      <w:rFonts w:hint="eastAsia" w:ascii="宋体" w:hAnsi="宋体"/>
                      <w:kern w:val="0"/>
                      <w:sz w:val="21"/>
                      <w:szCs w:val="21"/>
                    </w:rPr>
                    <w:t>符合</w:t>
                  </w:r>
                </w:p>
              </w:tc>
            </w:tr>
            <w:tr w14:paraId="1C6A14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5A2D7C9">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D35B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E42F636">
                  <w:pPr>
                    <w:widowControl/>
                    <w:jc w:val="center"/>
                    <w:rPr>
                      <w:bCs/>
                      <w:kern w:val="0"/>
                      <w:sz w:val="21"/>
                      <w:szCs w:val="21"/>
                    </w:rPr>
                  </w:pPr>
                  <w:r>
                    <w:rPr>
                      <w:rFonts w:hint="eastAsia" w:ascii="宋体" w:hAnsi="宋体"/>
                      <w:bCs/>
                      <w:kern w:val="0"/>
                      <w:sz w:val="21"/>
                      <w:szCs w:val="21"/>
                    </w:rPr>
                    <w:t>严格控制建设项目占用湿地。因国家和自治区重点建设工程、基础设施建设，以及重点公益性项目建设，确需占用湿地的，应当按照有关法律、法规规定的权限和程序办理批准手续</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49EC6710">
                  <w:pPr>
                    <w:widowControl/>
                    <w:jc w:val="center"/>
                    <w:rPr>
                      <w:kern w:val="0"/>
                      <w:sz w:val="21"/>
                      <w:szCs w:val="21"/>
                    </w:rPr>
                  </w:pPr>
                  <w:r>
                    <w:rPr>
                      <w:rFonts w:hint="eastAsia" w:ascii="宋体" w:hAnsi="宋体"/>
                      <w:kern w:val="0"/>
                      <w:sz w:val="21"/>
                      <w:szCs w:val="21"/>
                    </w:rPr>
                    <w:t>本项目不占用湿地</w:t>
                  </w:r>
                </w:p>
              </w:tc>
              <w:tc>
                <w:tcPr>
                  <w:tcW w:w="528" w:type="dxa"/>
                  <w:tcBorders>
                    <w:top w:val="single" w:color="auto" w:sz="4" w:space="0"/>
                    <w:left w:val="single" w:color="auto" w:sz="4" w:space="0"/>
                    <w:bottom w:val="single" w:color="auto" w:sz="4" w:space="0"/>
                    <w:right w:val="nil"/>
                  </w:tcBorders>
                  <w:shd w:val="clear" w:color="auto" w:fill="auto"/>
                  <w:vAlign w:val="center"/>
                </w:tcPr>
                <w:p w14:paraId="0D3A9B72">
                  <w:pPr>
                    <w:widowControl/>
                    <w:jc w:val="center"/>
                    <w:rPr>
                      <w:kern w:val="0"/>
                      <w:sz w:val="21"/>
                      <w:szCs w:val="21"/>
                    </w:rPr>
                  </w:pPr>
                  <w:r>
                    <w:rPr>
                      <w:rFonts w:hint="eastAsia" w:ascii="宋体" w:hAnsi="宋体"/>
                      <w:kern w:val="0"/>
                      <w:sz w:val="21"/>
                      <w:szCs w:val="21"/>
                    </w:rPr>
                    <w:t>符合</w:t>
                  </w:r>
                </w:p>
              </w:tc>
            </w:tr>
            <w:tr w14:paraId="177B96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CA4DD31">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66FB3">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6B80A22">
                  <w:pPr>
                    <w:widowControl/>
                    <w:jc w:val="center"/>
                    <w:rPr>
                      <w:bCs/>
                      <w:kern w:val="0"/>
                      <w:sz w:val="21"/>
                      <w:szCs w:val="21"/>
                    </w:rPr>
                  </w:pPr>
                  <w:r>
                    <w:rPr>
                      <w:rFonts w:hint="eastAsia" w:ascii="宋体" w:hAnsi="宋体"/>
                      <w:bCs/>
                      <w:kern w:val="0"/>
                      <w:sz w:val="21"/>
                      <w:szCs w:val="21"/>
                    </w:rPr>
                    <w:t>严格管控自然保护地范围内非生态活动，稳妥推进核心区内居民、耕地有序退出，矿权依法依规退出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D69879B">
                  <w:pPr>
                    <w:widowControl/>
                    <w:jc w:val="center"/>
                    <w:rPr>
                      <w:kern w:val="0"/>
                      <w:sz w:val="21"/>
                      <w:szCs w:val="21"/>
                    </w:rPr>
                  </w:pPr>
                  <w:r>
                    <w:rPr>
                      <w:rFonts w:hint="eastAsia" w:ascii="宋体" w:hAnsi="宋体"/>
                      <w:kern w:val="0"/>
                      <w:sz w:val="21"/>
                      <w:szCs w:val="21"/>
                    </w:rPr>
                    <w:t>本项目不涉及</w:t>
                  </w:r>
                  <w:r>
                    <w:rPr>
                      <w:rFonts w:hint="eastAsia" w:ascii="宋体" w:hAnsi="宋体"/>
                      <w:bCs/>
                      <w:kern w:val="0"/>
                      <w:sz w:val="21"/>
                      <w:szCs w:val="21"/>
                    </w:rPr>
                    <w:t>控自然保护地</w:t>
                  </w:r>
                </w:p>
              </w:tc>
              <w:tc>
                <w:tcPr>
                  <w:tcW w:w="528" w:type="dxa"/>
                  <w:tcBorders>
                    <w:top w:val="single" w:color="auto" w:sz="4" w:space="0"/>
                    <w:left w:val="single" w:color="auto" w:sz="4" w:space="0"/>
                    <w:bottom w:val="single" w:color="auto" w:sz="4" w:space="0"/>
                    <w:right w:val="nil"/>
                  </w:tcBorders>
                  <w:shd w:val="clear" w:color="auto" w:fill="auto"/>
                  <w:vAlign w:val="center"/>
                </w:tcPr>
                <w:p w14:paraId="44840333">
                  <w:pPr>
                    <w:widowControl/>
                    <w:jc w:val="center"/>
                    <w:rPr>
                      <w:kern w:val="0"/>
                      <w:sz w:val="21"/>
                      <w:szCs w:val="21"/>
                    </w:rPr>
                  </w:pPr>
                  <w:r>
                    <w:rPr>
                      <w:rFonts w:hint="eastAsia" w:ascii="宋体" w:hAnsi="宋体"/>
                      <w:kern w:val="0"/>
                      <w:sz w:val="21"/>
                      <w:szCs w:val="21"/>
                    </w:rPr>
                    <w:t>符合</w:t>
                  </w:r>
                </w:p>
              </w:tc>
            </w:tr>
            <w:tr w14:paraId="0CD8D1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B51C67D">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8ABB7">
                  <w:pPr>
                    <w:widowControl/>
                    <w:jc w:val="center"/>
                    <w:rPr>
                      <w:kern w:val="0"/>
                      <w:sz w:val="21"/>
                      <w:szCs w:val="21"/>
                    </w:rPr>
                  </w:pPr>
                  <w:r>
                    <w:rPr>
                      <w:rFonts w:hint="eastAsia"/>
                      <w:kern w:val="0"/>
                      <w:sz w:val="21"/>
                      <w:szCs w:val="21"/>
                    </w:rPr>
                    <w:t>A1.3</w:t>
                  </w:r>
                  <w:r>
                    <w:rPr>
                      <w:rFonts w:hint="eastAsia" w:ascii="宋体" w:hAnsi="宋体"/>
                      <w:kern w:val="0"/>
                      <w:sz w:val="21"/>
                      <w:szCs w:val="21"/>
                    </w:rPr>
                    <w:t>不符合空间布局要求活动的退出要求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8203A2A">
                  <w:pPr>
                    <w:widowControl/>
                    <w:jc w:val="center"/>
                    <w:rPr>
                      <w:bCs/>
                      <w:kern w:val="0"/>
                      <w:sz w:val="21"/>
                      <w:szCs w:val="21"/>
                    </w:rPr>
                  </w:pPr>
                  <w:r>
                    <w:rPr>
                      <w:rFonts w:hint="eastAsia" w:ascii="宋体" w:hAnsi="宋体"/>
                      <w:bCs/>
                      <w:kern w:val="0"/>
                      <w:sz w:val="21"/>
                      <w:szCs w:val="21"/>
                    </w:rPr>
                    <w:t>任何单位和个人不得在水源涵养区、饮用水水源保护区内和河流、湖泊、水库周围建设重化工、涉重金属等工业污染项目；对已建成的工业污染项目，当地人民政府应当组织限期搬迁</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76416F4">
                  <w:pPr>
                    <w:widowControl/>
                    <w:jc w:val="center"/>
                    <w:rPr>
                      <w:kern w:val="0"/>
                      <w:sz w:val="21"/>
                      <w:szCs w:val="21"/>
                    </w:rPr>
                  </w:pPr>
                  <w:r>
                    <w:rPr>
                      <w:rFonts w:hint="eastAsia" w:ascii="宋体" w:hAnsi="宋体"/>
                      <w:kern w:val="0"/>
                      <w:sz w:val="21"/>
                      <w:szCs w:val="21"/>
                    </w:rPr>
                    <w:t>本项目位于奇台县喇嘛湖梁工业园区，项目不属于</w:t>
                  </w:r>
                  <w:r>
                    <w:rPr>
                      <w:rFonts w:hint="eastAsia" w:ascii="宋体" w:hAnsi="宋体"/>
                      <w:bCs/>
                      <w:kern w:val="0"/>
                      <w:sz w:val="21"/>
                      <w:szCs w:val="21"/>
                    </w:rPr>
                    <w:t>重化工、涉重金属等工业污染项目，</w:t>
                  </w:r>
                  <w:r>
                    <w:rPr>
                      <w:rFonts w:hint="eastAsia" w:ascii="宋体" w:hAnsi="宋体"/>
                      <w:kern w:val="0"/>
                      <w:sz w:val="21"/>
                      <w:szCs w:val="21"/>
                    </w:rPr>
                    <w:t>项目区及周边无</w:t>
                  </w:r>
                  <w:r>
                    <w:rPr>
                      <w:rFonts w:hint="eastAsia" w:ascii="宋体" w:hAnsi="宋体"/>
                      <w:bCs/>
                      <w:kern w:val="0"/>
                      <w:sz w:val="21"/>
                      <w:szCs w:val="21"/>
                    </w:rPr>
                    <w:t>水源涵养区、饮用水水源保护区内和河流、湖泊、水库</w:t>
                  </w:r>
                </w:p>
              </w:tc>
              <w:tc>
                <w:tcPr>
                  <w:tcW w:w="528" w:type="dxa"/>
                  <w:tcBorders>
                    <w:top w:val="single" w:color="auto" w:sz="4" w:space="0"/>
                    <w:left w:val="single" w:color="auto" w:sz="4" w:space="0"/>
                    <w:bottom w:val="single" w:color="auto" w:sz="4" w:space="0"/>
                    <w:right w:val="nil"/>
                  </w:tcBorders>
                  <w:shd w:val="clear" w:color="auto" w:fill="auto"/>
                  <w:vAlign w:val="center"/>
                </w:tcPr>
                <w:p w14:paraId="45D1633C">
                  <w:pPr>
                    <w:widowControl/>
                    <w:jc w:val="center"/>
                    <w:rPr>
                      <w:kern w:val="0"/>
                      <w:sz w:val="21"/>
                      <w:szCs w:val="21"/>
                    </w:rPr>
                  </w:pPr>
                  <w:r>
                    <w:rPr>
                      <w:rFonts w:hint="eastAsia" w:ascii="宋体" w:hAnsi="宋体"/>
                      <w:kern w:val="0"/>
                      <w:sz w:val="21"/>
                      <w:szCs w:val="21"/>
                    </w:rPr>
                    <w:t>符合</w:t>
                  </w:r>
                </w:p>
              </w:tc>
            </w:tr>
            <w:tr w14:paraId="242B0C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4E67019">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76FCF">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639346F">
                  <w:pPr>
                    <w:widowControl/>
                    <w:jc w:val="center"/>
                    <w:rPr>
                      <w:bCs/>
                      <w:kern w:val="0"/>
                      <w:sz w:val="21"/>
                      <w:szCs w:val="21"/>
                    </w:rPr>
                  </w:pPr>
                  <w:r>
                    <w:rPr>
                      <w:rFonts w:hint="eastAsia" w:ascii="宋体" w:hAnsi="宋体"/>
                      <w:bCs/>
                      <w:kern w:val="0"/>
                      <w:sz w:val="21"/>
                      <w:szCs w:val="21"/>
                    </w:rPr>
                    <w:t>对不符合国家产业政策、严重污染水环境的生产项目全部予以取缔</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3B9D772B">
                  <w:pPr>
                    <w:widowControl/>
                    <w:jc w:val="center"/>
                    <w:rPr>
                      <w:kern w:val="0"/>
                      <w:sz w:val="21"/>
                      <w:szCs w:val="21"/>
                    </w:rPr>
                  </w:pPr>
                  <w:r>
                    <w:rPr>
                      <w:rFonts w:hint="eastAsia" w:ascii="宋体" w:hAnsi="宋体"/>
                      <w:kern w:val="0"/>
                      <w:sz w:val="21"/>
                      <w:szCs w:val="21"/>
                    </w:rPr>
                    <w:t>根据《产业结构调整指导目录（</w:t>
                  </w:r>
                  <w:r>
                    <w:rPr>
                      <w:rFonts w:hint="eastAsia"/>
                      <w:kern w:val="0"/>
                      <w:sz w:val="21"/>
                      <w:szCs w:val="21"/>
                    </w:rPr>
                    <w:t>2024</w:t>
                  </w:r>
                  <w:r>
                    <w:rPr>
                      <w:rFonts w:hint="eastAsia" w:ascii="宋体" w:hAnsi="宋体"/>
                      <w:kern w:val="0"/>
                      <w:sz w:val="21"/>
                      <w:szCs w:val="21"/>
                    </w:rPr>
                    <w:t>年本）》，本项目不属于限制和淘汰类，属于允许类，符合国家产业政策要求</w:t>
                  </w:r>
                </w:p>
              </w:tc>
              <w:tc>
                <w:tcPr>
                  <w:tcW w:w="528" w:type="dxa"/>
                  <w:tcBorders>
                    <w:top w:val="single" w:color="auto" w:sz="4" w:space="0"/>
                    <w:left w:val="single" w:color="auto" w:sz="4" w:space="0"/>
                    <w:bottom w:val="single" w:color="auto" w:sz="4" w:space="0"/>
                    <w:right w:val="nil"/>
                  </w:tcBorders>
                  <w:shd w:val="clear" w:color="auto" w:fill="auto"/>
                  <w:vAlign w:val="center"/>
                </w:tcPr>
                <w:p w14:paraId="22F1753B">
                  <w:pPr>
                    <w:widowControl/>
                    <w:jc w:val="center"/>
                    <w:rPr>
                      <w:kern w:val="0"/>
                      <w:sz w:val="21"/>
                      <w:szCs w:val="21"/>
                    </w:rPr>
                  </w:pPr>
                  <w:r>
                    <w:rPr>
                      <w:rFonts w:hint="eastAsia" w:ascii="宋体" w:hAnsi="宋体"/>
                      <w:kern w:val="0"/>
                      <w:sz w:val="21"/>
                      <w:szCs w:val="21"/>
                    </w:rPr>
                    <w:t>符合</w:t>
                  </w:r>
                </w:p>
              </w:tc>
            </w:tr>
            <w:tr w14:paraId="71294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2831AAC">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2FD4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79DB1029">
                  <w:pPr>
                    <w:widowControl/>
                    <w:jc w:val="center"/>
                    <w:rPr>
                      <w:bCs/>
                      <w:kern w:val="0"/>
                      <w:sz w:val="21"/>
                      <w:szCs w:val="21"/>
                    </w:rPr>
                  </w:pPr>
                  <w:r>
                    <w:rPr>
                      <w:rFonts w:hint="eastAsia" w:ascii="宋体" w:hAnsi="宋体"/>
                      <w:bCs/>
                      <w:kern w:val="0"/>
                      <w:sz w:val="21"/>
                      <w:szCs w:val="21"/>
                    </w:rPr>
                    <w:t>根据《产业结构调整指导目录》《限期淘汰产生严重污染环境的工业固体废物的落后生产工艺设备名录》等要求，配合有关部门依法淘汰烧结－鼓风炉</w:t>
                  </w:r>
                  <w:r>
                    <w:rPr>
                      <w:rFonts w:hint="eastAsia"/>
                      <w:bCs/>
                      <w:kern w:val="0"/>
                      <w:sz w:val="21"/>
                      <w:szCs w:val="21"/>
                    </w:rPr>
                    <w:t>5</w:t>
                  </w:r>
                  <w:r>
                    <w:rPr>
                      <w:rFonts w:hint="eastAsia" w:ascii="宋体" w:hAnsi="宋体"/>
                      <w:bCs/>
                      <w:kern w:val="0"/>
                      <w:sz w:val="21"/>
                      <w:szCs w:val="21"/>
                    </w:rPr>
                    <w:t>炼铅工艺炼铅等涉重金属落后产能和化解过剩产能。严格执行生态环境保护等相关法规标准，推动经整改仍达不到要求的产能依法依规关闭退出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407FBC3">
                  <w:pPr>
                    <w:widowControl/>
                    <w:jc w:val="center"/>
                    <w:rPr>
                      <w:kern w:val="0"/>
                      <w:sz w:val="21"/>
                      <w:szCs w:val="21"/>
                    </w:rPr>
                  </w:pPr>
                  <w:r>
                    <w:rPr>
                      <w:rFonts w:hint="eastAsia" w:ascii="宋体" w:hAnsi="宋体"/>
                      <w:kern w:val="0"/>
                      <w:sz w:val="21"/>
                      <w:szCs w:val="21"/>
                    </w:rPr>
                    <w:t>根据《产业结构调整指导目录（</w:t>
                  </w:r>
                  <w:r>
                    <w:rPr>
                      <w:rFonts w:hint="eastAsia"/>
                      <w:kern w:val="0"/>
                      <w:sz w:val="21"/>
                      <w:szCs w:val="21"/>
                    </w:rPr>
                    <w:t>2024</w:t>
                  </w:r>
                  <w:r>
                    <w:rPr>
                      <w:rFonts w:hint="eastAsia" w:ascii="宋体" w:hAnsi="宋体"/>
                      <w:kern w:val="0"/>
                      <w:sz w:val="21"/>
                      <w:szCs w:val="21"/>
                    </w:rPr>
                    <w:t>年本）》，本项目不属于限制和淘汰类，属于允许类，符合国家产业政策要求</w:t>
                  </w:r>
                </w:p>
              </w:tc>
              <w:tc>
                <w:tcPr>
                  <w:tcW w:w="528" w:type="dxa"/>
                  <w:tcBorders>
                    <w:top w:val="single" w:color="auto" w:sz="4" w:space="0"/>
                    <w:left w:val="single" w:color="auto" w:sz="4" w:space="0"/>
                    <w:bottom w:val="single" w:color="auto" w:sz="4" w:space="0"/>
                    <w:right w:val="nil"/>
                  </w:tcBorders>
                  <w:shd w:val="clear" w:color="auto" w:fill="auto"/>
                  <w:vAlign w:val="center"/>
                </w:tcPr>
                <w:p w14:paraId="2152663F">
                  <w:pPr>
                    <w:widowControl/>
                    <w:jc w:val="center"/>
                    <w:rPr>
                      <w:kern w:val="0"/>
                      <w:sz w:val="21"/>
                      <w:szCs w:val="21"/>
                    </w:rPr>
                  </w:pPr>
                  <w:r>
                    <w:rPr>
                      <w:rFonts w:hint="eastAsia" w:ascii="宋体" w:hAnsi="宋体"/>
                      <w:kern w:val="0"/>
                      <w:sz w:val="21"/>
                      <w:szCs w:val="21"/>
                    </w:rPr>
                    <w:t>符合</w:t>
                  </w:r>
                </w:p>
              </w:tc>
            </w:tr>
            <w:tr w14:paraId="49799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6F36F22">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B5706">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C465BB1">
                  <w:pPr>
                    <w:widowControl/>
                    <w:jc w:val="center"/>
                    <w:rPr>
                      <w:bCs/>
                      <w:kern w:val="0"/>
                      <w:sz w:val="21"/>
                      <w:szCs w:val="21"/>
                    </w:rPr>
                  </w:pPr>
                  <w:r>
                    <w:rPr>
                      <w:rFonts w:hint="eastAsia" w:ascii="宋体" w:hAnsi="宋体"/>
                      <w:bCs/>
                      <w:kern w:val="0"/>
                      <w:sz w:val="21"/>
                      <w:szCs w:val="21"/>
                    </w:rPr>
                    <w:t>城市建成区、重点流域内已建成投产化工企业和危险化学品生产企业应加快退城入园，搬入化工园区前企业不应实施改扩建工程扩大生产规模</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2387F53">
                  <w:pPr>
                    <w:widowControl/>
                    <w:jc w:val="center"/>
                    <w:rPr>
                      <w:kern w:val="0"/>
                      <w:sz w:val="21"/>
                      <w:szCs w:val="21"/>
                    </w:rPr>
                  </w:pPr>
                  <w:r>
                    <w:rPr>
                      <w:rFonts w:hint="eastAsia" w:ascii="宋体" w:hAnsi="宋体"/>
                      <w:kern w:val="0"/>
                      <w:sz w:val="21"/>
                      <w:szCs w:val="21"/>
                    </w:rPr>
                    <w:t>本项目位于奇台县喇嘛湖梁工业园区，本项目不属于</w:t>
                  </w:r>
                  <w:r>
                    <w:rPr>
                      <w:rFonts w:hint="eastAsia" w:ascii="宋体" w:hAnsi="宋体"/>
                      <w:bCs/>
                      <w:kern w:val="0"/>
                      <w:sz w:val="21"/>
                      <w:szCs w:val="21"/>
                    </w:rPr>
                    <w:t>化工企业和危险化学品生产企业</w:t>
                  </w:r>
                </w:p>
              </w:tc>
              <w:tc>
                <w:tcPr>
                  <w:tcW w:w="528" w:type="dxa"/>
                  <w:tcBorders>
                    <w:top w:val="single" w:color="auto" w:sz="4" w:space="0"/>
                    <w:left w:val="single" w:color="auto" w:sz="4" w:space="0"/>
                    <w:bottom w:val="single" w:color="auto" w:sz="4" w:space="0"/>
                    <w:right w:val="nil"/>
                  </w:tcBorders>
                  <w:shd w:val="clear" w:color="auto" w:fill="auto"/>
                  <w:vAlign w:val="center"/>
                </w:tcPr>
                <w:p w14:paraId="2C796DE4">
                  <w:pPr>
                    <w:widowControl/>
                    <w:jc w:val="center"/>
                    <w:rPr>
                      <w:kern w:val="0"/>
                      <w:sz w:val="21"/>
                      <w:szCs w:val="21"/>
                    </w:rPr>
                  </w:pPr>
                  <w:r>
                    <w:rPr>
                      <w:rFonts w:hint="eastAsia" w:ascii="宋体" w:hAnsi="宋体"/>
                      <w:kern w:val="0"/>
                      <w:sz w:val="21"/>
                      <w:szCs w:val="21"/>
                    </w:rPr>
                    <w:t>符合</w:t>
                  </w:r>
                </w:p>
              </w:tc>
            </w:tr>
            <w:tr w14:paraId="188B05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9719CFE">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A08EFE">
                  <w:pPr>
                    <w:widowControl/>
                    <w:jc w:val="center"/>
                    <w:rPr>
                      <w:kern w:val="0"/>
                      <w:sz w:val="21"/>
                      <w:szCs w:val="21"/>
                    </w:rPr>
                  </w:pPr>
                  <w:r>
                    <w:rPr>
                      <w:rFonts w:hint="eastAsia"/>
                      <w:kern w:val="0"/>
                      <w:sz w:val="21"/>
                      <w:szCs w:val="21"/>
                    </w:rPr>
                    <w:t>A1.4</w:t>
                  </w:r>
                  <w:r>
                    <w:rPr>
                      <w:rFonts w:hint="eastAsia" w:ascii="宋体" w:hAnsi="宋体"/>
                      <w:kern w:val="0"/>
                      <w:sz w:val="21"/>
                      <w:szCs w:val="21"/>
                    </w:rPr>
                    <w:t>其它布局要求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89A947F">
                  <w:pPr>
                    <w:widowControl/>
                    <w:jc w:val="center"/>
                    <w:rPr>
                      <w:bCs/>
                      <w:kern w:val="0"/>
                      <w:sz w:val="21"/>
                      <w:szCs w:val="21"/>
                    </w:rPr>
                  </w:pPr>
                  <w:r>
                    <w:rPr>
                      <w:rFonts w:hint="eastAsia" w:ascii="宋体" w:hAnsi="宋体"/>
                      <w:bCs/>
                      <w:kern w:val="0"/>
                      <w:sz w:val="21"/>
                      <w:szCs w:val="21"/>
                    </w:rPr>
                    <w:t>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D3F871B">
                  <w:pPr>
                    <w:widowControl/>
                    <w:jc w:val="center"/>
                    <w:rPr>
                      <w:kern w:val="0"/>
                      <w:sz w:val="21"/>
                      <w:szCs w:val="21"/>
                    </w:rPr>
                  </w:pPr>
                  <w:r>
                    <w:rPr>
                      <w:rFonts w:hint="eastAsia" w:ascii="宋体" w:hAnsi="宋体"/>
                      <w:kern w:val="0"/>
                      <w:sz w:val="21"/>
                      <w:szCs w:val="21"/>
                    </w:rPr>
                    <w:t>项目符合国家产业政策，符合园区规划，符合三线一单要求</w:t>
                  </w:r>
                </w:p>
              </w:tc>
              <w:tc>
                <w:tcPr>
                  <w:tcW w:w="528" w:type="dxa"/>
                  <w:tcBorders>
                    <w:top w:val="single" w:color="auto" w:sz="4" w:space="0"/>
                    <w:left w:val="single" w:color="auto" w:sz="4" w:space="0"/>
                    <w:bottom w:val="single" w:color="auto" w:sz="4" w:space="0"/>
                    <w:right w:val="nil"/>
                  </w:tcBorders>
                  <w:shd w:val="clear" w:color="auto" w:fill="auto"/>
                  <w:vAlign w:val="center"/>
                </w:tcPr>
                <w:p w14:paraId="792EEEC5">
                  <w:pPr>
                    <w:widowControl/>
                    <w:jc w:val="center"/>
                    <w:rPr>
                      <w:kern w:val="0"/>
                      <w:sz w:val="21"/>
                      <w:szCs w:val="21"/>
                    </w:rPr>
                  </w:pPr>
                  <w:r>
                    <w:rPr>
                      <w:rFonts w:hint="eastAsia" w:ascii="宋体" w:hAnsi="宋体"/>
                      <w:kern w:val="0"/>
                      <w:sz w:val="21"/>
                      <w:szCs w:val="21"/>
                    </w:rPr>
                    <w:t>符合</w:t>
                  </w:r>
                </w:p>
              </w:tc>
            </w:tr>
            <w:tr w14:paraId="23EB84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853B605">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AA9A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2CAF1E3">
                  <w:pPr>
                    <w:widowControl/>
                    <w:jc w:val="center"/>
                    <w:rPr>
                      <w:bCs/>
                      <w:kern w:val="0"/>
                      <w:sz w:val="21"/>
                      <w:szCs w:val="21"/>
                    </w:rPr>
                  </w:pPr>
                  <w:r>
                    <w:rPr>
                      <w:rFonts w:hint="eastAsia" w:ascii="宋体" w:hAnsi="宋体"/>
                      <w:bCs/>
                      <w:kern w:val="0"/>
                      <w:sz w:val="21"/>
                      <w:szCs w:val="21"/>
                    </w:rPr>
                    <w:t>新建、扩建石化、化工、焦化、有色金属冶炼、平板玻璃项目应布设在依法合规设立并经规划环评的产业园区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EAE6E3A">
                  <w:pPr>
                    <w:widowControl/>
                    <w:jc w:val="center"/>
                    <w:rPr>
                      <w:kern w:val="0"/>
                      <w:sz w:val="21"/>
                      <w:szCs w:val="21"/>
                    </w:rPr>
                  </w:pPr>
                  <w:r>
                    <w:rPr>
                      <w:rFonts w:hint="eastAsia" w:ascii="宋体" w:hAnsi="宋体"/>
                      <w:kern w:val="0"/>
                      <w:sz w:val="21"/>
                      <w:szCs w:val="21"/>
                    </w:rPr>
                    <w:t>本项目位于奇台县喇嘛湖梁工业园区，项目不属于</w:t>
                  </w:r>
                  <w:r>
                    <w:rPr>
                      <w:rFonts w:hint="eastAsia" w:ascii="宋体" w:hAnsi="宋体"/>
                      <w:bCs/>
                      <w:kern w:val="0"/>
                      <w:sz w:val="21"/>
                      <w:szCs w:val="21"/>
                    </w:rPr>
                    <w:t>石化、化工、焦化、有色金属冶炼、平板玻璃行业</w:t>
                  </w:r>
                </w:p>
              </w:tc>
              <w:tc>
                <w:tcPr>
                  <w:tcW w:w="528" w:type="dxa"/>
                  <w:tcBorders>
                    <w:top w:val="single" w:color="auto" w:sz="4" w:space="0"/>
                    <w:left w:val="single" w:color="auto" w:sz="4" w:space="0"/>
                    <w:bottom w:val="single" w:color="auto" w:sz="4" w:space="0"/>
                    <w:right w:val="nil"/>
                  </w:tcBorders>
                  <w:shd w:val="clear" w:color="auto" w:fill="auto"/>
                  <w:vAlign w:val="center"/>
                </w:tcPr>
                <w:p w14:paraId="74C77BF6">
                  <w:pPr>
                    <w:widowControl/>
                    <w:jc w:val="center"/>
                    <w:rPr>
                      <w:kern w:val="0"/>
                      <w:sz w:val="21"/>
                      <w:szCs w:val="21"/>
                    </w:rPr>
                  </w:pPr>
                  <w:r>
                    <w:rPr>
                      <w:rFonts w:hint="eastAsia" w:ascii="宋体" w:hAnsi="宋体"/>
                      <w:kern w:val="0"/>
                      <w:sz w:val="21"/>
                      <w:szCs w:val="21"/>
                    </w:rPr>
                    <w:t>符合</w:t>
                  </w:r>
                </w:p>
              </w:tc>
            </w:tr>
            <w:tr w14:paraId="6A8B1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D547C09">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71AC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703AC590">
                  <w:pPr>
                    <w:widowControl/>
                    <w:jc w:val="center"/>
                    <w:rPr>
                      <w:bCs/>
                      <w:kern w:val="0"/>
                      <w:sz w:val="21"/>
                      <w:szCs w:val="21"/>
                    </w:rPr>
                  </w:pPr>
                  <w:r>
                    <w:rPr>
                      <w:rFonts w:hint="eastAsia" w:ascii="宋体" w:hAnsi="宋体"/>
                      <w:bCs/>
                      <w:kern w:val="0"/>
                      <w:sz w:val="21"/>
                      <w:szCs w:val="21"/>
                    </w:rPr>
                    <w:t>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9BA28E4">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15BF64CF">
                  <w:pPr>
                    <w:widowControl/>
                    <w:jc w:val="center"/>
                    <w:rPr>
                      <w:kern w:val="0"/>
                      <w:sz w:val="21"/>
                      <w:szCs w:val="21"/>
                    </w:rPr>
                  </w:pPr>
                  <w:r>
                    <w:rPr>
                      <w:rFonts w:hint="eastAsia" w:ascii="宋体" w:hAnsi="宋体"/>
                      <w:kern w:val="0"/>
                      <w:sz w:val="21"/>
                      <w:szCs w:val="21"/>
                    </w:rPr>
                    <w:t>符合</w:t>
                  </w:r>
                </w:p>
              </w:tc>
            </w:tr>
            <w:tr w14:paraId="7E6E99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top w:val="single" w:color="auto" w:sz="4" w:space="0"/>
                    <w:left w:val="nil"/>
                    <w:bottom w:val="single" w:color="auto" w:sz="4" w:space="0"/>
                    <w:right w:val="single" w:color="auto" w:sz="4" w:space="0"/>
                  </w:tcBorders>
                  <w:shd w:val="clear" w:color="auto" w:fill="auto"/>
                  <w:vAlign w:val="center"/>
                </w:tcPr>
                <w:p w14:paraId="7455304D">
                  <w:pPr>
                    <w:widowControl/>
                    <w:jc w:val="center"/>
                    <w:rPr>
                      <w:kern w:val="0"/>
                      <w:sz w:val="21"/>
                      <w:szCs w:val="21"/>
                    </w:rPr>
                  </w:pPr>
                  <w:r>
                    <w:rPr>
                      <w:rFonts w:hint="eastAsia"/>
                      <w:kern w:val="0"/>
                      <w:sz w:val="21"/>
                      <w:szCs w:val="21"/>
                    </w:rPr>
                    <w:t>A.2</w:t>
                  </w:r>
                  <w:r>
                    <w:rPr>
                      <w:rFonts w:hint="eastAsia" w:ascii="宋体" w:hAnsi="宋体"/>
                      <w:kern w:val="0"/>
                      <w:sz w:val="21"/>
                      <w:szCs w:val="21"/>
                    </w:rPr>
                    <w:t>污染物排放管控</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AE713">
                  <w:pPr>
                    <w:widowControl/>
                    <w:jc w:val="center"/>
                    <w:rPr>
                      <w:kern w:val="0"/>
                      <w:sz w:val="21"/>
                      <w:szCs w:val="21"/>
                    </w:rPr>
                  </w:pPr>
                  <w:r>
                    <w:rPr>
                      <w:rFonts w:hint="eastAsia"/>
                      <w:kern w:val="0"/>
                      <w:sz w:val="21"/>
                      <w:szCs w:val="21"/>
                    </w:rPr>
                    <w:t>A2.1</w:t>
                  </w:r>
                  <w:r>
                    <w:rPr>
                      <w:rFonts w:hint="eastAsia" w:ascii="宋体" w:hAnsi="宋体"/>
                      <w:kern w:val="0"/>
                      <w:sz w:val="21"/>
                      <w:szCs w:val="21"/>
                    </w:rPr>
                    <w:t>污染物削减</w:t>
                  </w:r>
                  <w:r>
                    <w:rPr>
                      <w:rFonts w:hint="eastAsia"/>
                      <w:kern w:val="0"/>
                      <w:sz w:val="21"/>
                      <w:szCs w:val="21"/>
                    </w:rPr>
                    <w:t>/</w:t>
                  </w:r>
                  <w:r>
                    <w:rPr>
                      <w:rFonts w:hint="eastAsia" w:ascii="宋体" w:hAnsi="宋体"/>
                      <w:kern w:val="0"/>
                      <w:sz w:val="21"/>
                      <w:szCs w:val="21"/>
                    </w:rPr>
                    <w:t>替代要求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FEF6300">
                  <w:pPr>
                    <w:widowControl/>
                    <w:jc w:val="center"/>
                    <w:rPr>
                      <w:kern w:val="0"/>
                      <w:sz w:val="21"/>
                      <w:szCs w:val="21"/>
                    </w:rPr>
                  </w:pPr>
                  <w:r>
                    <w:rPr>
                      <w:rFonts w:hint="eastAsia" w:ascii="宋体" w:hAnsi="宋体"/>
                      <w:kern w:val="0"/>
                      <w:sz w:val="21"/>
                      <w:szCs w:val="21"/>
                    </w:rPr>
                    <w:t>新、改、扩建重点行业建设项目应符合“三线一单”、产业政策、区域环评、规划环评和行业环境准入管控要求。重点区域的新、改、扩建重点行业建设项目应遵循重点重金属污染物排放“减量替代”原则。</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3DB5B917">
                  <w:pPr>
                    <w:widowControl/>
                    <w:jc w:val="center"/>
                    <w:rPr>
                      <w:kern w:val="0"/>
                      <w:sz w:val="21"/>
                      <w:szCs w:val="21"/>
                    </w:rPr>
                  </w:pPr>
                  <w:r>
                    <w:rPr>
                      <w:rFonts w:hint="eastAsia" w:ascii="宋体" w:hAnsi="宋体"/>
                      <w:kern w:val="0"/>
                      <w:sz w:val="21"/>
                      <w:szCs w:val="21"/>
                    </w:rPr>
                    <w:t>本项目符合“三线一单”、产业政策、规划环评等要求</w:t>
                  </w:r>
                </w:p>
              </w:tc>
              <w:tc>
                <w:tcPr>
                  <w:tcW w:w="528" w:type="dxa"/>
                  <w:tcBorders>
                    <w:top w:val="single" w:color="auto" w:sz="4" w:space="0"/>
                    <w:left w:val="single" w:color="auto" w:sz="4" w:space="0"/>
                    <w:bottom w:val="single" w:color="auto" w:sz="4" w:space="0"/>
                    <w:right w:val="nil"/>
                  </w:tcBorders>
                  <w:shd w:val="clear" w:color="auto" w:fill="auto"/>
                  <w:vAlign w:val="center"/>
                </w:tcPr>
                <w:p w14:paraId="7F8A79C6">
                  <w:pPr>
                    <w:widowControl/>
                    <w:jc w:val="center"/>
                    <w:rPr>
                      <w:kern w:val="0"/>
                      <w:sz w:val="21"/>
                      <w:szCs w:val="21"/>
                    </w:rPr>
                  </w:pPr>
                  <w:r>
                    <w:rPr>
                      <w:rFonts w:ascii="宋体" w:hAnsi="宋体"/>
                      <w:kern w:val="0"/>
                      <w:sz w:val="21"/>
                      <w:szCs w:val="21"/>
                    </w:rPr>
                    <w:t>符合</w:t>
                  </w:r>
                </w:p>
              </w:tc>
            </w:tr>
            <w:tr w14:paraId="746EBF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408F407">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6AD74">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7B8E6D3">
                  <w:pPr>
                    <w:widowControl/>
                    <w:jc w:val="center"/>
                    <w:rPr>
                      <w:kern w:val="0"/>
                      <w:sz w:val="21"/>
                      <w:szCs w:val="21"/>
                    </w:rPr>
                  </w:pPr>
                  <w:r>
                    <w:rPr>
                      <w:rFonts w:hint="eastAsia" w:ascii="宋体" w:hAnsi="宋体"/>
                      <w:kern w:val="0"/>
                      <w:sz w:val="21"/>
                      <w:szCs w:val="21"/>
                    </w:rPr>
                    <w:t>以石化、化工、涂装、医药、包装印刷、油品储运销等行业领域为重点，安全高效推进挥发性有机物综合治理，实施原辅材料和产品源头替代工程。</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B7C0286">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7F79884C">
                  <w:pPr>
                    <w:widowControl/>
                    <w:jc w:val="center"/>
                    <w:rPr>
                      <w:kern w:val="0"/>
                      <w:sz w:val="21"/>
                      <w:szCs w:val="21"/>
                    </w:rPr>
                  </w:pPr>
                  <w:r>
                    <w:rPr>
                      <w:rFonts w:hint="eastAsia" w:ascii="宋体" w:hAnsi="宋体"/>
                      <w:kern w:val="0"/>
                      <w:sz w:val="21"/>
                      <w:szCs w:val="21"/>
                    </w:rPr>
                    <w:t>符合</w:t>
                  </w:r>
                </w:p>
              </w:tc>
            </w:tr>
            <w:tr w14:paraId="384541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7B93150">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5B71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E6D857B">
                  <w:pPr>
                    <w:widowControl/>
                    <w:jc w:val="center"/>
                    <w:rPr>
                      <w:kern w:val="0"/>
                      <w:sz w:val="21"/>
                      <w:szCs w:val="21"/>
                    </w:rPr>
                  </w:pPr>
                  <w:r>
                    <w:rPr>
                      <w:rFonts w:hint="eastAsia" w:ascii="宋体" w:hAnsi="宋体"/>
                      <w:kern w:val="0"/>
                      <w:sz w:val="21"/>
                      <w:szCs w:val="21"/>
                    </w:rPr>
                    <w:t>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炕、氧化亚氮等温室气体。加强节约能源与大气污染防治协同有效衔接，促进大气污染防治协同增效。</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AA6AC67">
                  <w:pPr>
                    <w:widowControl/>
                    <w:jc w:val="center"/>
                    <w:rPr>
                      <w:kern w:val="0"/>
                      <w:sz w:val="21"/>
                      <w:szCs w:val="21"/>
                    </w:rPr>
                  </w:pPr>
                  <w:r>
                    <w:rPr>
                      <w:rFonts w:hint="eastAsia" w:ascii="宋体" w:hAnsi="宋体"/>
                      <w:kern w:val="0"/>
                      <w:sz w:val="21"/>
                      <w:szCs w:val="21"/>
                    </w:rPr>
                    <w:t>本项目废气采取了相应的污染防治措施</w:t>
                  </w:r>
                </w:p>
              </w:tc>
              <w:tc>
                <w:tcPr>
                  <w:tcW w:w="528" w:type="dxa"/>
                  <w:tcBorders>
                    <w:top w:val="single" w:color="auto" w:sz="4" w:space="0"/>
                    <w:left w:val="single" w:color="auto" w:sz="4" w:space="0"/>
                    <w:bottom w:val="single" w:color="auto" w:sz="4" w:space="0"/>
                    <w:right w:val="nil"/>
                  </w:tcBorders>
                  <w:shd w:val="clear" w:color="auto" w:fill="auto"/>
                  <w:vAlign w:val="center"/>
                </w:tcPr>
                <w:p w14:paraId="4730DAC3">
                  <w:pPr>
                    <w:widowControl/>
                    <w:jc w:val="center"/>
                    <w:rPr>
                      <w:kern w:val="0"/>
                      <w:sz w:val="21"/>
                      <w:szCs w:val="21"/>
                    </w:rPr>
                  </w:pPr>
                  <w:r>
                    <w:rPr>
                      <w:rFonts w:hint="eastAsia" w:ascii="宋体" w:hAnsi="宋体"/>
                      <w:kern w:val="0"/>
                      <w:sz w:val="21"/>
                      <w:szCs w:val="21"/>
                    </w:rPr>
                    <w:t>符合</w:t>
                  </w:r>
                </w:p>
              </w:tc>
            </w:tr>
            <w:tr w14:paraId="17629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3EFDE50">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09016">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6145A7B">
                  <w:pPr>
                    <w:widowControl/>
                    <w:jc w:val="center"/>
                    <w:rPr>
                      <w:kern w:val="0"/>
                      <w:sz w:val="21"/>
                      <w:szCs w:val="21"/>
                    </w:rPr>
                  </w:pPr>
                  <w:r>
                    <w:rPr>
                      <w:rFonts w:hint="eastAsia" w:ascii="宋体" w:hAnsi="宋体"/>
                      <w:kern w:val="0"/>
                      <w:sz w:val="21"/>
                      <w:szCs w:val="21"/>
                    </w:rPr>
                    <w:t>严控建材、铸造、冶炼等行业无组织排放，推进石化、化工、涂装、医药、包装印刷、油品储运销等行业项目挥发性有机物</w:t>
                  </w:r>
                  <w:r>
                    <w:rPr>
                      <w:rFonts w:hint="eastAsia"/>
                      <w:kern w:val="0"/>
                      <w:sz w:val="21"/>
                      <w:szCs w:val="21"/>
                    </w:rPr>
                    <w:t>VOCs</w:t>
                  </w:r>
                  <w:r>
                    <w:rPr>
                      <w:rFonts w:hint="eastAsia" w:ascii="宋体" w:hAnsi="宋体"/>
                      <w:kern w:val="0"/>
                      <w:sz w:val="21"/>
                      <w:szCs w:val="21"/>
                    </w:rPr>
                    <w:t>）防治。严格有色金属冶炼、石油加工、化工、焦化等行业项目的土壤、地下水污染防治措施要求。推进工业园区和企业集群建设涉</w:t>
                  </w:r>
                  <w:r>
                    <w:rPr>
                      <w:rFonts w:hint="eastAsia"/>
                      <w:kern w:val="0"/>
                      <w:sz w:val="21"/>
                      <w:szCs w:val="21"/>
                    </w:rPr>
                    <w:t>VOCs</w:t>
                  </w:r>
                  <w:r>
                    <w:rPr>
                      <w:rFonts w:hint="eastAsia" w:ascii="宋体" w:hAnsi="宋体"/>
                      <w:kern w:val="0"/>
                      <w:sz w:val="21"/>
                      <w:szCs w:val="21"/>
                    </w:rPr>
                    <w:t>“绿岛”项目，统筹规划建设一批集中涂装中心，活性炭集中处理中心、溶剂回收中心等，实现</w:t>
                  </w:r>
                  <w:r>
                    <w:rPr>
                      <w:rFonts w:hint="eastAsia"/>
                      <w:kern w:val="0"/>
                      <w:sz w:val="21"/>
                      <w:szCs w:val="21"/>
                    </w:rPr>
                    <w:t>VOCs</w:t>
                  </w:r>
                  <w:r>
                    <w:rPr>
                      <w:rFonts w:hint="eastAsia" w:ascii="宋体" w:hAnsi="宋体"/>
                      <w:kern w:val="0"/>
                      <w:sz w:val="21"/>
                      <w:szCs w:val="21"/>
                    </w:rPr>
                    <w:t>集中高效处理</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5E00D42">
                  <w:pPr>
                    <w:widowControl/>
                    <w:jc w:val="center"/>
                    <w:rPr>
                      <w:kern w:val="0"/>
                      <w:sz w:val="21"/>
                      <w:szCs w:val="21"/>
                    </w:rPr>
                  </w:pPr>
                  <w:r>
                    <w:rPr>
                      <w:rFonts w:hint="eastAsia" w:ascii="宋体" w:hAnsi="宋体"/>
                      <w:kern w:val="0"/>
                      <w:sz w:val="21"/>
                      <w:szCs w:val="21"/>
                    </w:rPr>
                    <w:t>本项目沥青加热及搅拌废气经“喷淋塔+电捕焦油器+活性炭吸附”处理后由</w:t>
                  </w:r>
                  <w:r>
                    <w:rPr>
                      <w:kern w:val="0"/>
                      <w:sz w:val="21"/>
                      <w:szCs w:val="21"/>
                    </w:rPr>
                    <w:t>15m</w:t>
                  </w:r>
                  <w:r>
                    <w:rPr>
                      <w:rFonts w:hint="eastAsia" w:ascii="宋体" w:hAnsi="宋体"/>
                      <w:kern w:val="0"/>
                      <w:sz w:val="21"/>
                      <w:szCs w:val="21"/>
                    </w:rPr>
                    <w:t>高排气筒排放</w:t>
                  </w:r>
                </w:p>
              </w:tc>
              <w:tc>
                <w:tcPr>
                  <w:tcW w:w="528" w:type="dxa"/>
                  <w:tcBorders>
                    <w:top w:val="single" w:color="auto" w:sz="4" w:space="0"/>
                    <w:left w:val="single" w:color="auto" w:sz="4" w:space="0"/>
                    <w:bottom w:val="single" w:color="auto" w:sz="4" w:space="0"/>
                    <w:right w:val="nil"/>
                  </w:tcBorders>
                  <w:shd w:val="clear" w:color="auto" w:fill="auto"/>
                  <w:vAlign w:val="center"/>
                </w:tcPr>
                <w:p w14:paraId="4F695805">
                  <w:pPr>
                    <w:widowControl/>
                    <w:jc w:val="center"/>
                    <w:rPr>
                      <w:kern w:val="0"/>
                      <w:sz w:val="21"/>
                      <w:szCs w:val="21"/>
                    </w:rPr>
                  </w:pPr>
                  <w:r>
                    <w:rPr>
                      <w:rFonts w:hint="eastAsia" w:ascii="宋体" w:hAnsi="宋体"/>
                      <w:kern w:val="0"/>
                      <w:sz w:val="21"/>
                      <w:szCs w:val="21"/>
                    </w:rPr>
                    <w:t>符合</w:t>
                  </w:r>
                </w:p>
              </w:tc>
            </w:tr>
            <w:tr w14:paraId="4896CC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C3E22E9">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E1259">
                  <w:pPr>
                    <w:widowControl/>
                    <w:jc w:val="center"/>
                    <w:rPr>
                      <w:kern w:val="0"/>
                      <w:sz w:val="21"/>
                      <w:szCs w:val="21"/>
                    </w:rPr>
                  </w:pPr>
                  <w:r>
                    <w:rPr>
                      <w:rFonts w:hint="eastAsia"/>
                      <w:kern w:val="0"/>
                      <w:sz w:val="21"/>
                      <w:szCs w:val="21"/>
                    </w:rPr>
                    <w:t>A2.2</w:t>
                  </w:r>
                  <w:r>
                    <w:rPr>
                      <w:rFonts w:hint="eastAsia" w:ascii="宋体" w:hAnsi="宋体"/>
                      <w:kern w:val="0"/>
                      <w:sz w:val="21"/>
                      <w:szCs w:val="21"/>
                    </w:rPr>
                    <w:t>污染控制措施要求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AA2A1AC">
                  <w:pPr>
                    <w:widowControl/>
                    <w:jc w:val="center"/>
                    <w:rPr>
                      <w:kern w:val="0"/>
                      <w:sz w:val="21"/>
                      <w:szCs w:val="21"/>
                    </w:rPr>
                  </w:pPr>
                  <w:r>
                    <w:rPr>
                      <w:rFonts w:hint="eastAsia" w:ascii="宋体" w:hAnsi="宋体"/>
                      <w:kern w:val="0"/>
                      <w:sz w:val="21"/>
                      <w:szCs w:val="21"/>
                    </w:rPr>
                    <w:t>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炕、氧化亚氮等温室气体。加强节约能源与大气污染防治协同有效衔接，促进大气污染防治协同增效</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C2105F2">
                  <w:pPr>
                    <w:widowControl/>
                    <w:jc w:val="center"/>
                    <w:rPr>
                      <w:kern w:val="0"/>
                      <w:sz w:val="21"/>
                      <w:szCs w:val="21"/>
                    </w:rPr>
                  </w:pPr>
                  <w:r>
                    <w:rPr>
                      <w:rFonts w:hint="eastAsia" w:ascii="宋体" w:hAnsi="宋体"/>
                      <w:kern w:val="0"/>
                      <w:sz w:val="21"/>
                      <w:szCs w:val="21"/>
                    </w:rPr>
                    <w:t>本项目废气采取了相应的污染防治措施</w:t>
                  </w:r>
                </w:p>
              </w:tc>
              <w:tc>
                <w:tcPr>
                  <w:tcW w:w="528" w:type="dxa"/>
                  <w:tcBorders>
                    <w:top w:val="single" w:color="auto" w:sz="4" w:space="0"/>
                    <w:left w:val="single" w:color="auto" w:sz="4" w:space="0"/>
                    <w:bottom w:val="single" w:color="auto" w:sz="4" w:space="0"/>
                    <w:right w:val="nil"/>
                  </w:tcBorders>
                  <w:shd w:val="clear" w:color="auto" w:fill="auto"/>
                  <w:vAlign w:val="center"/>
                </w:tcPr>
                <w:p w14:paraId="49EDF32C">
                  <w:pPr>
                    <w:widowControl/>
                    <w:jc w:val="center"/>
                    <w:rPr>
                      <w:kern w:val="0"/>
                      <w:sz w:val="21"/>
                      <w:szCs w:val="21"/>
                    </w:rPr>
                  </w:pPr>
                  <w:r>
                    <w:rPr>
                      <w:rFonts w:hint="eastAsia" w:ascii="宋体" w:hAnsi="宋体"/>
                      <w:kern w:val="0"/>
                      <w:sz w:val="21"/>
                      <w:szCs w:val="21"/>
                    </w:rPr>
                    <w:t>符合</w:t>
                  </w:r>
                </w:p>
              </w:tc>
            </w:tr>
            <w:tr w14:paraId="6368AD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C28A6B3">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FFD1E">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4EE2472">
                  <w:pPr>
                    <w:widowControl/>
                    <w:jc w:val="center"/>
                    <w:rPr>
                      <w:kern w:val="0"/>
                      <w:sz w:val="21"/>
                      <w:szCs w:val="21"/>
                    </w:rPr>
                  </w:pPr>
                  <w:r>
                    <w:rPr>
                      <w:rFonts w:hint="eastAsia" w:ascii="宋体" w:hAnsi="宋体"/>
                      <w:kern w:val="0"/>
                      <w:sz w:val="21"/>
                      <w:szCs w:val="21"/>
                    </w:rPr>
                    <w:t>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EF8D3E7">
                  <w:pPr>
                    <w:widowControl/>
                    <w:jc w:val="center"/>
                    <w:rPr>
                      <w:kern w:val="0"/>
                      <w:sz w:val="21"/>
                      <w:szCs w:val="21"/>
                    </w:rPr>
                  </w:pPr>
                  <w:r>
                    <w:rPr>
                      <w:rFonts w:hint="eastAsia" w:ascii="宋体" w:hAnsi="宋体"/>
                      <w:kern w:val="0"/>
                      <w:sz w:val="21"/>
                      <w:szCs w:val="21"/>
                    </w:rPr>
                    <w:t>本项目不属于钢铁、水泥、焦化行业，不属于玻璃、陶瓷、铸造、铁合金、有色、煤化和石化等行业，不属于铸造、铁合金、焦化、水泥、砖瓦、石灰、耐火材料、金属冶炼以及煤化工、石油化工等行业</w:t>
                  </w:r>
                </w:p>
              </w:tc>
              <w:tc>
                <w:tcPr>
                  <w:tcW w:w="528" w:type="dxa"/>
                  <w:tcBorders>
                    <w:top w:val="single" w:color="auto" w:sz="4" w:space="0"/>
                    <w:left w:val="single" w:color="auto" w:sz="4" w:space="0"/>
                    <w:bottom w:val="single" w:color="auto" w:sz="4" w:space="0"/>
                    <w:right w:val="nil"/>
                  </w:tcBorders>
                  <w:shd w:val="clear" w:color="auto" w:fill="auto"/>
                  <w:vAlign w:val="center"/>
                </w:tcPr>
                <w:p w14:paraId="7AE5F804">
                  <w:pPr>
                    <w:widowControl/>
                    <w:jc w:val="center"/>
                    <w:rPr>
                      <w:kern w:val="0"/>
                      <w:sz w:val="21"/>
                      <w:szCs w:val="21"/>
                    </w:rPr>
                  </w:pPr>
                  <w:r>
                    <w:rPr>
                      <w:rFonts w:hint="eastAsia" w:ascii="宋体" w:hAnsi="宋体"/>
                      <w:kern w:val="0"/>
                      <w:sz w:val="21"/>
                      <w:szCs w:val="21"/>
                    </w:rPr>
                    <w:t>符合</w:t>
                  </w:r>
                </w:p>
              </w:tc>
            </w:tr>
            <w:tr w14:paraId="170CA6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1C213CC">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E4C6E">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146F134">
                  <w:pPr>
                    <w:widowControl/>
                    <w:jc w:val="center"/>
                    <w:rPr>
                      <w:kern w:val="0"/>
                      <w:sz w:val="21"/>
                      <w:szCs w:val="21"/>
                    </w:rPr>
                  </w:pPr>
                  <w:r>
                    <w:rPr>
                      <w:rFonts w:hint="eastAsia" w:ascii="宋体" w:hAnsi="宋体"/>
                      <w:kern w:val="0"/>
                      <w:sz w:val="21"/>
                      <w:szCs w:val="21"/>
                    </w:rPr>
                    <w:t>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9A0182F">
                  <w:pPr>
                    <w:widowControl/>
                    <w:jc w:val="center"/>
                    <w:rPr>
                      <w:kern w:val="0"/>
                      <w:sz w:val="21"/>
                      <w:szCs w:val="21"/>
                    </w:rPr>
                  </w:pPr>
                  <w:r>
                    <w:rPr>
                      <w:rFonts w:hint="eastAsia" w:ascii="宋体" w:hAnsi="宋体"/>
                      <w:kern w:val="0"/>
                      <w:sz w:val="21"/>
                      <w:szCs w:val="21"/>
                    </w:rPr>
                    <w:t>本项目位于奇台县喇嘛湖梁工业园区，项目涉及沥青加热及搅拌废气经“喷淋塔+电捕焦油器+活性炭吸附”处理后由</w:t>
                  </w:r>
                  <w:r>
                    <w:rPr>
                      <w:kern w:val="0"/>
                      <w:sz w:val="21"/>
                      <w:szCs w:val="21"/>
                    </w:rPr>
                    <w:t>15m</w:t>
                  </w:r>
                  <w:r>
                    <w:rPr>
                      <w:rFonts w:hint="eastAsia" w:ascii="宋体" w:hAnsi="宋体"/>
                      <w:kern w:val="0"/>
                      <w:sz w:val="21"/>
                      <w:szCs w:val="21"/>
                    </w:rPr>
                    <w:t>高排气筒排放</w:t>
                  </w:r>
                </w:p>
              </w:tc>
              <w:tc>
                <w:tcPr>
                  <w:tcW w:w="528" w:type="dxa"/>
                  <w:tcBorders>
                    <w:top w:val="single" w:color="auto" w:sz="4" w:space="0"/>
                    <w:left w:val="single" w:color="auto" w:sz="4" w:space="0"/>
                    <w:bottom w:val="single" w:color="auto" w:sz="4" w:space="0"/>
                    <w:right w:val="nil"/>
                  </w:tcBorders>
                  <w:shd w:val="clear" w:color="auto" w:fill="auto"/>
                  <w:vAlign w:val="center"/>
                </w:tcPr>
                <w:p w14:paraId="2DCC70B5">
                  <w:pPr>
                    <w:widowControl/>
                    <w:jc w:val="center"/>
                    <w:rPr>
                      <w:kern w:val="0"/>
                      <w:sz w:val="21"/>
                      <w:szCs w:val="21"/>
                    </w:rPr>
                  </w:pPr>
                  <w:r>
                    <w:rPr>
                      <w:rFonts w:hint="eastAsia" w:ascii="宋体" w:hAnsi="宋体"/>
                      <w:kern w:val="0"/>
                      <w:sz w:val="21"/>
                      <w:szCs w:val="21"/>
                    </w:rPr>
                    <w:t>符合</w:t>
                  </w:r>
                </w:p>
              </w:tc>
            </w:tr>
            <w:tr w14:paraId="3C4FC9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B5BB342">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8C2C1">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D544B1E">
                  <w:pPr>
                    <w:widowControl/>
                    <w:jc w:val="center"/>
                    <w:rPr>
                      <w:kern w:val="0"/>
                      <w:sz w:val="21"/>
                      <w:szCs w:val="21"/>
                    </w:rPr>
                  </w:pPr>
                  <w:r>
                    <w:rPr>
                      <w:rFonts w:hint="eastAsia" w:ascii="宋体" w:hAnsi="宋体"/>
                      <w:kern w:val="0"/>
                      <w:sz w:val="21"/>
                      <w:szCs w:val="21"/>
                    </w:rPr>
                    <w:t>强化用水定额管理。推进地下水超采综合治理。开展河湖生态流量（水量）确定工作，强化生态用水保障</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35D2920B">
                  <w:pPr>
                    <w:widowControl/>
                    <w:jc w:val="center"/>
                    <w:rPr>
                      <w:kern w:val="0"/>
                      <w:sz w:val="21"/>
                      <w:szCs w:val="21"/>
                    </w:rPr>
                  </w:pPr>
                  <w:r>
                    <w:rPr>
                      <w:rFonts w:hint="eastAsia" w:ascii="宋体" w:hAnsi="宋体"/>
                      <w:kern w:val="0"/>
                      <w:sz w:val="21"/>
                      <w:szCs w:val="21"/>
                    </w:rPr>
                    <w:t>本项目依托园区供水管网供给</w:t>
                  </w:r>
                </w:p>
              </w:tc>
              <w:tc>
                <w:tcPr>
                  <w:tcW w:w="528" w:type="dxa"/>
                  <w:tcBorders>
                    <w:top w:val="single" w:color="auto" w:sz="4" w:space="0"/>
                    <w:left w:val="single" w:color="auto" w:sz="4" w:space="0"/>
                    <w:bottom w:val="single" w:color="auto" w:sz="4" w:space="0"/>
                    <w:right w:val="nil"/>
                  </w:tcBorders>
                  <w:shd w:val="clear" w:color="auto" w:fill="auto"/>
                  <w:vAlign w:val="center"/>
                </w:tcPr>
                <w:p w14:paraId="6A398929">
                  <w:pPr>
                    <w:widowControl/>
                    <w:jc w:val="center"/>
                    <w:rPr>
                      <w:kern w:val="0"/>
                      <w:sz w:val="21"/>
                      <w:szCs w:val="21"/>
                    </w:rPr>
                  </w:pPr>
                  <w:r>
                    <w:rPr>
                      <w:rFonts w:hint="eastAsia" w:ascii="宋体" w:hAnsi="宋体"/>
                      <w:kern w:val="0"/>
                      <w:sz w:val="21"/>
                      <w:szCs w:val="21"/>
                    </w:rPr>
                    <w:t>符合</w:t>
                  </w:r>
                </w:p>
              </w:tc>
            </w:tr>
            <w:tr w14:paraId="5FA751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BF50AE1">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F4AF4">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79DB5E16">
                  <w:pPr>
                    <w:widowControl/>
                    <w:jc w:val="center"/>
                    <w:rPr>
                      <w:kern w:val="0"/>
                      <w:sz w:val="21"/>
                      <w:szCs w:val="21"/>
                    </w:rPr>
                  </w:pPr>
                  <w:r>
                    <w:rPr>
                      <w:rFonts w:hint="eastAsia" w:ascii="宋体" w:hAnsi="宋体"/>
                      <w:kern w:val="0"/>
                      <w:sz w:val="21"/>
                      <w:szCs w:val="21"/>
                    </w:rPr>
                    <w:t>持续推进伊犁河、额尔齐斯河、额敏河、玛纳斯河、乌伦古湖、博斯腾湖等流域生态治理，加强生态修复。推动重点行业、重点企业绿色发展，严格落实水污染物排放标准。加强农副食品加工、化工、印染、棉浆柏、粘胶纤维等企业综合治理和清洁化改造</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FB55DF6">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1BE29CD5">
                  <w:pPr>
                    <w:widowControl/>
                    <w:jc w:val="center"/>
                    <w:rPr>
                      <w:kern w:val="0"/>
                      <w:sz w:val="21"/>
                      <w:szCs w:val="21"/>
                    </w:rPr>
                  </w:pPr>
                  <w:r>
                    <w:rPr>
                      <w:rFonts w:hint="eastAsia" w:ascii="宋体" w:hAnsi="宋体"/>
                      <w:kern w:val="0"/>
                      <w:sz w:val="21"/>
                      <w:szCs w:val="21"/>
                    </w:rPr>
                    <w:t>符合</w:t>
                  </w:r>
                </w:p>
              </w:tc>
            </w:tr>
            <w:tr w14:paraId="1D0DD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0F23998">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83BF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641FC21">
                  <w:pPr>
                    <w:widowControl/>
                    <w:jc w:val="center"/>
                    <w:rPr>
                      <w:kern w:val="0"/>
                      <w:sz w:val="21"/>
                      <w:szCs w:val="21"/>
                    </w:rPr>
                  </w:pPr>
                  <w:r>
                    <w:rPr>
                      <w:rFonts w:hint="eastAsia" w:ascii="宋体" w:hAnsi="宋体"/>
                      <w:kern w:val="0"/>
                      <w:sz w:val="21"/>
                      <w:szCs w:val="21"/>
                    </w:rPr>
                    <w:t>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柏、粘胶纤维、制糖等企业综合治理和清洁化改造。支持企业积极实施节水技术改造，加强工业园区污水集中处理设施运行管理，加快再生水回用设施建设，提升园区水资源循环利用水平。</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C723FB4">
                  <w:pPr>
                    <w:widowControl/>
                    <w:jc w:val="center"/>
                    <w:rPr>
                      <w:kern w:val="0"/>
                      <w:sz w:val="21"/>
                      <w:szCs w:val="21"/>
                    </w:rPr>
                  </w:pPr>
                  <w:r>
                    <w:rPr>
                      <w:rFonts w:hint="eastAsia" w:ascii="宋体" w:hAnsi="宋体"/>
                      <w:kern w:val="0"/>
                      <w:sz w:val="21"/>
                      <w:szCs w:val="21"/>
                    </w:rPr>
                    <w:t>本项目用水经处理后循环利用不外排，严格落实排污许可制度</w:t>
                  </w:r>
                </w:p>
              </w:tc>
              <w:tc>
                <w:tcPr>
                  <w:tcW w:w="528" w:type="dxa"/>
                  <w:tcBorders>
                    <w:top w:val="single" w:color="auto" w:sz="4" w:space="0"/>
                    <w:left w:val="single" w:color="auto" w:sz="4" w:space="0"/>
                    <w:bottom w:val="single" w:color="auto" w:sz="4" w:space="0"/>
                    <w:right w:val="nil"/>
                  </w:tcBorders>
                  <w:shd w:val="clear" w:color="auto" w:fill="auto"/>
                  <w:vAlign w:val="center"/>
                </w:tcPr>
                <w:p w14:paraId="36029B55">
                  <w:pPr>
                    <w:widowControl/>
                    <w:jc w:val="center"/>
                    <w:rPr>
                      <w:kern w:val="0"/>
                      <w:sz w:val="21"/>
                      <w:szCs w:val="21"/>
                    </w:rPr>
                  </w:pPr>
                  <w:r>
                    <w:rPr>
                      <w:rFonts w:hint="eastAsia" w:ascii="宋体" w:hAnsi="宋体"/>
                      <w:kern w:val="0"/>
                      <w:sz w:val="21"/>
                      <w:szCs w:val="21"/>
                    </w:rPr>
                    <w:t>符合</w:t>
                  </w:r>
                </w:p>
              </w:tc>
            </w:tr>
            <w:tr w14:paraId="6BECB5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6C5B173">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569F5">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712ECC65">
                  <w:pPr>
                    <w:widowControl/>
                    <w:jc w:val="center"/>
                    <w:rPr>
                      <w:kern w:val="0"/>
                      <w:sz w:val="21"/>
                      <w:szCs w:val="21"/>
                    </w:rPr>
                  </w:pPr>
                  <w:r>
                    <w:rPr>
                      <w:rFonts w:hint="eastAsia" w:ascii="宋体" w:hAnsi="宋体"/>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B642A37">
                  <w:pPr>
                    <w:widowControl/>
                    <w:jc w:val="center"/>
                    <w:rPr>
                      <w:kern w:val="0"/>
                      <w:sz w:val="21"/>
                      <w:szCs w:val="21"/>
                    </w:rPr>
                  </w:pPr>
                  <w:r>
                    <w:rPr>
                      <w:rFonts w:hint="eastAsia" w:ascii="宋体" w:hAnsi="宋体"/>
                      <w:kern w:val="0"/>
                      <w:sz w:val="21"/>
                      <w:szCs w:val="21"/>
                    </w:rPr>
                    <w:t>本项目位于奇台县喇嘛湖梁工业园区，项目不涉及化学品生产企业、工业集聚区、尾矿库、矿山开采区、危险废物处置场、垃圾填埋场等</w:t>
                  </w:r>
                </w:p>
              </w:tc>
              <w:tc>
                <w:tcPr>
                  <w:tcW w:w="528" w:type="dxa"/>
                  <w:tcBorders>
                    <w:top w:val="single" w:color="auto" w:sz="4" w:space="0"/>
                    <w:left w:val="single" w:color="auto" w:sz="4" w:space="0"/>
                    <w:bottom w:val="single" w:color="auto" w:sz="4" w:space="0"/>
                    <w:right w:val="nil"/>
                  </w:tcBorders>
                  <w:shd w:val="clear" w:color="auto" w:fill="auto"/>
                  <w:vAlign w:val="center"/>
                </w:tcPr>
                <w:p w14:paraId="3CB44CA2">
                  <w:pPr>
                    <w:widowControl/>
                    <w:jc w:val="center"/>
                    <w:rPr>
                      <w:kern w:val="0"/>
                      <w:sz w:val="21"/>
                      <w:szCs w:val="21"/>
                    </w:rPr>
                  </w:pPr>
                  <w:r>
                    <w:rPr>
                      <w:rFonts w:hint="eastAsia" w:ascii="宋体" w:hAnsi="宋体"/>
                      <w:kern w:val="0"/>
                      <w:sz w:val="21"/>
                      <w:szCs w:val="21"/>
                    </w:rPr>
                    <w:t>符合</w:t>
                  </w:r>
                </w:p>
              </w:tc>
            </w:tr>
            <w:tr w14:paraId="76999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3044FFF">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DE91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463F026">
                  <w:pPr>
                    <w:widowControl/>
                    <w:jc w:val="center"/>
                    <w:rPr>
                      <w:kern w:val="0"/>
                      <w:sz w:val="21"/>
                      <w:szCs w:val="21"/>
                    </w:rPr>
                  </w:pPr>
                  <w:r>
                    <w:rPr>
                      <w:rFonts w:hint="eastAsia" w:ascii="宋体" w:hAnsi="宋体"/>
                      <w:kern w:val="0"/>
                      <w:sz w:val="21"/>
                      <w:szCs w:val="21"/>
                    </w:rPr>
                    <w:t>严控土壤重金属污染，加强油（气）田开发土壤污染防治，以历史遗留工业企业污染场地为重点，开展土壤污染风险管控与修复工程。</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9009EA6">
                  <w:pPr>
                    <w:widowControl/>
                    <w:jc w:val="center"/>
                    <w:rPr>
                      <w:kern w:val="0"/>
                      <w:sz w:val="21"/>
                      <w:szCs w:val="21"/>
                    </w:rPr>
                  </w:pPr>
                  <w:r>
                    <w:rPr>
                      <w:rFonts w:hint="eastAsia" w:ascii="宋体" w:hAnsi="宋体"/>
                      <w:kern w:val="0"/>
                      <w:sz w:val="21"/>
                      <w:szCs w:val="21"/>
                    </w:rPr>
                    <w:t>本项目不涉及重金属</w:t>
                  </w:r>
                </w:p>
              </w:tc>
              <w:tc>
                <w:tcPr>
                  <w:tcW w:w="528" w:type="dxa"/>
                  <w:tcBorders>
                    <w:top w:val="single" w:color="auto" w:sz="4" w:space="0"/>
                    <w:left w:val="single" w:color="auto" w:sz="4" w:space="0"/>
                    <w:bottom w:val="single" w:color="auto" w:sz="4" w:space="0"/>
                    <w:right w:val="nil"/>
                  </w:tcBorders>
                  <w:shd w:val="clear" w:color="auto" w:fill="auto"/>
                  <w:vAlign w:val="center"/>
                </w:tcPr>
                <w:p w14:paraId="77D30CA9">
                  <w:pPr>
                    <w:widowControl/>
                    <w:jc w:val="center"/>
                    <w:rPr>
                      <w:kern w:val="0"/>
                      <w:sz w:val="21"/>
                      <w:szCs w:val="21"/>
                    </w:rPr>
                  </w:pPr>
                  <w:r>
                    <w:rPr>
                      <w:rFonts w:hint="eastAsia" w:ascii="宋体" w:hAnsi="宋体"/>
                      <w:kern w:val="0"/>
                      <w:sz w:val="21"/>
                      <w:szCs w:val="21"/>
                    </w:rPr>
                    <w:t>符合</w:t>
                  </w:r>
                </w:p>
              </w:tc>
            </w:tr>
            <w:tr w14:paraId="21C1B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E6B8F80">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D0F6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5F567B2">
                  <w:pPr>
                    <w:widowControl/>
                    <w:jc w:val="center"/>
                    <w:rPr>
                      <w:kern w:val="0"/>
                      <w:sz w:val="21"/>
                      <w:szCs w:val="21"/>
                    </w:rPr>
                  </w:pPr>
                  <w:r>
                    <w:rPr>
                      <w:rFonts w:hint="eastAsia" w:ascii="宋体" w:hAnsi="宋体"/>
                      <w:kern w:val="0"/>
                      <w:sz w:val="21"/>
                      <w:szCs w:val="21"/>
                    </w:rPr>
                    <w:t>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轩综合利用，不断完善秸轩收储运用体系，形成布局合理、多元利用的秸轩综合利用格局。</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297D9D4">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168C5C68">
                  <w:pPr>
                    <w:widowControl/>
                    <w:jc w:val="center"/>
                    <w:rPr>
                      <w:kern w:val="0"/>
                      <w:sz w:val="21"/>
                      <w:szCs w:val="21"/>
                    </w:rPr>
                  </w:pPr>
                  <w:r>
                    <w:rPr>
                      <w:rFonts w:hint="eastAsia" w:ascii="宋体" w:hAnsi="宋体"/>
                      <w:kern w:val="0"/>
                      <w:sz w:val="21"/>
                      <w:szCs w:val="21"/>
                    </w:rPr>
                    <w:t>符合</w:t>
                  </w:r>
                </w:p>
              </w:tc>
            </w:tr>
            <w:tr w14:paraId="182E12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top w:val="single" w:color="auto" w:sz="4" w:space="0"/>
                    <w:left w:val="nil"/>
                    <w:bottom w:val="single" w:color="auto" w:sz="4" w:space="0"/>
                    <w:right w:val="single" w:color="auto" w:sz="4" w:space="0"/>
                  </w:tcBorders>
                  <w:shd w:val="clear" w:color="auto" w:fill="auto"/>
                  <w:vAlign w:val="center"/>
                </w:tcPr>
                <w:p w14:paraId="1EF1D20D">
                  <w:pPr>
                    <w:widowControl/>
                    <w:jc w:val="center"/>
                    <w:rPr>
                      <w:kern w:val="0"/>
                      <w:sz w:val="21"/>
                      <w:szCs w:val="21"/>
                    </w:rPr>
                  </w:pPr>
                  <w:r>
                    <w:rPr>
                      <w:rFonts w:hint="eastAsia"/>
                      <w:kern w:val="0"/>
                      <w:sz w:val="21"/>
                      <w:szCs w:val="21"/>
                    </w:rPr>
                    <w:t>A3</w:t>
                  </w:r>
                  <w:r>
                    <w:rPr>
                      <w:rFonts w:hint="eastAsia" w:ascii="宋体" w:hAnsi="宋体"/>
                      <w:kern w:val="0"/>
                      <w:sz w:val="21"/>
                      <w:szCs w:val="21"/>
                    </w:rPr>
                    <w:t>环境风险防控</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3FFB6">
                  <w:pPr>
                    <w:widowControl/>
                    <w:jc w:val="center"/>
                    <w:rPr>
                      <w:kern w:val="0"/>
                      <w:sz w:val="21"/>
                      <w:szCs w:val="21"/>
                    </w:rPr>
                  </w:pPr>
                  <w:r>
                    <w:rPr>
                      <w:rFonts w:hint="eastAsia"/>
                      <w:kern w:val="0"/>
                      <w:sz w:val="21"/>
                      <w:szCs w:val="21"/>
                    </w:rPr>
                    <w:t>A3.1</w:t>
                  </w:r>
                  <w:r>
                    <w:rPr>
                      <w:rFonts w:hint="eastAsia" w:ascii="宋体" w:hAnsi="宋体"/>
                      <w:kern w:val="0"/>
                      <w:sz w:val="21"/>
                      <w:szCs w:val="21"/>
                    </w:rPr>
                    <w:t>人居环境要求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045AB6E">
                  <w:pPr>
                    <w:widowControl/>
                    <w:jc w:val="center"/>
                    <w:rPr>
                      <w:kern w:val="0"/>
                      <w:sz w:val="21"/>
                      <w:szCs w:val="21"/>
                    </w:rPr>
                  </w:pPr>
                  <w:r>
                    <w:rPr>
                      <w:rFonts w:hint="eastAsia" w:ascii="宋体" w:hAnsi="宋体"/>
                      <w:kern w:val="0"/>
                      <w:sz w:val="21"/>
                      <w:szCs w:val="21"/>
                    </w:rPr>
                    <w:t>建立和完善重污染天气兵地联合应急预案、预报预警应急机制和会商联动机制。“乌</w:t>
                  </w:r>
                  <w:r>
                    <w:rPr>
                      <w:rFonts w:hint="eastAsia"/>
                      <w:kern w:val="0"/>
                      <w:sz w:val="21"/>
                      <w:szCs w:val="21"/>
                    </w:rPr>
                    <w:t>-</w:t>
                  </w:r>
                  <w:r>
                    <w:rPr>
                      <w:rFonts w:hint="eastAsia" w:ascii="宋体" w:hAnsi="宋体"/>
                      <w:kern w:val="0"/>
                      <w:sz w:val="21"/>
                      <w:szCs w:val="21"/>
                    </w:rPr>
                    <w:t>昌</w:t>
                  </w:r>
                  <w:r>
                    <w:rPr>
                      <w:rFonts w:hint="eastAsia"/>
                      <w:kern w:val="0"/>
                      <w:sz w:val="21"/>
                      <w:szCs w:val="21"/>
                    </w:rPr>
                    <w:t>-</w:t>
                  </w:r>
                  <w:r>
                    <w:rPr>
                      <w:rFonts w:hint="eastAsia" w:ascii="宋体" w:hAnsi="宋体"/>
                      <w:kern w:val="0"/>
                      <w:sz w:val="21"/>
                      <w:szCs w:val="21"/>
                    </w:rPr>
                    <w:t>石”区域内可能影响相邻行政区域大气环境的项目，兵地间、城市间必须相互征求意见</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BCE6B49">
                  <w:pPr>
                    <w:widowControl/>
                    <w:jc w:val="center"/>
                    <w:rPr>
                      <w:kern w:val="0"/>
                      <w:sz w:val="21"/>
                      <w:szCs w:val="21"/>
                    </w:rPr>
                  </w:pPr>
                  <w:r>
                    <w:rPr>
                      <w:rFonts w:hint="eastAsia" w:ascii="宋体" w:hAnsi="宋体"/>
                      <w:kern w:val="0"/>
                      <w:sz w:val="21"/>
                      <w:szCs w:val="21"/>
                    </w:rPr>
                    <w:t>本项目位于奇台县喇嘛湖梁工业园区，不属于可能影响相邻行政区域大气环境的项目</w:t>
                  </w:r>
                </w:p>
              </w:tc>
              <w:tc>
                <w:tcPr>
                  <w:tcW w:w="528" w:type="dxa"/>
                  <w:tcBorders>
                    <w:top w:val="single" w:color="auto" w:sz="4" w:space="0"/>
                    <w:left w:val="single" w:color="auto" w:sz="4" w:space="0"/>
                    <w:bottom w:val="single" w:color="auto" w:sz="4" w:space="0"/>
                    <w:right w:val="nil"/>
                  </w:tcBorders>
                  <w:shd w:val="clear" w:color="auto" w:fill="auto"/>
                  <w:vAlign w:val="center"/>
                </w:tcPr>
                <w:p w14:paraId="28F69E92">
                  <w:pPr>
                    <w:widowControl/>
                    <w:jc w:val="center"/>
                    <w:rPr>
                      <w:kern w:val="0"/>
                      <w:sz w:val="21"/>
                      <w:szCs w:val="21"/>
                    </w:rPr>
                  </w:pPr>
                  <w:r>
                    <w:rPr>
                      <w:rFonts w:hint="eastAsia" w:ascii="宋体" w:hAnsi="宋体"/>
                      <w:kern w:val="0"/>
                      <w:sz w:val="21"/>
                      <w:szCs w:val="21"/>
                    </w:rPr>
                    <w:t>符合</w:t>
                  </w:r>
                </w:p>
              </w:tc>
            </w:tr>
            <w:tr w14:paraId="059E31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A90E1DA">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54D32">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EDF71AD">
                  <w:pPr>
                    <w:widowControl/>
                    <w:jc w:val="center"/>
                    <w:rPr>
                      <w:kern w:val="0"/>
                      <w:sz w:val="21"/>
                      <w:szCs w:val="21"/>
                    </w:rPr>
                  </w:pPr>
                  <w:r>
                    <w:rPr>
                      <w:rFonts w:hint="eastAsia" w:ascii="宋体" w:hAnsi="宋体"/>
                      <w:kern w:val="0"/>
                      <w:sz w:val="21"/>
                      <w:szCs w:val="21"/>
                    </w:rPr>
                    <w:t>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D18ACA7">
                  <w:pPr>
                    <w:widowControl/>
                    <w:jc w:val="center"/>
                    <w:rPr>
                      <w:kern w:val="0"/>
                      <w:sz w:val="21"/>
                      <w:szCs w:val="21"/>
                    </w:rPr>
                  </w:pPr>
                  <w:r>
                    <w:rPr>
                      <w:rFonts w:hint="eastAsia" w:ascii="宋体" w:hAnsi="宋体"/>
                      <w:kern w:val="0"/>
                      <w:sz w:val="21"/>
                      <w:szCs w:val="21"/>
                    </w:rPr>
                    <w:t>本项目不涉及突发水环境事件</w:t>
                  </w:r>
                </w:p>
              </w:tc>
              <w:tc>
                <w:tcPr>
                  <w:tcW w:w="528" w:type="dxa"/>
                  <w:tcBorders>
                    <w:top w:val="single" w:color="auto" w:sz="4" w:space="0"/>
                    <w:left w:val="single" w:color="auto" w:sz="4" w:space="0"/>
                    <w:bottom w:val="single" w:color="auto" w:sz="4" w:space="0"/>
                    <w:right w:val="nil"/>
                  </w:tcBorders>
                  <w:shd w:val="clear" w:color="auto" w:fill="auto"/>
                  <w:vAlign w:val="center"/>
                </w:tcPr>
                <w:p w14:paraId="26A43BFD">
                  <w:pPr>
                    <w:widowControl/>
                    <w:jc w:val="center"/>
                    <w:rPr>
                      <w:kern w:val="0"/>
                      <w:sz w:val="21"/>
                      <w:szCs w:val="21"/>
                    </w:rPr>
                  </w:pPr>
                  <w:r>
                    <w:rPr>
                      <w:rFonts w:hint="eastAsia" w:ascii="宋体" w:hAnsi="宋体"/>
                      <w:kern w:val="0"/>
                      <w:sz w:val="21"/>
                      <w:szCs w:val="21"/>
                    </w:rPr>
                    <w:t>符合</w:t>
                  </w:r>
                </w:p>
              </w:tc>
            </w:tr>
            <w:tr w14:paraId="1064B9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0CBA466">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EA224">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24F04B1">
                  <w:pPr>
                    <w:widowControl/>
                    <w:jc w:val="center"/>
                    <w:rPr>
                      <w:kern w:val="0"/>
                      <w:sz w:val="21"/>
                      <w:szCs w:val="21"/>
                    </w:rPr>
                  </w:pPr>
                  <w:r>
                    <w:rPr>
                      <w:rFonts w:hint="eastAsia" w:ascii="宋体" w:hAnsi="宋体"/>
                      <w:kern w:val="0"/>
                      <w:sz w:val="21"/>
                      <w:szCs w:val="21"/>
                    </w:rPr>
                    <w:t>强化重污染天气监测预报预警能力，建立和完善重污染天气兵地联合应急预案、预警应急机制和会商联动机制，加强轻、中度污染天气管控</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C73A3F5">
                  <w:pPr>
                    <w:widowControl/>
                    <w:jc w:val="center"/>
                    <w:rPr>
                      <w:kern w:val="0"/>
                      <w:sz w:val="21"/>
                      <w:szCs w:val="21"/>
                    </w:rPr>
                  </w:pPr>
                  <w:r>
                    <w:rPr>
                      <w:rFonts w:hint="eastAsia" w:ascii="宋体" w:hAnsi="宋体"/>
                      <w:kern w:val="0"/>
                      <w:sz w:val="21"/>
                      <w:szCs w:val="21"/>
                    </w:rPr>
                    <w:t>本次评价要求项目应急预案与当地衔接</w:t>
                  </w:r>
                </w:p>
              </w:tc>
              <w:tc>
                <w:tcPr>
                  <w:tcW w:w="528" w:type="dxa"/>
                  <w:tcBorders>
                    <w:top w:val="single" w:color="auto" w:sz="4" w:space="0"/>
                    <w:left w:val="single" w:color="auto" w:sz="4" w:space="0"/>
                    <w:bottom w:val="single" w:color="auto" w:sz="4" w:space="0"/>
                    <w:right w:val="nil"/>
                  </w:tcBorders>
                  <w:shd w:val="clear" w:color="auto" w:fill="auto"/>
                  <w:vAlign w:val="center"/>
                </w:tcPr>
                <w:p w14:paraId="7B65EDE7">
                  <w:pPr>
                    <w:widowControl/>
                    <w:jc w:val="center"/>
                    <w:rPr>
                      <w:kern w:val="0"/>
                      <w:sz w:val="21"/>
                      <w:szCs w:val="21"/>
                    </w:rPr>
                  </w:pPr>
                  <w:r>
                    <w:rPr>
                      <w:rFonts w:hint="eastAsia" w:ascii="宋体" w:hAnsi="宋体"/>
                      <w:kern w:val="0"/>
                      <w:sz w:val="21"/>
                      <w:szCs w:val="21"/>
                    </w:rPr>
                    <w:t>符合</w:t>
                  </w:r>
                </w:p>
              </w:tc>
            </w:tr>
            <w:tr w14:paraId="5AFC5E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32DEDE0">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0B5397">
                  <w:pPr>
                    <w:widowControl/>
                    <w:jc w:val="center"/>
                    <w:rPr>
                      <w:kern w:val="0"/>
                      <w:sz w:val="21"/>
                      <w:szCs w:val="21"/>
                    </w:rPr>
                  </w:pPr>
                  <w:r>
                    <w:rPr>
                      <w:rFonts w:hint="eastAsia"/>
                      <w:kern w:val="0"/>
                      <w:sz w:val="21"/>
                      <w:szCs w:val="21"/>
                    </w:rPr>
                    <w:t>A3.2</w:t>
                  </w:r>
                  <w:r>
                    <w:rPr>
                      <w:rFonts w:hint="eastAsia" w:ascii="宋体" w:hAnsi="宋体"/>
                      <w:kern w:val="0"/>
                      <w:sz w:val="21"/>
                      <w:szCs w:val="21"/>
                    </w:rPr>
                    <w:t>联防联控要求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1927797">
                  <w:pPr>
                    <w:widowControl/>
                    <w:jc w:val="center"/>
                    <w:rPr>
                      <w:kern w:val="0"/>
                      <w:sz w:val="21"/>
                      <w:szCs w:val="21"/>
                    </w:rPr>
                  </w:pPr>
                  <w:r>
                    <w:rPr>
                      <w:rFonts w:hint="eastAsia" w:ascii="宋体" w:hAnsi="宋体"/>
                      <w:kern w:val="0"/>
                      <w:sz w:val="21"/>
                      <w:szCs w:val="21"/>
                    </w:rPr>
                    <w:t>提升饮用水安全保障水平。以县级及以上集中式饮用水水源地为重点，推进饮用水水源保护区规范化建设，统筹推进备用水源或应急水源建设。单一水源供水的重点城市于</w:t>
                  </w:r>
                  <w:r>
                    <w:rPr>
                      <w:rFonts w:hint="eastAsia"/>
                      <w:kern w:val="0"/>
                      <w:sz w:val="21"/>
                      <w:szCs w:val="21"/>
                    </w:rPr>
                    <w:t>2025</w:t>
                  </w:r>
                  <w:r>
                    <w:rPr>
                      <w:rFonts w:hint="eastAsia" w:ascii="宋体" w:hAnsi="宋体"/>
                      <w:kern w:val="0"/>
                      <w:sz w:val="21"/>
                      <w:szCs w:val="21"/>
                    </w:rPr>
                    <w:t>年底前基本完成备用水源或应急水源建设，有条件的地区开展兵地互为备用水源建设。梯次推进农村集中式饮用水水源保护区划定，到</w:t>
                  </w:r>
                  <w:r>
                    <w:rPr>
                      <w:rFonts w:hint="eastAsia"/>
                      <w:kern w:val="0"/>
                      <w:sz w:val="21"/>
                      <w:szCs w:val="21"/>
                    </w:rPr>
                    <w:t>2025</w:t>
                  </w:r>
                  <w:r>
                    <w:rPr>
                      <w:rFonts w:hint="eastAsia" w:ascii="宋体" w:hAnsi="宋体"/>
                      <w:kern w:val="0"/>
                      <w:sz w:val="21"/>
                      <w:szCs w:val="21"/>
                    </w:rPr>
                    <w:t>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3B029B05">
                  <w:pPr>
                    <w:widowControl/>
                    <w:jc w:val="center"/>
                    <w:rPr>
                      <w:kern w:val="0"/>
                      <w:sz w:val="21"/>
                      <w:szCs w:val="21"/>
                    </w:rPr>
                  </w:pPr>
                  <w:r>
                    <w:rPr>
                      <w:rFonts w:hint="eastAsia" w:ascii="宋体" w:hAnsi="宋体"/>
                      <w:kern w:val="0"/>
                      <w:sz w:val="21"/>
                      <w:szCs w:val="21"/>
                    </w:rPr>
                    <w:t>本项目依托园区供水管网供给</w:t>
                  </w:r>
                </w:p>
              </w:tc>
              <w:tc>
                <w:tcPr>
                  <w:tcW w:w="528" w:type="dxa"/>
                  <w:tcBorders>
                    <w:top w:val="single" w:color="auto" w:sz="4" w:space="0"/>
                    <w:left w:val="single" w:color="auto" w:sz="4" w:space="0"/>
                    <w:bottom w:val="single" w:color="auto" w:sz="4" w:space="0"/>
                    <w:right w:val="nil"/>
                  </w:tcBorders>
                  <w:shd w:val="clear" w:color="auto" w:fill="auto"/>
                  <w:vAlign w:val="center"/>
                </w:tcPr>
                <w:p w14:paraId="6E01ED60">
                  <w:pPr>
                    <w:widowControl/>
                    <w:jc w:val="center"/>
                    <w:rPr>
                      <w:kern w:val="0"/>
                      <w:sz w:val="21"/>
                      <w:szCs w:val="21"/>
                    </w:rPr>
                  </w:pPr>
                  <w:r>
                    <w:rPr>
                      <w:rFonts w:hint="eastAsia" w:ascii="宋体" w:hAnsi="宋体"/>
                      <w:kern w:val="0"/>
                      <w:sz w:val="21"/>
                      <w:szCs w:val="21"/>
                    </w:rPr>
                    <w:t>符合</w:t>
                  </w:r>
                </w:p>
              </w:tc>
            </w:tr>
            <w:tr w14:paraId="626F3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EC44FF8">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CA386">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D5A41FD">
                  <w:pPr>
                    <w:widowControl/>
                    <w:jc w:val="center"/>
                    <w:rPr>
                      <w:kern w:val="0"/>
                      <w:sz w:val="21"/>
                      <w:szCs w:val="21"/>
                    </w:rPr>
                  </w:pPr>
                  <w:r>
                    <w:rPr>
                      <w:rFonts w:hint="eastAsia" w:ascii="宋体" w:hAnsi="宋体"/>
                      <w:kern w:val="0"/>
                      <w:sz w:val="21"/>
                      <w:szCs w:val="21"/>
                    </w:rPr>
                    <w:t>依法推行农用地分类管理制度，强化受污染耕地安全利用和风险管控。因地制宜制定实施安全利用方案，鼓励采取种植结构调整等措施，确保受污染耕地全部实现安全利用。</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3AA27FEC">
                  <w:pPr>
                    <w:widowControl/>
                    <w:jc w:val="center"/>
                    <w:rPr>
                      <w:kern w:val="0"/>
                      <w:sz w:val="21"/>
                      <w:szCs w:val="21"/>
                    </w:rPr>
                  </w:pPr>
                  <w:r>
                    <w:rPr>
                      <w:rFonts w:hint="eastAsia" w:ascii="宋体" w:hAnsi="宋体"/>
                      <w:kern w:val="0"/>
                      <w:sz w:val="21"/>
                      <w:szCs w:val="21"/>
                    </w:rPr>
                    <w:t>本项目不涉及</w:t>
                  </w:r>
                </w:p>
              </w:tc>
              <w:tc>
                <w:tcPr>
                  <w:tcW w:w="528" w:type="dxa"/>
                  <w:tcBorders>
                    <w:top w:val="single" w:color="auto" w:sz="4" w:space="0"/>
                    <w:left w:val="single" w:color="auto" w:sz="4" w:space="0"/>
                    <w:bottom w:val="single" w:color="auto" w:sz="4" w:space="0"/>
                    <w:right w:val="nil"/>
                  </w:tcBorders>
                  <w:shd w:val="clear" w:color="auto" w:fill="auto"/>
                  <w:vAlign w:val="center"/>
                </w:tcPr>
                <w:p w14:paraId="071241B3">
                  <w:pPr>
                    <w:widowControl/>
                    <w:jc w:val="center"/>
                    <w:rPr>
                      <w:kern w:val="0"/>
                      <w:sz w:val="21"/>
                      <w:szCs w:val="21"/>
                    </w:rPr>
                  </w:pPr>
                  <w:r>
                    <w:rPr>
                      <w:rFonts w:hint="eastAsia" w:ascii="宋体" w:hAnsi="宋体"/>
                      <w:kern w:val="0"/>
                      <w:sz w:val="21"/>
                      <w:szCs w:val="21"/>
                    </w:rPr>
                    <w:t>符合</w:t>
                  </w:r>
                </w:p>
              </w:tc>
            </w:tr>
            <w:tr w14:paraId="1490B5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F77DD97">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CD52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40A1735">
                  <w:pPr>
                    <w:widowControl/>
                    <w:jc w:val="center"/>
                    <w:rPr>
                      <w:kern w:val="0"/>
                      <w:sz w:val="21"/>
                      <w:szCs w:val="21"/>
                    </w:rPr>
                  </w:pPr>
                  <w:r>
                    <w:rPr>
                      <w:rFonts w:hint="eastAsia" w:ascii="宋体" w:hAnsi="宋体"/>
                      <w:kern w:val="0"/>
                      <w:sz w:val="21"/>
                      <w:szCs w:val="21"/>
                    </w:rPr>
                    <w:t>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228FE28">
                  <w:pPr>
                    <w:widowControl/>
                    <w:jc w:val="center"/>
                    <w:rPr>
                      <w:kern w:val="0"/>
                      <w:sz w:val="21"/>
                      <w:szCs w:val="21"/>
                    </w:rPr>
                  </w:pPr>
                  <w:r>
                    <w:rPr>
                      <w:rFonts w:hint="eastAsia" w:ascii="宋体" w:hAnsi="宋体"/>
                      <w:kern w:val="0"/>
                      <w:sz w:val="21"/>
                      <w:szCs w:val="21"/>
                    </w:rPr>
                    <w:t>本项目不涉及新污染物</w:t>
                  </w:r>
                </w:p>
              </w:tc>
              <w:tc>
                <w:tcPr>
                  <w:tcW w:w="528" w:type="dxa"/>
                  <w:tcBorders>
                    <w:top w:val="single" w:color="auto" w:sz="4" w:space="0"/>
                    <w:left w:val="single" w:color="auto" w:sz="4" w:space="0"/>
                    <w:bottom w:val="single" w:color="auto" w:sz="4" w:space="0"/>
                    <w:right w:val="nil"/>
                  </w:tcBorders>
                  <w:shd w:val="clear" w:color="auto" w:fill="auto"/>
                  <w:vAlign w:val="center"/>
                </w:tcPr>
                <w:p w14:paraId="59AB1D52">
                  <w:pPr>
                    <w:widowControl/>
                    <w:jc w:val="center"/>
                    <w:rPr>
                      <w:kern w:val="0"/>
                      <w:sz w:val="21"/>
                      <w:szCs w:val="21"/>
                    </w:rPr>
                  </w:pPr>
                  <w:r>
                    <w:rPr>
                      <w:rFonts w:hint="eastAsia" w:ascii="宋体" w:hAnsi="宋体"/>
                      <w:kern w:val="0"/>
                      <w:sz w:val="21"/>
                      <w:szCs w:val="21"/>
                    </w:rPr>
                    <w:t>符合</w:t>
                  </w:r>
                </w:p>
              </w:tc>
            </w:tr>
            <w:tr w14:paraId="4EFD87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EA2BDFF">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FA89F">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4D48C17">
                  <w:pPr>
                    <w:widowControl/>
                    <w:jc w:val="center"/>
                    <w:rPr>
                      <w:kern w:val="0"/>
                      <w:sz w:val="21"/>
                      <w:szCs w:val="21"/>
                    </w:rPr>
                  </w:pPr>
                  <w:r>
                    <w:rPr>
                      <w:rFonts w:hint="eastAsia" w:ascii="宋体" w:hAnsi="宋体"/>
                      <w:kern w:val="0"/>
                      <w:sz w:val="21"/>
                      <w:szCs w:val="21"/>
                    </w:rPr>
                    <w:t>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90F2E43">
                  <w:pPr>
                    <w:widowControl/>
                    <w:jc w:val="center"/>
                    <w:rPr>
                      <w:kern w:val="0"/>
                      <w:sz w:val="21"/>
                      <w:szCs w:val="21"/>
                    </w:rPr>
                  </w:pPr>
                  <w:r>
                    <w:rPr>
                      <w:rFonts w:hint="eastAsia" w:ascii="宋体" w:hAnsi="宋体"/>
                      <w:kern w:val="0"/>
                      <w:sz w:val="21"/>
                      <w:szCs w:val="21"/>
                    </w:rPr>
                    <w:t>本项目位于奇台县喇嘛湖梁工业园区，不属于涉危险废物企业、涉重金属企业、化工园区、集中式饮用水水源地及重点流域</w:t>
                  </w:r>
                </w:p>
              </w:tc>
              <w:tc>
                <w:tcPr>
                  <w:tcW w:w="528" w:type="dxa"/>
                  <w:tcBorders>
                    <w:top w:val="single" w:color="auto" w:sz="4" w:space="0"/>
                    <w:left w:val="single" w:color="auto" w:sz="4" w:space="0"/>
                    <w:bottom w:val="single" w:color="auto" w:sz="4" w:space="0"/>
                    <w:right w:val="nil"/>
                  </w:tcBorders>
                  <w:shd w:val="clear" w:color="auto" w:fill="auto"/>
                  <w:vAlign w:val="center"/>
                </w:tcPr>
                <w:p w14:paraId="366EAD5D">
                  <w:pPr>
                    <w:widowControl/>
                    <w:jc w:val="center"/>
                    <w:rPr>
                      <w:kern w:val="0"/>
                      <w:sz w:val="21"/>
                      <w:szCs w:val="21"/>
                    </w:rPr>
                  </w:pPr>
                  <w:r>
                    <w:rPr>
                      <w:rFonts w:hint="eastAsia" w:ascii="宋体" w:hAnsi="宋体"/>
                      <w:kern w:val="0"/>
                      <w:sz w:val="21"/>
                      <w:szCs w:val="21"/>
                    </w:rPr>
                    <w:t>符合</w:t>
                  </w:r>
                </w:p>
              </w:tc>
            </w:tr>
            <w:tr w14:paraId="7743F1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6F3B7500">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4626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E400EB7">
                  <w:pPr>
                    <w:widowControl/>
                    <w:jc w:val="center"/>
                    <w:rPr>
                      <w:kern w:val="0"/>
                      <w:sz w:val="21"/>
                      <w:szCs w:val="21"/>
                    </w:rPr>
                  </w:pPr>
                  <w:r>
                    <w:rPr>
                      <w:rFonts w:hint="eastAsia" w:ascii="宋体" w:hAnsi="宋体"/>
                      <w:kern w:val="0"/>
                      <w:sz w:val="21"/>
                      <w:szCs w:val="21"/>
                    </w:rPr>
                    <w:t>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A8161A3">
                  <w:pPr>
                    <w:widowControl/>
                    <w:jc w:val="center"/>
                    <w:rPr>
                      <w:kern w:val="0"/>
                      <w:sz w:val="21"/>
                      <w:szCs w:val="21"/>
                    </w:rPr>
                  </w:pPr>
                  <w:r>
                    <w:rPr>
                      <w:rFonts w:hint="eastAsia" w:ascii="宋体" w:hAnsi="宋体"/>
                      <w:kern w:val="0"/>
                      <w:sz w:val="21"/>
                      <w:szCs w:val="21"/>
                    </w:rPr>
                    <w:t>本次评价要求企业编制突发环境事件应急预案，加强应急监测装备配置，定期开展应急演练，增强实战能力</w:t>
                  </w:r>
                </w:p>
              </w:tc>
              <w:tc>
                <w:tcPr>
                  <w:tcW w:w="528" w:type="dxa"/>
                  <w:tcBorders>
                    <w:top w:val="single" w:color="auto" w:sz="4" w:space="0"/>
                    <w:left w:val="single" w:color="auto" w:sz="4" w:space="0"/>
                    <w:bottom w:val="single" w:color="auto" w:sz="4" w:space="0"/>
                    <w:right w:val="nil"/>
                  </w:tcBorders>
                  <w:shd w:val="clear" w:color="auto" w:fill="auto"/>
                  <w:vAlign w:val="center"/>
                </w:tcPr>
                <w:p w14:paraId="308B9E48">
                  <w:pPr>
                    <w:widowControl/>
                    <w:jc w:val="center"/>
                    <w:rPr>
                      <w:kern w:val="0"/>
                      <w:sz w:val="21"/>
                      <w:szCs w:val="21"/>
                    </w:rPr>
                  </w:pPr>
                  <w:r>
                    <w:rPr>
                      <w:rFonts w:hint="eastAsia" w:ascii="宋体" w:hAnsi="宋体"/>
                      <w:kern w:val="0"/>
                      <w:sz w:val="21"/>
                      <w:szCs w:val="21"/>
                    </w:rPr>
                    <w:t>符合</w:t>
                  </w:r>
                </w:p>
              </w:tc>
            </w:tr>
            <w:tr w14:paraId="4E3197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494579A">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166EB">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D061325">
                  <w:pPr>
                    <w:widowControl/>
                    <w:jc w:val="center"/>
                    <w:rPr>
                      <w:kern w:val="0"/>
                      <w:sz w:val="21"/>
                      <w:szCs w:val="21"/>
                    </w:rPr>
                  </w:pPr>
                  <w:r>
                    <w:rPr>
                      <w:rFonts w:hint="eastAsia" w:ascii="宋体" w:hAnsi="宋体"/>
                      <w:kern w:val="0"/>
                      <w:sz w:val="21"/>
                      <w:szCs w:val="21"/>
                    </w:rPr>
                    <w:t>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7D19611B">
                  <w:pPr>
                    <w:widowControl/>
                    <w:jc w:val="center"/>
                    <w:rPr>
                      <w:kern w:val="0"/>
                      <w:sz w:val="21"/>
                      <w:szCs w:val="21"/>
                    </w:rPr>
                  </w:pPr>
                  <w:r>
                    <w:rPr>
                      <w:rFonts w:hint="eastAsia" w:ascii="宋体" w:hAnsi="宋体"/>
                      <w:kern w:val="0"/>
                      <w:sz w:val="21"/>
                      <w:szCs w:val="21"/>
                    </w:rPr>
                    <w:t>本项目符合园区规划，符合国家产业政策</w:t>
                  </w:r>
                </w:p>
              </w:tc>
              <w:tc>
                <w:tcPr>
                  <w:tcW w:w="528" w:type="dxa"/>
                  <w:tcBorders>
                    <w:top w:val="single" w:color="auto" w:sz="4" w:space="0"/>
                    <w:left w:val="single" w:color="auto" w:sz="4" w:space="0"/>
                    <w:bottom w:val="single" w:color="auto" w:sz="4" w:space="0"/>
                    <w:right w:val="nil"/>
                  </w:tcBorders>
                  <w:shd w:val="clear" w:color="auto" w:fill="auto"/>
                  <w:vAlign w:val="center"/>
                </w:tcPr>
                <w:p w14:paraId="51AF53E0">
                  <w:pPr>
                    <w:widowControl/>
                    <w:jc w:val="center"/>
                    <w:rPr>
                      <w:kern w:val="0"/>
                      <w:sz w:val="21"/>
                      <w:szCs w:val="21"/>
                    </w:rPr>
                  </w:pPr>
                  <w:r>
                    <w:rPr>
                      <w:rFonts w:hint="eastAsia" w:ascii="宋体" w:hAnsi="宋体"/>
                      <w:kern w:val="0"/>
                      <w:sz w:val="21"/>
                      <w:szCs w:val="21"/>
                    </w:rPr>
                    <w:t>符合</w:t>
                  </w:r>
                </w:p>
              </w:tc>
            </w:tr>
            <w:tr w14:paraId="253A20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top w:val="single" w:color="auto" w:sz="4" w:space="0"/>
                    <w:left w:val="nil"/>
                    <w:bottom w:val="single" w:color="auto" w:sz="4" w:space="0"/>
                    <w:right w:val="single" w:color="auto" w:sz="4" w:space="0"/>
                  </w:tcBorders>
                  <w:shd w:val="clear" w:color="auto" w:fill="auto"/>
                  <w:vAlign w:val="center"/>
                </w:tcPr>
                <w:p w14:paraId="5F7B1160">
                  <w:pPr>
                    <w:widowControl/>
                    <w:jc w:val="center"/>
                    <w:rPr>
                      <w:kern w:val="0"/>
                      <w:sz w:val="21"/>
                      <w:szCs w:val="21"/>
                    </w:rPr>
                  </w:pPr>
                  <w:r>
                    <w:rPr>
                      <w:rFonts w:hint="eastAsia"/>
                      <w:kern w:val="0"/>
                      <w:sz w:val="21"/>
                      <w:szCs w:val="21"/>
                    </w:rPr>
                    <w:t>A.4</w:t>
                  </w:r>
                  <w:r>
                    <w:rPr>
                      <w:rFonts w:hint="eastAsia" w:ascii="宋体" w:hAnsi="宋体"/>
                      <w:kern w:val="0"/>
                      <w:sz w:val="21"/>
                      <w:szCs w:val="21"/>
                    </w:rPr>
                    <w:t>资源利用要求</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66E10">
                  <w:pPr>
                    <w:widowControl/>
                    <w:jc w:val="center"/>
                    <w:rPr>
                      <w:kern w:val="0"/>
                      <w:sz w:val="21"/>
                      <w:szCs w:val="21"/>
                    </w:rPr>
                  </w:pPr>
                  <w:r>
                    <w:rPr>
                      <w:rFonts w:hint="eastAsia"/>
                      <w:kern w:val="0"/>
                      <w:sz w:val="21"/>
                      <w:szCs w:val="21"/>
                    </w:rPr>
                    <w:t>A4.1</w:t>
                  </w:r>
                  <w:r>
                    <w:rPr>
                      <w:rFonts w:hint="eastAsia" w:ascii="宋体" w:hAnsi="宋体"/>
                      <w:kern w:val="0"/>
                      <w:sz w:val="21"/>
                      <w:szCs w:val="21"/>
                    </w:rPr>
                    <w:t>水资源</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1C91BA8">
                  <w:pPr>
                    <w:widowControl/>
                    <w:jc w:val="center"/>
                    <w:rPr>
                      <w:kern w:val="0"/>
                      <w:sz w:val="21"/>
                      <w:szCs w:val="21"/>
                    </w:rPr>
                  </w:pPr>
                  <w:r>
                    <w:rPr>
                      <w:rFonts w:hint="eastAsia" w:ascii="宋体" w:hAnsi="宋体"/>
                      <w:kern w:val="0"/>
                      <w:sz w:val="21"/>
                      <w:szCs w:val="21"/>
                    </w:rPr>
                    <w:t>自治区用水总量</w:t>
                  </w:r>
                  <w:r>
                    <w:rPr>
                      <w:rFonts w:hint="eastAsia"/>
                      <w:kern w:val="0"/>
                      <w:sz w:val="21"/>
                      <w:szCs w:val="21"/>
                    </w:rPr>
                    <w:t>2025</w:t>
                  </w:r>
                  <w:r>
                    <w:rPr>
                      <w:rFonts w:hint="eastAsia" w:ascii="宋体" w:hAnsi="宋体"/>
                      <w:kern w:val="0"/>
                      <w:sz w:val="21"/>
                      <w:szCs w:val="21"/>
                    </w:rPr>
                    <w:t>年、</w:t>
                  </w:r>
                  <w:r>
                    <w:rPr>
                      <w:rFonts w:hint="eastAsia"/>
                      <w:kern w:val="0"/>
                      <w:sz w:val="21"/>
                      <w:szCs w:val="21"/>
                    </w:rPr>
                    <w:t>2030</w:t>
                  </w:r>
                  <w:r>
                    <w:rPr>
                      <w:rFonts w:hint="eastAsia" w:ascii="宋体" w:hAnsi="宋体"/>
                      <w:kern w:val="0"/>
                      <w:sz w:val="21"/>
                      <w:szCs w:val="21"/>
                    </w:rPr>
                    <w:t>年控制在国家下达的指标内</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B36A638">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1A936FF1">
                  <w:pPr>
                    <w:widowControl/>
                    <w:jc w:val="center"/>
                    <w:rPr>
                      <w:kern w:val="0"/>
                      <w:sz w:val="21"/>
                      <w:szCs w:val="21"/>
                    </w:rPr>
                  </w:pPr>
                  <w:r>
                    <w:rPr>
                      <w:rFonts w:hint="eastAsia"/>
                      <w:kern w:val="0"/>
                      <w:sz w:val="21"/>
                      <w:szCs w:val="21"/>
                    </w:rPr>
                    <w:t>/</w:t>
                  </w:r>
                </w:p>
              </w:tc>
            </w:tr>
            <w:tr w14:paraId="3E99F5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1FDD84B">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F9082">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737AE34">
                  <w:pPr>
                    <w:widowControl/>
                    <w:jc w:val="center"/>
                    <w:rPr>
                      <w:kern w:val="0"/>
                      <w:sz w:val="21"/>
                      <w:szCs w:val="21"/>
                    </w:rPr>
                  </w:pPr>
                  <w:r>
                    <w:rPr>
                      <w:rFonts w:hint="eastAsia" w:ascii="宋体" w:hAnsi="宋体"/>
                      <w:kern w:val="0"/>
                      <w:sz w:val="21"/>
                      <w:szCs w:val="21"/>
                    </w:rPr>
                    <w:t>加大城镇污水再生利用工程建设力度，推进区域再生水循环利用，到</w:t>
                  </w:r>
                  <w:r>
                    <w:rPr>
                      <w:rFonts w:hint="eastAsia"/>
                      <w:kern w:val="0"/>
                      <w:sz w:val="21"/>
                      <w:szCs w:val="21"/>
                    </w:rPr>
                    <w:t>2025</w:t>
                  </w:r>
                  <w:r>
                    <w:rPr>
                      <w:rFonts w:hint="eastAsia" w:ascii="宋体" w:hAnsi="宋体"/>
                      <w:kern w:val="0"/>
                      <w:sz w:val="21"/>
                      <w:szCs w:val="21"/>
                    </w:rPr>
                    <w:t>年，城市生活污水再生利用率力争达到</w:t>
                  </w:r>
                  <w:r>
                    <w:rPr>
                      <w:rFonts w:hint="eastAsia"/>
                      <w:kern w:val="0"/>
                      <w:sz w:val="21"/>
                      <w:szCs w:val="21"/>
                    </w:rPr>
                    <w:t>60%</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E22FF11">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7FA02AE1">
                  <w:pPr>
                    <w:widowControl/>
                    <w:jc w:val="center"/>
                    <w:rPr>
                      <w:kern w:val="0"/>
                      <w:sz w:val="21"/>
                      <w:szCs w:val="21"/>
                    </w:rPr>
                  </w:pPr>
                  <w:r>
                    <w:rPr>
                      <w:rFonts w:hint="eastAsia"/>
                      <w:kern w:val="0"/>
                      <w:sz w:val="21"/>
                      <w:szCs w:val="21"/>
                    </w:rPr>
                    <w:t>/</w:t>
                  </w:r>
                </w:p>
              </w:tc>
            </w:tr>
            <w:tr w14:paraId="7352FD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3728BBF">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7E412">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8A55D88">
                  <w:pPr>
                    <w:widowControl/>
                    <w:jc w:val="center"/>
                    <w:rPr>
                      <w:kern w:val="0"/>
                      <w:sz w:val="21"/>
                      <w:szCs w:val="21"/>
                    </w:rPr>
                  </w:pPr>
                  <w:r>
                    <w:rPr>
                      <w:rFonts w:hint="eastAsia" w:ascii="宋体" w:hAnsi="宋体"/>
                      <w:kern w:val="0"/>
                      <w:sz w:val="21"/>
                      <w:szCs w:val="21"/>
                    </w:rPr>
                    <w:t>加强农村水利基础设施建设，推进农村供水保障工程，农村自来水普及率、集中供水率分别达到</w:t>
                  </w:r>
                  <w:r>
                    <w:rPr>
                      <w:rFonts w:hint="eastAsia"/>
                      <w:kern w:val="0"/>
                      <w:sz w:val="21"/>
                      <w:szCs w:val="21"/>
                    </w:rPr>
                    <w:t>99.3%</w:t>
                  </w:r>
                  <w:r>
                    <w:rPr>
                      <w:rFonts w:hint="eastAsia" w:ascii="宋体" w:hAnsi="宋体"/>
                      <w:kern w:val="0"/>
                      <w:sz w:val="21"/>
                      <w:szCs w:val="21"/>
                    </w:rPr>
                    <w:t>、</w:t>
                  </w:r>
                  <w:r>
                    <w:rPr>
                      <w:rFonts w:hint="eastAsia"/>
                      <w:kern w:val="0"/>
                      <w:sz w:val="21"/>
                      <w:szCs w:val="21"/>
                    </w:rPr>
                    <w:t>99.7%</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B01FFD4">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66C01E30">
                  <w:pPr>
                    <w:widowControl/>
                    <w:jc w:val="center"/>
                    <w:rPr>
                      <w:kern w:val="0"/>
                      <w:sz w:val="21"/>
                      <w:szCs w:val="21"/>
                    </w:rPr>
                  </w:pPr>
                  <w:r>
                    <w:rPr>
                      <w:rFonts w:hint="eastAsia"/>
                      <w:kern w:val="0"/>
                      <w:sz w:val="21"/>
                      <w:szCs w:val="21"/>
                    </w:rPr>
                    <w:t>/</w:t>
                  </w:r>
                </w:p>
              </w:tc>
            </w:tr>
            <w:tr w14:paraId="12037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1DF0CDE">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D7C6F">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B9B9BB8">
                  <w:pPr>
                    <w:widowControl/>
                    <w:jc w:val="center"/>
                    <w:rPr>
                      <w:kern w:val="0"/>
                      <w:sz w:val="21"/>
                      <w:szCs w:val="21"/>
                    </w:rPr>
                  </w:pPr>
                  <w:r>
                    <w:rPr>
                      <w:rFonts w:hint="eastAsia" w:ascii="宋体" w:hAnsi="宋体"/>
                      <w:kern w:val="0"/>
                      <w:sz w:val="21"/>
                      <w:szCs w:val="21"/>
                    </w:rPr>
                    <w:t>地下水资源利用实行总量控制和水位控制。取用地下水资源，应当按照国家和自治区有关规定申请取水许可。地下水利用应当以浅层地下水为主</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BB1C32D">
                  <w:pPr>
                    <w:widowControl/>
                    <w:jc w:val="center"/>
                    <w:rPr>
                      <w:kern w:val="0"/>
                      <w:sz w:val="21"/>
                      <w:szCs w:val="21"/>
                    </w:rPr>
                  </w:pPr>
                  <w:r>
                    <w:rPr>
                      <w:rFonts w:hint="eastAsia" w:ascii="宋体" w:hAnsi="宋体"/>
                      <w:kern w:val="0"/>
                      <w:sz w:val="21"/>
                      <w:szCs w:val="21"/>
                    </w:rPr>
                    <w:t>本项目依托园区供水管网</w:t>
                  </w:r>
                </w:p>
              </w:tc>
              <w:tc>
                <w:tcPr>
                  <w:tcW w:w="528" w:type="dxa"/>
                  <w:tcBorders>
                    <w:top w:val="single" w:color="auto" w:sz="4" w:space="0"/>
                    <w:left w:val="single" w:color="auto" w:sz="4" w:space="0"/>
                    <w:bottom w:val="single" w:color="auto" w:sz="4" w:space="0"/>
                    <w:right w:val="nil"/>
                  </w:tcBorders>
                  <w:shd w:val="clear" w:color="auto" w:fill="auto"/>
                  <w:vAlign w:val="center"/>
                </w:tcPr>
                <w:p w14:paraId="4D996D50">
                  <w:pPr>
                    <w:widowControl/>
                    <w:jc w:val="center"/>
                    <w:rPr>
                      <w:kern w:val="0"/>
                      <w:sz w:val="21"/>
                      <w:szCs w:val="21"/>
                    </w:rPr>
                  </w:pPr>
                  <w:r>
                    <w:rPr>
                      <w:rFonts w:hint="eastAsia" w:ascii="宋体" w:hAnsi="宋体"/>
                      <w:kern w:val="0"/>
                      <w:sz w:val="21"/>
                      <w:szCs w:val="21"/>
                    </w:rPr>
                    <w:t>符合</w:t>
                  </w:r>
                </w:p>
              </w:tc>
            </w:tr>
            <w:tr w14:paraId="044E3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2A52F24C">
                  <w:pPr>
                    <w:widowControl/>
                    <w:jc w:val="center"/>
                    <w:rPr>
                      <w:kern w:val="0"/>
                      <w:sz w:val="21"/>
                      <w:szCs w:val="21"/>
                    </w:rPr>
                  </w:pP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14:paraId="4B261278">
                  <w:pPr>
                    <w:widowControl/>
                    <w:jc w:val="center"/>
                    <w:rPr>
                      <w:kern w:val="0"/>
                      <w:sz w:val="21"/>
                      <w:szCs w:val="21"/>
                    </w:rPr>
                  </w:pPr>
                  <w:r>
                    <w:rPr>
                      <w:rFonts w:hint="eastAsia"/>
                      <w:kern w:val="0"/>
                      <w:sz w:val="21"/>
                      <w:szCs w:val="21"/>
                    </w:rPr>
                    <w:t>A4.2</w:t>
                  </w:r>
                  <w:r>
                    <w:rPr>
                      <w:rFonts w:hint="eastAsia" w:ascii="宋体" w:hAnsi="宋体"/>
                      <w:kern w:val="0"/>
                      <w:sz w:val="21"/>
                      <w:szCs w:val="21"/>
                    </w:rPr>
                    <w:t>土地资源</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E9F5CAA">
                  <w:pPr>
                    <w:widowControl/>
                    <w:jc w:val="center"/>
                    <w:rPr>
                      <w:kern w:val="0"/>
                      <w:sz w:val="21"/>
                      <w:szCs w:val="21"/>
                    </w:rPr>
                  </w:pPr>
                  <w:r>
                    <w:rPr>
                      <w:rFonts w:hint="eastAsia" w:ascii="宋体" w:hAnsi="宋体"/>
                      <w:kern w:val="0"/>
                      <w:sz w:val="21"/>
                      <w:szCs w:val="21"/>
                    </w:rPr>
                    <w:t>土地资源上线指标控制在最终批复的国土空间规划控制指标内</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12B29BC9">
                  <w:pPr>
                    <w:widowControl/>
                    <w:jc w:val="center"/>
                    <w:rPr>
                      <w:kern w:val="0"/>
                      <w:sz w:val="21"/>
                      <w:szCs w:val="21"/>
                    </w:rPr>
                  </w:pPr>
                  <w:r>
                    <w:rPr>
                      <w:rFonts w:hint="eastAsia" w:ascii="宋体" w:hAnsi="宋体"/>
                      <w:kern w:val="0"/>
                      <w:sz w:val="21"/>
                      <w:szCs w:val="21"/>
                    </w:rPr>
                    <w:t>本项目土地资源上线指标控制在最终批复的国土空间规划控制指标内</w:t>
                  </w:r>
                </w:p>
              </w:tc>
              <w:tc>
                <w:tcPr>
                  <w:tcW w:w="528" w:type="dxa"/>
                  <w:tcBorders>
                    <w:top w:val="single" w:color="auto" w:sz="4" w:space="0"/>
                    <w:left w:val="single" w:color="auto" w:sz="4" w:space="0"/>
                    <w:bottom w:val="single" w:color="auto" w:sz="4" w:space="0"/>
                    <w:right w:val="nil"/>
                  </w:tcBorders>
                  <w:shd w:val="clear" w:color="auto" w:fill="auto"/>
                  <w:vAlign w:val="center"/>
                </w:tcPr>
                <w:p w14:paraId="690F2012">
                  <w:pPr>
                    <w:widowControl/>
                    <w:jc w:val="center"/>
                    <w:rPr>
                      <w:kern w:val="0"/>
                      <w:sz w:val="21"/>
                      <w:szCs w:val="21"/>
                    </w:rPr>
                  </w:pPr>
                  <w:r>
                    <w:rPr>
                      <w:rFonts w:hint="eastAsia" w:ascii="宋体" w:hAnsi="宋体"/>
                      <w:kern w:val="0"/>
                      <w:sz w:val="21"/>
                      <w:szCs w:val="21"/>
                    </w:rPr>
                    <w:t>符合</w:t>
                  </w:r>
                </w:p>
              </w:tc>
            </w:tr>
            <w:tr w14:paraId="27DA4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7F7C0AA">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A7273B">
                  <w:pPr>
                    <w:widowControl/>
                    <w:jc w:val="center"/>
                    <w:rPr>
                      <w:kern w:val="0"/>
                      <w:sz w:val="21"/>
                      <w:szCs w:val="21"/>
                    </w:rPr>
                  </w:pPr>
                  <w:r>
                    <w:rPr>
                      <w:rFonts w:hint="eastAsia"/>
                      <w:kern w:val="0"/>
                      <w:sz w:val="21"/>
                      <w:szCs w:val="21"/>
                    </w:rPr>
                    <w:t>A4.3</w:t>
                  </w:r>
                  <w:r>
                    <w:rPr>
                      <w:rFonts w:hint="eastAsia" w:ascii="宋体" w:hAnsi="宋体"/>
                      <w:kern w:val="0"/>
                      <w:sz w:val="21"/>
                      <w:szCs w:val="21"/>
                    </w:rPr>
                    <w:t>能源利用</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598C45F">
                  <w:pPr>
                    <w:widowControl/>
                    <w:jc w:val="center"/>
                    <w:rPr>
                      <w:kern w:val="0"/>
                      <w:sz w:val="21"/>
                      <w:szCs w:val="21"/>
                    </w:rPr>
                  </w:pPr>
                  <w:r>
                    <w:rPr>
                      <w:rFonts w:hint="eastAsia" w:ascii="宋体" w:hAnsi="宋体"/>
                      <w:kern w:val="0"/>
                      <w:sz w:val="21"/>
                      <w:szCs w:val="21"/>
                    </w:rPr>
                    <w:t>单位地区生产总值二氧化碳排放降低水平完成国家下达指标</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0B2445B">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31F53AB7">
                  <w:pPr>
                    <w:widowControl/>
                    <w:jc w:val="center"/>
                    <w:rPr>
                      <w:kern w:val="0"/>
                      <w:sz w:val="21"/>
                      <w:szCs w:val="21"/>
                    </w:rPr>
                  </w:pPr>
                  <w:r>
                    <w:rPr>
                      <w:rFonts w:hint="eastAsia"/>
                      <w:kern w:val="0"/>
                      <w:sz w:val="21"/>
                      <w:szCs w:val="21"/>
                    </w:rPr>
                    <w:t>/</w:t>
                  </w:r>
                </w:p>
              </w:tc>
            </w:tr>
            <w:tr w14:paraId="5275F7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C13EF22">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9EAA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43BF9E3">
                  <w:pPr>
                    <w:widowControl/>
                    <w:jc w:val="center"/>
                    <w:rPr>
                      <w:kern w:val="0"/>
                      <w:sz w:val="21"/>
                      <w:szCs w:val="21"/>
                    </w:rPr>
                  </w:pPr>
                  <w:r>
                    <w:rPr>
                      <w:rFonts w:hint="eastAsia" w:ascii="宋体" w:hAnsi="宋体"/>
                      <w:kern w:val="0"/>
                      <w:sz w:val="21"/>
                      <w:szCs w:val="21"/>
                    </w:rPr>
                    <w:t>到</w:t>
                  </w:r>
                  <w:r>
                    <w:rPr>
                      <w:rFonts w:hint="eastAsia"/>
                      <w:kern w:val="0"/>
                      <w:sz w:val="21"/>
                      <w:szCs w:val="21"/>
                    </w:rPr>
                    <w:t>2025</w:t>
                  </w:r>
                  <w:r>
                    <w:rPr>
                      <w:rFonts w:hint="eastAsia" w:ascii="宋体" w:hAnsi="宋体"/>
                      <w:kern w:val="0"/>
                      <w:sz w:val="21"/>
                      <w:szCs w:val="21"/>
                    </w:rPr>
                    <w:t>年，自治区万元国内生产总值能耗比</w:t>
                  </w:r>
                  <w:r>
                    <w:rPr>
                      <w:rFonts w:hint="eastAsia"/>
                      <w:kern w:val="0"/>
                      <w:sz w:val="21"/>
                      <w:szCs w:val="21"/>
                    </w:rPr>
                    <w:t>2020</w:t>
                  </w:r>
                  <w:r>
                    <w:rPr>
                      <w:rFonts w:hint="eastAsia" w:ascii="宋体" w:hAnsi="宋体"/>
                      <w:kern w:val="0"/>
                      <w:sz w:val="21"/>
                      <w:szCs w:val="21"/>
                    </w:rPr>
                    <w:t>年下降</w:t>
                  </w:r>
                  <w:r>
                    <w:rPr>
                      <w:rFonts w:hint="eastAsia"/>
                      <w:kern w:val="0"/>
                      <w:sz w:val="21"/>
                      <w:szCs w:val="21"/>
                    </w:rPr>
                    <w:t>14.5%</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5BEE3E8C">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5DE26CD4">
                  <w:pPr>
                    <w:widowControl/>
                    <w:jc w:val="center"/>
                    <w:rPr>
                      <w:kern w:val="0"/>
                      <w:sz w:val="21"/>
                      <w:szCs w:val="21"/>
                    </w:rPr>
                  </w:pPr>
                  <w:r>
                    <w:rPr>
                      <w:rFonts w:hint="eastAsia"/>
                      <w:kern w:val="0"/>
                      <w:sz w:val="21"/>
                      <w:szCs w:val="21"/>
                    </w:rPr>
                    <w:t>/</w:t>
                  </w:r>
                </w:p>
              </w:tc>
            </w:tr>
            <w:tr w14:paraId="60D052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12A103F6">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1AA2A">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489F722">
                  <w:pPr>
                    <w:widowControl/>
                    <w:jc w:val="center"/>
                    <w:rPr>
                      <w:kern w:val="0"/>
                      <w:sz w:val="21"/>
                      <w:szCs w:val="21"/>
                    </w:rPr>
                  </w:pPr>
                  <w:r>
                    <w:rPr>
                      <w:rFonts w:hint="eastAsia" w:ascii="宋体" w:hAnsi="宋体"/>
                      <w:kern w:val="0"/>
                      <w:sz w:val="21"/>
                      <w:szCs w:val="21"/>
                    </w:rPr>
                    <w:t>到</w:t>
                  </w:r>
                  <w:r>
                    <w:rPr>
                      <w:rFonts w:hint="eastAsia"/>
                      <w:kern w:val="0"/>
                      <w:sz w:val="21"/>
                      <w:szCs w:val="21"/>
                    </w:rPr>
                    <w:t>2025</w:t>
                  </w:r>
                  <w:r>
                    <w:rPr>
                      <w:rFonts w:hint="eastAsia" w:ascii="宋体" w:hAnsi="宋体"/>
                      <w:kern w:val="0"/>
                      <w:sz w:val="21"/>
                      <w:szCs w:val="21"/>
                    </w:rPr>
                    <w:t>年，非化石能源占一次能源消费比重达</w:t>
                  </w:r>
                  <w:r>
                    <w:rPr>
                      <w:rFonts w:hint="eastAsia"/>
                      <w:kern w:val="0"/>
                      <w:sz w:val="21"/>
                      <w:szCs w:val="21"/>
                    </w:rPr>
                    <w:t>18%</w:t>
                  </w:r>
                  <w:r>
                    <w:rPr>
                      <w:rFonts w:hint="eastAsia" w:ascii="宋体" w:hAnsi="宋体"/>
                      <w:kern w:val="0"/>
                      <w:sz w:val="21"/>
                      <w:szCs w:val="21"/>
                    </w:rPr>
                    <w:t>以上</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BDAA015">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5D3BF91A">
                  <w:pPr>
                    <w:widowControl/>
                    <w:jc w:val="center"/>
                    <w:rPr>
                      <w:kern w:val="0"/>
                      <w:sz w:val="21"/>
                      <w:szCs w:val="21"/>
                    </w:rPr>
                  </w:pPr>
                  <w:r>
                    <w:rPr>
                      <w:rFonts w:hint="eastAsia"/>
                      <w:kern w:val="0"/>
                      <w:sz w:val="21"/>
                      <w:szCs w:val="21"/>
                    </w:rPr>
                    <w:t>/</w:t>
                  </w:r>
                </w:p>
              </w:tc>
            </w:tr>
            <w:tr w14:paraId="623AF1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32F91213">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73121">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18648ABE">
                  <w:pPr>
                    <w:widowControl/>
                    <w:jc w:val="center"/>
                    <w:rPr>
                      <w:kern w:val="0"/>
                      <w:sz w:val="21"/>
                      <w:szCs w:val="21"/>
                    </w:rPr>
                  </w:pPr>
                  <w:r>
                    <w:rPr>
                      <w:rFonts w:hint="eastAsia" w:ascii="宋体" w:hAnsi="宋体"/>
                      <w:kern w:val="0"/>
                      <w:sz w:val="21"/>
                      <w:szCs w:val="21"/>
                    </w:rPr>
                    <w:t>鼓励使用清洁能源或电厂热力、工业余热等替代锅炉、炉窑燃料用煤</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42B6700">
                  <w:pPr>
                    <w:widowControl/>
                    <w:jc w:val="center"/>
                    <w:rPr>
                      <w:kern w:val="0"/>
                      <w:sz w:val="21"/>
                      <w:szCs w:val="21"/>
                    </w:rPr>
                  </w:pPr>
                  <w:r>
                    <w:rPr>
                      <w:rFonts w:hint="eastAsia" w:ascii="宋体" w:hAnsi="宋体"/>
                      <w:kern w:val="0"/>
                      <w:sz w:val="21"/>
                      <w:szCs w:val="21"/>
                    </w:rPr>
                    <w:t>本项目导热油加热和骨料烘干工序采用醇醚燃料作为燃料</w:t>
                  </w:r>
                </w:p>
              </w:tc>
              <w:tc>
                <w:tcPr>
                  <w:tcW w:w="528" w:type="dxa"/>
                  <w:tcBorders>
                    <w:top w:val="single" w:color="auto" w:sz="4" w:space="0"/>
                    <w:left w:val="single" w:color="auto" w:sz="4" w:space="0"/>
                    <w:bottom w:val="single" w:color="auto" w:sz="4" w:space="0"/>
                    <w:right w:val="nil"/>
                  </w:tcBorders>
                  <w:shd w:val="clear" w:color="auto" w:fill="auto"/>
                  <w:vAlign w:val="center"/>
                </w:tcPr>
                <w:p w14:paraId="701B4BE1">
                  <w:pPr>
                    <w:widowControl/>
                    <w:jc w:val="center"/>
                    <w:rPr>
                      <w:kern w:val="0"/>
                      <w:sz w:val="21"/>
                      <w:szCs w:val="21"/>
                    </w:rPr>
                  </w:pPr>
                  <w:r>
                    <w:rPr>
                      <w:rFonts w:hint="eastAsia" w:ascii="宋体" w:hAnsi="宋体"/>
                      <w:kern w:val="0"/>
                      <w:sz w:val="21"/>
                      <w:szCs w:val="21"/>
                    </w:rPr>
                    <w:t>符合</w:t>
                  </w:r>
                </w:p>
              </w:tc>
            </w:tr>
            <w:tr w14:paraId="60ACA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0A543669">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7FEDC">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CB917E9">
                  <w:pPr>
                    <w:widowControl/>
                    <w:jc w:val="center"/>
                    <w:rPr>
                      <w:kern w:val="0"/>
                      <w:sz w:val="21"/>
                      <w:szCs w:val="21"/>
                    </w:rPr>
                  </w:pPr>
                  <w:r>
                    <w:rPr>
                      <w:rFonts w:hint="eastAsia" w:ascii="宋体" w:hAnsi="宋体"/>
                      <w:kern w:val="0"/>
                      <w:sz w:val="21"/>
                      <w:szCs w:val="21"/>
                    </w:rPr>
                    <w:t>以碳达峰碳中和工作为引领，着力提高能源资源利用效率。引导重点行业深入实施清洁生产改造，钢铁、建材、石油化工等重点行业以及其他行业重点用能单位持续开展节能降耗</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3D72541">
                  <w:pPr>
                    <w:widowControl/>
                    <w:jc w:val="center"/>
                    <w:rPr>
                      <w:kern w:val="0"/>
                      <w:sz w:val="21"/>
                      <w:szCs w:val="21"/>
                    </w:rPr>
                  </w:pPr>
                  <w:r>
                    <w:rPr>
                      <w:rFonts w:hint="eastAsia"/>
                      <w:kern w:val="0"/>
                      <w:sz w:val="21"/>
                      <w:szCs w:val="21"/>
                    </w:rPr>
                    <w:t>/</w:t>
                  </w:r>
                </w:p>
              </w:tc>
              <w:tc>
                <w:tcPr>
                  <w:tcW w:w="528" w:type="dxa"/>
                  <w:tcBorders>
                    <w:top w:val="single" w:color="auto" w:sz="4" w:space="0"/>
                    <w:left w:val="single" w:color="auto" w:sz="4" w:space="0"/>
                    <w:bottom w:val="single" w:color="auto" w:sz="4" w:space="0"/>
                    <w:right w:val="nil"/>
                  </w:tcBorders>
                  <w:shd w:val="clear" w:color="auto" w:fill="auto"/>
                  <w:vAlign w:val="center"/>
                </w:tcPr>
                <w:p w14:paraId="0FBCFFC4">
                  <w:pPr>
                    <w:widowControl/>
                    <w:jc w:val="center"/>
                    <w:rPr>
                      <w:kern w:val="0"/>
                      <w:sz w:val="21"/>
                      <w:szCs w:val="21"/>
                    </w:rPr>
                  </w:pPr>
                  <w:r>
                    <w:rPr>
                      <w:rFonts w:hint="eastAsia"/>
                      <w:kern w:val="0"/>
                      <w:sz w:val="21"/>
                      <w:szCs w:val="21"/>
                    </w:rPr>
                    <w:t>/</w:t>
                  </w:r>
                </w:p>
              </w:tc>
            </w:tr>
            <w:tr w14:paraId="44F34F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5B21D8A2">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0AE58">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FAD4A99">
                  <w:pPr>
                    <w:widowControl/>
                    <w:jc w:val="center"/>
                    <w:rPr>
                      <w:kern w:val="0"/>
                      <w:sz w:val="21"/>
                      <w:szCs w:val="21"/>
                    </w:rPr>
                  </w:pPr>
                  <w:r>
                    <w:rPr>
                      <w:rFonts w:hint="eastAsia" w:ascii="宋体" w:hAnsi="宋体"/>
                      <w:kern w:val="0"/>
                      <w:sz w:val="21"/>
                      <w:szCs w:val="21"/>
                    </w:rPr>
                    <w:t>深入推进碳达峰碳中和行动。推动能源清洁低碳转型，加强能耗“双控”管理，优化能源消费结构。新增原料用能不纳入能源消费总量控制。持续推进散煤整治</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613A740">
                  <w:pPr>
                    <w:widowControl/>
                    <w:jc w:val="center"/>
                    <w:rPr>
                      <w:kern w:val="0"/>
                      <w:sz w:val="21"/>
                      <w:szCs w:val="21"/>
                    </w:rPr>
                  </w:pPr>
                  <w:r>
                    <w:rPr>
                      <w:rFonts w:hint="eastAsia" w:ascii="宋体" w:hAnsi="宋体"/>
                      <w:kern w:val="0"/>
                      <w:sz w:val="21"/>
                      <w:szCs w:val="21"/>
                    </w:rPr>
                    <w:t>本项目烘干和加热工序采用醇醚燃料作为燃料</w:t>
                  </w:r>
                </w:p>
              </w:tc>
              <w:tc>
                <w:tcPr>
                  <w:tcW w:w="528" w:type="dxa"/>
                  <w:tcBorders>
                    <w:top w:val="single" w:color="auto" w:sz="4" w:space="0"/>
                    <w:left w:val="single" w:color="auto" w:sz="4" w:space="0"/>
                    <w:bottom w:val="single" w:color="auto" w:sz="4" w:space="0"/>
                    <w:right w:val="nil"/>
                  </w:tcBorders>
                  <w:shd w:val="clear" w:color="auto" w:fill="auto"/>
                  <w:vAlign w:val="center"/>
                </w:tcPr>
                <w:p w14:paraId="5B0409A8">
                  <w:pPr>
                    <w:widowControl/>
                    <w:jc w:val="center"/>
                    <w:rPr>
                      <w:kern w:val="0"/>
                      <w:sz w:val="21"/>
                      <w:szCs w:val="21"/>
                    </w:rPr>
                  </w:pPr>
                  <w:r>
                    <w:rPr>
                      <w:rFonts w:hint="eastAsia" w:ascii="宋体" w:hAnsi="宋体"/>
                      <w:kern w:val="0"/>
                      <w:sz w:val="21"/>
                      <w:szCs w:val="21"/>
                    </w:rPr>
                    <w:t>符合</w:t>
                  </w:r>
                </w:p>
              </w:tc>
            </w:tr>
            <w:tr w14:paraId="2F6169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54AD4D4">
                  <w:pPr>
                    <w:widowControl/>
                    <w:jc w:val="center"/>
                    <w:rPr>
                      <w:kern w:val="0"/>
                      <w:sz w:val="21"/>
                      <w:szCs w:val="21"/>
                    </w:rPr>
                  </w:pP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14:paraId="62D3AE2B">
                  <w:pPr>
                    <w:widowControl/>
                    <w:jc w:val="center"/>
                    <w:rPr>
                      <w:kern w:val="0"/>
                      <w:sz w:val="21"/>
                      <w:szCs w:val="21"/>
                    </w:rPr>
                  </w:pPr>
                  <w:r>
                    <w:rPr>
                      <w:rFonts w:hint="eastAsia"/>
                      <w:kern w:val="0"/>
                      <w:sz w:val="21"/>
                      <w:szCs w:val="21"/>
                    </w:rPr>
                    <w:t>A4.4</w:t>
                  </w:r>
                  <w:r>
                    <w:rPr>
                      <w:rFonts w:hint="eastAsia" w:ascii="宋体" w:hAnsi="宋体"/>
                      <w:kern w:val="0"/>
                      <w:sz w:val="21"/>
                      <w:szCs w:val="21"/>
                    </w:rPr>
                    <w:t>禁燃区要求</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DCD89B3">
                  <w:pPr>
                    <w:widowControl/>
                    <w:jc w:val="center"/>
                    <w:rPr>
                      <w:kern w:val="0"/>
                      <w:sz w:val="21"/>
                      <w:szCs w:val="21"/>
                    </w:rPr>
                  </w:pPr>
                  <w:r>
                    <w:rPr>
                      <w:rFonts w:hint="eastAsia" w:ascii="宋体" w:hAnsi="宋体"/>
                      <w:kern w:val="0"/>
                      <w:sz w:val="21"/>
                      <w:szCs w:val="21"/>
                    </w:rPr>
                    <w:t>在禁燃区内，禁止销售、燃用高污染燃料；禁止新建、扩建燃用高污染燃料的设施。已建成的，应当在规定期限内改用清洁能源</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01288F51">
                  <w:pPr>
                    <w:widowControl/>
                    <w:jc w:val="center"/>
                    <w:rPr>
                      <w:kern w:val="0"/>
                      <w:sz w:val="21"/>
                      <w:szCs w:val="21"/>
                    </w:rPr>
                  </w:pPr>
                  <w:r>
                    <w:rPr>
                      <w:rFonts w:hint="eastAsia" w:ascii="宋体" w:hAnsi="宋体"/>
                      <w:kern w:val="0"/>
                      <w:sz w:val="21"/>
                      <w:szCs w:val="21"/>
                    </w:rPr>
                    <w:t>本项目烘干和加热工序采用醇醚燃料作为燃料</w:t>
                  </w:r>
                </w:p>
              </w:tc>
              <w:tc>
                <w:tcPr>
                  <w:tcW w:w="528" w:type="dxa"/>
                  <w:tcBorders>
                    <w:top w:val="single" w:color="auto" w:sz="4" w:space="0"/>
                    <w:left w:val="single" w:color="auto" w:sz="4" w:space="0"/>
                    <w:bottom w:val="single" w:color="auto" w:sz="4" w:space="0"/>
                    <w:right w:val="nil"/>
                  </w:tcBorders>
                  <w:shd w:val="clear" w:color="auto" w:fill="auto"/>
                  <w:vAlign w:val="center"/>
                </w:tcPr>
                <w:p w14:paraId="0C0ED080">
                  <w:pPr>
                    <w:widowControl/>
                    <w:jc w:val="center"/>
                    <w:rPr>
                      <w:kern w:val="0"/>
                      <w:sz w:val="21"/>
                      <w:szCs w:val="21"/>
                    </w:rPr>
                  </w:pPr>
                  <w:r>
                    <w:rPr>
                      <w:rFonts w:hint="eastAsia" w:ascii="宋体" w:hAnsi="宋体"/>
                      <w:kern w:val="0"/>
                      <w:sz w:val="21"/>
                      <w:szCs w:val="21"/>
                    </w:rPr>
                    <w:t>符合</w:t>
                  </w:r>
                </w:p>
              </w:tc>
            </w:tr>
            <w:tr w14:paraId="50BCA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70E1020">
                  <w:pPr>
                    <w:widowControl/>
                    <w:jc w:val="center"/>
                    <w:rPr>
                      <w:kern w:val="0"/>
                      <w:sz w:val="21"/>
                      <w:szCs w:val="21"/>
                    </w:rPr>
                  </w:pP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8D731C">
                  <w:pPr>
                    <w:widowControl/>
                    <w:jc w:val="center"/>
                    <w:rPr>
                      <w:kern w:val="0"/>
                      <w:sz w:val="21"/>
                      <w:szCs w:val="21"/>
                    </w:rPr>
                  </w:pPr>
                  <w:r>
                    <w:rPr>
                      <w:rFonts w:hint="eastAsia"/>
                      <w:kern w:val="0"/>
                      <w:sz w:val="21"/>
                      <w:szCs w:val="21"/>
                    </w:rPr>
                    <w:t>A4.5</w:t>
                  </w:r>
                  <w:r>
                    <w:rPr>
                      <w:rFonts w:hint="eastAsia" w:ascii="宋体" w:hAnsi="宋体"/>
                      <w:kern w:val="0"/>
                      <w:sz w:val="21"/>
                      <w:szCs w:val="21"/>
                    </w:rPr>
                    <w:t>资源综合利用</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A859BF1">
                  <w:pPr>
                    <w:widowControl/>
                    <w:jc w:val="center"/>
                    <w:rPr>
                      <w:kern w:val="0"/>
                      <w:sz w:val="21"/>
                      <w:szCs w:val="21"/>
                    </w:rPr>
                  </w:pPr>
                  <w:r>
                    <w:rPr>
                      <w:rFonts w:hint="eastAsia" w:ascii="宋体" w:hAnsi="宋体"/>
                      <w:kern w:val="0"/>
                      <w:sz w:val="21"/>
                      <w:szCs w:val="21"/>
                    </w:rPr>
                    <w:t>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w:t>
                  </w:r>
                  <w:r>
                    <w:rPr>
                      <w:rFonts w:hint="eastAsia"/>
                      <w:kern w:val="0"/>
                      <w:sz w:val="21"/>
                      <w:szCs w:val="21"/>
                    </w:rPr>
                    <w:t>2025</w:t>
                  </w:r>
                  <w:r>
                    <w:rPr>
                      <w:rFonts w:hint="eastAsia" w:ascii="宋体" w:hAnsi="宋体"/>
                      <w:kern w:val="0"/>
                      <w:sz w:val="21"/>
                      <w:szCs w:val="21"/>
                    </w:rPr>
                    <w:t>年，全疆城市生活垃圾无害化处理率达到</w:t>
                  </w:r>
                  <w:r>
                    <w:rPr>
                      <w:rFonts w:hint="eastAsia"/>
                      <w:kern w:val="0"/>
                      <w:sz w:val="21"/>
                      <w:szCs w:val="21"/>
                    </w:rPr>
                    <w:t>99%</w:t>
                  </w:r>
                  <w:r>
                    <w:rPr>
                      <w:rFonts w:hint="eastAsia" w:ascii="宋体" w:hAnsi="宋体"/>
                      <w:kern w:val="0"/>
                      <w:sz w:val="21"/>
                      <w:szCs w:val="21"/>
                    </w:rPr>
                    <w:t>以上</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2BC2AD1">
                  <w:pPr>
                    <w:widowControl/>
                    <w:jc w:val="center"/>
                    <w:rPr>
                      <w:kern w:val="0"/>
                      <w:sz w:val="21"/>
                      <w:szCs w:val="21"/>
                    </w:rPr>
                  </w:pPr>
                  <w:r>
                    <w:rPr>
                      <w:rFonts w:hint="eastAsia" w:ascii="宋体" w:hAnsi="宋体"/>
                      <w:kern w:val="0"/>
                      <w:sz w:val="21"/>
                      <w:szCs w:val="21"/>
                    </w:rPr>
                    <w:t>项目不合格骨料由供应商拉走、除尘器收集粉尘、滴漏沥青及拌合残渣等回用；废活性炭、废导热油、废机油、焦油沉渣、电捕焦油器废油、废含油手套、废含油抹布等危险废物要求建设危废贮存点</w:t>
                  </w:r>
                  <w:r>
                    <w:rPr>
                      <w:kern w:val="0"/>
                      <w:sz w:val="21"/>
                      <w:szCs w:val="21"/>
                    </w:rPr>
                    <w:t>（20m</w:t>
                  </w:r>
                  <w:r>
                    <w:rPr>
                      <w:kern w:val="0"/>
                      <w:sz w:val="21"/>
                      <w:szCs w:val="21"/>
                      <w:vertAlign w:val="superscript"/>
                    </w:rPr>
                    <w:t>2</w:t>
                  </w:r>
                  <w:r>
                    <w:rPr>
                      <w:kern w:val="0"/>
                      <w:sz w:val="21"/>
                      <w:szCs w:val="21"/>
                    </w:rPr>
                    <w:t>）</w:t>
                  </w:r>
                  <w:r>
                    <w:rPr>
                      <w:rFonts w:hint="eastAsia" w:ascii="宋体" w:hAnsi="宋体"/>
                      <w:kern w:val="0"/>
                      <w:sz w:val="21"/>
                      <w:szCs w:val="21"/>
                    </w:rPr>
                    <w:t>，定期交由有危废处置资质单位处理，洒落沥青混凝土收集回用；生活污水排入下水管网，最终进入奇台县喇嘛湖梁工业园区污水处理厂处理；生活垃圾委托环卫部门清运</w:t>
                  </w:r>
                </w:p>
              </w:tc>
              <w:tc>
                <w:tcPr>
                  <w:tcW w:w="528" w:type="dxa"/>
                  <w:tcBorders>
                    <w:top w:val="single" w:color="auto" w:sz="4" w:space="0"/>
                    <w:left w:val="single" w:color="auto" w:sz="4" w:space="0"/>
                    <w:bottom w:val="single" w:color="auto" w:sz="4" w:space="0"/>
                    <w:right w:val="nil"/>
                  </w:tcBorders>
                  <w:shd w:val="clear" w:color="auto" w:fill="auto"/>
                  <w:vAlign w:val="center"/>
                </w:tcPr>
                <w:p w14:paraId="67C37717">
                  <w:pPr>
                    <w:widowControl/>
                    <w:jc w:val="center"/>
                    <w:rPr>
                      <w:kern w:val="0"/>
                      <w:sz w:val="21"/>
                      <w:szCs w:val="21"/>
                    </w:rPr>
                  </w:pPr>
                  <w:r>
                    <w:rPr>
                      <w:rFonts w:hint="eastAsia" w:ascii="宋体" w:hAnsi="宋体"/>
                      <w:kern w:val="0"/>
                      <w:sz w:val="21"/>
                      <w:szCs w:val="21"/>
                    </w:rPr>
                    <w:t>符合</w:t>
                  </w:r>
                </w:p>
              </w:tc>
            </w:tr>
            <w:tr w14:paraId="7A9BC6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70C87F37">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54CBA">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A1D5D33">
                  <w:pPr>
                    <w:widowControl/>
                    <w:jc w:val="center"/>
                    <w:rPr>
                      <w:kern w:val="0"/>
                      <w:sz w:val="21"/>
                      <w:szCs w:val="21"/>
                    </w:rPr>
                  </w:pPr>
                  <w:r>
                    <w:rPr>
                      <w:rFonts w:hint="eastAsia" w:ascii="宋体" w:hAnsi="宋体"/>
                      <w:kern w:val="0"/>
                      <w:sz w:val="21"/>
                      <w:szCs w:val="21"/>
                    </w:rPr>
                    <w:t>推动工业固废按元素价值综合开发利用，加快推进尾矿</w:t>
                  </w:r>
                </w:p>
                <w:p w14:paraId="038D615F">
                  <w:pPr>
                    <w:widowControl/>
                    <w:jc w:val="center"/>
                    <w:rPr>
                      <w:kern w:val="0"/>
                      <w:sz w:val="21"/>
                      <w:szCs w:val="21"/>
                    </w:rPr>
                  </w:pPr>
                  <w:r>
                    <w:rPr>
                      <w:rFonts w:hint="eastAsia" w:ascii="宋体" w:hAnsi="宋体"/>
                      <w:kern w:val="0"/>
                      <w:sz w:val="21"/>
                      <w:szCs w:val="21"/>
                    </w:rPr>
                    <w:t>（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61DD25F1">
                  <w:pPr>
                    <w:widowControl/>
                    <w:jc w:val="center"/>
                    <w:rPr>
                      <w:kern w:val="0"/>
                      <w:sz w:val="21"/>
                      <w:szCs w:val="21"/>
                    </w:rPr>
                  </w:pPr>
                  <w:r>
                    <w:rPr>
                      <w:rFonts w:hint="eastAsia" w:ascii="宋体" w:hAnsi="宋体"/>
                      <w:kern w:val="0"/>
                      <w:sz w:val="21"/>
                      <w:szCs w:val="21"/>
                    </w:rPr>
                    <w:t>本项目粉煤灰收集后回用于生产</w:t>
                  </w:r>
                </w:p>
              </w:tc>
              <w:tc>
                <w:tcPr>
                  <w:tcW w:w="528" w:type="dxa"/>
                  <w:tcBorders>
                    <w:top w:val="single" w:color="auto" w:sz="4" w:space="0"/>
                    <w:left w:val="single" w:color="auto" w:sz="4" w:space="0"/>
                    <w:bottom w:val="single" w:color="auto" w:sz="4" w:space="0"/>
                    <w:right w:val="nil"/>
                  </w:tcBorders>
                  <w:shd w:val="clear" w:color="auto" w:fill="auto"/>
                  <w:vAlign w:val="center"/>
                </w:tcPr>
                <w:p w14:paraId="7C0583BC">
                  <w:pPr>
                    <w:widowControl/>
                    <w:jc w:val="center"/>
                    <w:rPr>
                      <w:kern w:val="0"/>
                      <w:sz w:val="21"/>
                      <w:szCs w:val="21"/>
                    </w:rPr>
                  </w:pPr>
                  <w:r>
                    <w:rPr>
                      <w:rFonts w:hint="eastAsia" w:ascii="宋体" w:hAnsi="宋体"/>
                      <w:kern w:val="0"/>
                      <w:sz w:val="21"/>
                      <w:szCs w:val="21"/>
                    </w:rPr>
                    <w:t>符合</w:t>
                  </w:r>
                </w:p>
              </w:tc>
            </w:tr>
            <w:tr w14:paraId="3BF940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4526518E">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39F82">
                  <w:pPr>
                    <w:widowControl/>
                    <w:jc w:val="center"/>
                    <w:rPr>
                      <w:kern w:val="0"/>
                      <w:sz w:val="21"/>
                      <w:szCs w:val="21"/>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DDB1FC9">
                  <w:pPr>
                    <w:widowControl/>
                    <w:jc w:val="center"/>
                    <w:rPr>
                      <w:kern w:val="0"/>
                      <w:sz w:val="21"/>
                      <w:szCs w:val="21"/>
                    </w:rPr>
                  </w:pPr>
                  <w:r>
                    <w:rPr>
                      <w:rFonts w:hint="eastAsia" w:ascii="宋体" w:hAnsi="宋体"/>
                      <w:kern w:val="0"/>
                      <w:sz w:val="21"/>
                      <w:szCs w:val="21"/>
                    </w:rPr>
                    <w:t>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A5F2887">
                  <w:pPr>
                    <w:widowControl/>
                    <w:jc w:val="center"/>
                    <w:rPr>
                      <w:kern w:val="0"/>
                      <w:sz w:val="21"/>
                      <w:szCs w:val="21"/>
                    </w:rPr>
                  </w:pPr>
                  <w:r>
                    <w:rPr>
                      <w:rFonts w:hint="eastAsia" w:ascii="宋体" w:hAnsi="宋体"/>
                      <w:kern w:val="0"/>
                      <w:sz w:val="21"/>
                      <w:szCs w:val="21"/>
                    </w:rPr>
                    <w:t>本项目不属于钢铁、有色、化工、建材等重点行业，项目不合格骨料由供应商拉走、除尘器收集粉尘、滴漏沥青及拌合残渣等回用</w:t>
                  </w:r>
                </w:p>
              </w:tc>
              <w:tc>
                <w:tcPr>
                  <w:tcW w:w="528" w:type="dxa"/>
                  <w:tcBorders>
                    <w:top w:val="single" w:color="auto" w:sz="4" w:space="0"/>
                    <w:left w:val="single" w:color="auto" w:sz="4" w:space="0"/>
                    <w:bottom w:val="single" w:color="auto" w:sz="4" w:space="0"/>
                    <w:right w:val="nil"/>
                  </w:tcBorders>
                  <w:shd w:val="clear" w:color="auto" w:fill="auto"/>
                  <w:vAlign w:val="center"/>
                </w:tcPr>
                <w:p w14:paraId="1FA299F6">
                  <w:pPr>
                    <w:widowControl/>
                    <w:jc w:val="center"/>
                    <w:rPr>
                      <w:kern w:val="0"/>
                      <w:sz w:val="21"/>
                      <w:szCs w:val="21"/>
                    </w:rPr>
                  </w:pPr>
                  <w:r>
                    <w:rPr>
                      <w:rFonts w:hint="eastAsia" w:ascii="宋体" w:hAnsi="宋体"/>
                      <w:kern w:val="0"/>
                      <w:sz w:val="21"/>
                      <w:szCs w:val="21"/>
                    </w:rPr>
                    <w:t>符合</w:t>
                  </w:r>
                </w:p>
              </w:tc>
            </w:tr>
            <w:tr w14:paraId="544D7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top w:val="single" w:color="auto" w:sz="4" w:space="0"/>
                    <w:left w:val="nil"/>
                    <w:bottom w:val="single" w:color="auto" w:sz="4" w:space="0"/>
                    <w:right w:val="single" w:color="auto" w:sz="4" w:space="0"/>
                  </w:tcBorders>
                  <w:shd w:val="clear" w:color="auto" w:fill="auto"/>
                  <w:vAlign w:val="center"/>
                </w:tcPr>
                <w:p w14:paraId="64387295">
                  <w:pPr>
                    <w:widowControl/>
                    <w:jc w:val="center"/>
                    <w:rPr>
                      <w:kern w:val="0"/>
                      <w:sz w:val="21"/>
                      <w:szCs w:val="21"/>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0A41B">
                  <w:pPr>
                    <w:widowControl/>
                    <w:jc w:val="center"/>
                    <w:rPr>
                      <w:kern w:val="0"/>
                      <w:sz w:val="21"/>
                      <w:szCs w:val="21"/>
                    </w:rPr>
                  </w:pPr>
                </w:p>
              </w:tc>
              <w:tc>
                <w:tcPr>
                  <w:tcW w:w="3829" w:type="dxa"/>
                  <w:tcBorders>
                    <w:top w:val="single" w:color="auto" w:sz="4" w:space="0"/>
                    <w:left w:val="single" w:color="auto" w:sz="4" w:space="0"/>
                    <w:bottom w:val="single" w:color="auto" w:sz="12" w:space="0"/>
                    <w:right w:val="single" w:color="auto" w:sz="4" w:space="0"/>
                  </w:tcBorders>
                  <w:shd w:val="clear" w:color="auto" w:fill="auto"/>
                  <w:vAlign w:val="center"/>
                </w:tcPr>
                <w:p w14:paraId="1BF481D1">
                  <w:pPr>
                    <w:widowControl/>
                    <w:jc w:val="center"/>
                    <w:rPr>
                      <w:kern w:val="0"/>
                      <w:sz w:val="21"/>
                      <w:szCs w:val="21"/>
                    </w:rPr>
                  </w:pPr>
                  <w:r>
                    <w:rPr>
                      <w:rFonts w:hint="eastAsia" w:ascii="宋体" w:hAnsi="宋体"/>
                      <w:kern w:val="0"/>
                      <w:sz w:val="21"/>
                      <w:szCs w:val="21"/>
                    </w:rPr>
                    <w:t>发展生态种植、生态养殖，建立农业循环经济发展模式，促进农业固体废物综合利用。鼓励和引导农民采用增施有机肥秸轩还田、种植绿肥等技术，持续减少化肥农药使用比例。加大畜禽粪污和秸轩资源化利用先进技术和新型市场模式的集成推广，推动形成长效运行机制。</w:t>
                  </w:r>
                </w:p>
              </w:tc>
              <w:tc>
                <w:tcPr>
                  <w:tcW w:w="2397" w:type="dxa"/>
                  <w:tcBorders>
                    <w:top w:val="single" w:color="auto" w:sz="4" w:space="0"/>
                    <w:left w:val="single" w:color="auto" w:sz="4" w:space="0"/>
                    <w:bottom w:val="single" w:color="auto" w:sz="12" w:space="0"/>
                    <w:right w:val="single" w:color="auto" w:sz="4" w:space="0"/>
                  </w:tcBorders>
                  <w:shd w:val="clear" w:color="auto" w:fill="auto"/>
                  <w:vAlign w:val="center"/>
                </w:tcPr>
                <w:p w14:paraId="0E24F8E2">
                  <w:pPr>
                    <w:widowControl/>
                    <w:jc w:val="center"/>
                    <w:rPr>
                      <w:kern w:val="0"/>
                      <w:sz w:val="21"/>
                      <w:szCs w:val="21"/>
                    </w:rPr>
                  </w:pPr>
                  <w:r>
                    <w:rPr>
                      <w:rFonts w:hint="eastAsia" w:ascii="宋体" w:hAnsi="宋体"/>
                      <w:kern w:val="0"/>
                      <w:sz w:val="21"/>
                      <w:szCs w:val="21"/>
                    </w:rPr>
                    <w:t>本项目不涉及种植、养殖等行业</w:t>
                  </w:r>
                </w:p>
              </w:tc>
              <w:tc>
                <w:tcPr>
                  <w:tcW w:w="528" w:type="dxa"/>
                  <w:tcBorders>
                    <w:top w:val="single" w:color="auto" w:sz="4" w:space="0"/>
                    <w:left w:val="single" w:color="auto" w:sz="4" w:space="0"/>
                    <w:bottom w:val="single" w:color="auto" w:sz="12" w:space="0"/>
                    <w:right w:val="nil"/>
                  </w:tcBorders>
                  <w:shd w:val="clear" w:color="auto" w:fill="auto"/>
                  <w:vAlign w:val="center"/>
                </w:tcPr>
                <w:p w14:paraId="3B6CB44B">
                  <w:pPr>
                    <w:widowControl/>
                    <w:jc w:val="center"/>
                    <w:rPr>
                      <w:kern w:val="0"/>
                      <w:sz w:val="21"/>
                      <w:szCs w:val="21"/>
                    </w:rPr>
                  </w:pPr>
                  <w:r>
                    <w:rPr>
                      <w:rFonts w:hint="eastAsia" w:ascii="宋体" w:hAnsi="宋体"/>
                      <w:kern w:val="0"/>
                      <w:sz w:val="21"/>
                      <w:szCs w:val="21"/>
                    </w:rPr>
                    <w:t>符合</w:t>
                  </w:r>
                </w:p>
              </w:tc>
            </w:tr>
          </w:tbl>
          <w:p w14:paraId="29C4C108">
            <w:pPr>
              <w:pStyle w:val="69"/>
              <w:spacing w:line="460" w:lineRule="exact"/>
              <w:ind w:firstLine="482" w:firstLineChars="200"/>
              <w:jc w:val="both"/>
              <w:rPr>
                <w:b/>
                <w:bCs/>
                <w:sz w:val="24"/>
                <w:szCs w:val="24"/>
              </w:rPr>
            </w:pPr>
            <w:r>
              <w:rPr>
                <w:b/>
                <w:bCs/>
                <w:sz w:val="24"/>
                <w:szCs w:val="24"/>
              </w:rPr>
              <w:t>7.3、与《</w:t>
            </w:r>
            <w:r>
              <w:rPr>
                <w:rFonts w:hint="eastAsia"/>
                <w:b/>
                <w:bCs/>
                <w:sz w:val="24"/>
                <w:szCs w:val="24"/>
              </w:rPr>
              <w:t>昌吉回族自治州生态环境分区管控动态更新成果</w:t>
            </w:r>
            <w:r>
              <w:rPr>
                <w:b/>
                <w:bCs/>
                <w:sz w:val="24"/>
                <w:szCs w:val="24"/>
              </w:rPr>
              <w:t>》</w:t>
            </w:r>
            <w:r>
              <w:rPr>
                <w:rFonts w:hint="eastAsia"/>
                <w:b/>
                <w:bCs/>
                <w:sz w:val="24"/>
                <w:szCs w:val="24"/>
              </w:rPr>
              <w:t>中附件3昌吉回族自治州生态环境准入清单</w:t>
            </w:r>
            <w:r>
              <w:rPr>
                <w:b/>
                <w:bCs/>
                <w:sz w:val="24"/>
                <w:szCs w:val="24"/>
              </w:rPr>
              <w:t>符合性分析</w:t>
            </w:r>
          </w:p>
          <w:p w14:paraId="7C2E0DCB">
            <w:pPr>
              <w:pStyle w:val="69"/>
              <w:spacing w:line="460" w:lineRule="exact"/>
              <w:ind w:firstLine="480" w:firstLineChars="200"/>
              <w:jc w:val="both"/>
              <w:rPr>
                <w:sz w:val="24"/>
                <w:szCs w:val="24"/>
              </w:rPr>
            </w:pPr>
            <w:r>
              <w:rPr>
                <w:sz w:val="24"/>
                <w:szCs w:val="24"/>
              </w:rPr>
              <w:t>根</w:t>
            </w:r>
            <w:r>
              <w:rPr>
                <w:bCs/>
                <w:sz w:val="24"/>
                <w:szCs w:val="24"/>
              </w:rPr>
              <w:t>据</w:t>
            </w:r>
            <w:r>
              <w:rPr>
                <w:rFonts w:hint="eastAsia"/>
                <w:bCs/>
                <w:sz w:val="24"/>
                <w:szCs w:val="24"/>
              </w:rPr>
              <w:t>《昌吉回族自治州生态环境分区管控动态更新成果》中生</w:t>
            </w:r>
            <w:r>
              <w:rPr>
                <w:bCs/>
                <w:sz w:val="24"/>
                <w:szCs w:val="24"/>
              </w:rPr>
              <w:t>态环境准入清单</w:t>
            </w:r>
            <w:r>
              <w:rPr>
                <w:rFonts w:hint="eastAsia"/>
                <w:bCs/>
                <w:sz w:val="24"/>
                <w:szCs w:val="24"/>
              </w:rPr>
              <w:t>中规定</w:t>
            </w:r>
            <w:r>
              <w:rPr>
                <w:rFonts w:hint="eastAsia"/>
                <w:sz w:val="24"/>
                <w:szCs w:val="24"/>
              </w:rPr>
              <w:t>：本项目位于</w:t>
            </w:r>
            <w:r>
              <w:rPr>
                <w:sz w:val="24"/>
                <w:szCs w:val="24"/>
              </w:rPr>
              <w:t>奇台县喇嘛湖梁工业园区，项目所在区域属于重点管控单元</w:t>
            </w:r>
            <w:r>
              <w:rPr>
                <w:rFonts w:hint="eastAsia"/>
                <w:sz w:val="24"/>
                <w:szCs w:val="24"/>
              </w:rPr>
              <w:t>，环境管控单元名称：</w:t>
            </w:r>
            <w:r>
              <w:rPr>
                <w:sz w:val="24"/>
                <w:szCs w:val="24"/>
              </w:rPr>
              <w:t>奇台县喇嘛湖梁工业园区</w:t>
            </w:r>
            <w:r>
              <w:rPr>
                <w:rFonts w:hint="eastAsia"/>
                <w:sz w:val="24"/>
                <w:szCs w:val="24"/>
              </w:rPr>
              <w:t>，</w:t>
            </w:r>
            <w:r>
              <w:rPr>
                <w:sz w:val="24"/>
                <w:szCs w:val="24"/>
              </w:rPr>
              <w:t>环境管控单元编码为：ZH65232520003，详见图</w:t>
            </w:r>
            <w:r>
              <w:rPr>
                <w:rFonts w:hint="eastAsia"/>
                <w:sz w:val="24"/>
                <w:szCs w:val="24"/>
              </w:rPr>
              <w:t>1</w:t>
            </w:r>
            <w:r>
              <w:rPr>
                <w:sz w:val="24"/>
                <w:szCs w:val="24"/>
              </w:rPr>
              <w:t>-3，</w:t>
            </w:r>
            <w:r>
              <w:rPr>
                <w:rFonts w:hint="eastAsia"/>
                <w:sz w:val="24"/>
                <w:szCs w:val="24"/>
              </w:rPr>
              <w:t>项目</w:t>
            </w:r>
            <w:r>
              <w:rPr>
                <w:sz w:val="24"/>
                <w:szCs w:val="24"/>
              </w:rPr>
              <w:t>符合性分析见表1-5。</w:t>
            </w:r>
          </w:p>
          <w:p w14:paraId="0DD4264D">
            <w:pPr>
              <w:pStyle w:val="76"/>
              <w:ind w:firstLine="420"/>
              <w:rPr>
                <w:color w:val="auto"/>
              </w:rPr>
            </w:pPr>
            <w:r>
              <w:rPr>
                <w:color w:val="auto"/>
              </w:rPr>
              <w:t>表1-5  与《</w:t>
            </w:r>
            <w:r>
              <w:rPr>
                <w:rFonts w:hint="eastAsia"/>
                <w:color w:val="auto"/>
              </w:rPr>
              <w:t>昌吉回族自治州生态环境分区管控动态更新成果</w:t>
            </w:r>
            <w:r>
              <w:rPr>
                <w:color w:val="auto"/>
              </w:rPr>
              <w:t>》</w:t>
            </w:r>
            <w:r>
              <w:rPr>
                <w:rFonts w:hint="eastAsia"/>
                <w:color w:val="auto"/>
              </w:rPr>
              <w:t>中附件3昌吉回族自治州生态环境准入清单</w:t>
            </w:r>
            <w:r>
              <w:rPr>
                <w:color w:val="auto"/>
              </w:rPr>
              <w:t>符合性</w:t>
            </w:r>
            <w:r>
              <w:rPr>
                <w:rFonts w:hint="eastAsia"/>
                <w:color w:val="auto"/>
              </w:rPr>
              <w:t>分析</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819"/>
              <w:gridCol w:w="3118"/>
              <w:gridCol w:w="810"/>
            </w:tblGrid>
            <w:tr w14:paraId="1FDFB2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6" w:type="dxa"/>
                  <w:gridSpan w:val="2"/>
                  <w:vAlign w:val="center"/>
                </w:tcPr>
                <w:p w14:paraId="1ECE0DB3">
                  <w:pPr>
                    <w:pStyle w:val="63"/>
                  </w:pPr>
                  <w:r>
                    <w:t>管控要求</w:t>
                  </w:r>
                </w:p>
              </w:tc>
              <w:tc>
                <w:tcPr>
                  <w:tcW w:w="3118" w:type="dxa"/>
                  <w:vAlign w:val="center"/>
                </w:tcPr>
                <w:p w14:paraId="61F04891">
                  <w:pPr>
                    <w:pStyle w:val="63"/>
                  </w:pPr>
                  <w:r>
                    <w:t>本项目情况</w:t>
                  </w:r>
                </w:p>
              </w:tc>
              <w:tc>
                <w:tcPr>
                  <w:tcW w:w="810" w:type="dxa"/>
                  <w:vAlign w:val="center"/>
                </w:tcPr>
                <w:p w14:paraId="5A1CD9E3">
                  <w:pPr>
                    <w:pStyle w:val="63"/>
                  </w:pPr>
                  <w:r>
                    <w:rPr>
                      <w:rFonts w:hint="eastAsia"/>
                    </w:rPr>
                    <w:t>符合性分析</w:t>
                  </w:r>
                </w:p>
              </w:tc>
            </w:tr>
            <w:tr w14:paraId="6A6113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63E029A7">
                  <w:pPr>
                    <w:pStyle w:val="63"/>
                  </w:pPr>
                  <w:r>
                    <w:t>空间布局约束</w:t>
                  </w:r>
                </w:p>
              </w:tc>
              <w:tc>
                <w:tcPr>
                  <w:tcW w:w="3819" w:type="dxa"/>
                  <w:vAlign w:val="center"/>
                </w:tcPr>
                <w:p w14:paraId="29AAD9AA">
                  <w:pPr>
                    <w:pStyle w:val="63"/>
                    <w:jc w:val="left"/>
                  </w:pPr>
                  <w:r>
                    <w:rPr>
                      <w:rFonts w:hint="eastAsia"/>
                    </w:rPr>
                    <w:t>1、入园企业需符合园区产业发展定位、产业布局规划。</w:t>
                  </w:r>
                </w:p>
                <w:p w14:paraId="1A6D1B1D">
                  <w:pPr>
                    <w:pStyle w:val="63"/>
                    <w:jc w:val="left"/>
                  </w:pPr>
                  <w:r>
                    <w:rPr>
                      <w:rFonts w:hint="eastAsia"/>
                    </w:rPr>
                    <w:t>2、入园企业需符合国土空间规划的布局及土地利用等相关要求。</w:t>
                  </w:r>
                </w:p>
                <w:p w14:paraId="66B5DE88">
                  <w:pPr>
                    <w:pStyle w:val="63"/>
                    <w:jc w:val="left"/>
                  </w:pPr>
                  <w:r>
                    <w:rPr>
                      <w:rFonts w:hint="eastAsia"/>
                    </w:rPr>
                    <w:t>3、园区入驻项目需满足《新疆维吾尔自治区重点行业环境准入条件（2017年修订）》相关要求。</w:t>
                  </w:r>
                </w:p>
                <w:p w14:paraId="6A26EDAE">
                  <w:pPr>
                    <w:pStyle w:val="63"/>
                    <w:jc w:val="left"/>
                  </w:pPr>
                  <w:r>
                    <w:rPr>
                      <w:rFonts w:hint="eastAsia"/>
                    </w:rPr>
                    <w:t>4、园区入驻项目需严格执行园区规划及规划环评相关要求。</w:t>
                  </w:r>
                </w:p>
              </w:tc>
              <w:tc>
                <w:tcPr>
                  <w:tcW w:w="3118" w:type="dxa"/>
                  <w:vAlign w:val="center"/>
                </w:tcPr>
                <w:p w14:paraId="72792A16">
                  <w:pPr>
                    <w:pStyle w:val="63"/>
                  </w:pPr>
                  <w:r>
                    <w:rPr>
                      <w:rFonts w:hint="eastAsia"/>
                    </w:rPr>
                    <w:t>1、本项目主要服务公路建设，属于附属设施建设，与园区规划不冲突。</w:t>
                  </w:r>
                </w:p>
                <w:p w14:paraId="2D509431">
                  <w:pPr>
                    <w:pStyle w:val="63"/>
                  </w:pPr>
                  <w:r>
                    <w:rPr>
                      <w:rFonts w:hint="eastAsia"/>
                    </w:rPr>
                    <w:t>2、本项目符合国土空间规划的布局及土地利用等相关要求；3、项目不属于《新疆维吾尔自治区重点行业生态环境准入条件（2024年）》中行业；4、根据分析，项目的建设符合园区规划及规划环评，与园区规划环评总体要求相兼容。</w:t>
                  </w:r>
                </w:p>
              </w:tc>
              <w:tc>
                <w:tcPr>
                  <w:tcW w:w="810" w:type="dxa"/>
                  <w:vAlign w:val="center"/>
                </w:tcPr>
                <w:p w14:paraId="0751DB92">
                  <w:pPr>
                    <w:pStyle w:val="63"/>
                  </w:pPr>
                  <w:r>
                    <w:t>符合</w:t>
                  </w:r>
                </w:p>
              </w:tc>
            </w:tr>
            <w:tr w14:paraId="2EF7CE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292C8CB1">
                  <w:pPr>
                    <w:pStyle w:val="63"/>
                  </w:pPr>
                  <w:r>
                    <w:t>污染物排放管控</w:t>
                  </w:r>
                </w:p>
              </w:tc>
              <w:tc>
                <w:tcPr>
                  <w:tcW w:w="3819" w:type="dxa"/>
                  <w:vAlign w:val="center"/>
                </w:tcPr>
                <w:p w14:paraId="2D1E213E">
                  <w:pPr>
                    <w:pStyle w:val="63"/>
                    <w:jc w:val="left"/>
                  </w:pPr>
                  <w:r>
                    <w:rPr>
                      <w:rFonts w:hint="eastAsia"/>
                    </w:rPr>
                    <w:t>1、聚焦采暖期重污染天气治理，加大重点区域、重点行业结构调整和污染治理力度。</w:t>
                  </w:r>
                </w:p>
                <w:p w14:paraId="77EE112D">
                  <w:pPr>
                    <w:pStyle w:val="63"/>
                    <w:jc w:val="left"/>
                  </w:pPr>
                  <w:r>
                    <w:rPr>
                      <w:rFonts w:hint="eastAsia"/>
                    </w:rPr>
                    <w:t>2、新（改、扩）建项目应执行最严格的大气污染物排放标准。</w:t>
                  </w:r>
                </w:p>
                <w:p w14:paraId="0315DA65">
                  <w:pPr>
                    <w:pStyle w:val="63"/>
                    <w:jc w:val="left"/>
                  </w:pPr>
                  <w:r>
                    <w:rPr>
                      <w:rFonts w:hint="eastAsia"/>
                    </w:rPr>
                    <w:t>3、推动园区企业绿色发展，严格落实水污染物排放标准。</w:t>
                  </w:r>
                </w:p>
                <w:p w14:paraId="78680FA8">
                  <w:pPr>
                    <w:pStyle w:val="63"/>
                    <w:jc w:val="left"/>
                  </w:pPr>
                  <w:r>
                    <w:rPr>
                      <w:rFonts w:hint="eastAsia"/>
                    </w:rPr>
                    <w:t>4、严格实施污染物排放总量控制要求；全面深化面源污染治理，积极推进绿色施工。</w:t>
                  </w:r>
                </w:p>
              </w:tc>
              <w:tc>
                <w:tcPr>
                  <w:tcW w:w="3118" w:type="dxa"/>
                  <w:vAlign w:val="center"/>
                </w:tcPr>
                <w:p w14:paraId="4B2D9E5D">
                  <w:pPr>
                    <w:pStyle w:val="63"/>
                  </w:pPr>
                  <w:r>
                    <w:rPr>
                      <w:rFonts w:hint="eastAsia"/>
                    </w:rPr>
                    <w:t>1、项目冬季不施工，不涉及采暖期；2、本项目排放污染物按要求执行最严格的大气污染物排放标准；3、生活污水排入下水管网，最终进入奇台县喇嘛湖梁工业园区污水处理厂；生产废水循环利用不外排；4、根据分析，项目严格执行总量控制要求，加强施工期、运营期污染物治理，施工期做到“六个百分百”。</w:t>
                  </w:r>
                </w:p>
                <w:p w14:paraId="302129C8">
                  <w:pPr>
                    <w:pStyle w:val="63"/>
                  </w:pPr>
                  <w:r>
                    <w:rPr>
                      <w:rFonts w:hint="eastAsia"/>
                    </w:rPr>
                    <w:t>综上，项目的建设符合污染物排放管控要求。</w:t>
                  </w:r>
                </w:p>
              </w:tc>
              <w:tc>
                <w:tcPr>
                  <w:tcW w:w="810" w:type="dxa"/>
                  <w:vAlign w:val="center"/>
                </w:tcPr>
                <w:p w14:paraId="034CA8E3">
                  <w:pPr>
                    <w:pStyle w:val="63"/>
                  </w:pPr>
                  <w:r>
                    <w:rPr>
                      <w:rFonts w:hint="eastAsia"/>
                    </w:rPr>
                    <w:t>符合</w:t>
                  </w:r>
                </w:p>
              </w:tc>
            </w:tr>
            <w:tr w14:paraId="1018F3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73A7B9E9">
                  <w:pPr>
                    <w:pStyle w:val="63"/>
                  </w:pPr>
                  <w:r>
                    <w:t>环境风险管控</w:t>
                  </w:r>
                </w:p>
              </w:tc>
              <w:tc>
                <w:tcPr>
                  <w:tcW w:w="3819" w:type="dxa"/>
                  <w:vAlign w:val="center"/>
                </w:tcPr>
                <w:p w14:paraId="0494088C">
                  <w:pPr>
                    <w:pStyle w:val="63"/>
                    <w:jc w:val="left"/>
                  </w:pPr>
                  <w:r>
                    <w:rPr>
                      <w:rFonts w:hint="eastAsia"/>
                    </w:rPr>
                    <w:t>1、园区应设立环境应急管理机构，建立环境风险监管制度、环境风险预警制度、突发环境事件应急预案、环境风险应急保障制度等环境风险防控体系，并具备环境风险应急救援能力。</w:t>
                  </w:r>
                </w:p>
              </w:tc>
              <w:tc>
                <w:tcPr>
                  <w:tcW w:w="3118" w:type="dxa"/>
                  <w:vAlign w:val="center"/>
                </w:tcPr>
                <w:p w14:paraId="3E18A1BA">
                  <w:pPr>
                    <w:pStyle w:val="63"/>
                  </w:pPr>
                  <w:r>
                    <w:t>本项目坚持分级负责、属地为主、部门协同的环境应急责任原则，健全防范化解突发生态环境事件风险和应急准备责任体系，严格落实企业主体责任，加强风险管控。</w:t>
                  </w:r>
                </w:p>
              </w:tc>
              <w:tc>
                <w:tcPr>
                  <w:tcW w:w="810" w:type="dxa"/>
                  <w:vAlign w:val="center"/>
                </w:tcPr>
                <w:p w14:paraId="52011F41">
                  <w:pPr>
                    <w:pStyle w:val="63"/>
                  </w:pPr>
                  <w:r>
                    <w:rPr>
                      <w:rFonts w:hint="eastAsia"/>
                    </w:rPr>
                    <w:t>符合</w:t>
                  </w:r>
                </w:p>
              </w:tc>
            </w:tr>
            <w:tr w14:paraId="401634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284CFA1A">
                  <w:pPr>
                    <w:pStyle w:val="63"/>
                  </w:pPr>
                  <w:r>
                    <w:t>资源利用效率</w:t>
                  </w:r>
                </w:p>
              </w:tc>
              <w:tc>
                <w:tcPr>
                  <w:tcW w:w="3819" w:type="dxa"/>
                  <w:vAlign w:val="center"/>
                </w:tcPr>
                <w:p w14:paraId="2C2384FF">
                  <w:pPr>
                    <w:pStyle w:val="63"/>
                    <w:jc w:val="left"/>
                  </w:pPr>
                  <w:r>
                    <w:rPr>
                      <w:rFonts w:hint="eastAsia"/>
                    </w:rPr>
                    <w:t>1、严守水资源开发利用控制、用水效率控制和水功能区限制纳污“三条红线”，严格实行区域用水总量和强度控制，强化用水定额管理。</w:t>
                  </w:r>
                </w:p>
                <w:p w14:paraId="69B20466">
                  <w:pPr>
                    <w:pStyle w:val="63"/>
                    <w:jc w:val="left"/>
                  </w:pPr>
                  <w:r>
                    <w:rPr>
                      <w:rFonts w:hint="eastAsia"/>
                    </w:rPr>
                    <w:t>2、推行清洁生产、降低生产水耗、从源头上控制污染物的产生。</w:t>
                  </w:r>
                </w:p>
                <w:p w14:paraId="6D5FAE1E">
                  <w:pPr>
                    <w:pStyle w:val="63"/>
                    <w:jc w:val="left"/>
                  </w:pPr>
                  <w:r>
                    <w:rPr>
                      <w:rFonts w:hint="eastAsia"/>
                    </w:rPr>
                    <w:t>3、加强能耗“双控”管理，优化能源消费结构。严格合理控制煤炭消费增长，精准测算原料煤、动力煤，新增原料用能不纳入能源消费总量控制。</w:t>
                  </w:r>
                </w:p>
              </w:tc>
              <w:tc>
                <w:tcPr>
                  <w:tcW w:w="3118" w:type="dxa"/>
                  <w:vAlign w:val="center"/>
                </w:tcPr>
                <w:p w14:paraId="0AA7B8C7">
                  <w:pPr>
                    <w:pStyle w:val="63"/>
                  </w:pPr>
                  <w:r>
                    <w:t>本项目生产废水主要为收集的地面废水等，经过沉淀池处理后回用于生产，不外排。</w:t>
                  </w:r>
                  <w:r>
                    <w:rPr>
                      <w:rFonts w:hint="eastAsia"/>
                    </w:rPr>
                    <w:t>生活污水排入下水管网，最终进入奇台县喇嘛湖梁工业园区污水处理厂</w:t>
                  </w:r>
                  <w:r>
                    <w:t>；2、本项目</w:t>
                  </w:r>
                  <w:r>
                    <w:rPr>
                      <w:rFonts w:hint="eastAsia"/>
                    </w:rPr>
                    <w:t>生产用水耗水量低，生产废水循环不外排</w:t>
                  </w:r>
                  <w:r>
                    <w:t>；3、本项目为公路建设临建设施，在公路施工结束后不再使用，能源消耗少，不使用燃煤。符合要求。</w:t>
                  </w:r>
                </w:p>
              </w:tc>
              <w:tc>
                <w:tcPr>
                  <w:tcW w:w="810" w:type="dxa"/>
                  <w:vAlign w:val="center"/>
                </w:tcPr>
                <w:p w14:paraId="5F6851C7">
                  <w:pPr>
                    <w:pStyle w:val="63"/>
                  </w:pPr>
                  <w:r>
                    <w:rPr>
                      <w:rFonts w:hint="eastAsia"/>
                    </w:rPr>
                    <w:t>符合</w:t>
                  </w:r>
                </w:p>
              </w:tc>
            </w:tr>
          </w:tbl>
          <w:p w14:paraId="2EF96F0B">
            <w:pPr>
              <w:spacing w:line="460" w:lineRule="exact"/>
              <w:ind w:firstLine="482" w:firstLineChars="200"/>
              <w:rPr>
                <w:b/>
                <w:bCs/>
                <w:kern w:val="0"/>
              </w:rPr>
            </w:pPr>
            <w:r>
              <w:rPr>
                <w:b/>
                <w:bCs/>
                <w:kern w:val="0"/>
              </w:rPr>
              <w:t>8、选址合理性分析</w:t>
            </w:r>
          </w:p>
          <w:p w14:paraId="3225D802">
            <w:pPr>
              <w:spacing w:line="460" w:lineRule="exact"/>
              <w:ind w:firstLine="480" w:firstLineChars="200"/>
              <w:rPr>
                <w:kern w:val="0"/>
              </w:rPr>
            </w:pPr>
            <w:r>
              <w:rPr>
                <w:kern w:val="0"/>
              </w:rPr>
              <w:t>本项目选址位于</w:t>
            </w:r>
            <w:r>
              <w:rPr>
                <w:rFonts w:hint="eastAsia"/>
                <w:kern w:val="0"/>
              </w:rPr>
              <w:t>新疆维吾尔自治区昌吉回族自治州奇台县喇嘛湖梁工业园区</w:t>
            </w:r>
            <w:r>
              <w:rPr>
                <w:kern w:val="0"/>
              </w:rPr>
              <w:t>S240线</w:t>
            </w:r>
            <w:r>
              <w:rPr>
                <w:rFonts w:hint="eastAsia"/>
                <w:kern w:val="0"/>
              </w:rPr>
              <w:t>K72+000处东侧废弃场站</w:t>
            </w:r>
            <w:r>
              <w:rPr>
                <w:kern w:val="0"/>
              </w:rPr>
              <w:t>，</w:t>
            </w:r>
            <w:r>
              <w:rPr>
                <w:rFonts w:hint="eastAsia"/>
                <w:kern w:val="0"/>
              </w:rPr>
              <w:t>为S240线准东大井服务区至奇台公路改扩建项目临时厂区建设项目，属于临建设施，道路的配套设施，项目周边地质情况良好，交通便利，位于S240公路东侧，有利于物料运输，有效减少运距。本项目周边1km范围内无居民区、学校、医院等敏感目标，周边3km范围内无自然保护区、风景名胜区等需要特殊保护的区域。项目对外环境的影响可以接受。</w:t>
            </w:r>
          </w:p>
          <w:p w14:paraId="70DC847D">
            <w:pPr>
              <w:spacing w:line="460" w:lineRule="exact"/>
              <w:ind w:firstLine="480" w:firstLineChars="200"/>
              <w:rPr>
                <w:kern w:val="0"/>
              </w:rPr>
            </w:pPr>
            <w:r>
              <w:rPr>
                <w:rFonts w:hint="eastAsia"/>
                <w:kern w:val="0"/>
              </w:rPr>
              <w:t>目前企业已取得临时用地手续，用地类型为建设用地和草地，按要求在公路施工结束后进行拆除。</w:t>
            </w:r>
          </w:p>
          <w:p w14:paraId="56D39F5A">
            <w:pPr>
              <w:pStyle w:val="69"/>
              <w:spacing w:line="460" w:lineRule="exact"/>
              <w:ind w:firstLine="480" w:firstLineChars="200"/>
              <w:jc w:val="both"/>
              <w:rPr>
                <w:kern w:val="0"/>
                <w:sz w:val="24"/>
                <w:szCs w:val="24"/>
              </w:rPr>
            </w:pPr>
            <w:r>
              <w:rPr>
                <w:kern w:val="0"/>
                <w:sz w:val="24"/>
                <w:szCs w:val="24"/>
              </w:rPr>
              <w:t>本项目主要建设沥青混凝土搅拌站、水</w:t>
            </w:r>
            <w:r>
              <w:rPr>
                <w:rFonts w:hint="eastAsia"/>
                <w:kern w:val="0"/>
                <w:sz w:val="24"/>
                <w:szCs w:val="24"/>
              </w:rPr>
              <w:t>泥稳定土</w:t>
            </w:r>
            <w:r>
              <w:rPr>
                <w:kern w:val="0"/>
                <w:sz w:val="24"/>
                <w:szCs w:val="24"/>
              </w:rPr>
              <w:t>搅拌站</w:t>
            </w:r>
            <w:r>
              <w:rPr>
                <w:rFonts w:hint="eastAsia"/>
                <w:kern w:val="0"/>
                <w:sz w:val="24"/>
                <w:szCs w:val="24"/>
              </w:rPr>
              <w:t>和混凝土搅拌站、</w:t>
            </w:r>
            <w:r>
              <w:rPr>
                <w:kern w:val="0"/>
                <w:sz w:val="24"/>
                <w:szCs w:val="24"/>
              </w:rPr>
              <w:t>钢筋加工厂、预制场等，不属于高耗能高污染行业。</w:t>
            </w:r>
            <w:r>
              <w:rPr>
                <w:rFonts w:hint="eastAsia"/>
                <w:kern w:val="0"/>
                <w:sz w:val="24"/>
                <w:szCs w:val="24"/>
              </w:rPr>
              <w:t>本项目碎石均采用半封闭料仓，采取防尘网覆盖的措施；砂采用全封闭料仓，并设置洒水喷淋措施</w:t>
            </w:r>
            <w:r>
              <w:rPr>
                <w:kern w:val="0"/>
                <w:sz w:val="24"/>
                <w:szCs w:val="24"/>
              </w:rPr>
              <w:t>；</w:t>
            </w:r>
            <w:r>
              <w:rPr>
                <w:rFonts w:hint="eastAsia"/>
                <w:kern w:val="0"/>
                <w:sz w:val="24"/>
                <w:szCs w:val="24"/>
              </w:rPr>
              <w:t>采用全封闭式物料输送廊道；粉料筒仓储存产生废气采用自带仓顶滤芯式除尘器处理后无组织排放；搅拌废气经袋式除尘器处理后由15m高排气筒排放；沥青加热及搅拌废气经“喷淋塔+电捕焦油器+活性炭吸附装置”处理后由15m高排气筒排放；沥青混凝土生产线导热油加热醇醚燃烧废气经“低氮燃烧装置”处理后由8m高排气筒排放；沥青混凝土生产线骨料烘干废气经“低氮燃烧装置+袋式除尘器”处理后由15m高排气筒排放；钢筋焊接烟尘经移动式焊烟净化器处理后排放；切割废气采取自然沉降，厂房阻隔措施；运输车辆出厂前必须经过龙门洗车机冲洗，以减少扬尘的产生和逸散；食堂油烟经油烟净化器处理后由房顶排气筒排放</w:t>
            </w:r>
            <w:r>
              <w:rPr>
                <w:kern w:val="0"/>
                <w:sz w:val="24"/>
                <w:szCs w:val="24"/>
              </w:rPr>
              <w:t>。本项目生产废水经沉淀池处理后回用，少量生活污水</w:t>
            </w:r>
            <w:r>
              <w:rPr>
                <w:rFonts w:hint="eastAsia"/>
                <w:kern w:val="0"/>
                <w:sz w:val="24"/>
                <w:szCs w:val="24"/>
              </w:rPr>
              <w:t>排入下水管网，最终进入奇台县喇嘛湖梁工业园区污水处理厂，</w:t>
            </w:r>
            <w:r>
              <w:rPr>
                <w:kern w:val="0"/>
                <w:sz w:val="24"/>
                <w:szCs w:val="24"/>
              </w:rPr>
              <w:t>各项污染物均可以合理处置，达标排放。</w:t>
            </w:r>
          </w:p>
          <w:p w14:paraId="0F9527ED">
            <w:pPr>
              <w:spacing w:line="460" w:lineRule="exact"/>
              <w:ind w:firstLine="480" w:firstLineChars="200"/>
              <w:rPr>
                <w:kern w:val="0"/>
              </w:rPr>
            </w:pPr>
            <w:r>
              <w:rPr>
                <w:kern w:val="0"/>
              </w:rPr>
              <w:t>综上，从项目的经济发展、规划符合性、对外环境的影响程度，外环境对本项目的影响程度等方面综合分析，本项目选址合理。</w:t>
            </w:r>
          </w:p>
          <w:p w14:paraId="6829559C">
            <w:pPr>
              <w:spacing w:line="460" w:lineRule="exact"/>
              <w:ind w:firstLine="480" w:firstLineChars="200"/>
              <w:rPr>
                <w:kern w:val="0"/>
              </w:rPr>
            </w:pPr>
          </w:p>
        </w:tc>
      </w:tr>
    </w:tbl>
    <w:p w14:paraId="1130EA36">
      <w:pPr>
        <w:spacing w:line="360" w:lineRule="auto"/>
        <w:rPr>
          <w:rFonts w:eastAsia="黑体"/>
          <w:sz w:val="30"/>
        </w:rPr>
        <w:sectPr>
          <w:footerReference r:id="rId3" w:type="default"/>
          <w:pgSz w:w="11906" w:h="16838"/>
          <w:pgMar w:top="1701" w:right="1531" w:bottom="1701" w:left="1531" w:header="851" w:footer="1077" w:gutter="0"/>
          <w:cols w:space="720" w:num="1"/>
          <w:docGrid w:linePitch="312" w:charSpace="0"/>
        </w:sectPr>
      </w:pPr>
    </w:p>
    <w:p w14:paraId="1C95CD65">
      <w:pPr>
        <w:pStyle w:val="19"/>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4"/>
        <w:tblW w:w="84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98"/>
      </w:tblGrid>
      <w:tr w14:paraId="37321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675" w:type="dxa"/>
            <w:vAlign w:val="center"/>
          </w:tcPr>
          <w:p w14:paraId="39F562E0">
            <w:pPr>
              <w:pStyle w:val="19"/>
              <w:adjustRightInd w:val="0"/>
              <w:snapToGrid w:val="0"/>
              <w:spacing w:before="0" w:beforeAutospacing="0" w:after="0" w:afterAutospacing="0" w:line="360" w:lineRule="auto"/>
              <w:jc w:val="center"/>
              <w:rPr>
                <w:rFonts w:ascii="Times New Roman" w:hAnsi="Times New Roman"/>
                <w:sz w:val="21"/>
                <w:szCs w:val="21"/>
              </w:rPr>
            </w:pPr>
            <w:r>
              <w:rPr>
                <w:rFonts w:ascii="Times New Roman" w:hAnsi="Times New Roman"/>
                <w:sz w:val="21"/>
                <w:szCs w:val="21"/>
              </w:rPr>
              <w:t>建设内容</w:t>
            </w:r>
          </w:p>
        </w:tc>
        <w:tc>
          <w:tcPr>
            <w:tcW w:w="8385" w:type="dxa"/>
          </w:tcPr>
          <w:p w14:paraId="15DEF448">
            <w:pPr>
              <w:pStyle w:val="77"/>
              <w:spacing w:line="460" w:lineRule="exact"/>
              <w:rPr>
                <w:b/>
              </w:rPr>
            </w:pPr>
            <w:r>
              <w:rPr>
                <w:rFonts w:hint="eastAsia"/>
                <w:b/>
              </w:rPr>
              <w:t>1、</w:t>
            </w:r>
            <w:r>
              <w:rPr>
                <w:b/>
              </w:rPr>
              <w:t>项目背景</w:t>
            </w:r>
          </w:p>
          <w:p w14:paraId="254E3DE2">
            <w:pPr>
              <w:pStyle w:val="4"/>
              <w:numPr>
                <w:ilvl w:val="0"/>
                <w:numId w:val="3"/>
              </w:numPr>
              <w:spacing w:before="0" w:after="0" w:line="460" w:lineRule="exact"/>
              <w:ind w:firstLine="482" w:firstLineChars="200"/>
              <w:rPr>
                <w:sz w:val="24"/>
              </w:rPr>
            </w:pPr>
            <w:r>
              <w:rPr>
                <w:sz w:val="24"/>
              </w:rPr>
              <w:t>项目背景</w:t>
            </w:r>
          </w:p>
          <w:p w14:paraId="45A8C4C4">
            <w:pPr>
              <w:spacing w:line="460" w:lineRule="exact"/>
              <w:ind w:firstLine="482" w:firstLineChars="200"/>
              <w:rPr>
                <w:b/>
                <w:bCs/>
              </w:rPr>
            </w:pPr>
            <w:r>
              <w:rPr>
                <w:b/>
                <w:bCs/>
              </w:rPr>
              <w:t>（1）公路项目简介：</w:t>
            </w:r>
          </w:p>
          <w:p w14:paraId="76917FD9">
            <w:pPr>
              <w:pStyle w:val="77"/>
              <w:spacing w:line="460" w:lineRule="exact"/>
              <w:ind w:firstLine="480"/>
            </w:pPr>
            <w:r>
              <w:t>S240线公路改扩建项目路线起自</w:t>
            </w:r>
            <w:r>
              <w:rPr>
                <w:rFonts w:hint="eastAsia"/>
              </w:rPr>
              <w:t>新疆准东经济技术开发区</w:t>
            </w:r>
            <w:r>
              <w:t>S327公路K59+168处，沿旧路采用整体式路基加宽方式向南进行布设，经过将军庙矿区中间少煤带，K3+177处下穿乌准铁路预留通道（2×16m），然后继续向南穿越古尔班通古特沙漠，于K49+825.611至K65+433.471段采用分离式路基，后沿旧路采用整体式路基向南至终点果园村与G335、准东大道相交，路线全长88.044</w:t>
            </w:r>
            <w:r>
              <w:rPr>
                <w:rFonts w:hint="eastAsia"/>
              </w:rPr>
              <w:t>k</w:t>
            </w:r>
            <w:r>
              <w:t>m，估算投资18.41亿元。项目主要工程内容为路基、路面、防护、排水、桥梁、涵洞、隧道、路线交叉、环境保护、交通工程及沿线设施等。建设里程为88.044km，公路等级为一级公路，设计速度为100km/h，双向四车道。全线设置小桥8m/1座，涵洞66道、管线交叉20道、通道涵31道；与公路平面交叉16处，与铁路交叉1处；服务区1处、养护工区1处，主线收费站1处，治超站1处。昌吉回族自治州生态环境局于2024年7月8日</w:t>
            </w:r>
            <w:r>
              <w:rPr>
                <w:rFonts w:hint="eastAsia"/>
              </w:rPr>
              <w:t>下发</w:t>
            </w:r>
            <w:r>
              <w:t>《</w:t>
            </w:r>
            <w:r>
              <w:rPr>
                <w:rFonts w:hint="eastAsia"/>
              </w:rPr>
              <w:t>关于</w:t>
            </w:r>
            <w:r>
              <w:t>S240线准东大井服务区至奇台公路改扩建项目环境影响报告表的批复</w:t>
            </w:r>
            <w:r>
              <w:rPr>
                <w:rFonts w:ascii="宋体" w:hAnsi="宋体"/>
              </w:rPr>
              <w:t>》</w:t>
            </w:r>
            <w:r>
              <w:rPr>
                <w:rFonts w:hint="eastAsia"/>
              </w:rPr>
              <w:t>（昌州环评〔2024〕177号）</w:t>
            </w:r>
            <w:r>
              <w:t>，</w:t>
            </w:r>
            <w:r>
              <w:rPr>
                <w:rFonts w:hint="eastAsia"/>
              </w:rPr>
              <w:t>批复中提出设置2个筑路原料制备场站（1#、2#场站）用于生产混凝土沥青、水稳料等筑路材料，不纳入本次评价范围，单独办理环评。</w:t>
            </w:r>
          </w:p>
          <w:p w14:paraId="46E29035">
            <w:pPr>
              <w:spacing w:line="460" w:lineRule="exact"/>
              <w:ind w:firstLine="482" w:firstLineChars="200"/>
              <w:rPr>
                <w:b/>
                <w:bCs/>
              </w:rPr>
            </w:pPr>
            <w:r>
              <w:rPr>
                <w:b/>
                <w:bCs/>
              </w:rPr>
              <w:t>（2）本项目（二工区）：</w:t>
            </w:r>
          </w:p>
          <w:p w14:paraId="7CC31C23">
            <w:pPr>
              <w:spacing w:line="460" w:lineRule="exact"/>
              <w:ind w:firstLine="480" w:firstLineChars="200"/>
              <w:rPr>
                <w:bCs/>
                <w:szCs w:val="21"/>
              </w:rPr>
            </w:pPr>
            <w:r>
              <w:rPr>
                <w:rFonts w:hint="eastAsia"/>
              </w:rPr>
              <w:t>根据前期调研，S240线</w:t>
            </w:r>
            <w:r>
              <w:t>K72+000处东侧</w:t>
            </w:r>
            <w:r>
              <w:rPr>
                <w:rFonts w:hint="eastAsia"/>
              </w:rPr>
              <w:t>有中建七局废弃场站一处，位于</w:t>
            </w:r>
            <w:r>
              <w:rPr>
                <w:rFonts w:hint="eastAsia"/>
                <w:szCs w:val="21"/>
              </w:rPr>
              <w:t>新疆维吾尔自治区昌吉回族自治州奇台县喇嘛湖梁工业园区，用地类型属于建设用地（占地面积为9</w:t>
            </w:r>
            <w:r>
              <w:rPr>
                <w:szCs w:val="21"/>
              </w:rPr>
              <w:t>7688m</w:t>
            </w:r>
            <w:r>
              <w:rPr>
                <w:szCs w:val="21"/>
                <w:vertAlign w:val="superscript"/>
              </w:rPr>
              <w:t>2</w:t>
            </w:r>
            <w:r>
              <w:rPr>
                <w:rFonts w:hint="eastAsia"/>
                <w:szCs w:val="21"/>
              </w:rPr>
              <w:t>）和草地（占地面积为4</w:t>
            </w:r>
            <w:r>
              <w:rPr>
                <w:szCs w:val="21"/>
              </w:rPr>
              <w:t>9682m</w:t>
            </w:r>
            <w:r>
              <w:rPr>
                <w:szCs w:val="21"/>
                <w:vertAlign w:val="superscript"/>
              </w:rPr>
              <w:t>2</w:t>
            </w:r>
            <w:r>
              <w:rPr>
                <w:rFonts w:hint="eastAsia"/>
                <w:szCs w:val="21"/>
              </w:rPr>
              <w:t>），地理坐标为</w:t>
            </w:r>
            <w:r>
              <w:rPr>
                <w:szCs w:val="21"/>
              </w:rPr>
              <w:t>89°37′21.948″E，44°8′15.721″N</w:t>
            </w:r>
            <w:r>
              <w:rPr>
                <w:rFonts w:hint="eastAsia"/>
                <w:bCs/>
                <w:szCs w:val="21"/>
              </w:rPr>
              <w:t>，地理位置图见图2</w:t>
            </w:r>
            <w:r>
              <w:rPr>
                <w:bCs/>
                <w:szCs w:val="21"/>
              </w:rPr>
              <w:t>-1</w:t>
            </w:r>
            <w:r>
              <w:rPr>
                <w:rFonts w:hint="eastAsia"/>
                <w:bCs/>
                <w:szCs w:val="21"/>
              </w:rPr>
              <w:t>。项目区东侧为空地，南侧为林地，北侧为空地，西侧为S</w:t>
            </w:r>
            <w:r>
              <w:rPr>
                <w:bCs/>
                <w:szCs w:val="21"/>
              </w:rPr>
              <w:t>240</w:t>
            </w:r>
            <w:r>
              <w:rPr>
                <w:rFonts w:hint="eastAsia"/>
                <w:bCs/>
                <w:szCs w:val="21"/>
              </w:rPr>
              <w:t>线。</w:t>
            </w:r>
          </w:p>
          <w:p w14:paraId="641B7794">
            <w:pPr>
              <w:spacing w:line="460" w:lineRule="exact"/>
              <w:ind w:firstLine="480" w:firstLineChars="200"/>
            </w:pPr>
            <w:r>
              <w:rPr>
                <w:rFonts w:hint="eastAsia"/>
              </w:rPr>
              <w:t>项目依托中建七局废弃</w:t>
            </w:r>
            <w:r>
              <w:rPr>
                <w:rFonts w:hint="eastAsia"/>
                <w:snapToGrid w:val="0"/>
              </w:rPr>
              <w:t>水泥稳定</w:t>
            </w:r>
            <w:r>
              <w:rPr>
                <w:rFonts w:hint="eastAsia"/>
              </w:rPr>
              <w:t>场站原有的料仓和生活宿舍区，地面硬化，搅拌生产线不再利用，已全部拆除。企业已取得临时用地手续，项目在其基础上建设</w:t>
            </w:r>
            <w:r>
              <w:t>预制场1处，</w:t>
            </w:r>
            <w:r>
              <w:rPr>
                <w:rFonts w:hint="eastAsia"/>
              </w:rPr>
              <w:t>水泥</w:t>
            </w:r>
            <w:r>
              <w:t>混凝土拌合站和沥青</w:t>
            </w:r>
            <w:r>
              <w:rPr>
                <w:rFonts w:hint="eastAsia"/>
              </w:rPr>
              <w:t>混凝土</w:t>
            </w:r>
            <w:r>
              <w:t>拌合站各1座，水</w:t>
            </w:r>
            <w:r>
              <w:rPr>
                <w:rFonts w:hint="eastAsia"/>
              </w:rPr>
              <w:t>泥稳定土</w:t>
            </w:r>
            <w:r>
              <w:t>拌合站2座，</w:t>
            </w:r>
            <w:r>
              <w:rPr>
                <w:rFonts w:hint="eastAsia"/>
              </w:rPr>
              <w:t>并</w:t>
            </w:r>
            <w:r>
              <w:t>设置员工住宿办公区、施工人员住宿区等</w:t>
            </w:r>
            <w:r>
              <w:rPr>
                <w:rFonts w:hint="eastAsia"/>
              </w:rPr>
              <w:t>福利</w:t>
            </w:r>
            <w:r>
              <w:t>设施</w:t>
            </w:r>
            <w:r>
              <w:rPr>
                <w:rFonts w:hint="eastAsia"/>
              </w:rPr>
              <w:t>（中建七局住宿办公区数量不满足于实际需求，故需新增）</w:t>
            </w:r>
            <w:r>
              <w:t>。</w:t>
            </w:r>
            <w:r>
              <w:rPr>
                <w:rFonts w:hint="eastAsia"/>
              </w:rPr>
              <w:t>目前企业已取得用地许可，充分依托现有设施建设，减少工程量，减缓环境影响。</w:t>
            </w:r>
          </w:p>
          <w:p w14:paraId="0CC75531">
            <w:pPr>
              <w:spacing w:line="460" w:lineRule="exact"/>
              <w:ind w:firstLine="480" w:firstLineChars="200"/>
            </w:pPr>
            <w:r>
              <w:rPr>
                <w:rFonts w:hint="eastAsia"/>
              </w:rPr>
              <w:t>项目的建设主要为S240线公路改扩建项目提供筑路材料，保障</w:t>
            </w:r>
            <w:r>
              <w:t>S240线公路改扩建项目</w:t>
            </w:r>
            <w:r>
              <w:rPr>
                <w:rFonts w:hint="eastAsia"/>
              </w:rPr>
              <w:t>顺利实施。</w:t>
            </w:r>
          </w:p>
          <w:p w14:paraId="561BE5E8">
            <w:pPr>
              <w:pStyle w:val="4"/>
              <w:numPr>
                <w:ilvl w:val="0"/>
                <w:numId w:val="3"/>
              </w:numPr>
              <w:spacing w:before="0" w:after="0" w:line="460" w:lineRule="exact"/>
              <w:ind w:firstLine="482" w:firstLineChars="200"/>
              <w:rPr>
                <w:sz w:val="24"/>
              </w:rPr>
            </w:pPr>
            <w:r>
              <w:rPr>
                <w:sz w:val="24"/>
              </w:rPr>
              <w:t>项目建设内容</w:t>
            </w:r>
          </w:p>
          <w:p w14:paraId="074FDC76">
            <w:pPr>
              <w:adjustRightInd w:val="0"/>
              <w:snapToGrid w:val="0"/>
              <w:spacing w:line="460" w:lineRule="exact"/>
              <w:ind w:firstLine="480" w:firstLineChars="200"/>
            </w:pPr>
            <w:r>
              <w:rPr>
                <w:rFonts w:hint="eastAsia"/>
              </w:rPr>
              <w:t>本项目建设内容主要包括建设预制场1处，水泥混凝土拌合站和沥青混凝土拌合站各1座，水泥稳定土拌合站2座</w:t>
            </w:r>
            <w:r>
              <w:t>，办公室、宿舍及实验室，配套建设给排水、供电、消防及环保等辅助设施。项目工程内容组成见表2-1。</w:t>
            </w:r>
          </w:p>
          <w:p w14:paraId="1DC952EA">
            <w:pPr>
              <w:pStyle w:val="76"/>
              <w:ind w:firstLine="420"/>
              <w:rPr>
                <w:color w:val="auto"/>
              </w:rPr>
            </w:pPr>
            <w:r>
              <w:rPr>
                <w:color w:val="auto"/>
              </w:rPr>
              <w:t>表2-1                      建设项目组成一览表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595"/>
              <w:gridCol w:w="3335"/>
              <w:gridCol w:w="2208"/>
            </w:tblGrid>
            <w:tr w14:paraId="1E700D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shd w:val="clear" w:color="auto" w:fill="auto"/>
                  <w:vAlign w:val="center"/>
                </w:tcPr>
                <w:p w14:paraId="4F7EAFC0">
                  <w:pPr>
                    <w:jc w:val="center"/>
                    <w:rPr>
                      <w:sz w:val="21"/>
                      <w:szCs w:val="21"/>
                    </w:rPr>
                  </w:pPr>
                  <w:r>
                    <w:rPr>
                      <w:sz w:val="21"/>
                      <w:szCs w:val="21"/>
                    </w:rPr>
                    <w:t>工程类别</w:t>
                  </w:r>
                </w:p>
              </w:tc>
              <w:tc>
                <w:tcPr>
                  <w:tcW w:w="975" w:type="pct"/>
                  <w:shd w:val="clear" w:color="auto" w:fill="auto"/>
                  <w:vAlign w:val="center"/>
                </w:tcPr>
                <w:p w14:paraId="4A29434C">
                  <w:pPr>
                    <w:jc w:val="center"/>
                    <w:rPr>
                      <w:sz w:val="21"/>
                      <w:szCs w:val="21"/>
                    </w:rPr>
                  </w:pPr>
                  <w:r>
                    <w:rPr>
                      <w:sz w:val="21"/>
                      <w:szCs w:val="21"/>
                    </w:rPr>
                    <w:t>工程名称</w:t>
                  </w:r>
                </w:p>
              </w:tc>
              <w:tc>
                <w:tcPr>
                  <w:tcW w:w="2038" w:type="pct"/>
                  <w:shd w:val="clear" w:color="auto" w:fill="auto"/>
                  <w:vAlign w:val="center"/>
                </w:tcPr>
                <w:p w14:paraId="2C079FB0">
                  <w:pPr>
                    <w:jc w:val="center"/>
                    <w:rPr>
                      <w:sz w:val="21"/>
                      <w:szCs w:val="21"/>
                    </w:rPr>
                  </w:pPr>
                  <w:r>
                    <w:rPr>
                      <w:sz w:val="21"/>
                      <w:szCs w:val="21"/>
                    </w:rPr>
                    <w:t>建设内容及规模</w:t>
                  </w:r>
                </w:p>
              </w:tc>
              <w:tc>
                <w:tcPr>
                  <w:tcW w:w="1349" w:type="pct"/>
                  <w:shd w:val="clear" w:color="auto" w:fill="auto"/>
                  <w:vAlign w:val="center"/>
                </w:tcPr>
                <w:p w14:paraId="3B85FE0D">
                  <w:pPr>
                    <w:jc w:val="center"/>
                    <w:rPr>
                      <w:sz w:val="21"/>
                      <w:szCs w:val="21"/>
                    </w:rPr>
                  </w:pPr>
                  <w:r>
                    <w:rPr>
                      <w:sz w:val="21"/>
                      <w:szCs w:val="21"/>
                    </w:rPr>
                    <w:t>备注</w:t>
                  </w:r>
                </w:p>
              </w:tc>
            </w:tr>
            <w:tr w14:paraId="6D0E2A4D">
              <w:tblPrEx>
                <w:tblCellMar>
                  <w:top w:w="0" w:type="dxa"/>
                  <w:left w:w="108" w:type="dxa"/>
                  <w:bottom w:w="0" w:type="dxa"/>
                  <w:right w:w="108" w:type="dxa"/>
                </w:tblCellMar>
              </w:tblPrEx>
              <w:trPr>
                <w:trHeight w:val="340" w:hRule="atLeast"/>
                <w:jc w:val="center"/>
              </w:trPr>
              <w:tc>
                <w:tcPr>
                  <w:tcW w:w="638" w:type="pct"/>
                  <w:vMerge w:val="restart"/>
                  <w:shd w:val="clear" w:color="auto" w:fill="auto"/>
                  <w:vAlign w:val="center"/>
                </w:tcPr>
                <w:p w14:paraId="4BCCF843">
                  <w:pPr>
                    <w:jc w:val="center"/>
                    <w:rPr>
                      <w:sz w:val="21"/>
                      <w:szCs w:val="21"/>
                    </w:rPr>
                  </w:pPr>
                  <w:r>
                    <w:rPr>
                      <w:sz w:val="21"/>
                      <w:szCs w:val="21"/>
                    </w:rPr>
                    <w:t>主体工程</w:t>
                  </w:r>
                </w:p>
              </w:tc>
              <w:tc>
                <w:tcPr>
                  <w:tcW w:w="975" w:type="pct"/>
                  <w:shd w:val="clear" w:color="auto" w:fill="auto"/>
                  <w:vAlign w:val="center"/>
                </w:tcPr>
                <w:p w14:paraId="115CF6F0">
                  <w:pPr>
                    <w:jc w:val="center"/>
                    <w:rPr>
                      <w:sz w:val="21"/>
                      <w:szCs w:val="21"/>
                    </w:rPr>
                  </w:pPr>
                  <w:r>
                    <w:rPr>
                      <w:rFonts w:hint="eastAsia"/>
                      <w:sz w:val="21"/>
                      <w:szCs w:val="21"/>
                    </w:rPr>
                    <w:t>水泥混凝土拌合站</w:t>
                  </w:r>
                </w:p>
              </w:tc>
              <w:tc>
                <w:tcPr>
                  <w:tcW w:w="2038" w:type="pct"/>
                  <w:shd w:val="clear" w:color="auto" w:fill="auto"/>
                  <w:vAlign w:val="center"/>
                </w:tcPr>
                <w:p w14:paraId="367A0B70">
                  <w:pPr>
                    <w:widowControl/>
                    <w:jc w:val="center"/>
                    <w:rPr>
                      <w:sz w:val="21"/>
                      <w:szCs w:val="21"/>
                    </w:rPr>
                  </w:pPr>
                  <w:r>
                    <w:rPr>
                      <w:kern w:val="0"/>
                      <w:sz w:val="21"/>
                      <w:szCs w:val="21"/>
                      <w:lang w:bidi="ar"/>
                    </w:rPr>
                    <w:t>设置2套水泥稳定土搅拌系统，配置：骨料配料系统，粉料供给系统</w:t>
                  </w:r>
                  <w:r>
                    <w:rPr>
                      <w:sz w:val="21"/>
                      <w:szCs w:val="21"/>
                    </w:rPr>
                    <w:t>，</w:t>
                  </w:r>
                  <w:r>
                    <w:rPr>
                      <w:kern w:val="0"/>
                      <w:sz w:val="21"/>
                      <w:szCs w:val="21"/>
                      <w:lang w:bidi="ar"/>
                    </w:rPr>
                    <w:t>供水系统，搅拌装置，储料装置，控制室等。</w:t>
                  </w:r>
                </w:p>
              </w:tc>
              <w:tc>
                <w:tcPr>
                  <w:tcW w:w="1349" w:type="pct"/>
                  <w:shd w:val="clear" w:color="auto" w:fill="auto"/>
                  <w:vAlign w:val="center"/>
                </w:tcPr>
                <w:p w14:paraId="03158EA6">
                  <w:pPr>
                    <w:widowControl/>
                    <w:jc w:val="center"/>
                    <w:rPr>
                      <w:sz w:val="21"/>
                      <w:szCs w:val="21"/>
                    </w:rPr>
                  </w:pPr>
                  <w:r>
                    <w:rPr>
                      <w:sz w:val="21"/>
                      <w:szCs w:val="21"/>
                    </w:rPr>
                    <w:t>拟建</w:t>
                  </w:r>
                </w:p>
              </w:tc>
            </w:tr>
            <w:tr w14:paraId="57679C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5379CE6D">
                  <w:pPr>
                    <w:jc w:val="center"/>
                    <w:rPr>
                      <w:sz w:val="21"/>
                      <w:szCs w:val="21"/>
                    </w:rPr>
                  </w:pPr>
                </w:p>
              </w:tc>
              <w:tc>
                <w:tcPr>
                  <w:tcW w:w="975" w:type="pct"/>
                  <w:shd w:val="clear" w:color="auto" w:fill="auto"/>
                  <w:vAlign w:val="center"/>
                </w:tcPr>
                <w:p w14:paraId="02F0FF26">
                  <w:pPr>
                    <w:jc w:val="center"/>
                    <w:rPr>
                      <w:sz w:val="21"/>
                      <w:szCs w:val="21"/>
                    </w:rPr>
                  </w:pPr>
                  <w:r>
                    <w:rPr>
                      <w:rFonts w:hint="eastAsia"/>
                      <w:sz w:val="21"/>
                      <w:szCs w:val="21"/>
                    </w:rPr>
                    <w:t>沥青混凝土拌合站</w:t>
                  </w:r>
                </w:p>
              </w:tc>
              <w:tc>
                <w:tcPr>
                  <w:tcW w:w="2038" w:type="pct"/>
                  <w:shd w:val="clear" w:color="auto" w:fill="auto"/>
                  <w:vAlign w:val="center"/>
                </w:tcPr>
                <w:p w14:paraId="7278F638">
                  <w:pPr>
                    <w:jc w:val="center"/>
                    <w:rPr>
                      <w:sz w:val="21"/>
                      <w:szCs w:val="21"/>
                    </w:rPr>
                  </w:pPr>
                  <w:r>
                    <w:rPr>
                      <w:sz w:val="21"/>
                      <w:szCs w:val="21"/>
                    </w:rPr>
                    <w:t>设置1套间歇式搅拌系统</w:t>
                  </w:r>
                  <w:r>
                    <w:rPr>
                      <w:kern w:val="0"/>
                      <w:sz w:val="21"/>
                      <w:szCs w:val="21"/>
                      <w:lang w:bidi="ar"/>
                    </w:rPr>
                    <w:t>。配置：冷料供给系统，骨料烘干加热系统，筛分、称量及拌合系统，粉料供给系统，沥青供给及加热系统，气动系统，废气处理系统，成品料提升及储存系统（选配），控制系统等</w:t>
                  </w:r>
                </w:p>
              </w:tc>
              <w:tc>
                <w:tcPr>
                  <w:tcW w:w="1349" w:type="pct"/>
                  <w:shd w:val="clear" w:color="auto" w:fill="auto"/>
                  <w:vAlign w:val="center"/>
                </w:tcPr>
                <w:p w14:paraId="258AC300">
                  <w:pPr>
                    <w:jc w:val="center"/>
                    <w:rPr>
                      <w:sz w:val="21"/>
                      <w:szCs w:val="21"/>
                    </w:rPr>
                  </w:pPr>
                  <w:r>
                    <w:rPr>
                      <w:sz w:val="21"/>
                      <w:szCs w:val="21"/>
                    </w:rPr>
                    <w:t>拟建</w:t>
                  </w:r>
                </w:p>
              </w:tc>
            </w:tr>
            <w:tr w14:paraId="6C4C8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3CF59C70">
                  <w:pPr>
                    <w:jc w:val="center"/>
                    <w:rPr>
                      <w:sz w:val="21"/>
                      <w:szCs w:val="21"/>
                    </w:rPr>
                  </w:pPr>
                </w:p>
              </w:tc>
              <w:tc>
                <w:tcPr>
                  <w:tcW w:w="975" w:type="pct"/>
                  <w:shd w:val="clear" w:color="auto" w:fill="auto"/>
                  <w:vAlign w:val="center"/>
                </w:tcPr>
                <w:p w14:paraId="357F45FC">
                  <w:pPr>
                    <w:jc w:val="center"/>
                    <w:rPr>
                      <w:sz w:val="21"/>
                      <w:szCs w:val="21"/>
                    </w:rPr>
                  </w:pPr>
                  <w:r>
                    <w:rPr>
                      <w:rFonts w:hint="eastAsia"/>
                      <w:sz w:val="21"/>
                      <w:szCs w:val="21"/>
                    </w:rPr>
                    <w:t>水泥稳定土拌合站</w:t>
                  </w:r>
                </w:p>
              </w:tc>
              <w:tc>
                <w:tcPr>
                  <w:tcW w:w="2038" w:type="pct"/>
                  <w:shd w:val="clear" w:color="auto" w:fill="auto"/>
                  <w:vAlign w:val="center"/>
                </w:tcPr>
                <w:p w14:paraId="6EACB175">
                  <w:pPr>
                    <w:widowControl/>
                    <w:jc w:val="center"/>
                    <w:rPr>
                      <w:sz w:val="21"/>
                      <w:szCs w:val="21"/>
                    </w:rPr>
                  </w:pPr>
                  <w:r>
                    <w:rPr>
                      <w:kern w:val="0"/>
                      <w:sz w:val="21"/>
                      <w:szCs w:val="21"/>
                      <w:lang w:bidi="ar"/>
                    </w:rPr>
                    <w:t>设置1套混凝土搅拌系统，配置：骨料配料系统，骨料提升系统，计量系统，供水系统、气路系统，搅拌装置，除尘系统</w:t>
                  </w:r>
                </w:p>
              </w:tc>
              <w:tc>
                <w:tcPr>
                  <w:tcW w:w="1349" w:type="pct"/>
                  <w:shd w:val="clear" w:color="auto" w:fill="auto"/>
                  <w:vAlign w:val="center"/>
                </w:tcPr>
                <w:p w14:paraId="7220B855">
                  <w:pPr>
                    <w:jc w:val="center"/>
                    <w:rPr>
                      <w:sz w:val="21"/>
                      <w:szCs w:val="21"/>
                    </w:rPr>
                  </w:pPr>
                  <w:r>
                    <w:rPr>
                      <w:sz w:val="21"/>
                      <w:szCs w:val="21"/>
                    </w:rPr>
                    <w:t>拟建</w:t>
                  </w:r>
                </w:p>
              </w:tc>
            </w:tr>
            <w:tr w14:paraId="1C4124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4E9EB3CB">
                  <w:pPr>
                    <w:jc w:val="center"/>
                    <w:rPr>
                      <w:sz w:val="21"/>
                      <w:szCs w:val="21"/>
                    </w:rPr>
                  </w:pPr>
                </w:p>
              </w:tc>
              <w:tc>
                <w:tcPr>
                  <w:tcW w:w="975" w:type="pct"/>
                  <w:shd w:val="clear" w:color="auto" w:fill="auto"/>
                  <w:vAlign w:val="center"/>
                </w:tcPr>
                <w:p w14:paraId="39644A7D">
                  <w:pPr>
                    <w:jc w:val="center"/>
                    <w:rPr>
                      <w:sz w:val="21"/>
                      <w:szCs w:val="21"/>
                    </w:rPr>
                  </w:pPr>
                  <w:r>
                    <w:rPr>
                      <w:sz w:val="21"/>
                      <w:szCs w:val="21"/>
                    </w:rPr>
                    <w:t>预制场</w:t>
                  </w:r>
                </w:p>
              </w:tc>
              <w:tc>
                <w:tcPr>
                  <w:tcW w:w="2038" w:type="pct"/>
                  <w:shd w:val="clear" w:color="auto" w:fill="auto"/>
                  <w:vAlign w:val="center"/>
                </w:tcPr>
                <w:p w14:paraId="578A6BC9">
                  <w:pPr>
                    <w:jc w:val="center"/>
                    <w:rPr>
                      <w:sz w:val="21"/>
                      <w:szCs w:val="21"/>
                    </w:rPr>
                  </w:pPr>
                  <w:r>
                    <w:rPr>
                      <w:sz w:val="21"/>
                      <w:szCs w:val="21"/>
                    </w:rPr>
                    <w:t>预制场8mT梁钢台座设置7个，盖板预制区钢台座设置78个</w:t>
                  </w:r>
                  <w:r>
                    <w:rPr>
                      <w:rFonts w:hint="eastAsia"/>
                      <w:sz w:val="21"/>
                      <w:szCs w:val="21"/>
                    </w:rPr>
                    <w:t>，立墙生产区台座共1</w:t>
                  </w:r>
                  <w:r>
                    <w:rPr>
                      <w:sz w:val="21"/>
                      <w:szCs w:val="21"/>
                    </w:rPr>
                    <w:t>12</w:t>
                  </w:r>
                  <w:r>
                    <w:rPr>
                      <w:rFonts w:hint="eastAsia"/>
                      <w:sz w:val="21"/>
                      <w:szCs w:val="21"/>
                    </w:rPr>
                    <w:t>个</w:t>
                  </w:r>
                </w:p>
              </w:tc>
              <w:tc>
                <w:tcPr>
                  <w:tcW w:w="1349" w:type="pct"/>
                  <w:shd w:val="clear" w:color="auto" w:fill="auto"/>
                  <w:vAlign w:val="center"/>
                </w:tcPr>
                <w:p w14:paraId="7455D7B5">
                  <w:pPr>
                    <w:jc w:val="center"/>
                    <w:rPr>
                      <w:sz w:val="21"/>
                      <w:szCs w:val="21"/>
                    </w:rPr>
                  </w:pPr>
                  <w:r>
                    <w:rPr>
                      <w:sz w:val="21"/>
                      <w:szCs w:val="21"/>
                    </w:rPr>
                    <w:t>拟建</w:t>
                  </w:r>
                </w:p>
              </w:tc>
            </w:tr>
            <w:tr w14:paraId="46BA5C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restart"/>
                  <w:shd w:val="clear" w:color="auto" w:fill="auto"/>
                  <w:vAlign w:val="center"/>
                </w:tcPr>
                <w:p w14:paraId="0A2FA0D5">
                  <w:pPr>
                    <w:jc w:val="center"/>
                    <w:rPr>
                      <w:sz w:val="21"/>
                      <w:szCs w:val="21"/>
                    </w:rPr>
                  </w:pPr>
                  <w:r>
                    <w:rPr>
                      <w:sz w:val="21"/>
                      <w:szCs w:val="21"/>
                    </w:rPr>
                    <w:t>辅助工程</w:t>
                  </w:r>
                </w:p>
              </w:tc>
              <w:tc>
                <w:tcPr>
                  <w:tcW w:w="975" w:type="pct"/>
                  <w:shd w:val="clear" w:color="auto" w:fill="auto"/>
                  <w:vAlign w:val="center"/>
                </w:tcPr>
                <w:p w14:paraId="6039B27D">
                  <w:pPr>
                    <w:jc w:val="center"/>
                    <w:rPr>
                      <w:sz w:val="21"/>
                      <w:szCs w:val="21"/>
                    </w:rPr>
                  </w:pPr>
                  <w:r>
                    <w:rPr>
                      <w:sz w:val="21"/>
                      <w:szCs w:val="21"/>
                    </w:rPr>
                    <w:t>钢筋加工厂</w:t>
                  </w:r>
                </w:p>
              </w:tc>
              <w:tc>
                <w:tcPr>
                  <w:tcW w:w="2038" w:type="pct"/>
                  <w:shd w:val="clear" w:color="auto" w:fill="auto"/>
                  <w:vAlign w:val="center"/>
                </w:tcPr>
                <w:p w14:paraId="20815E92">
                  <w:pPr>
                    <w:jc w:val="center"/>
                    <w:rPr>
                      <w:sz w:val="21"/>
                      <w:szCs w:val="21"/>
                    </w:rPr>
                  </w:pPr>
                  <w:r>
                    <w:rPr>
                      <w:sz w:val="21"/>
                      <w:szCs w:val="21"/>
                    </w:rPr>
                    <w:t>钢筋加工厂几何尺寸为：长72m、宽30m拱型钢筋加工棚</w:t>
                  </w:r>
                </w:p>
              </w:tc>
              <w:tc>
                <w:tcPr>
                  <w:tcW w:w="1349" w:type="pct"/>
                  <w:shd w:val="clear" w:color="auto" w:fill="auto"/>
                  <w:vAlign w:val="center"/>
                </w:tcPr>
                <w:p w14:paraId="1E15D5DE">
                  <w:pPr>
                    <w:jc w:val="center"/>
                    <w:rPr>
                      <w:sz w:val="21"/>
                      <w:szCs w:val="21"/>
                    </w:rPr>
                  </w:pPr>
                  <w:r>
                    <w:rPr>
                      <w:sz w:val="21"/>
                      <w:szCs w:val="21"/>
                    </w:rPr>
                    <w:t>拟建</w:t>
                  </w:r>
                </w:p>
              </w:tc>
            </w:tr>
            <w:tr w14:paraId="44EDE1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8" w:type="pct"/>
                  <w:vMerge w:val="continue"/>
                  <w:shd w:val="clear" w:color="auto" w:fill="auto"/>
                  <w:vAlign w:val="center"/>
                </w:tcPr>
                <w:p w14:paraId="76786C9A">
                  <w:pPr>
                    <w:jc w:val="center"/>
                    <w:rPr>
                      <w:sz w:val="21"/>
                      <w:szCs w:val="21"/>
                    </w:rPr>
                  </w:pPr>
                </w:p>
              </w:tc>
              <w:tc>
                <w:tcPr>
                  <w:tcW w:w="975" w:type="pct"/>
                  <w:shd w:val="clear" w:color="auto" w:fill="auto"/>
                  <w:vAlign w:val="center"/>
                </w:tcPr>
                <w:p w14:paraId="04EB5A31">
                  <w:pPr>
                    <w:jc w:val="center"/>
                    <w:rPr>
                      <w:sz w:val="21"/>
                      <w:szCs w:val="21"/>
                    </w:rPr>
                  </w:pPr>
                  <w:r>
                    <w:rPr>
                      <w:sz w:val="21"/>
                      <w:szCs w:val="21"/>
                    </w:rPr>
                    <w:t>办公室</w:t>
                  </w:r>
                </w:p>
              </w:tc>
              <w:tc>
                <w:tcPr>
                  <w:tcW w:w="2038" w:type="pct"/>
                  <w:shd w:val="clear" w:color="auto" w:fill="auto"/>
                  <w:vAlign w:val="center"/>
                </w:tcPr>
                <w:p w14:paraId="53EFC239">
                  <w:pPr>
                    <w:jc w:val="center"/>
                    <w:rPr>
                      <w:sz w:val="21"/>
                      <w:szCs w:val="21"/>
                    </w:rPr>
                  </w:pPr>
                  <w:r>
                    <w:rPr>
                      <w:bCs/>
                      <w:sz w:val="21"/>
                      <w:szCs w:val="21"/>
                    </w:rPr>
                    <w:t>用于日常工作人员办公</w:t>
                  </w:r>
                </w:p>
              </w:tc>
              <w:tc>
                <w:tcPr>
                  <w:tcW w:w="1349" w:type="pct"/>
                  <w:vMerge w:val="restart"/>
                  <w:shd w:val="clear" w:color="auto" w:fill="auto"/>
                  <w:vAlign w:val="center"/>
                </w:tcPr>
                <w:p w14:paraId="2FFAD5EE">
                  <w:pPr>
                    <w:jc w:val="center"/>
                    <w:rPr>
                      <w:sz w:val="21"/>
                      <w:szCs w:val="21"/>
                    </w:rPr>
                  </w:pPr>
                  <w:r>
                    <w:rPr>
                      <w:rFonts w:hint="eastAsia"/>
                      <w:sz w:val="21"/>
                      <w:szCs w:val="21"/>
                    </w:rPr>
                    <w:t>6</w:t>
                  </w:r>
                  <w:r>
                    <w:rPr>
                      <w:sz w:val="21"/>
                      <w:szCs w:val="21"/>
                    </w:rPr>
                    <w:t>9</w:t>
                  </w:r>
                  <w:r>
                    <w:rPr>
                      <w:rFonts w:hint="eastAsia"/>
                      <w:sz w:val="21"/>
                      <w:szCs w:val="21"/>
                    </w:rPr>
                    <w:t>间依托中建七局废弃水泥稳定场站原有的生活办公区，9间为新建宿舍区</w:t>
                  </w:r>
                </w:p>
              </w:tc>
            </w:tr>
            <w:tr w14:paraId="02D49C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4ED135E">
                  <w:pPr>
                    <w:jc w:val="center"/>
                    <w:rPr>
                      <w:sz w:val="21"/>
                      <w:szCs w:val="21"/>
                    </w:rPr>
                  </w:pPr>
                </w:p>
              </w:tc>
              <w:tc>
                <w:tcPr>
                  <w:tcW w:w="975" w:type="pct"/>
                  <w:shd w:val="clear" w:color="auto" w:fill="auto"/>
                  <w:vAlign w:val="center"/>
                </w:tcPr>
                <w:p w14:paraId="460CED04">
                  <w:pPr>
                    <w:jc w:val="center"/>
                    <w:rPr>
                      <w:sz w:val="21"/>
                      <w:szCs w:val="21"/>
                    </w:rPr>
                  </w:pPr>
                  <w:r>
                    <w:rPr>
                      <w:sz w:val="21"/>
                      <w:szCs w:val="21"/>
                    </w:rPr>
                    <w:t>生活区</w:t>
                  </w:r>
                </w:p>
              </w:tc>
              <w:tc>
                <w:tcPr>
                  <w:tcW w:w="2038" w:type="pct"/>
                  <w:shd w:val="clear" w:color="auto" w:fill="auto"/>
                  <w:vAlign w:val="center"/>
                </w:tcPr>
                <w:p w14:paraId="78ED93A2">
                  <w:pPr>
                    <w:jc w:val="center"/>
                    <w:rPr>
                      <w:sz w:val="21"/>
                      <w:szCs w:val="21"/>
                    </w:rPr>
                  </w:pPr>
                  <w:r>
                    <w:rPr>
                      <w:rFonts w:hint="eastAsia"/>
                      <w:sz w:val="21"/>
                      <w:szCs w:val="21"/>
                    </w:rPr>
                    <w:t>建设</w:t>
                  </w:r>
                  <w:r>
                    <w:rPr>
                      <w:sz w:val="21"/>
                      <w:szCs w:val="21"/>
                    </w:rPr>
                    <w:t>宿舍78间，每间宿舍面积21.6</w:t>
                  </w:r>
                  <w:r>
                    <w:rPr>
                      <w:kern w:val="0"/>
                      <w:sz w:val="21"/>
                      <w:szCs w:val="21"/>
                      <w:lang w:bidi="ar"/>
                    </w:rPr>
                    <w:t>m</w:t>
                  </w:r>
                  <w:r>
                    <w:rPr>
                      <w:kern w:val="0"/>
                      <w:sz w:val="21"/>
                      <w:szCs w:val="21"/>
                      <w:vertAlign w:val="superscript"/>
                      <w:lang w:bidi="ar"/>
                    </w:rPr>
                    <w:t>2</w:t>
                  </w:r>
                  <w:r>
                    <w:rPr>
                      <w:sz w:val="21"/>
                      <w:szCs w:val="21"/>
                    </w:rPr>
                    <w:t xml:space="preserve"> </w:t>
                  </w:r>
                </w:p>
              </w:tc>
              <w:tc>
                <w:tcPr>
                  <w:tcW w:w="1349" w:type="pct"/>
                  <w:vMerge w:val="continue"/>
                  <w:shd w:val="clear" w:color="auto" w:fill="auto"/>
                  <w:vAlign w:val="center"/>
                </w:tcPr>
                <w:p w14:paraId="4D459E3E">
                  <w:pPr>
                    <w:jc w:val="center"/>
                    <w:rPr>
                      <w:sz w:val="21"/>
                      <w:szCs w:val="21"/>
                    </w:rPr>
                  </w:pPr>
                </w:p>
              </w:tc>
            </w:tr>
            <w:tr w14:paraId="36A903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317344F0">
                  <w:pPr>
                    <w:jc w:val="center"/>
                    <w:rPr>
                      <w:sz w:val="21"/>
                      <w:szCs w:val="21"/>
                    </w:rPr>
                  </w:pPr>
                </w:p>
              </w:tc>
              <w:tc>
                <w:tcPr>
                  <w:tcW w:w="975" w:type="pct"/>
                  <w:shd w:val="clear" w:color="auto" w:fill="auto"/>
                  <w:vAlign w:val="center"/>
                </w:tcPr>
                <w:p w14:paraId="2E287718">
                  <w:pPr>
                    <w:jc w:val="center"/>
                    <w:rPr>
                      <w:sz w:val="21"/>
                      <w:szCs w:val="21"/>
                    </w:rPr>
                  </w:pPr>
                  <w:r>
                    <w:rPr>
                      <w:sz w:val="21"/>
                      <w:szCs w:val="21"/>
                    </w:rPr>
                    <w:t>地磅控制室</w:t>
                  </w:r>
                </w:p>
              </w:tc>
              <w:tc>
                <w:tcPr>
                  <w:tcW w:w="2038" w:type="pct"/>
                  <w:shd w:val="clear" w:color="auto" w:fill="auto"/>
                  <w:vAlign w:val="center"/>
                </w:tcPr>
                <w:p w14:paraId="616D9E45">
                  <w:pPr>
                    <w:jc w:val="center"/>
                    <w:rPr>
                      <w:sz w:val="21"/>
                      <w:szCs w:val="21"/>
                    </w:rPr>
                  </w:pPr>
                  <w:r>
                    <w:rPr>
                      <w:sz w:val="21"/>
                      <w:szCs w:val="21"/>
                    </w:rPr>
                    <w:t>重量为150t，地基承载力须大于170</w:t>
                  </w:r>
                  <w:r>
                    <w:rPr>
                      <w:rFonts w:hint="eastAsia"/>
                      <w:sz w:val="21"/>
                      <w:szCs w:val="21"/>
                    </w:rPr>
                    <w:t>k</w:t>
                  </w:r>
                  <w:r>
                    <w:rPr>
                      <w:sz w:val="21"/>
                      <w:szCs w:val="21"/>
                    </w:rPr>
                    <w:t>Pa，基础混凝土为C30以上强度</w:t>
                  </w:r>
                </w:p>
              </w:tc>
              <w:tc>
                <w:tcPr>
                  <w:tcW w:w="1349" w:type="pct"/>
                  <w:shd w:val="clear" w:color="auto" w:fill="auto"/>
                  <w:vAlign w:val="center"/>
                </w:tcPr>
                <w:p w14:paraId="455DB301">
                  <w:pPr>
                    <w:jc w:val="center"/>
                    <w:rPr>
                      <w:sz w:val="21"/>
                      <w:szCs w:val="21"/>
                    </w:rPr>
                  </w:pPr>
                  <w:r>
                    <w:rPr>
                      <w:sz w:val="21"/>
                      <w:szCs w:val="21"/>
                    </w:rPr>
                    <w:t>拟建</w:t>
                  </w:r>
                </w:p>
              </w:tc>
            </w:tr>
            <w:tr w14:paraId="0E80BE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CF66E08">
                  <w:pPr>
                    <w:jc w:val="center"/>
                    <w:rPr>
                      <w:sz w:val="21"/>
                      <w:szCs w:val="21"/>
                    </w:rPr>
                  </w:pPr>
                </w:p>
              </w:tc>
              <w:tc>
                <w:tcPr>
                  <w:tcW w:w="975" w:type="pct"/>
                  <w:shd w:val="clear" w:color="auto" w:fill="auto"/>
                  <w:vAlign w:val="center"/>
                </w:tcPr>
                <w:p w14:paraId="64E7EA2B">
                  <w:pPr>
                    <w:jc w:val="center"/>
                    <w:rPr>
                      <w:sz w:val="21"/>
                      <w:szCs w:val="21"/>
                    </w:rPr>
                  </w:pPr>
                  <w:r>
                    <w:rPr>
                      <w:sz w:val="21"/>
                      <w:szCs w:val="21"/>
                    </w:rPr>
                    <w:t>洗车平台</w:t>
                  </w:r>
                </w:p>
              </w:tc>
              <w:tc>
                <w:tcPr>
                  <w:tcW w:w="2038" w:type="pct"/>
                  <w:shd w:val="clear" w:color="auto" w:fill="auto"/>
                  <w:vAlign w:val="center"/>
                </w:tcPr>
                <w:p w14:paraId="300F557B">
                  <w:pPr>
                    <w:jc w:val="center"/>
                    <w:rPr>
                      <w:sz w:val="21"/>
                      <w:szCs w:val="21"/>
                    </w:rPr>
                  </w:pPr>
                  <w:r>
                    <w:rPr>
                      <w:sz w:val="21"/>
                      <w:szCs w:val="21"/>
                    </w:rPr>
                    <w:t>设置洗车平台2个，位于厂区出入口。</w:t>
                  </w:r>
                </w:p>
              </w:tc>
              <w:tc>
                <w:tcPr>
                  <w:tcW w:w="1349" w:type="pct"/>
                  <w:shd w:val="clear" w:color="auto" w:fill="auto"/>
                  <w:vAlign w:val="center"/>
                </w:tcPr>
                <w:p w14:paraId="574F0BB3">
                  <w:pPr>
                    <w:jc w:val="center"/>
                    <w:rPr>
                      <w:sz w:val="21"/>
                      <w:szCs w:val="21"/>
                    </w:rPr>
                  </w:pPr>
                  <w:r>
                    <w:rPr>
                      <w:sz w:val="21"/>
                      <w:szCs w:val="21"/>
                    </w:rPr>
                    <w:t>拟建</w:t>
                  </w:r>
                </w:p>
              </w:tc>
            </w:tr>
            <w:tr w14:paraId="61330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C257499">
                  <w:pPr>
                    <w:jc w:val="center"/>
                    <w:rPr>
                      <w:sz w:val="21"/>
                      <w:szCs w:val="21"/>
                    </w:rPr>
                  </w:pPr>
                </w:p>
              </w:tc>
              <w:tc>
                <w:tcPr>
                  <w:tcW w:w="975" w:type="pct"/>
                  <w:shd w:val="clear" w:color="auto" w:fill="auto"/>
                  <w:vAlign w:val="center"/>
                </w:tcPr>
                <w:p w14:paraId="43F70A84">
                  <w:pPr>
                    <w:jc w:val="center"/>
                    <w:rPr>
                      <w:sz w:val="21"/>
                      <w:szCs w:val="21"/>
                    </w:rPr>
                  </w:pPr>
                  <w:r>
                    <w:rPr>
                      <w:rFonts w:hint="eastAsia"/>
                      <w:sz w:val="21"/>
                      <w:szCs w:val="21"/>
                    </w:rPr>
                    <w:t>实验室</w:t>
                  </w:r>
                </w:p>
              </w:tc>
              <w:tc>
                <w:tcPr>
                  <w:tcW w:w="2038" w:type="pct"/>
                  <w:shd w:val="clear" w:color="auto" w:fill="auto"/>
                  <w:vAlign w:val="center"/>
                </w:tcPr>
                <w:p w14:paraId="775B4A62">
                  <w:pPr>
                    <w:jc w:val="center"/>
                    <w:rPr>
                      <w:sz w:val="21"/>
                      <w:szCs w:val="21"/>
                    </w:rPr>
                  </w:pPr>
                  <w:r>
                    <w:rPr>
                      <w:rFonts w:hint="eastAsia"/>
                      <w:sz w:val="21"/>
                      <w:szCs w:val="21"/>
                    </w:rPr>
                    <w:t>位于厂区大门口北侧</w:t>
                  </w:r>
                </w:p>
              </w:tc>
              <w:tc>
                <w:tcPr>
                  <w:tcW w:w="1349" w:type="pct"/>
                  <w:shd w:val="clear" w:color="auto" w:fill="auto"/>
                  <w:vAlign w:val="center"/>
                </w:tcPr>
                <w:p w14:paraId="0441890B">
                  <w:pPr>
                    <w:jc w:val="center"/>
                    <w:rPr>
                      <w:sz w:val="21"/>
                      <w:szCs w:val="21"/>
                    </w:rPr>
                  </w:pPr>
                  <w:r>
                    <w:rPr>
                      <w:kern w:val="0"/>
                      <w:sz w:val="21"/>
                      <w:szCs w:val="21"/>
                      <w:lang w:bidi="ar"/>
                    </w:rPr>
                    <w:t>拟建</w:t>
                  </w:r>
                </w:p>
              </w:tc>
            </w:tr>
            <w:tr w14:paraId="2C99A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924D6D6">
                  <w:pPr>
                    <w:jc w:val="center"/>
                    <w:rPr>
                      <w:sz w:val="21"/>
                      <w:szCs w:val="21"/>
                    </w:rPr>
                  </w:pPr>
                </w:p>
              </w:tc>
              <w:tc>
                <w:tcPr>
                  <w:tcW w:w="975" w:type="pct"/>
                  <w:shd w:val="clear" w:color="auto" w:fill="auto"/>
                  <w:vAlign w:val="center"/>
                </w:tcPr>
                <w:p w14:paraId="1552C78E">
                  <w:pPr>
                    <w:jc w:val="center"/>
                    <w:rPr>
                      <w:sz w:val="21"/>
                      <w:szCs w:val="21"/>
                    </w:rPr>
                  </w:pPr>
                  <w:r>
                    <w:rPr>
                      <w:rFonts w:hint="eastAsia"/>
                      <w:sz w:val="21"/>
                      <w:szCs w:val="21"/>
                    </w:rPr>
                    <w:t>配电室</w:t>
                  </w:r>
                </w:p>
              </w:tc>
              <w:tc>
                <w:tcPr>
                  <w:tcW w:w="2038" w:type="pct"/>
                  <w:shd w:val="clear" w:color="auto" w:fill="auto"/>
                  <w:vAlign w:val="center"/>
                </w:tcPr>
                <w:p w14:paraId="23BE5726">
                  <w:pPr>
                    <w:jc w:val="center"/>
                    <w:rPr>
                      <w:sz w:val="21"/>
                      <w:szCs w:val="21"/>
                    </w:rPr>
                  </w:pPr>
                  <w:r>
                    <w:rPr>
                      <w:rFonts w:hint="eastAsia"/>
                      <w:sz w:val="21"/>
                      <w:szCs w:val="21"/>
                    </w:rPr>
                    <w:t>设置配电室1间</w:t>
                  </w:r>
                </w:p>
              </w:tc>
              <w:tc>
                <w:tcPr>
                  <w:tcW w:w="1349" w:type="pct"/>
                  <w:shd w:val="clear" w:color="auto" w:fill="auto"/>
                  <w:vAlign w:val="center"/>
                </w:tcPr>
                <w:p w14:paraId="582207FF">
                  <w:pPr>
                    <w:jc w:val="center"/>
                    <w:rPr>
                      <w:kern w:val="0"/>
                      <w:sz w:val="21"/>
                      <w:szCs w:val="21"/>
                      <w:lang w:bidi="ar"/>
                    </w:rPr>
                  </w:pPr>
                  <w:r>
                    <w:rPr>
                      <w:rFonts w:hint="eastAsia"/>
                      <w:kern w:val="0"/>
                      <w:sz w:val="21"/>
                      <w:szCs w:val="21"/>
                      <w:lang w:bidi="ar"/>
                    </w:rPr>
                    <w:t>拟建</w:t>
                  </w:r>
                </w:p>
              </w:tc>
            </w:tr>
            <w:tr w14:paraId="034EC3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restart"/>
                  <w:shd w:val="clear" w:color="auto" w:fill="auto"/>
                  <w:vAlign w:val="center"/>
                </w:tcPr>
                <w:p w14:paraId="7E7E7825">
                  <w:pPr>
                    <w:jc w:val="center"/>
                    <w:rPr>
                      <w:sz w:val="21"/>
                      <w:szCs w:val="21"/>
                    </w:rPr>
                  </w:pPr>
                  <w:r>
                    <w:rPr>
                      <w:sz w:val="21"/>
                      <w:szCs w:val="21"/>
                    </w:rPr>
                    <w:t>储运工程</w:t>
                  </w:r>
                </w:p>
              </w:tc>
              <w:tc>
                <w:tcPr>
                  <w:tcW w:w="975" w:type="pct"/>
                  <w:shd w:val="clear" w:color="auto" w:fill="auto"/>
                  <w:vAlign w:val="center"/>
                </w:tcPr>
                <w:p w14:paraId="54D430AE">
                  <w:pPr>
                    <w:jc w:val="center"/>
                    <w:rPr>
                      <w:sz w:val="21"/>
                      <w:szCs w:val="21"/>
                    </w:rPr>
                  </w:pPr>
                  <w:r>
                    <w:rPr>
                      <w:sz w:val="21"/>
                      <w:szCs w:val="21"/>
                    </w:rPr>
                    <w:t>沥青</w:t>
                  </w:r>
                  <w:r>
                    <w:rPr>
                      <w:rFonts w:hint="eastAsia"/>
                      <w:sz w:val="21"/>
                      <w:szCs w:val="21"/>
                    </w:rPr>
                    <w:t>罐</w:t>
                  </w:r>
                </w:p>
              </w:tc>
              <w:tc>
                <w:tcPr>
                  <w:tcW w:w="2038" w:type="pct"/>
                  <w:shd w:val="clear" w:color="auto" w:fill="auto"/>
                  <w:vAlign w:val="center"/>
                </w:tcPr>
                <w:p w14:paraId="6B5C6C2F">
                  <w:pPr>
                    <w:jc w:val="center"/>
                    <w:rPr>
                      <w:sz w:val="21"/>
                      <w:szCs w:val="21"/>
                    </w:rPr>
                  </w:pPr>
                  <w:r>
                    <w:rPr>
                      <w:sz w:val="21"/>
                      <w:szCs w:val="21"/>
                    </w:rPr>
                    <w:t>建设4个沥青</w:t>
                  </w:r>
                  <w:r>
                    <w:rPr>
                      <w:rFonts w:hint="eastAsia"/>
                      <w:sz w:val="21"/>
                      <w:szCs w:val="21"/>
                    </w:rPr>
                    <w:t>罐，单个容量为5</w:t>
                  </w:r>
                  <w:r>
                    <w:rPr>
                      <w:sz w:val="21"/>
                      <w:szCs w:val="21"/>
                    </w:rPr>
                    <w:t>0t</w:t>
                  </w:r>
                </w:p>
              </w:tc>
              <w:tc>
                <w:tcPr>
                  <w:tcW w:w="1349" w:type="pct"/>
                  <w:shd w:val="clear" w:color="auto" w:fill="auto"/>
                  <w:vAlign w:val="center"/>
                </w:tcPr>
                <w:p w14:paraId="53AF3345">
                  <w:pPr>
                    <w:jc w:val="center"/>
                    <w:rPr>
                      <w:sz w:val="21"/>
                      <w:szCs w:val="21"/>
                    </w:rPr>
                  </w:pPr>
                  <w:r>
                    <w:rPr>
                      <w:rFonts w:hint="eastAsia"/>
                      <w:sz w:val="21"/>
                      <w:szCs w:val="21"/>
                    </w:rPr>
                    <w:t>拟建</w:t>
                  </w:r>
                </w:p>
              </w:tc>
            </w:tr>
            <w:tr w14:paraId="3D8A4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F9B7DCF">
                  <w:pPr>
                    <w:jc w:val="center"/>
                    <w:rPr>
                      <w:sz w:val="21"/>
                      <w:szCs w:val="21"/>
                    </w:rPr>
                  </w:pPr>
                </w:p>
              </w:tc>
              <w:tc>
                <w:tcPr>
                  <w:tcW w:w="975" w:type="pct"/>
                  <w:shd w:val="clear" w:color="auto" w:fill="auto"/>
                  <w:vAlign w:val="center"/>
                </w:tcPr>
                <w:p w14:paraId="0B3671DB">
                  <w:pPr>
                    <w:jc w:val="center"/>
                    <w:rPr>
                      <w:sz w:val="21"/>
                      <w:szCs w:val="21"/>
                    </w:rPr>
                  </w:pPr>
                  <w:r>
                    <w:rPr>
                      <w:sz w:val="21"/>
                      <w:szCs w:val="21"/>
                    </w:rPr>
                    <w:t>沥青</w:t>
                  </w:r>
                  <w:r>
                    <w:rPr>
                      <w:rFonts w:hint="eastAsia"/>
                      <w:sz w:val="21"/>
                      <w:szCs w:val="21"/>
                    </w:rPr>
                    <w:t>储备罐</w:t>
                  </w:r>
                </w:p>
              </w:tc>
              <w:tc>
                <w:tcPr>
                  <w:tcW w:w="2038" w:type="pct"/>
                  <w:shd w:val="clear" w:color="auto" w:fill="auto"/>
                  <w:vAlign w:val="center"/>
                </w:tcPr>
                <w:p w14:paraId="42BA8825">
                  <w:pPr>
                    <w:jc w:val="center"/>
                    <w:rPr>
                      <w:sz w:val="21"/>
                      <w:szCs w:val="21"/>
                    </w:rPr>
                  </w:pPr>
                  <w:r>
                    <w:rPr>
                      <w:rFonts w:hint="eastAsia"/>
                      <w:sz w:val="21"/>
                      <w:szCs w:val="21"/>
                    </w:rPr>
                    <w:t>建设1个沥青储备罐，容量为2000t</w:t>
                  </w:r>
                </w:p>
              </w:tc>
              <w:tc>
                <w:tcPr>
                  <w:tcW w:w="1349" w:type="pct"/>
                  <w:shd w:val="clear" w:color="auto" w:fill="auto"/>
                  <w:vAlign w:val="center"/>
                </w:tcPr>
                <w:p w14:paraId="0905C604">
                  <w:pPr>
                    <w:jc w:val="center"/>
                    <w:rPr>
                      <w:sz w:val="21"/>
                      <w:szCs w:val="21"/>
                    </w:rPr>
                  </w:pPr>
                  <w:r>
                    <w:rPr>
                      <w:rFonts w:hint="eastAsia"/>
                      <w:sz w:val="21"/>
                      <w:szCs w:val="21"/>
                    </w:rPr>
                    <w:t>拟建</w:t>
                  </w:r>
                </w:p>
              </w:tc>
            </w:tr>
            <w:tr w14:paraId="16002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BFAC302">
                  <w:pPr>
                    <w:jc w:val="center"/>
                    <w:rPr>
                      <w:sz w:val="21"/>
                      <w:szCs w:val="21"/>
                    </w:rPr>
                  </w:pPr>
                </w:p>
              </w:tc>
              <w:tc>
                <w:tcPr>
                  <w:tcW w:w="975" w:type="pct"/>
                  <w:shd w:val="clear" w:color="auto" w:fill="auto"/>
                  <w:vAlign w:val="center"/>
                </w:tcPr>
                <w:p w14:paraId="5E181A56">
                  <w:pPr>
                    <w:jc w:val="center"/>
                    <w:rPr>
                      <w:sz w:val="21"/>
                      <w:szCs w:val="21"/>
                    </w:rPr>
                  </w:pPr>
                  <w:r>
                    <w:rPr>
                      <w:sz w:val="21"/>
                      <w:szCs w:val="21"/>
                    </w:rPr>
                    <w:t>矿粉筒仓</w:t>
                  </w:r>
                </w:p>
              </w:tc>
              <w:tc>
                <w:tcPr>
                  <w:tcW w:w="2038" w:type="pct"/>
                  <w:shd w:val="clear" w:color="auto" w:fill="auto"/>
                  <w:vAlign w:val="center"/>
                </w:tcPr>
                <w:p w14:paraId="5DB743C3">
                  <w:pPr>
                    <w:jc w:val="center"/>
                    <w:rPr>
                      <w:sz w:val="21"/>
                      <w:szCs w:val="21"/>
                    </w:rPr>
                  </w:pPr>
                  <w:r>
                    <w:rPr>
                      <w:sz w:val="21"/>
                      <w:szCs w:val="21"/>
                    </w:rPr>
                    <w:t>建设1个矿粉筒仓，容</w:t>
                  </w:r>
                  <w:r>
                    <w:rPr>
                      <w:rFonts w:hint="eastAsia"/>
                      <w:sz w:val="21"/>
                      <w:szCs w:val="21"/>
                    </w:rPr>
                    <w:t>量为</w:t>
                  </w:r>
                  <w:r>
                    <w:rPr>
                      <w:sz w:val="21"/>
                      <w:szCs w:val="21"/>
                    </w:rPr>
                    <w:t>80t</w:t>
                  </w:r>
                </w:p>
              </w:tc>
              <w:tc>
                <w:tcPr>
                  <w:tcW w:w="1349" w:type="pct"/>
                  <w:shd w:val="clear" w:color="auto" w:fill="auto"/>
                  <w:vAlign w:val="center"/>
                </w:tcPr>
                <w:p w14:paraId="5AAF669B">
                  <w:pPr>
                    <w:jc w:val="center"/>
                    <w:rPr>
                      <w:sz w:val="21"/>
                      <w:szCs w:val="21"/>
                    </w:rPr>
                  </w:pPr>
                  <w:r>
                    <w:rPr>
                      <w:sz w:val="21"/>
                      <w:szCs w:val="21"/>
                    </w:rPr>
                    <w:t>拟建</w:t>
                  </w:r>
                </w:p>
              </w:tc>
            </w:tr>
            <w:tr w14:paraId="65E4F3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201F06FA">
                  <w:pPr>
                    <w:jc w:val="center"/>
                    <w:rPr>
                      <w:sz w:val="21"/>
                      <w:szCs w:val="21"/>
                    </w:rPr>
                  </w:pPr>
                </w:p>
              </w:tc>
              <w:tc>
                <w:tcPr>
                  <w:tcW w:w="975" w:type="pct"/>
                  <w:shd w:val="clear" w:color="auto" w:fill="auto"/>
                  <w:vAlign w:val="center"/>
                </w:tcPr>
                <w:p w14:paraId="615B63AF">
                  <w:pPr>
                    <w:jc w:val="center"/>
                    <w:rPr>
                      <w:sz w:val="21"/>
                      <w:szCs w:val="21"/>
                    </w:rPr>
                  </w:pPr>
                  <w:r>
                    <w:rPr>
                      <w:sz w:val="21"/>
                      <w:szCs w:val="21"/>
                    </w:rPr>
                    <w:t>水泥筒仓</w:t>
                  </w:r>
                </w:p>
              </w:tc>
              <w:tc>
                <w:tcPr>
                  <w:tcW w:w="2038" w:type="pct"/>
                  <w:shd w:val="clear" w:color="auto" w:fill="auto"/>
                  <w:vAlign w:val="center"/>
                </w:tcPr>
                <w:p w14:paraId="0A0C19A1">
                  <w:pPr>
                    <w:jc w:val="center"/>
                    <w:rPr>
                      <w:sz w:val="21"/>
                      <w:szCs w:val="21"/>
                    </w:rPr>
                  </w:pPr>
                  <w:r>
                    <w:rPr>
                      <w:sz w:val="21"/>
                      <w:szCs w:val="21"/>
                    </w:rPr>
                    <w:t>建设7个水泥筒仓，单个容</w:t>
                  </w:r>
                  <w:r>
                    <w:rPr>
                      <w:rFonts w:hint="eastAsia"/>
                      <w:sz w:val="21"/>
                      <w:szCs w:val="21"/>
                    </w:rPr>
                    <w:t>量</w:t>
                  </w:r>
                  <w:r>
                    <w:rPr>
                      <w:sz w:val="21"/>
                      <w:szCs w:val="21"/>
                    </w:rPr>
                    <w:t xml:space="preserve">为100t </w:t>
                  </w:r>
                </w:p>
              </w:tc>
              <w:tc>
                <w:tcPr>
                  <w:tcW w:w="1349" w:type="pct"/>
                  <w:shd w:val="clear" w:color="auto" w:fill="auto"/>
                  <w:vAlign w:val="center"/>
                </w:tcPr>
                <w:p w14:paraId="0D3FDBEE">
                  <w:pPr>
                    <w:jc w:val="center"/>
                    <w:rPr>
                      <w:sz w:val="21"/>
                      <w:szCs w:val="21"/>
                    </w:rPr>
                  </w:pPr>
                  <w:r>
                    <w:rPr>
                      <w:sz w:val="21"/>
                      <w:szCs w:val="21"/>
                    </w:rPr>
                    <w:t>拟建</w:t>
                  </w:r>
                </w:p>
              </w:tc>
            </w:tr>
            <w:tr w14:paraId="1891D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1B6DD8D6">
                  <w:pPr>
                    <w:jc w:val="center"/>
                    <w:rPr>
                      <w:sz w:val="21"/>
                      <w:szCs w:val="21"/>
                    </w:rPr>
                  </w:pPr>
                </w:p>
              </w:tc>
              <w:tc>
                <w:tcPr>
                  <w:tcW w:w="975" w:type="pct"/>
                  <w:shd w:val="clear" w:color="auto" w:fill="auto"/>
                  <w:vAlign w:val="center"/>
                </w:tcPr>
                <w:p w14:paraId="60243D24">
                  <w:pPr>
                    <w:jc w:val="center"/>
                    <w:rPr>
                      <w:sz w:val="21"/>
                      <w:szCs w:val="21"/>
                    </w:rPr>
                  </w:pPr>
                  <w:r>
                    <w:rPr>
                      <w:sz w:val="21"/>
                      <w:szCs w:val="21"/>
                    </w:rPr>
                    <w:t>粉煤灰筒仓</w:t>
                  </w:r>
                </w:p>
              </w:tc>
              <w:tc>
                <w:tcPr>
                  <w:tcW w:w="2038" w:type="pct"/>
                  <w:shd w:val="clear" w:color="auto" w:fill="auto"/>
                  <w:vAlign w:val="center"/>
                </w:tcPr>
                <w:p w14:paraId="694A7F25">
                  <w:pPr>
                    <w:jc w:val="center"/>
                    <w:rPr>
                      <w:sz w:val="21"/>
                      <w:szCs w:val="21"/>
                    </w:rPr>
                  </w:pPr>
                  <w:r>
                    <w:rPr>
                      <w:sz w:val="21"/>
                      <w:szCs w:val="21"/>
                    </w:rPr>
                    <w:t>建设6个粉煤灰筒仓，</w:t>
                  </w:r>
                  <w:r>
                    <w:rPr>
                      <w:rFonts w:hint="eastAsia"/>
                      <w:sz w:val="21"/>
                      <w:szCs w:val="21"/>
                    </w:rPr>
                    <w:t>单个容量为</w:t>
                  </w:r>
                  <w:r>
                    <w:rPr>
                      <w:sz w:val="21"/>
                      <w:szCs w:val="21"/>
                    </w:rPr>
                    <w:t>80t</w:t>
                  </w:r>
                </w:p>
              </w:tc>
              <w:tc>
                <w:tcPr>
                  <w:tcW w:w="1349" w:type="pct"/>
                  <w:shd w:val="clear" w:color="auto" w:fill="auto"/>
                  <w:vAlign w:val="center"/>
                </w:tcPr>
                <w:p w14:paraId="69FC8BF3">
                  <w:pPr>
                    <w:jc w:val="center"/>
                    <w:rPr>
                      <w:sz w:val="21"/>
                      <w:szCs w:val="21"/>
                    </w:rPr>
                  </w:pPr>
                  <w:r>
                    <w:rPr>
                      <w:sz w:val="21"/>
                      <w:szCs w:val="21"/>
                    </w:rPr>
                    <w:t>拟建</w:t>
                  </w:r>
                </w:p>
              </w:tc>
            </w:tr>
            <w:tr w14:paraId="45B69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86D0564">
                  <w:pPr>
                    <w:jc w:val="center"/>
                    <w:rPr>
                      <w:sz w:val="21"/>
                      <w:szCs w:val="21"/>
                    </w:rPr>
                  </w:pPr>
                </w:p>
              </w:tc>
              <w:tc>
                <w:tcPr>
                  <w:tcW w:w="975" w:type="pct"/>
                  <w:shd w:val="clear" w:color="auto" w:fill="auto"/>
                  <w:vAlign w:val="center"/>
                </w:tcPr>
                <w:p w14:paraId="59747736">
                  <w:pPr>
                    <w:jc w:val="center"/>
                    <w:rPr>
                      <w:sz w:val="21"/>
                      <w:szCs w:val="21"/>
                    </w:rPr>
                  </w:pPr>
                  <w:r>
                    <w:rPr>
                      <w:rFonts w:hint="eastAsia"/>
                      <w:sz w:val="21"/>
                      <w:szCs w:val="21"/>
                    </w:rPr>
                    <w:t>料仓</w:t>
                  </w:r>
                </w:p>
              </w:tc>
              <w:tc>
                <w:tcPr>
                  <w:tcW w:w="2038" w:type="pct"/>
                  <w:shd w:val="clear" w:color="auto" w:fill="auto"/>
                  <w:vAlign w:val="center"/>
                </w:tcPr>
                <w:p w14:paraId="640E410F">
                  <w:pPr>
                    <w:jc w:val="center"/>
                    <w:rPr>
                      <w:sz w:val="21"/>
                      <w:szCs w:val="21"/>
                    </w:rPr>
                  </w:pPr>
                  <w:r>
                    <w:rPr>
                      <w:rFonts w:hint="eastAsia"/>
                      <w:sz w:val="21"/>
                      <w:szCs w:val="21"/>
                    </w:rPr>
                    <w:t>水泥混凝土站共设置5间全封闭料仓（面积共</w:t>
                  </w:r>
                  <w:r>
                    <w:rPr>
                      <w:sz w:val="21"/>
                      <w:szCs w:val="21"/>
                    </w:rPr>
                    <w:t>3030</w:t>
                  </w:r>
                  <w:r>
                    <w:rPr>
                      <w:rFonts w:hint="eastAsia"/>
                      <w:sz w:val="21"/>
                      <w:szCs w:val="21"/>
                    </w:rPr>
                    <w:t>m</w:t>
                  </w:r>
                  <w:r>
                    <w:rPr>
                      <w:sz w:val="21"/>
                      <w:szCs w:val="21"/>
                      <w:vertAlign w:val="superscript"/>
                    </w:rPr>
                    <w:t>2</w:t>
                  </w:r>
                  <w:r>
                    <w:rPr>
                      <w:rFonts w:hint="eastAsia"/>
                      <w:sz w:val="21"/>
                      <w:szCs w:val="21"/>
                    </w:rPr>
                    <w:t>），水稳站共设置6间半封闭料仓（面积共为3</w:t>
                  </w:r>
                  <w:r>
                    <w:rPr>
                      <w:sz w:val="21"/>
                      <w:szCs w:val="21"/>
                    </w:rPr>
                    <w:t>720</w:t>
                  </w:r>
                  <w:r>
                    <w:rPr>
                      <w:rFonts w:hint="eastAsia"/>
                      <w:sz w:val="21"/>
                      <w:szCs w:val="21"/>
                    </w:rPr>
                    <w:t xml:space="preserve"> m</w:t>
                  </w:r>
                  <w:r>
                    <w:rPr>
                      <w:sz w:val="21"/>
                      <w:szCs w:val="21"/>
                      <w:vertAlign w:val="superscript"/>
                    </w:rPr>
                    <w:t>2</w:t>
                  </w:r>
                  <w:r>
                    <w:rPr>
                      <w:rFonts w:hint="eastAsia"/>
                      <w:sz w:val="21"/>
                      <w:szCs w:val="21"/>
                    </w:rPr>
                    <w:t>），沥青混凝土站共设置7间半封闭料仓（面积共4</w:t>
                  </w:r>
                  <w:r>
                    <w:rPr>
                      <w:sz w:val="21"/>
                      <w:szCs w:val="21"/>
                    </w:rPr>
                    <w:t>310</w:t>
                  </w:r>
                  <w:r>
                    <w:rPr>
                      <w:rFonts w:hint="eastAsia"/>
                      <w:sz w:val="21"/>
                      <w:szCs w:val="21"/>
                    </w:rPr>
                    <w:t>m</w:t>
                  </w:r>
                  <w:r>
                    <w:rPr>
                      <w:sz w:val="21"/>
                      <w:szCs w:val="21"/>
                      <w:vertAlign w:val="superscript"/>
                    </w:rPr>
                    <w:t>2</w:t>
                  </w:r>
                  <w:r>
                    <w:rPr>
                      <w:rFonts w:hint="eastAsia"/>
                      <w:sz w:val="21"/>
                      <w:szCs w:val="21"/>
                    </w:rPr>
                    <w:t>）</w:t>
                  </w:r>
                </w:p>
              </w:tc>
              <w:tc>
                <w:tcPr>
                  <w:tcW w:w="1349" w:type="pct"/>
                  <w:shd w:val="clear" w:color="auto" w:fill="auto"/>
                  <w:vAlign w:val="center"/>
                </w:tcPr>
                <w:p w14:paraId="11E2D29D">
                  <w:pPr>
                    <w:jc w:val="center"/>
                    <w:rPr>
                      <w:sz w:val="21"/>
                      <w:szCs w:val="21"/>
                    </w:rPr>
                  </w:pPr>
                  <w:r>
                    <w:rPr>
                      <w:rFonts w:hint="eastAsia"/>
                      <w:sz w:val="21"/>
                      <w:szCs w:val="21"/>
                    </w:rPr>
                    <w:t>拟建</w:t>
                  </w:r>
                </w:p>
              </w:tc>
            </w:tr>
            <w:tr w14:paraId="70979E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2EEAFA0D">
                  <w:pPr>
                    <w:jc w:val="center"/>
                    <w:rPr>
                      <w:sz w:val="21"/>
                      <w:szCs w:val="21"/>
                    </w:rPr>
                  </w:pPr>
                </w:p>
              </w:tc>
              <w:tc>
                <w:tcPr>
                  <w:tcW w:w="975" w:type="pct"/>
                  <w:shd w:val="clear" w:color="auto" w:fill="auto"/>
                  <w:vAlign w:val="center"/>
                </w:tcPr>
                <w:p w14:paraId="07877EF2">
                  <w:pPr>
                    <w:jc w:val="center"/>
                    <w:rPr>
                      <w:sz w:val="21"/>
                      <w:szCs w:val="21"/>
                    </w:rPr>
                  </w:pPr>
                  <w:r>
                    <w:rPr>
                      <w:rFonts w:hint="eastAsia"/>
                      <w:sz w:val="21"/>
                      <w:szCs w:val="21"/>
                    </w:rPr>
                    <w:t>沉淀池</w:t>
                  </w:r>
                </w:p>
              </w:tc>
              <w:tc>
                <w:tcPr>
                  <w:tcW w:w="2038" w:type="pct"/>
                  <w:shd w:val="clear" w:color="auto" w:fill="auto"/>
                  <w:vAlign w:val="center"/>
                </w:tcPr>
                <w:p w14:paraId="741DC28F">
                  <w:pPr>
                    <w:jc w:val="center"/>
                    <w:rPr>
                      <w:sz w:val="21"/>
                      <w:szCs w:val="21"/>
                    </w:rPr>
                  </w:pPr>
                  <w:r>
                    <w:rPr>
                      <w:sz w:val="21"/>
                      <w:szCs w:val="21"/>
                    </w:rPr>
                    <w:t>建设3个尺寸为10m×10m×2.5m</w:t>
                  </w:r>
                  <w:r>
                    <w:rPr>
                      <w:rFonts w:hint="eastAsia"/>
                      <w:sz w:val="21"/>
                      <w:szCs w:val="21"/>
                    </w:rPr>
                    <w:t>沉淀池</w:t>
                  </w:r>
                </w:p>
              </w:tc>
              <w:tc>
                <w:tcPr>
                  <w:tcW w:w="1349" w:type="pct"/>
                  <w:shd w:val="clear" w:color="auto" w:fill="auto"/>
                  <w:vAlign w:val="center"/>
                </w:tcPr>
                <w:p w14:paraId="34BDCE14">
                  <w:pPr>
                    <w:jc w:val="center"/>
                    <w:rPr>
                      <w:sz w:val="21"/>
                      <w:szCs w:val="21"/>
                    </w:rPr>
                  </w:pPr>
                  <w:r>
                    <w:rPr>
                      <w:sz w:val="21"/>
                      <w:szCs w:val="21"/>
                    </w:rPr>
                    <w:t>拟建</w:t>
                  </w:r>
                </w:p>
              </w:tc>
            </w:tr>
            <w:tr w14:paraId="4E0B1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3B88C6B">
                  <w:pPr>
                    <w:jc w:val="center"/>
                    <w:rPr>
                      <w:sz w:val="21"/>
                      <w:szCs w:val="21"/>
                    </w:rPr>
                  </w:pPr>
                </w:p>
              </w:tc>
              <w:tc>
                <w:tcPr>
                  <w:tcW w:w="975" w:type="pct"/>
                  <w:shd w:val="clear" w:color="auto" w:fill="auto"/>
                  <w:vAlign w:val="center"/>
                </w:tcPr>
                <w:p w14:paraId="59EF9FD7">
                  <w:pPr>
                    <w:jc w:val="center"/>
                    <w:rPr>
                      <w:sz w:val="21"/>
                      <w:szCs w:val="21"/>
                    </w:rPr>
                  </w:pPr>
                  <w:r>
                    <w:rPr>
                      <w:sz w:val="21"/>
                      <w:szCs w:val="21"/>
                    </w:rPr>
                    <w:t>水稳站蓄水池</w:t>
                  </w:r>
                </w:p>
              </w:tc>
              <w:tc>
                <w:tcPr>
                  <w:tcW w:w="2038" w:type="pct"/>
                  <w:shd w:val="clear" w:color="auto" w:fill="auto"/>
                  <w:vAlign w:val="center"/>
                </w:tcPr>
                <w:p w14:paraId="58D3D312">
                  <w:pPr>
                    <w:jc w:val="center"/>
                    <w:rPr>
                      <w:sz w:val="21"/>
                      <w:szCs w:val="21"/>
                    </w:rPr>
                  </w:pPr>
                  <w:r>
                    <w:rPr>
                      <w:sz w:val="21"/>
                      <w:szCs w:val="21"/>
                    </w:rPr>
                    <w:t>建设2个尺寸为6m×6m×2.5m水稳站蓄水池</w:t>
                  </w:r>
                </w:p>
              </w:tc>
              <w:tc>
                <w:tcPr>
                  <w:tcW w:w="1349" w:type="pct"/>
                  <w:shd w:val="clear" w:color="auto" w:fill="auto"/>
                  <w:vAlign w:val="center"/>
                </w:tcPr>
                <w:p w14:paraId="51553CD1">
                  <w:pPr>
                    <w:jc w:val="center"/>
                    <w:rPr>
                      <w:sz w:val="21"/>
                      <w:szCs w:val="21"/>
                    </w:rPr>
                  </w:pPr>
                  <w:r>
                    <w:rPr>
                      <w:sz w:val="21"/>
                      <w:szCs w:val="21"/>
                    </w:rPr>
                    <w:t>拟建</w:t>
                  </w:r>
                </w:p>
              </w:tc>
            </w:tr>
            <w:tr w14:paraId="7557BF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6219BD12">
                  <w:pPr>
                    <w:jc w:val="center"/>
                    <w:rPr>
                      <w:sz w:val="21"/>
                      <w:szCs w:val="21"/>
                    </w:rPr>
                  </w:pPr>
                </w:p>
              </w:tc>
              <w:tc>
                <w:tcPr>
                  <w:tcW w:w="975" w:type="pct"/>
                  <w:shd w:val="clear" w:color="auto" w:fill="auto"/>
                  <w:vAlign w:val="center"/>
                </w:tcPr>
                <w:p w14:paraId="107741BF">
                  <w:pPr>
                    <w:jc w:val="center"/>
                    <w:rPr>
                      <w:sz w:val="21"/>
                      <w:szCs w:val="21"/>
                    </w:rPr>
                  </w:pPr>
                  <w:r>
                    <w:rPr>
                      <w:rFonts w:hint="eastAsia"/>
                      <w:sz w:val="21"/>
                      <w:szCs w:val="21"/>
                    </w:rPr>
                    <w:t>醇醚储料罐</w:t>
                  </w:r>
                </w:p>
              </w:tc>
              <w:tc>
                <w:tcPr>
                  <w:tcW w:w="2038" w:type="pct"/>
                  <w:shd w:val="clear" w:color="auto" w:fill="auto"/>
                  <w:vAlign w:val="center"/>
                </w:tcPr>
                <w:p w14:paraId="4A21E692">
                  <w:pPr>
                    <w:jc w:val="center"/>
                    <w:rPr>
                      <w:sz w:val="21"/>
                      <w:szCs w:val="21"/>
                    </w:rPr>
                  </w:pPr>
                  <w:r>
                    <w:rPr>
                      <w:sz w:val="21"/>
                      <w:szCs w:val="21"/>
                    </w:rPr>
                    <w:t>2个18m</w:t>
                  </w:r>
                  <w:r>
                    <w:rPr>
                      <w:sz w:val="21"/>
                      <w:szCs w:val="21"/>
                      <w:vertAlign w:val="superscript"/>
                    </w:rPr>
                    <w:t>3</w:t>
                  </w:r>
                  <w:r>
                    <w:rPr>
                      <w:sz w:val="21"/>
                      <w:szCs w:val="21"/>
                    </w:rPr>
                    <w:t>储罐</w:t>
                  </w:r>
                </w:p>
              </w:tc>
              <w:tc>
                <w:tcPr>
                  <w:tcW w:w="1349" w:type="pct"/>
                  <w:shd w:val="clear" w:color="auto" w:fill="auto"/>
                  <w:vAlign w:val="center"/>
                </w:tcPr>
                <w:p w14:paraId="119752FF">
                  <w:pPr>
                    <w:jc w:val="center"/>
                    <w:rPr>
                      <w:sz w:val="21"/>
                      <w:szCs w:val="21"/>
                    </w:rPr>
                  </w:pPr>
                  <w:r>
                    <w:rPr>
                      <w:rFonts w:hint="eastAsia"/>
                      <w:sz w:val="21"/>
                      <w:szCs w:val="21"/>
                    </w:rPr>
                    <w:t>拟建</w:t>
                  </w:r>
                </w:p>
              </w:tc>
            </w:tr>
            <w:tr w14:paraId="5A821D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291EBE4F">
                  <w:pPr>
                    <w:jc w:val="center"/>
                    <w:rPr>
                      <w:sz w:val="21"/>
                      <w:szCs w:val="21"/>
                    </w:rPr>
                  </w:pPr>
                </w:p>
              </w:tc>
              <w:tc>
                <w:tcPr>
                  <w:tcW w:w="975" w:type="pct"/>
                  <w:shd w:val="clear" w:color="auto" w:fill="auto"/>
                  <w:vAlign w:val="center"/>
                </w:tcPr>
                <w:p w14:paraId="1B77B0EC">
                  <w:pPr>
                    <w:jc w:val="center"/>
                    <w:rPr>
                      <w:sz w:val="21"/>
                      <w:szCs w:val="21"/>
                    </w:rPr>
                  </w:pPr>
                  <w:r>
                    <w:rPr>
                      <w:rFonts w:hint="eastAsia"/>
                      <w:sz w:val="21"/>
                      <w:szCs w:val="21"/>
                    </w:rPr>
                    <w:t>添加剂储罐</w:t>
                  </w:r>
                </w:p>
              </w:tc>
              <w:tc>
                <w:tcPr>
                  <w:tcW w:w="2038" w:type="pct"/>
                  <w:shd w:val="clear" w:color="auto" w:fill="auto"/>
                  <w:vAlign w:val="center"/>
                </w:tcPr>
                <w:p w14:paraId="59CB0781">
                  <w:pPr>
                    <w:jc w:val="center"/>
                    <w:rPr>
                      <w:sz w:val="21"/>
                      <w:szCs w:val="21"/>
                    </w:rPr>
                  </w:pPr>
                  <w:r>
                    <w:rPr>
                      <w:rFonts w:hint="eastAsia"/>
                      <w:sz w:val="21"/>
                      <w:szCs w:val="21"/>
                    </w:rPr>
                    <w:t>共设置</w:t>
                  </w:r>
                  <w:r>
                    <w:rPr>
                      <w:sz w:val="21"/>
                      <w:szCs w:val="21"/>
                    </w:rPr>
                    <w:t>4</w:t>
                  </w:r>
                  <w:r>
                    <w:rPr>
                      <w:rFonts w:hint="eastAsia"/>
                      <w:sz w:val="21"/>
                      <w:szCs w:val="21"/>
                    </w:rPr>
                    <w:t>个，1个备用，3个存放减水剂</w:t>
                  </w:r>
                </w:p>
              </w:tc>
              <w:tc>
                <w:tcPr>
                  <w:tcW w:w="1349" w:type="pct"/>
                  <w:shd w:val="clear" w:color="auto" w:fill="auto"/>
                  <w:vAlign w:val="center"/>
                </w:tcPr>
                <w:p w14:paraId="5CEBBB6D">
                  <w:pPr>
                    <w:jc w:val="center"/>
                    <w:rPr>
                      <w:sz w:val="21"/>
                      <w:szCs w:val="21"/>
                    </w:rPr>
                  </w:pPr>
                  <w:r>
                    <w:rPr>
                      <w:rFonts w:hint="eastAsia"/>
                      <w:sz w:val="21"/>
                      <w:szCs w:val="21"/>
                    </w:rPr>
                    <w:t>拟建</w:t>
                  </w:r>
                </w:p>
              </w:tc>
            </w:tr>
            <w:tr w14:paraId="210C11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47E8352D">
                  <w:pPr>
                    <w:jc w:val="center"/>
                    <w:rPr>
                      <w:sz w:val="21"/>
                      <w:szCs w:val="21"/>
                    </w:rPr>
                  </w:pPr>
                </w:p>
              </w:tc>
              <w:tc>
                <w:tcPr>
                  <w:tcW w:w="975" w:type="pct"/>
                  <w:shd w:val="clear" w:color="auto" w:fill="auto"/>
                  <w:vAlign w:val="center"/>
                </w:tcPr>
                <w:p w14:paraId="324CE7CD">
                  <w:pPr>
                    <w:jc w:val="center"/>
                    <w:rPr>
                      <w:sz w:val="21"/>
                      <w:szCs w:val="21"/>
                    </w:rPr>
                  </w:pPr>
                  <w:r>
                    <w:rPr>
                      <w:rFonts w:hint="eastAsia"/>
                      <w:sz w:val="21"/>
                      <w:szCs w:val="21"/>
                    </w:rPr>
                    <w:t>运输车辆</w:t>
                  </w:r>
                </w:p>
              </w:tc>
              <w:tc>
                <w:tcPr>
                  <w:tcW w:w="2038" w:type="pct"/>
                  <w:shd w:val="clear" w:color="auto" w:fill="auto"/>
                  <w:vAlign w:val="center"/>
                </w:tcPr>
                <w:p w14:paraId="4B655EE4">
                  <w:pPr>
                    <w:jc w:val="center"/>
                    <w:rPr>
                      <w:sz w:val="21"/>
                      <w:szCs w:val="21"/>
                    </w:rPr>
                  </w:pPr>
                  <w:r>
                    <w:rPr>
                      <w:rFonts w:hint="eastAsia"/>
                      <w:sz w:val="21"/>
                      <w:szCs w:val="21"/>
                    </w:rPr>
                    <w:t>共设置</w:t>
                  </w:r>
                  <w:r>
                    <w:rPr>
                      <w:sz w:val="21"/>
                      <w:szCs w:val="21"/>
                    </w:rPr>
                    <w:t>8</w:t>
                  </w:r>
                  <w:r>
                    <w:rPr>
                      <w:rFonts w:hint="eastAsia"/>
                      <w:sz w:val="21"/>
                      <w:szCs w:val="21"/>
                    </w:rPr>
                    <w:t>辆混凝土罐车</w:t>
                  </w:r>
                </w:p>
              </w:tc>
              <w:tc>
                <w:tcPr>
                  <w:tcW w:w="1349" w:type="pct"/>
                  <w:shd w:val="clear" w:color="auto" w:fill="auto"/>
                  <w:vAlign w:val="center"/>
                </w:tcPr>
                <w:p w14:paraId="0AF62C3F">
                  <w:pPr>
                    <w:jc w:val="center"/>
                    <w:rPr>
                      <w:sz w:val="21"/>
                      <w:szCs w:val="21"/>
                    </w:rPr>
                  </w:pPr>
                  <w:r>
                    <w:rPr>
                      <w:rFonts w:hint="eastAsia"/>
                      <w:sz w:val="21"/>
                      <w:szCs w:val="21"/>
                    </w:rPr>
                    <w:t>拟建</w:t>
                  </w:r>
                </w:p>
              </w:tc>
            </w:tr>
            <w:tr w14:paraId="2BFBEA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2D29AA8">
                  <w:pPr>
                    <w:jc w:val="center"/>
                    <w:rPr>
                      <w:sz w:val="21"/>
                      <w:szCs w:val="21"/>
                    </w:rPr>
                  </w:pPr>
                </w:p>
              </w:tc>
              <w:tc>
                <w:tcPr>
                  <w:tcW w:w="975" w:type="pct"/>
                  <w:shd w:val="clear" w:color="auto" w:fill="auto"/>
                  <w:vAlign w:val="center"/>
                </w:tcPr>
                <w:p w14:paraId="14841486">
                  <w:pPr>
                    <w:jc w:val="center"/>
                    <w:rPr>
                      <w:sz w:val="21"/>
                      <w:szCs w:val="21"/>
                    </w:rPr>
                  </w:pPr>
                  <w:r>
                    <w:rPr>
                      <w:rFonts w:hint="eastAsia"/>
                      <w:sz w:val="21"/>
                      <w:szCs w:val="21"/>
                    </w:rPr>
                    <w:t>停车位</w:t>
                  </w:r>
                </w:p>
              </w:tc>
              <w:tc>
                <w:tcPr>
                  <w:tcW w:w="2038" w:type="pct"/>
                  <w:shd w:val="clear" w:color="auto" w:fill="auto"/>
                  <w:vAlign w:val="center"/>
                </w:tcPr>
                <w:p w14:paraId="2A1404F7">
                  <w:pPr>
                    <w:jc w:val="center"/>
                    <w:rPr>
                      <w:sz w:val="21"/>
                      <w:szCs w:val="21"/>
                    </w:rPr>
                  </w:pPr>
                  <w:r>
                    <w:rPr>
                      <w:rFonts w:hint="eastAsia"/>
                      <w:sz w:val="21"/>
                      <w:szCs w:val="21"/>
                    </w:rPr>
                    <w:t>共设置</w:t>
                  </w:r>
                  <w:r>
                    <w:rPr>
                      <w:sz w:val="21"/>
                      <w:szCs w:val="21"/>
                    </w:rPr>
                    <w:t>33</w:t>
                  </w:r>
                  <w:r>
                    <w:rPr>
                      <w:rFonts w:hint="eastAsia"/>
                      <w:sz w:val="21"/>
                      <w:szCs w:val="21"/>
                    </w:rPr>
                    <w:t>个停车位，尺寸为3</w:t>
                  </w:r>
                  <w:r>
                    <w:rPr>
                      <w:sz w:val="21"/>
                      <w:szCs w:val="21"/>
                    </w:rPr>
                    <w:t>m</w:t>
                  </w:r>
                  <w:r>
                    <w:rPr>
                      <w:rFonts w:hint="eastAsia"/>
                      <w:sz w:val="21"/>
                      <w:szCs w:val="21"/>
                    </w:rPr>
                    <w:t>×5</w:t>
                  </w:r>
                  <w:r>
                    <w:rPr>
                      <w:sz w:val="21"/>
                      <w:szCs w:val="21"/>
                    </w:rPr>
                    <w:t>m</w:t>
                  </w:r>
                </w:p>
              </w:tc>
              <w:tc>
                <w:tcPr>
                  <w:tcW w:w="1349" w:type="pct"/>
                  <w:shd w:val="clear" w:color="auto" w:fill="auto"/>
                  <w:vAlign w:val="center"/>
                </w:tcPr>
                <w:p w14:paraId="5D0F389E">
                  <w:pPr>
                    <w:jc w:val="center"/>
                    <w:rPr>
                      <w:sz w:val="21"/>
                      <w:szCs w:val="21"/>
                    </w:rPr>
                  </w:pPr>
                  <w:r>
                    <w:rPr>
                      <w:rFonts w:hint="eastAsia"/>
                      <w:sz w:val="21"/>
                      <w:szCs w:val="21"/>
                    </w:rPr>
                    <w:t>拟建</w:t>
                  </w:r>
                </w:p>
              </w:tc>
            </w:tr>
            <w:tr w14:paraId="769299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restart"/>
                  <w:shd w:val="clear" w:color="auto" w:fill="auto"/>
                  <w:vAlign w:val="center"/>
                </w:tcPr>
                <w:p w14:paraId="7DB73BE2">
                  <w:pPr>
                    <w:jc w:val="center"/>
                    <w:rPr>
                      <w:sz w:val="21"/>
                      <w:szCs w:val="21"/>
                    </w:rPr>
                  </w:pPr>
                  <w:r>
                    <w:rPr>
                      <w:sz w:val="21"/>
                      <w:szCs w:val="21"/>
                    </w:rPr>
                    <w:t>公用工程</w:t>
                  </w:r>
                </w:p>
              </w:tc>
              <w:tc>
                <w:tcPr>
                  <w:tcW w:w="975" w:type="pct"/>
                  <w:shd w:val="clear" w:color="auto" w:fill="auto"/>
                  <w:vAlign w:val="center"/>
                </w:tcPr>
                <w:p w14:paraId="79815039">
                  <w:pPr>
                    <w:jc w:val="center"/>
                    <w:rPr>
                      <w:sz w:val="21"/>
                      <w:szCs w:val="21"/>
                    </w:rPr>
                  </w:pPr>
                  <w:r>
                    <w:rPr>
                      <w:sz w:val="21"/>
                      <w:szCs w:val="21"/>
                    </w:rPr>
                    <w:t>供水</w:t>
                  </w:r>
                </w:p>
              </w:tc>
              <w:tc>
                <w:tcPr>
                  <w:tcW w:w="2038" w:type="pct"/>
                  <w:shd w:val="clear" w:color="auto" w:fill="auto"/>
                  <w:vAlign w:val="center"/>
                </w:tcPr>
                <w:p w14:paraId="70EF961C">
                  <w:pPr>
                    <w:jc w:val="center"/>
                    <w:rPr>
                      <w:sz w:val="21"/>
                      <w:szCs w:val="21"/>
                    </w:rPr>
                  </w:pPr>
                  <w:r>
                    <w:rPr>
                      <w:sz w:val="21"/>
                      <w:szCs w:val="21"/>
                    </w:rPr>
                    <w:t>接园区管网，用于生产、生活、消防用水</w:t>
                  </w:r>
                </w:p>
              </w:tc>
              <w:tc>
                <w:tcPr>
                  <w:tcW w:w="1349" w:type="pct"/>
                  <w:vMerge w:val="restart"/>
                  <w:shd w:val="clear" w:color="auto" w:fill="auto"/>
                  <w:vAlign w:val="center"/>
                </w:tcPr>
                <w:p w14:paraId="325EB6AB">
                  <w:pPr>
                    <w:jc w:val="center"/>
                    <w:rPr>
                      <w:kern w:val="0"/>
                      <w:sz w:val="21"/>
                      <w:szCs w:val="21"/>
                      <w:lang w:bidi="ar"/>
                    </w:rPr>
                  </w:pPr>
                  <w:r>
                    <w:rPr>
                      <w:rFonts w:hint="eastAsia"/>
                      <w:sz w:val="21"/>
                      <w:szCs w:val="21"/>
                    </w:rPr>
                    <w:t>已建</w:t>
                  </w:r>
                </w:p>
              </w:tc>
            </w:tr>
            <w:tr w14:paraId="48549B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12186EF">
                  <w:pPr>
                    <w:jc w:val="center"/>
                    <w:rPr>
                      <w:sz w:val="21"/>
                      <w:szCs w:val="21"/>
                    </w:rPr>
                  </w:pPr>
                </w:p>
              </w:tc>
              <w:tc>
                <w:tcPr>
                  <w:tcW w:w="975" w:type="pct"/>
                  <w:shd w:val="clear" w:color="auto" w:fill="auto"/>
                  <w:vAlign w:val="center"/>
                </w:tcPr>
                <w:p w14:paraId="2E42688D">
                  <w:pPr>
                    <w:jc w:val="center"/>
                    <w:rPr>
                      <w:sz w:val="21"/>
                      <w:szCs w:val="21"/>
                    </w:rPr>
                  </w:pPr>
                  <w:r>
                    <w:rPr>
                      <w:sz w:val="21"/>
                      <w:szCs w:val="21"/>
                    </w:rPr>
                    <w:t>供电</w:t>
                  </w:r>
                </w:p>
              </w:tc>
              <w:tc>
                <w:tcPr>
                  <w:tcW w:w="2038" w:type="pct"/>
                  <w:shd w:val="clear" w:color="auto" w:fill="auto"/>
                  <w:vAlign w:val="center"/>
                </w:tcPr>
                <w:p w14:paraId="44B1A816">
                  <w:pPr>
                    <w:jc w:val="center"/>
                    <w:rPr>
                      <w:sz w:val="21"/>
                      <w:szCs w:val="21"/>
                    </w:rPr>
                  </w:pPr>
                  <w:r>
                    <w:rPr>
                      <w:sz w:val="21"/>
                      <w:szCs w:val="21"/>
                    </w:rPr>
                    <w:t>本项目供电电源引自园区电网，接入厂区配电室，可满足厂内用电负荷的供电需要</w:t>
                  </w:r>
                </w:p>
              </w:tc>
              <w:tc>
                <w:tcPr>
                  <w:tcW w:w="1349" w:type="pct"/>
                  <w:vMerge w:val="continue"/>
                  <w:shd w:val="clear" w:color="auto" w:fill="auto"/>
                  <w:vAlign w:val="center"/>
                </w:tcPr>
                <w:p w14:paraId="6E8A3D0A">
                  <w:pPr>
                    <w:jc w:val="center"/>
                    <w:rPr>
                      <w:kern w:val="0"/>
                      <w:sz w:val="21"/>
                      <w:szCs w:val="21"/>
                      <w:lang w:bidi="ar"/>
                    </w:rPr>
                  </w:pPr>
                </w:p>
              </w:tc>
            </w:tr>
            <w:tr w14:paraId="684CC8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0E9C1FD">
                  <w:pPr>
                    <w:jc w:val="center"/>
                    <w:rPr>
                      <w:sz w:val="21"/>
                      <w:szCs w:val="21"/>
                    </w:rPr>
                  </w:pPr>
                </w:p>
              </w:tc>
              <w:tc>
                <w:tcPr>
                  <w:tcW w:w="975" w:type="pct"/>
                  <w:shd w:val="clear" w:color="auto" w:fill="auto"/>
                  <w:vAlign w:val="center"/>
                </w:tcPr>
                <w:p w14:paraId="52C401CB">
                  <w:pPr>
                    <w:jc w:val="center"/>
                    <w:rPr>
                      <w:sz w:val="21"/>
                      <w:szCs w:val="21"/>
                    </w:rPr>
                  </w:pPr>
                  <w:r>
                    <w:rPr>
                      <w:sz w:val="21"/>
                      <w:szCs w:val="21"/>
                    </w:rPr>
                    <w:t>排水</w:t>
                  </w:r>
                </w:p>
              </w:tc>
              <w:tc>
                <w:tcPr>
                  <w:tcW w:w="2038" w:type="pct"/>
                  <w:shd w:val="clear" w:color="auto" w:fill="auto"/>
                  <w:vAlign w:val="center"/>
                </w:tcPr>
                <w:p w14:paraId="44859E64">
                  <w:pPr>
                    <w:jc w:val="center"/>
                    <w:rPr>
                      <w:sz w:val="21"/>
                      <w:szCs w:val="21"/>
                    </w:rPr>
                  </w:pPr>
                  <w:r>
                    <w:rPr>
                      <w:kern w:val="0"/>
                      <w:sz w:val="21"/>
                      <w:szCs w:val="21"/>
                    </w:rPr>
                    <w:t>项目生产废水经沉淀池沉淀后回用；</w:t>
                  </w:r>
                  <w:bookmarkStart w:id="7" w:name="OLE_LINK6"/>
                  <w:bookmarkStart w:id="8" w:name="OLE_LINK5"/>
                  <w:r>
                    <w:rPr>
                      <w:rFonts w:hint="eastAsia"/>
                      <w:kern w:val="0"/>
                      <w:sz w:val="21"/>
                      <w:szCs w:val="21"/>
                    </w:rPr>
                    <w:t>生活污水排入下水管网，最终进入奇台县喇嘛湖梁工业园区污水处理厂</w:t>
                  </w:r>
                  <w:bookmarkEnd w:id="7"/>
                  <w:bookmarkEnd w:id="8"/>
                  <w:r>
                    <w:rPr>
                      <w:kern w:val="0"/>
                      <w:sz w:val="21"/>
                      <w:szCs w:val="21"/>
                    </w:rPr>
                    <w:t>。</w:t>
                  </w:r>
                </w:p>
              </w:tc>
              <w:tc>
                <w:tcPr>
                  <w:tcW w:w="1349" w:type="pct"/>
                  <w:vMerge w:val="continue"/>
                  <w:shd w:val="clear" w:color="auto" w:fill="auto"/>
                  <w:vAlign w:val="center"/>
                </w:tcPr>
                <w:p w14:paraId="551A2D68">
                  <w:pPr>
                    <w:jc w:val="center"/>
                    <w:rPr>
                      <w:kern w:val="0"/>
                      <w:sz w:val="21"/>
                      <w:szCs w:val="21"/>
                      <w:lang w:bidi="ar"/>
                    </w:rPr>
                  </w:pPr>
                </w:p>
              </w:tc>
            </w:tr>
            <w:tr w14:paraId="1BA4FA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64BF0D2C">
                  <w:pPr>
                    <w:jc w:val="center"/>
                    <w:rPr>
                      <w:sz w:val="21"/>
                      <w:szCs w:val="21"/>
                    </w:rPr>
                  </w:pPr>
                </w:p>
              </w:tc>
              <w:tc>
                <w:tcPr>
                  <w:tcW w:w="975" w:type="pct"/>
                  <w:shd w:val="clear" w:color="auto" w:fill="auto"/>
                  <w:vAlign w:val="center"/>
                </w:tcPr>
                <w:p w14:paraId="10694880">
                  <w:pPr>
                    <w:jc w:val="center"/>
                    <w:rPr>
                      <w:sz w:val="21"/>
                      <w:szCs w:val="21"/>
                    </w:rPr>
                  </w:pPr>
                  <w:r>
                    <w:rPr>
                      <w:rFonts w:hint="eastAsia"/>
                      <w:sz w:val="21"/>
                      <w:szCs w:val="21"/>
                    </w:rPr>
                    <w:t>供暖</w:t>
                  </w:r>
                </w:p>
              </w:tc>
              <w:tc>
                <w:tcPr>
                  <w:tcW w:w="2038" w:type="pct"/>
                  <w:shd w:val="clear" w:color="auto" w:fill="auto"/>
                  <w:vAlign w:val="center"/>
                </w:tcPr>
                <w:p w14:paraId="320EFF1D">
                  <w:pPr>
                    <w:jc w:val="center"/>
                    <w:rPr>
                      <w:kern w:val="0"/>
                      <w:sz w:val="21"/>
                      <w:szCs w:val="21"/>
                    </w:rPr>
                  </w:pPr>
                  <w:r>
                    <w:rPr>
                      <w:rFonts w:hint="eastAsia"/>
                      <w:kern w:val="0"/>
                      <w:sz w:val="21"/>
                      <w:szCs w:val="21"/>
                    </w:rPr>
                    <w:t>项目冬季不生产，无供暖设施</w:t>
                  </w:r>
                </w:p>
              </w:tc>
              <w:tc>
                <w:tcPr>
                  <w:tcW w:w="1349" w:type="pct"/>
                  <w:shd w:val="clear" w:color="auto" w:fill="auto"/>
                  <w:vAlign w:val="center"/>
                </w:tcPr>
                <w:p w14:paraId="045DC040">
                  <w:pPr>
                    <w:jc w:val="center"/>
                    <w:rPr>
                      <w:kern w:val="0"/>
                      <w:sz w:val="21"/>
                      <w:szCs w:val="21"/>
                      <w:lang w:bidi="ar"/>
                    </w:rPr>
                  </w:pPr>
                  <w:r>
                    <w:rPr>
                      <w:rFonts w:hint="eastAsia"/>
                      <w:kern w:val="0"/>
                      <w:sz w:val="21"/>
                      <w:szCs w:val="21"/>
                      <w:lang w:bidi="ar"/>
                    </w:rPr>
                    <w:t>/</w:t>
                  </w:r>
                </w:p>
              </w:tc>
            </w:tr>
            <w:tr w14:paraId="1C6212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restart"/>
                  <w:shd w:val="clear" w:color="auto" w:fill="auto"/>
                  <w:vAlign w:val="center"/>
                </w:tcPr>
                <w:p w14:paraId="23185015">
                  <w:pPr>
                    <w:jc w:val="center"/>
                    <w:rPr>
                      <w:sz w:val="21"/>
                      <w:szCs w:val="21"/>
                    </w:rPr>
                  </w:pPr>
                  <w:r>
                    <w:rPr>
                      <w:sz w:val="21"/>
                      <w:szCs w:val="21"/>
                    </w:rPr>
                    <w:t>环保工程</w:t>
                  </w:r>
                </w:p>
              </w:tc>
              <w:tc>
                <w:tcPr>
                  <w:tcW w:w="975" w:type="pct"/>
                  <w:vMerge w:val="restart"/>
                  <w:shd w:val="clear" w:color="auto" w:fill="auto"/>
                  <w:vAlign w:val="center"/>
                </w:tcPr>
                <w:p w14:paraId="76C50D4B">
                  <w:pPr>
                    <w:jc w:val="center"/>
                    <w:rPr>
                      <w:sz w:val="21"/>
                      <w:szCs w:val="21"/>
                    </w:rPr>
                  </w:pPr>
                  <w:r>
                    <w:rPr>
                      <w:sz w:val="21"/>
                      <w:szCs w:val="21"/>
                    </w:rPr>
                    <w:t>废气</w:t>
                  </w:r>
                </w:p>
              </w:tc>
              <w:tc>
                <w:tcPr>
                  <w:tcW w:w="2038" w:type="pct"/>
                  <w:shd w:val="clear" w:color="auto" w:fill="auto"/>
                  <w:vAlign w:val="center"/>
                </w:tcPr>
                <w:p w14:paraId="009BE405">
                  <w:pPr>
                    <w:jc w:val="center"/>
                    <w:rPr>
                      <w:sz w:val="21"/>
                      <w:szCs w:val="21"/>
                    </w:rPr>
                  </w:pPr>
                  <w:r>
                    <w:rPr>
                      <w:rFonts w:hint="eastAsia"/>
                      <w:kern w:val="0"/>
                      <w:sz w:val="21"/>
                      <w:szCs w:val="21"/>
                      <w:lang w:bidi="ar"/>
                    </w:rPr>
                    <w:t>碎石均采用半封闭料仓，采取防尘网覆盖的措施</w:t>
                  </w:r>
                  <w:r>
                    <w:rPr>
                      <w:sz w:val="21"/>
                      <w:szCs w:val="21"/>
                    </w:rPr>
                    <w:t xml:space="preserve"> </w:t>
                  </w:r>
                </w:p>
              </w:tc>
              <w:tc>
                <w:tcPr>
                  <w:tcW w:w="1349" w:type="pct"/>
                  <w:vMerge w:val="restart"/>
                  <w:shd w:val="clear" w:color="auto" w:fill="auto"/>
                  <w:vAlign w:val="center"/>
                </w:tcPr>
                <w:p w14:paraId="77874B56">
                  <w:pPr>
                    <w:jc w:val="center"/>
                    <w:rPr>
                      <w:sz w:val="21"/>
                      <w:szCs w:val="21"/>
                    </w:rPr>
                  </w:pPr>
                  <w:r>
                    <w:rPr>
                      <w:sz w:val="21"/>
                      <w:szCs w:val="21"/>
                    </w:rPr>
                    <w:t>拟建</w:t>
                  </w:r>
                </w:p>
              </w:tc>
            </w:tr>
            <w:tr w14:paraId="14169F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23AAA03E">
                  <w:pPr>
                    <w:jc w:val="center"/>
                    <w:rPr>
                      <w:sz w:val="21"/>
                      <w:szCs w:val="21"/>
                    </w:rPr>
                  </w:pPr>
                </w:p>
              </w:tc>
              <w:tc>
                <w:tcPr>
                  <w:tcW w:w="975" w:type="pct"/>
                  <w:vMerge w:val="continue"/>
                  <w:shd w:val="clear" w:color="auto" w:fill="auto"/>
                  <w:vAlign w:val="center"/>
                </w:tcPr>
                <w:p w14:paraId="63D22EEE">
                  <w:pPr>
                    <w:jc w:val="center"/>
                    <w:rPr>
                      <w:sz w:val="21"/>
                      <w:szCs w:val="21"/>
                    </w:rPr>
                  </w:pPr>
                </w:p>
              </w:tc>
              <w:tc>
                <w:tcPr>
                  <w:tcW w:w="2038" w:type="pct"/>
                  <w:shd w:val="clear" w:color="auto" w:fill="auto"/>
                  <w:vAlign w:val="center"/>
                </w:tcPr>
                <w:p w14:paraId="115F5A73">
                  <w:pPr>
                    <w:jc w:val="center"/>
                    <w:rPr>
                      <w:sz w:val="21"/>
                      <w:szCs w:val="21"/>
                    </w:rPr>
                  </w:pPr>
                  <w:r>
                    <w:rPr>
                      <w:rFonts w:hint="eastAsia"/>
                      <w:sz w:val="21"/>
                      <w:szCs w:val="21"/>
                    </w:rPr>
                    <w:t>砂采用全封闭料仓，并设置洒水喷淋措施</w:t>
                  </w:r>
                </w:p>
              </w:tc>
              <w:tc>
                <w:tcPr>
                  <w:tcW w:w="1349" w:type="pct"/>
                  <w:vMerge w:val="continue"/>
                  <w:shd w:val="clear" w:color="auto" w:fill="auto"/>
                  <w:vAlign w:val="center"/>
                </w:tcPr>
                <w:p w14:paraId="121D962B">
                  <w:pPr>
                    <w:jc w:val="center"/>
                    <w:rPr>
                      <w:sz w:val="21"/>
                      <w:szCs w:val="21"/>
                    </w:rPr>
                  </w:pPr>
                </w:p>
              </w:tc>
            </w:tr>
            <w:tr w14:paraId="030F05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97D4764">
                  <w:pPr>
                    <w:jc w:val="center"/>
                    <w:rPr>
                      <w:sz w:val="21"/>
                      <w:szCs w:val="21"/>
                    </w:rPr>
                  </w:pPr>
                </w:p>
              </w:tc>
              <w:tc>
                <w:tcPr>
                  <w:tcW w:w="975" w:type="pct"/>
                  <w:vMerge w:val="continue"/>
                  <w:shd w:val="clear" w:color="auto" w:fill="auto"/>
                  <w:vAlign w:val="center"/>
                </w:tcPr>
                <w:p w14:paraId="5628CF19">
                  <w:pPr>
                    <w:jc w:val="center"/>
                    <w:rPr>
                      <w:sz w:val="21"/>
                      <w:szCs w:val="21"/>
                    </w:rPr>
                  </w:pPr>
                </w:p>
              </w:tc>
              <w:tc>
                <w:tcPr>
                  <w:tcW w:w="2038" w:type="pct"/>
                  <w:shd w:val="clear" w:color="auto" w:fill="auto"/>
                  <w:vAlign w:val="center"/>
                </w:tcPr>
                <w:p w14:paraId="769DD103">
                  <w:pPr>
                    <w:jc w:val="center"/>
                    <w:rPr>
                      <w:sz w:val="21"/>
                      <w:szCs w:val="21"/>
                    </w:rPr>
                  </w:pPr>
                  <w:r>
                    <w:rPr>
                      <w:sz w:val="21"/>
                      <w:szCs w:val="21"/>
                    </w:rPr>
                    <w:t>采用封闭式物料输送廊道</w:t>
                  </w:r>
                </w:p>
              </w:tc>
              <w:tc>
                <w:tcPr>
                  <w:tcW w:w="1349" w:type="pct"/>
                  <w:vMerge w:val="continue"/>
                  <w:shd w:val="clear" w:color="auto" w:fill="auto"/>
                  <w:vAlign w:val="center"/>
                </w:tcPr>
                <w:p w14:paraId="1F68659D">
                  <w:pPr>
                    <w:jc w:val="center"/>
                    <w:rPr>
                      <w:sz w:val="21"/>
                      <w:szCs w:val="21"/>
                    </w:rPr>
                  </w:pPr>
                </w:p>
              </w:tc>
            </w:tr>
            <w:tr w14:paraId="48372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261A4BC">
                  <w:pPr>
                    <w:jc w:val="center"/>
                    <w:rPr>
                      <w:sz w:val="21"/>
                      <w:szCs w:val="21"/>
                    </w:rPr>
                  </w:pPr>
                </w:p>
              </w:tc>
              <w:tc>
                <w:tcPr>
                  <w:tcW w:w="975" w:type="pct"/>
                  <w:vMerge w:val="continue"/>
                  <w:shd w:val="clear" w:color="auto" w:fill="auto"/>
                  <w:vAlign w:val="center"/>
                </w:tcPr>
                <w:p w14:paraId="26F9C73F">
                  <w:pPr>
                    <w:jc w:val="center"/>
                    <w:rPr>
                      <w:sz w:val="21"/>
                      <w:szCs w:val="21"/>
                    </w:rPr>
                  </w:pPr>
                </w:p>
              </w:tc>
              <w:tc>
                <w:tcPr>
                  <w:tcW w:w="2038" w:type="pct"/>
                  <w:shd w:val="clear" w:color="auto" w:fill="auto"/>
                  <w:vAlign w:val="center"/>
                </w:tcPr>
                <w:p w14:paraId="575D8B89">
                  <w:pPr>
                    <w:jc w:val="center"/>
                    <w:rPr>
                      <w:sz w:val="21"/>
                      <w:szCs w:val="21"/>
                    </w:rPr>
                  </w:pPr>
                  <w:r>
                    <w:rPr>
                      <w:sz w:val="21"/>
                      <w:szCs w:val="21"/>
                    </w:rPr>
                    <w:t>粉料筒仓储存产生废气采用自带仓顶滤芯式除尘器处理后</w:t>
                  </w:r>
                  <w:r>
                    <w:rPr>
                      <w:rFonts w:hint="eastAsia"/>
                      <w:sz w:val="21"/>
                      <w:szCs w:val="21"/>
                    </w:rPr>
                    <w:t>无</w:t>
                  </w:r>
                  <w:r>
                    <w:rPr>
                      <w:sz w:val="21"/>
                      <w:szCs w:val="21"/>
                    </w:rPr>
                    <w:t>组织排放</w:t>
                  </w:r>
                </w:p>
              </w:tc>
              <w:tc>
                <w:tcPr>
                  <w:tcW w:w="1349" w:type="pct"/>
                  <w:vMerge w:val="continue"/>
                  <w:shd w:val="clear" w:color="auto" w:fill="auto"/>
                  <w:vAlign w:val="center"/>
                </w:tcPr>
                <w:p w14:paraId="3ABEE3D5">
                  <w:pPr>
                    <w:jc w:val="center"/>
                    <w:rPr>
                      <w:sz w:val="21"/>
                      <w:szCs w:val="21"/>
                    </w:rPr>
                  </w:pPr>
                </w:p>
              </w:tc>
            </w:tr>
            <w:tr w14:paraId="749979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86EAC5E">
                  <w:pPr>
                    <w:jc w:val="center"/>
                    <w:rPr>
                      <w:sz w:val="21"/>
                      <w:szCs w:val="21"/>
                    </w:rPr>
                  </w:pPr>
                </w:p>
              </w:tc>
              <w:tc>
                <w:tcPr>
                  <w:tcW w:w="975" w:type="pct"/>
                  <w:vMerge w:val="continue"/>
                  <w:shd w:val="clear" w:color="auto" w:fill="auto"/>
                  <w:vAlign w:val="center"/>
                </w:tcPr>
                <w:p w14:paraId="48D789A9">
                  <w:pPr>
                    <w:jc w:val="center"/>
                    <w:rPr>
                      <w:sz w:val="21"/>
                      <w:szCs w:val="21"/>
                    </w:rPr>
                  </w:pPr>
                </w:p>
              </w:tc>
              <w:tc>
                <w:tcPr>
                  <w:tcW w:w="2038" w:type="pct"/>
                  <w:shd w:val="clear" w:color="auto" w:fill="auto"/>
                  <w:vAlign w:val="center"/>
                </w:tcPr>
                <w:p w14:paraId="0FC8E772">
                  <w:pPr>
                    <w:jc w:val="center"/>
                    <w:rPr>
                      <w:sz w:val="21"/>
                      <w:szCs w:val="21"/>
                    </w:rPr>
                  </w:pPr>
                  <w:r>
                    <w:rPr>
                      <w:rFonts w:hint="eastAsia"/>
                      <w:sz w:val="21"/>
                      <w:szCs w:val="21"/>
                    </w:rPr>
                    <w:t>沥青混凝土生产线骨料烘干废气</w:t>
                  </w:r>
                  <w:r>
                    <w:rPr>
                      <w:sz w:val="21"/>
                      <w:szCs w:val="21"/>
                    </w:rPr>
                    <w:t>经</w:t>
                  </w:r>
                  <w:r>
                    <w:rPr>
                      <w:rFonts w:hint="eastAsia"/>
                      <w:sz w:val="21"/>
                      <w:szCs w:val="21"/>
                    </w:rPr>
                    <w:t>“低氮燃烧装置+袋式除尘器”处理</w:t>
                  </w:r>
                  <w:r>
                    <w:rPr>
                      <w:sz w:val="21"/>
                      <w:szCs w:val="21"/>
                    </w:rPr>
                    <w:t>后由15m高排气筒排放</w:t>
                  </w:r>
                </w:p>
              </w:tc>
              <w:tc>
                <w:tcPr>
                  <w:tcW w:w="1349" w:type="pct"/>
                  <w:vMerge w:val="continue"/>
                  <w:shd w:val="clear" w:color="auto" w:fill="auto"/>
                  <w:vAlign w:val="center"/>
                </w:tcPr>
                <w:p w14:paraId="2963CC18">
                  <w:pPr>
                    <w:jc w:val="center"/>
                    <w:rPr>
                      <w:sz w:val="21"/>
                      <w:szCs w:val="21"/>
                    </w:rPr>
                  </w:pPr>
                </w:p>
              </w:tc>
            </w:tr>
            <w:tr w14:paraId="2C7DFE20">
              <w:tblPrEx>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7BDDCA9">
                  <w:pPr>
                    <w:jc w:val="center"/>
                    <w:rPr>
                      <w:sz w:val="21"/>
                      <w:szCs w:val="21"/>
                    </w:rPr>
                  </w:pPr>
                </w:p>
              </w:tc>
              <w:tc>
                <w:tcPr>
                  <w:tcW w:w="975" w:type="pct"/>
                  <w:vMerge w:val="continue"/>
                  <w:shd w:val="clear" w:color="auto" w:fill="auto"/>
                  <w:vAlign w:val="center"/>
                </w:tcPr>
                <w:p w14:paraId="19C6F75E">
                  <w:pPr>
                    <w:jc w:val="center"/>
                    <w:rPr>
                      <w:sz w:val="21"/>
                      <w:szCs w:val="21"/>
                    </w:rPr>
                  </w:pPr>
                </w:p>
              </w:tc>
              <w:tc>
                <w:tcPr>
                  <w:tcW w:w="2038" w:type="pct"/>
                  <w:shd w:val="clear" w:color="auto" w:fill="auto"/>
                  <w:vAlign w:val="center"/>
                </w:tcPr>
                <w:p w14:paraId="010C9EEE">
                  <w:pPr>
                    <w:jc w:val="center"/>
                    <w:rPr>
                      <w:sz w:val="21"/>
                      <w:szCs w:val="21"/>
                    </w:rPr>
                  </w:pPr>
                  <w:r>
                    <w:rPr>
                      <w:sz w:val="21"/>
                      <w:szCs w:val="21"/>
                    </w:rPr>
                    <w:t>搅拌废气经袋式除尘器处理后由15m高排气筒排放</w:t>
                  </w:r>
                </w:p>
              </w:tc>
              <w:tc>
                <w:tcPr>
                  <w:tcW w:w="1349" w:type="pct"/>
                  <w:vMerge w:val="continue"/>
                  <w:shd w:val="clear" w:color="auto" w:fill="auto"/>
                  <w:vAlign w:val="center"/>
                </w:tcPr>
                <w:p w14:paraId="5C39B267">
                  <w:pPr>
                    <w:jc w:val="center"/>
                    <w:rPr>
                      <w:sz w:val="21"/>
                      <w:szCs w:val="21"/>
                    </w:rPr>
                  </w:pPr>
                </w:p>
              </w:tc>
            </w:tr>
            <w:tr w14:paraId="0BC9B3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788AD55B">
                  <w:pPr>
                    <w:jc w:val="center"/>
                    <w:rPr>
                      <w:sz w:val="21"/>
                      <w:szCs w:val="21"/>
                    </w:rPr>
                  </w:pPr>
                </w:p>
              </w:tc>
              <w:tc>
                <w:tcPr>
                  <w:tcW w:w="975" w:type="pct"/>
                  <w:vMerge w:val="continue"/>
                  <w:shd w:val="clear" w:color="auto" w:fill="auto"/>
                  <w:vAlign w:val="center"/>
                </w:tcPr>
                <w:p w14:paraId="01280C0F">
                  <w:pPr>
                    <w:jc w:val="center"/>
                    <w:rPr>
                      <w:sz w:val="21"/>
                      <w:szCs w:val="21"/>
                    </w:rPr>
                  </w:pPr>
                </w:p>
              </w:tc>
              <w:tc>
                <w:tcPr>
                  <w:tcW w:w="2038" w:type="pct"/>
                  <w:shd w:val="clear" w:color="auto" w:fill="auto"/>
                  <w:vAlign w:val="center"/>
                </w:tcPr>
                <w:p w14:paraId="786342A2">
                  <w:pPr>
                    <w:jc w:val="center"/>
                    <w:rPr>
                      <w:sz w:val="21"/>
                      <w:szCs w:val="21"/>
                    </w:rPr>
                  </w:pPr>
                  <w:r>
                    <w:rPr>
                      <w:sz w:val="21"/>
                      <w:szCs w:val="21"/>
                    </w:rPr>
                    <w:t>沥青加热及搅拌废气经</w:t>
                  </w:r>
                  <w:r>
                    <w:rPr>
                      <w:rFonts w:ascii="宋体" w:hAnsi="宋体"/>
                      <w:sz w:val="21"/>
                      <w:szCs w:val="21"/>
                    </w:rPr>
                    <w:t>“喷淋塔+电捕焦油器+活性炭吸附”</w:t>
                  </w:r>
                  <w:r>
                    <w:rPr>
                      <w:sz w:val="21"/>
                      <w:szCs w:val="21"/>
                    </w:rPr>
                    <w:t>处理后由15m高排气筒排放</w:t>
                  </w:r>
                </w:p>
              </w:tc>
              <w:tc>
                <w:tcPr>
                  <w:tcW w:w="1349" w:type="pct"/>
                  <w:vMerge w:val="continue"/>
                  <w:shd w:val="clear" w:color="auto" w:fill="auto"/>
                  <w:vAlign w:val="center"/>
                </w:tcPr>
                <w:p w14:paraId="130040FC">
                  <w:pPr>
                    <w:jc w:val="center"/>
                    <w:rPr>
                      <w:sz w:val="21"/>
                      <w:szCs w:val="21"/>
                    </w:rPr>
                  </w:pPr>
                </w:p>
              </w:tc>
            </w:tr>
            <w:tr w14:paraId="426A4D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53F5390F">
                  <w:pPr>
                    <w:jc w:val="center"/>
                    <w:rPr>
                      <w:sz w:val="21"/>
                      <w:szCs w:val="21"/>
                    </w:rPr>
                  </w:pPr>
                </w:p>
              </w:tc>
              <w:tc>
                <w:tcPr>
                  <w:tcW w:w="975" w:type="pct"/>
                  <w:vMerge w:val="continue"/>
                  <w:shd w:val="clear" w:color="auto" w:fill="auto"/>
                  <w:vAlign w:val="center"/>
                </w:tcPr>
                <w:p w14:paraId="019AD3D6">
                  <w:pPr>
                    <w:jc w:val="center"/>
                    <w:rPr>
                      <w:sz w:val="21"/>
                      <w:szCs w:val="21"/>
                    </w:rPr>
                  </w:pPr>
                </w:p>
              </w:tc>
              <w:tc>
                <w:tcPr>
                  <w:tcW w:w="2038" w:type="pct"/>
                  <w:shd w:val="clear" w:color="auto" w:fill="auto"/>
                  <w:vAlign w:val="center"/>
                </w:tcPr>
                <w:p w14:paraId="2BBD74FC">
                  <w:pPr>
                    <w:jc w:val="center"/>
                    <w:rPr>
                      <w:sz w:val="21"/>
                      <w:szCs w:val="21"/>
                    </w:rPr>
                  </w:pPr>
                  <w:r>
                    <w:rPr>
                      <w:rFonts w:hint="eastAsia"/>
                      <w:sz w:val="21"/>
                      <w:szCs w:val="21"/>
                    </w:rPr>
                    <w:t>沥青混凝土生产线导热油加热醇醚燃烧废气</w:t>
                  </w:r>
                  <w:r>
                    <w:rPr>
                      <w:rStyle w:val="80"/>
                      <w:rFonts w:hint="eastAsia"/>
                      <w:sz w:val="21"/>
                      <w:szCs w:val="21"/>
                    </w:rPr>
                    <w:t>经“低氮燃烧装置”处理后由8m高排气筒排放</w:t>
                  </w:r>
                </w:p>
              </w:tc>
              <w:tc>
                <w:tcPr>
                  <w:tcW w:w="1349" w:type="pct"/>
                  <w:vMerge w:val="continue"/>
                  <w:shd w:val="clear" w:color="auto" w:fill="auto"/>
                  <w:vAlign w:val="center"/>
                </w:tcPr>
                <w:p w14:paraId="1E3DC2E3">
                  <w:pPr>
                    <w:jc w:val="center"/>
                    <w:rPr>
                      <w:sz w:val="21"/>
                      <w:szCs w:val="21"/>
                    </w:rPr>
                  </w:pPr>
                </w:p>
              </w:tc>
            </w:tr>
            <w:tr w14:paraId="75731C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32DFC92">
                  <w:pPr>
                    <w:jc w:val="center"/>
                    <w:rPr>
                      <w:sz w:val="21"/>
                      <w:szCs w:val="21"/>
                    </w:rPr>
                  </w:pPr>
                </w:p>
              </w:tc>
              <w:tc>
                <w:tcPr>
                  <w:tcW w:w="975" w:type="pct"/>
                  <w:vMerge w:val="continue"/>
                  <w:shd w:val="clear" w:color="auto" w:fill="auto"/>
                  <w:vAlign w:val="center"/>
                </w:tcPr>
                <w:p w14:paraId="163F1CD9">
                  <w:pPr>
                    <w:jc w:val="center"/>
                    <w:rPr>
                      <w:sz w:val="21"/>
                      <w:szCs w:val="21"/>
                    </w:rPr>
                  </w:pPr>
                </w:p>
              </w:tc>
              <w:tc>
                <w:tcPr>
                  <w:tcW w:w="2038" w:type="pct"/>
                  <w:shd w:val="clear" w:color="auto" w:fill="auto"/>
                  <w:vAlign w:val="center"/>
                </w:tcPr>
                <w:p w14:paraId="0E425FF8">
                  <w:pPr>
                    <w:jc w:val="center"/>
                    <w:rPr>
                      <w:sz w:val="21"/>
                      <w:szCs w:val="21"/>
                    </w:rPr>
                  </w:pPr>
                  <w:r>
                    <w:rPr>
                      <w:rFonts w:hint="eastAsia"/>
                      <w:sz w:val="21"/>
                      <w:szCs w:val="21"/>
                    </w:rPr>
                    <w:t>切割废气采取自然沉降，厂房阻隔措施</w:t>
                  </w:r>
                </w:p>
              </w:tc>
              <w:tc>
                <w:tcPr>
                  <w:tcW w:w="1349" w:type="pct"/>
                  <w:vMerge w:val="continue"/>
                  <w:shd w:val="clear" w:color="auto" w:fill="auto"/>
                  <w:vAlign w:val="center"/>
                </w:tcPr>
                <w:p w14:paraId="23685AE1">
                  <w:pPr>
                    <w:jc w:val="center"/>
                    <w:rPr>
                      <w:sz w:val="21"/>
                      <w:szCs w:val="21"/>
                    </w:rPr>
                  </w:pPr>
                </w:p>
              </w:tc>
            </w:tr>
            <w:tr w14:paraId="6C785A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5C1AB9D1">
                  <w:pPr>
                    <w:jc w:val="center"/>
                    <w:rPr>
                      <w:sz w:val="21"/>
                      <w:szCs w:val="21"/>
                    </w:rPr>
                  </w:pPr>
                </w:p>
              </w:tc>
              <w:tc>
                <w:tcPr>
                  <w:tcW w:w="975" w:type="pct"/>
                  <w:vMerge w:val="continue"/>
                  <w:shd w:val="clear" w:color="auto" w:fill="auto"/>
                  <w:vAlign w:val="center"/>
                </w:tcPr>
                <w:p w14:paraId="08575F1F">
                  <w:pPr>
                    <w:jc w:val="center"/>
                    <w:rPr>
                      <w:sz w:val="21"/>
                      <w:szCs w:val="21"/>
                    </w:rPr>
                  </w:pPr>
                </w:p>
              </w:tc>
              <w:tc>
                <w:tcPr>
                  <w:tcW w:w="2038" w:type="pct"/>
                  <w:shd w:val="clear" w:color="auto" w:fill="auto"/>
                  <w:vAlign w:val="center"/>
                </w:tcPr>
                <w:p w14:paraId="1AE8D3B9">
                  <w:pPr>
                    <w:jc w:val="center"/>
                    <w:rPr>
                      <w:sz w:val="21"/>
                      <w:szCs w:val="21"/>
                    </w:rPr>
                  </w:pPr>
                  <w:r>
                    <w:rPr>
                      <w:sz w:val="21"/>
                      <w:szCs w:val="21"/>
                    </w:rPr>
                    <w:t>钢筋焊接烟尘经移动式焊烟净化器处理后排放</w:t>
                  </w:r>
                </w:p>
              </w:tc>
              <w:tc>
                <w:tcPr>
                  <w:tcW w:w="1349" w:type="pct"/>
                  <w:vMerge w:val="continue"/>
                  <w:shd w:val="clear" w:color="auto" w:fill="auto"/>
                  <w:vAlign w:val="center"/>
                </w:tcPr>
                <w:p w14:paraId="710F212B">
                  <w:pPr>
                    <w:jc w:val="center"/>
                    <w:rPr>
                      <w:sz w:val="21"/>
                      <w:szCs w:val="21"/>
                    </w:rPr>
                  </w:pPr>
                </w:p>
              </w:tc>
            </w:tr>
            <w:tr w14:paraId="3F5A3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6046A8BE">
                  <w:pPr>
                    <w:jc w:val="center"/>
                    <w:rPr>
                      <w:sz w:val="21"/>
                      <w:szCs w:val="21"/>
                    </w:rPr>
                  </w:pPr>
                </w:p>
              </w:tc>
              <w:tc>
                <w:tcPr>
                  <w:tcW w:w="975" w:type="pct"/>
                  <w:vMerge w:val="continue"/>
                  <w:shd w:val="clear" w:color="auto" w:fill="auto"/>
                  <w:vAlign w:val="center"/>
                </w:tcPr>
                <w:p w14:paraId="11C47A56">
                  <w:pPr>
                    <w:jc w:val="center"/>
                    <w:rPr>
                      <w:sz w:val="21"/>
                      <w:szCs w:val="21"/>
                    </w:rPr>
                  </w:pPr>
                </w:p>
              </w:tc>
              <w:tc>
                <w:tcPr>
                  <w:tcW w:w="2038" w:type="pct"/>
                  <w:shd w:val="clear" w:color="auto" w:fill="auto"/>
                  <w:vAlign w:val="center"/>
                </w:tcPr>
                <w:p w14:paraId="3995EBA4">
                  <w:pPr>
                    <w:jc w:val="center"/>
                    <w:rPr>
                      <w:sz w:val="21"/>
                      <w:szCs w:val="21"/>
                    </w:rPr>
                  </w:pPr>
                  <w:r>
                    <w:rPr>
                      <w:sz w:val="21"/>
                      <w:szCs w:val="21"/>
                    </w:rPr>
                    <w:t>运输车辆出厂前必须经过冲洗，以减少扬尘的产生和逸散</w:t>
                  </w:r>
                </w:p>
              </w:tc>
              <w:tc>
                <w:tcPr>
                  <w:tcW w:w="1349" w:type="pct"/>
                  <w:vMerge w:val="continue"/>
                  <w:shd w:val="clear" w:color="auto" w:fill="auto"/>
                  <w:vAlign w:val="center"/>
                </w:tcPr>
                <w:p w14:paraId="477DC779">
                  <w:pPr>
                    <w:jc w:val="center"/>
                    <w:rPr>
                      <w:sz w:val="21"/>
                      <w:szCs w:val="21"/>
                    </w:rPr>
                  </w:pPr>
                </w:p>
              </w:tc>
            </w:tr>
            <w:tr w14:paraId="197064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432BF1B">
                  <w:pPr>
                    <w:jc w:val="center"/>
                    <w:rPr>
                      <w:sz w:val="21"/>
                      <w:szCs w:val="21"/>
                    </w:rPr>
                  </w:pPr>
                </w:p>
              </w:tc>
              <w:tc>
                <w:tcPr>
                  <w:tcW w:w="975" w:type="pct"/>
                  <w:vMerge w:val="continue"/>
                  <w:shd w:val="clear" w:color="auto" w:fill="auto"/>
                  <w:vAlign w:val="center"/>
                </w:tcPr>
                <w:p w14:paraId="29DA244F">
                  <w:pPr>
                    <w:jc w:val="center"/>
                    <w:rPr>
                      <w:sz w:val="21"/>
                      <w:szCs w:val="21"/>
                    </w:rPr>
                  </w:pPr>
                </w:p>
              </w:tc>
              <w:tc>
                <w:tcPr>
                  <w:tcW w:w="2038" w:type="pct"/>
                  <w:shd w:val="clear" w:color="auto" w:fill="auto"/>
                  <w:vAlign w:val="center"/>
                </w:tcPr>
                <w:p w14:paraId="30AFB8B3">
                  <w:pPr>
                    <w:jc w:val="center"/>
                    <w:rPr>
                      <w:sz w:val="21"/>
                      <w:szCs w:val="21"/>
                    </w:rPr>
                  </w:pPr>
                  <w:r>
                    <w:rPr>
                      <w:sz w:val="21"/>
                      <w:szCs w:val="21"/>
                    </w:rPr>
                    <w:t>食堂油烟经油烟净化器处理后由房顶排气筒排放</w:t>
                  </w:r>
                </w:p>
              </w:tc>
              <w:tc>
                <w:tcPr>
                  <w:tcW w:w="1349" w:type="pct"/>
                  <w:shd w:val="clear" w:color="auto" w:fill="auto"/>
                  <w:vAlign w:val="center"/>
                </w:tcPr>
                <w:p w14:paraId="604D883D">
                  <w:pPr>
                    <w:jc w:val="center"/>
                    <w:rPr>
                      <w:sz w:val="21"/>
                      <w:szCs w:val="21"/>
                    </w:rPr>
                  </w:pPr>
                  <w:r>
                    <w:rPr>
                      <w:sz w:val="21"/>
                      <w:szCs w:val="21"/>
                    </w:rPr>
                    <w:t>已建</w:t>
                  </w:r>
                </w:p>
              </w:tc>
            </w:tr>
            <w:tr w14:paraId="215528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07CC6243">
                  <w:pPr>
                    <w:jc w:val="center"/>
                    <w:rPr>
                      <w:sz w:val="21"/>
                      <w:szCs w:val="21"/>
                    </w:rPr>
                  </w:pPr>
                </w:p>
              </w:tc>
              <w:tc>
                <w:tcPr>
                  <w:tcW w:w="975" w:type="pct"/>
                  <w:vMerge w:val="restart"/>
                  <w:shd w:val="clear" w:color="auto" w:fill="auto"/>
                  <w:vAlign w:val="center"/>
                </w:tcPr>
                <w:p w14:paraId="46E25D0F">
                  <w:pPr>
                    <w:jc w:val="center"/>
                    <w:rPr>
                      <w:sz w:val="21"/>
                      <w:szCs w:val="21"/>
                    </w:rPr>
                  </w:pPr>
                  <w:r>
                    <w:rPr>
                      <w:sz w:val="21"/>
                      <w:szCs w:val="21"/>
                    </w:rPr>
                    <w:t>废水</w:t>
                  </w:r>
                </w:p>
              </w:tc>
              <w:tc>
                <w:tcPr>
                  <w:tcW w:w="2038" w:type="pct"/>
                  <w:shd w:val="clear" w:color="auto" w:fill="auto"/>
                  <w:vAlign w:val="center"/>
                </w:tcPr>
                <w:p w14:paraId="7518F58B">
                  <w:pPr>
                    <w:jc w:val="center"/>
                    <w:rPr>
                      <w:sz w:val="21"/>
                      <w:szCs w:val="21"/>
                    </w:rPr>
                  </w:pPr>
                  <w:r>
                    <w:rPr>
                      <w:sz w:val="21"/>
                      <w:szCs w:val="21"/>
                    </w:rPr>
                    <w:t>生活污水排入下水管网，最终进入奇台县喇嘛湖梁工业园区污水处理厂处理。</w:t>
                  </w:r>
                </w:p>
              </w:tc>
              <w:tc>
                <w:tcPr>
                  <w:tcW w:w="1349" w:type="pct"/>
                  <w:shd w:val="clear" w:color="auto" w:fill="auto"/>
                  <w:vAlign w:val="center"/>
                </w:tcPr>
                <w:p w14:paraId="5990C151">
                  <w:pPr>
                    <w:jc w:val="center"/>
                    <w:rPr>
                      <w:sz w:val="21"/>
                      <w:szCs w:val="21"/>
                    </w:rPr>
                  </w:pPr>
                  <w:r>
                    <w:rPr>
                      <w:kern w:val="0"/>
                      <w:sz w:val="21"/>
                      <w:szCs w:val="21"/>
                      <w:lang w:bidi="ar"/>
                    </w:rPr>
                    <w:t>已建</w:t>
                  </w:r>
                </w:p>
              </w:tc>
            </w:tr>
            <w:tr w14:paraId="44F26F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5B10DB07">
                  <w:pPr>
                    <w:jc w:val="center"/>
                    <w:rPr>
                      <w:sz w:val="21"/>
                      <w:szCs w:val="21"/>
                    </w:rPr>
                  </w:pPr>
                </w:p>
              </w:tc>
              <w:tc>
                <w:tcPr>
                  <w:tcW w:w="975" w:type="pct"/>
                  <w:vMerge w:val="continue"/>
                  <w:shd w:val="clear" w:color="auto" w:fill="auto"/>
                  <w:vAlign w:val="center"/>
                </w:tcPr>
                <w:p w14:paraId="30AF72D6">
                  <w:pPr>
                    <w:jc w:val="center"/>
                    <w:rPr>
                      <w:sz w:val="21"/>
                      <w:szCs w:val="21"/>
                    </w:rPr>
                  </w:pPr>
                </w:p>
              </w:tc>
              <w:tc>
                <w:tcPr>
                  <w:tcW w:w="2038" w:type="pct"/>
                  <w:shd w:val="clear" w:color="auto" w:fill="auto"/>
                  <w:vAlign w:val="center"/>
                </w:tcPr>
                <w:p w14:paraId="55D546AB">
                  <w:pPr>
                    <w:jc w:val="center"/>
                    <w:rPr>
                      <w:kern w:val="0"/>
                      <w:sz w:val="21"/>
                      <w:szCs w:val="21"/>
                    </w:rPr>
                  </w:pPr>
                  <w:r>
                    <w:rPr>
                      <w:sz w:val="21"/>
                      <w:szCs w:val="21"/>
                    </w:rPr>
                    <w:t>生产废水：拌合用水全部进入产品；降尘用水全部损耗；搅拌机冲洗废水和运输车辆冲洗废水经沉淀后回用，无生产废水外排。</w:t>
                  </w:r>
                </w:p>
              </w:tc>
              <w:tc>
                <w:tcPr>
                  <w:tcW w:w="1349" w:type="pct"/>
                  <w:shd w:val="clear" w:color="auto" w:fill="auto"/>
                  <w:vAlign w:val="center"/>
                </w:tcPr>
                <w:p w14:paraId="72050089">
                  <w:pPr>
                    <w:jc w:val="center"/>
                    <w:rPr>
                      <w:kern w:val="0"/>
                      <w:sz w:val="21"/>
                      <w:szCs w:val="21"/>
                      <w:lang w:bidi="ar"/>
                    </w:rPr>
                  </w:pPr>
                  <w:r>
                    <w:rPr>
                      <w:kern w:val="0"/>
                      <w:sz w:val="21"/>
                      <w:szCs w:val="21"/>
                      <w:lang w:bidi="ar"/>
                    </w:rPr>
                    <w:t>拟建</w:t>
                  </w:r>
                </w:p>
              </w:tc>
            </w:tr>
            <w:tr w14:paraId="156B70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23B0F750">
                  <w:pPr>
                    <w:jc w:val="center"/>
                    <w:rPr>
                      <w:sz w:val="21"/>
                      <w:szCs w:val="21"/>
                    </w:rPr>
                  </w:pPr>
                </w:p>
              </w:tc>
              <w:tc>
                <w:tcPr>
                  <w:tcW w:w="975" w:type="pct"/>
                  <w:shd w:val="clear" w:color="auto" w:fill="auto"/>
                  <w:vAlign w:val="center"/>
                </w:tcPr>
                <w:p w14:paraId="570C75A7">
                  <w:pPr>
                    <w:jc w:val="center"/>
                    <w:rPr>
                      <w:sz w:val="21"/>
                      <w:szCs w:val="21"/>
                    </w:rPr>
                  </w:pPr>
                  <w:r>
                    <w:rPr>
                      <w:sz w:val="21"/>
                      <w:szCs w:val="21"/>
                    </w:rPr>
                    <w:t>噪声</w:t>
                  </w:r>
                </w:p>
              </w:tc>
              <w:tc>
                <w:tcPr>
                  <w:tcW w:w="2038" w:type="pct"/>
                  <w:shd w:val="clear" w:color="auto" w:fill="auto"/>
                  <w:vAlign w:val="center"/>
                </w:tcPr>
                <w:p w14:paraId="140A6D59">
                  <w:pPr>
                    <w:jc w:val="center"/>
                    <w:rPr>
                      <w:sz w:val="21"/>
                      <w:szCs w:val="21"/>
                    </w:rPr>
                  </w:pPr>
                  <w:r>
                    <w:rPr>
                      <w:kern w:val="0"/>
                      <w:sz w:val="21"/>
                      <w:szCs w:val="21"/>
                    </w:rPr>
                    <w:t>选用低噪声设备、基础减振、厂房隔声</w:t>
                  </w:r>
                </w:p>
              </w:tc>
              <w:tc>
                <w:tcPr>
                  <w:tcW w:w="1349" w:type="pct"/>
                  <w:shd w:val="clear" w:color="auto" w:fill="auto"/>
                  <w:vAlign w:val="center"/>
                </w:tcPr>
                <w:p w14:paraId="6F11B576">
                  <w:pPr>
                    <w:jc w:val="center"/>
                    <w:rPr>
                      <w:kern w:val="0"/>
                      <w:sz w:val="21"/>
                      <w:szCs w:val="21"/>
                      <w:lang w:bidi="ar"/>
                    </w:rPr>
                  </w:pPr>
                  <w:r>
                    <w:rPr>
                      <w:sz w:val="21"/>
                      <w:szCs w:val="21"/>
                    </w:rPr>
                    <w:t>拟建</w:t>
                  </w:r>
                </w:p>
              </w:tc>
            </w:tr>
            <w:tr w14:paraId="202EDC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55CE3340">
                  <w:pPr>
                    <w:jc w:val="center"/>
                    <w:rPr>
                      <w:sz w:val="21"/>
                      <w:szCs w:val="21"/>
                    </w:rPr>
                  </w:pPr>
                </w:p>
              </w:tc>
              <w:tc>
                <w:tcPr>
                  <w:tcW w:w="975" w:type="pct"/>
                  <w:shd w:val="clear" w:color="auto" w:fill="auto"/>
                  <w:vAlign w:val="center"/>
                </w:tcPr>
                <w:p w14:paraId="62910400">
                  <w:pPr>
                    <w:jc w:val="center"/>
                    <w:rPr>
                      <w:sz w:val="21"/>
                      <w:szCs w:val="21"/>
                    </w:rPr>
                  </w:pPr>
                  <w:r>
                    <w:rPr>
                      <w:sz w:val="21"/>
                      <w:szCs w:val="21"/>
                    </w:rPr>
                    <w:t>固废</w:t>
                  </w:r>
                </w:p>
              </w:tc>
              <w:tc>
                <w:tcPr>
                  <w:tcW w:w="2038" w:type="pct"/>
                  <w:shd w:val="clear" w:color="auto" w:fill="auto"/>
                  <w:vAlign w:val="center"/>
                </w:tcPr>
                <w:p w14:paraId="70536776">
                  <w:pPr>
                    <w:jc w:val="center"/>
                    <w:rPr>
                      <w:kern w:val="0"/>
                      <w:sz w:val="21"/>
                      <w:szCs w:val="21"/>
                    </w:rPr>
                  </w:pPr>
                  <w:r>
                    <w:rPr>
                      <w:kern w:val="0"/>
                      <w:sz w:val="21"/>
                      <w:szCs w:val="21"/>
                    </w:rPr>
                    <w:t>项目不合格骨料由供应商拉走、除尘器收集粉尘、滴漏沥青及拌合残渣等回用；废活性炭、废导热油、废机油、焦油沉渣、电捕焦油器废油、废含油手套、废含油抹布等危险废物要求建设危废暂存间（20m</w:t>
                  </w:r>
                  <w:r>
                    <w:rPr>
                      <w:kern w:val="0"/>
                      <w:sz w:val="21"/>
                      <w:szCs w:val="21"/>
                      <w:vertAlign w:val="superscript"/>
                    </w:rPr>
                    <w:t>2</w:t>
                  </w:r>
                  <w:r>
                    <w:rPr>
                      <w:kern w:val="0"/>
                      <w:sz w:val="21"/>
                      <w:szCs w:val="21"/>
                    </w:rPr>
                    <w:t>），定期交由有危废处置资质单位处理；生活垃圾委托环卫部门清运。</w:t>
                  </w:r>
                </w:p>
              </w:tc>
              <w:tc>
                <w:tcPr>
                  <w:tcW w:w="1349" w:type="pct"/>
                  <w:shd w:val="clear" w:color="auto" w:fill="auto"/>
                  <w:vAlign w:val="center"/>
                </w:tcPr>
                <w:p w14:paraId="4AB5168C">
                  <w:pPr>
                    <w:jc w:val="center"/>
                    <w:rPr>
                      <w:sz w:val="21"/>
                      <w:szCs w:val="21"/>
                    </w:rPr>
                  </w:pPr>
                  <w:r>
                    <w:rPr>
                      <w:sz w:val="21"/>
                      <w:szCs w:val="21"/>
                    </w:rPr>
                    <w:t>拟建</w:t>
                  </w:r>
                </w:p>
              </w:tc>
            </w:tr>
            <w:tr w14:paraId="673C03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40C5DE25">
                  <w:pPr>
                    <w:jc w:val="center"/>
                    <w:rPr>
                      <w:sz w:val="21"/>
                      <w:szCs w:val="21"/>
                    </w:rPr>
                  </w:pPr>
                </w:p>
              </w:tc>
              <w:tc>
                <w:tcPr>
                  <w:tcW w:w="975" w:type="pct"/>
                  <w:shd w:val="clear" w:color="auto" w:fill="auto"/>
                  <w:vAlign w:val="center"/>
                </w:tcPr>
                <w:p w14:paraId="01E8146D">
                  <w:pPr>
                    <w:jc w:val="center"/>
                    <w:rPr>
                      <w:sz w:val="21"/>
                      <w:szCs w:val="21"/>
                    </w:rPr>
                  </w:pPr>
                  <w:r>
                    <w:rPr>
                      <w:rFonts w:hint="eastAsia"/>
                      <w:sz w:val="21"/>
                      <w:szCs w:val="21"/>
                    </w:rPr>
                    <w:t>环境</w:t>
                  </w:r>
                  <w:r>
                    <w:rPr>
                      <w:sz w:val="21"/>
                      <w:szCs w:val="21"/>
                    </w:rPr>
                    <w:t>风险</w:t>
                  </w:r>
                </w:p>
              </w:tc>
              <w:tc>
                <w:tcPr>
                  <w:tcW w:w="2038" w:type="pct"/>
                  <w:shd w:val="clear" w:color="auto" w:fill="auto"/>
                  <w:vAlign w:val="center"/>
                </w:tcPr>
                <w:p w14:paraId="3F644B0D">
                  <w:pPr>
                    <w:jc w:val="center"/>
                    <w:rPr>
                      <w:kern w:val="0"/>
                      <w:sz w:val="21"/>
                      <w:szCs w:val="21"/>
                    </w:rPr>
                  </w:pPr>
                  <w:r>
                    <w:rPr>
                      <w:kern w:val="0"/>
                      <w:sz w:val="21"/>
                      <w:szCs w:val="21"/>
                    </w:rPr>
                    <w:t>加强日常监管和设备检修，危废间加强管理，防止泄漏</w:t>
                  </w:r>
                </w:p>
              </w:tc>
              <w:tc>
                <w:tcPr>
                  <w:tcW w:w="1349" w:type="pct"/>
                  <w:shd w:val="clear" w:color="auto" w:fill="auto"/>
                  <w:vAlign w:val="center"/>
                </w:tcPr>
                <w:p w14:paraId="05A00712">
                  <w:pPr>
                    <w:jc w:val="center"/>
                    <w:rPr>
                      <w:sz w:val="21"/>
                      <w:szCs w:val="21"/>
                    </w:rPr>
                  </w:pPr>
                  <w:r>
                    <w:rPr>
                      <w:sz w:val="21"/>
                      <w:szCs w:val="21"/>
                    </w:rPr>
                    <w:t>拟建</w:t>
                  </w:r>
                </w:p>
              </w:tc>
            </w:tr>
            <w:tr w14:paraId="7E2207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pct"/>
                  <w:vMerge w:val="continue"/>
                  <w:shd w:val="clear" w:color="auto" w:fill="auto"/>
                  <w:vAlign w:val="center"/>
                </w:tcPr>
                <w:p w14:paraId="6D3034EC">
                  <w:pPr>
                    <w:jc w:val="center"/>
                    <w:rPr>
                      <w:sz w:val="21"/>
                      <w:szCs w:val="21"/>
                    </w:rPr>
                  </w:pPr>
                </w:p>
              </w:tc>
              <w:tc>
                <w:tcPr>
                  <w:tcW w:w="975" w:type="pct"/>
                  <w:shd w:val="clear" w:color="auto" w:fill="auto"/>
                  <w:vAlign w:val="center"/>
                </w:tcPr>
                <w:p w14:paraId="6D6B313A">
                  <w:pPr>
                    <w:jc w:val="center"/>
                    <w:rPr>
                      <w:sz w:val="21"/>
                      <w:szCs w:val="21"/>
                    </w:rPr>
                  </w:pPr>
                  <w:r>
                    <w:rPr>
                      <w:rFonts w:hint="eastAsia"/>
                      <w:sz w:val="21"/>
                      <w:szCs w:val="21"/>
                    </w:rPr>
                    <w:t>土壤和地下水分区防控措施</w:t>
                  </w:r>
                </w:p>
              </w:tc>
              <w:tc>
                <w:tcPr>
                  <w:tcW w:w="2038" w:type="pct"/>
                  <w:shd w:val="clear" w:color="auto" w:fill="auto"/>
                  <w:vAlign w:val="center"/>
                </w:tcPr>
                <w:p w14:paraId="444C62B3">
                  <w:pPr>
                    <w:jc w:val="center"/>
                    <w:rPr>
                      <w:kern w:val="0"/>
                      <w:sz w:val="21"/>
                      <w:szCs w:val="21"/>
                    </w:rPr>
                  </w:pPr>
                  <w:r>
                    <w:rPr>
                      <w:rFonts w:hint="eastAsia"/>
                      <w:kern w:val="0"/>
                      <w:sz w:val="21"/>
                      <w:szCs w:val="21"/>
                    </w:rPr>
                    <w:t>沥青罐区、醇醚储罐区、危废暂存间设置重点防渗区；</w:t>
                  </w:r>
                  <w:r>
                    <w:rPr>
                      <w:rFonts w:hint="eastAsia"/>
                      <w:kern w:val="0"/>
                      <w:sz w:val="21"/>
                      <w:szCs w:val="21"/>
                      <w:lang w:bidi="ar"/>
                    </w:rPr>
                    <w:t>水泥稳定土生产区、混凝土生产区、</w:t>
                  </w:r>
                  <w:r>
                    <w:rPr>
                      <w:rFonts w:hint="eastAsia"/>
                      <w:sz w:val="21"/>
                      <w:szCs w:val="21"/>
                    </w:rPr>
                    <w:t>沥青混凝土生产区、</w:t>
                  </w:r>
                  <w:r>
                    <w:rPr>
                      <w:rFonts w:hint="eastAsia"/>
                      <w:kern w:val="0"/>
                      <w:sz w:val="21"/>
                      <w:szCs w:val="21"/>
                      <w:lang w:bidi="ar"/>
                    </w:rPr>
                    <w:t>料仓、预制场、钢筋加工厂、实验室、一般固废仓库、</w:t>
                  </w:r>
                  <w:r>
                    <w:rPr>
                      <w:rFonts w:hint="eastAsia"/>
                      <w:sz w:val="21"/>
                      <w:szCs w:val="21"/>
                    </w:rPr>
                    <w:t>蓄水池</w:t>
                  </w:r>
                  <w:r>
                    <w:rPr>
                      <w:rFonts w:hint="eastAsia"/>
                      <w:kern w:val="0"/>
                      <w:sz w:val="21"/>
                      <w:szCs w:val="21"/>
                      <w:lang w:bidi="ar"/>
                    </w:rPr>
                    <w:t>和沉淀池设置为一般防渗区</w:t>
                  </w:r>
                </w:p>
              </w:tc>
              <w:tc>
                <w:tcPr>
                  <w:tcW w:w="1349" w:type="pct"/>
                  <w:shd w:val="clear" w:color="auto" w:fill="auto"/>
                  <w:vAlign w:val="center"/>
                </w:tcPr>
                <w:p w14:paraId="417344C5">
                  <w:pPr>
                    <w:jc w:val="center"/>
                    <w:rPr>
                      <w:sz w:val="21"/>
                      <w:szCs w:val="21"/>
                    </w:rPr>
                  </w:pPr>
                  <w:r>
                    <w:rPr>
                      <w:sz w:val="21"/>
                      <w:szCs w:val="21"/>
                    </w:rPr>
                    <w:t>拟建</w:t>
                  </w:r>
                </w:p>
              </w:tc>
            </w:tr>
          </w:tbl>
          <w:p w14:paraId="046897CC">
            <w:pPr>
              <w:spacing w:line="460" w:lineRule="exact"/>
              <w:ind w:firstLine="482" w:firstLineChars="200"/>
              <w:rPr>
                <w:b/>
                <w:bCs/>
              </w:rPr>
            </w:pPr>
            <w:r>
              <w:rPr>
                <w:b/>
                <w:bCs/>
              </w:rPr>
              <w:t>3、项目生产设备</w:t>
            </w:r>
          </w:p>
          <w:p w14:paraId="3B9425AE">
            <w:pPr>
              <w:pStyle w:val="76"/>
              <w:ind w:firstLine="420"/>
              <w:rPr>
                <w:color w:val="auto"/>
              </w:rPr>
            </w:pPr>
            <w:r>
              <w:rPr>
                <w:color w:val="auto"/>
              </w:rPr>
              <w:t>表2-2                      项目主要设备清单一览表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412"/>
              <w:gridCol w:w="2450"/>
              <w:gridCol w:w="1934"/>
              <w:gridCol w:w="694"/>
            </w:tblGrid>
            <w:tr w14:paraId="448A24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D76635F">
                  <w:pPr>
                    <w:pStyle w:val="69"/>
                  </w:pPr>
                  <w:r>
                    <w:t>序号</w:t>
                  </w:r>
                </w:p>
              </w:tc>
              <w:tc>
                <w:tcPr>
                  <w:tcW w:w="2971" w:type="pct"/>
                  <w:gridSpan w:val="2"/>
                  <w:shd w:val="clear" w:color="auto" w:fill="auto"/>
                  <w:vAlign w:val="center"/>
                </w:tcPr>
                <w:p w14:paraId="01CF0137">
                  <w:pPr>
                    <w:pStyle w:val="69"/>
                  </w:pPr>
                  <w:r>
                    <w:t>设备名称</w:t>
                  </w:r>
                </w:p>
              </w:tc>
              <w:tc>
                <w:tcPr>
                  <w:tcW w:w="1182" w:type="pct"/>
                  <w:shd w:val="clear" w:color="auto" w:fill="auto"/>
                  <w:vAlign w:val="center"/>
                </w:tcPr>
                <w:p w14:paraId="7D6E5C51">
                  <w:pPr>
                    <w:pStyle w:val="69"/>
                  </w:pPr>
                  <w:r>
                    <w:t>型号、性能参数</w:t>
                  </w:r>
                </w:p>
              </w:tc>
              <w:tc>
                <w:tcPr>
                  <w:tcW w:w="424" w:type="pct"/>
                  <w:shd w:val="clear" w:color="auto" w:fill="auto"/>
                  <w:vAlign w:val="center"/>
                </w:tcPr>
                <w:p w14:paraId="0DD87842">
                  <w:pPr>
                    <w:pStyle w:val="69"/>
                  </w:pPr>
                  <w:r>
                    <w:t>数量</w:t>
                  </w:r>
                </w:p>
              </w:tc>
            </w:tr>
            <w:tr w14:paraId="72C00E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shd w:val="clear" w:color="auto" w:fill="auto"/>
                  <w:vAlign w:val="center"/>
                </w:tcPr>
                <w:p w14:paraId="02A799B3">
                  <w:pPr>
                    <w:pStyle w:val="69"/>
                  </w:pPr>
                  <w:r>
                    <w:t>水泥稳定土生产线</w:t>
                  </w:r>
                </w:p>
              </w:tc>
            </w:tr>
            <w:tr w14:paraId="40D88B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D090B44">
                  <w:pPr>
                    <w:pStyle w:val="69"/>
                  </w:pPr>
                  <w:r>
                    <w:t>1</w:t>
                  </w:r>
                </w:p>
              </w:tc>
              <w:tc>
                <w:tcPr>
                  <w:tcW w:w="1474" w:type="pct"/>
                  <w:shd w:val="clear" w:color="auto" w:fill="auto"/>
                  <w:vAlign w:val="center"/>
                </w:tcPr>
                <w:p w14:paraId="6F01FB9A">
                  <w:pPr>
                    <w:pStyle w:val="69"/>
                  </w:pPr>
                  <w:r>
                    <w:t>骨料配料供给系统</w:t>
                  </w:r>
                </w:p>
              </w:tc>
              <w:tc>
                <w:tcPr>
                  <w:tcW w:w="1497" w:type="pct"/>
                  <w:shd w:val="clear" w:color="auto" w:fill="auto"/>
                  <w:vAlign w:val="center"/>
                </w:tcPr>
                <w:p w14:paraId="3A1E4339">
                  <w:pPr>
                    <w:pStyle w:val="69"/>
                  </w:pPr>
                  <w:r>
                    <w:t>骨料斗、调速皮带秤、水平皮带机</w:t>
                  </w:r>
                </w:p>
              </w:tc>
              <w:tc>
                <w:tcPr>
                  <w:tcW w:w="1182" w:type="pct"/>
                  <w:vMerge w:val="restart"/>
                  <w:shd w:val="clear" w:color="auto" w:fill="auto"/>
                  <w:vAlign w:val="center"/>
                </w:tcPr>
                <w:p w14:paraId="3605BA59">
                  <w:pPr>
                    <w:pStyle w:val="69"/>
                  </w:pPr>
                  <w:r>
                    <w:t>盛达800型水稳拌合站</w:t>
                  </w:r>
                </w:p>
              </w:tc>
              <w:tc>
                <w:tcPr>
                  <w:tcW w:w="424" w:type="pct"/>
                  <w:vMerge w:val="restart"/>
                  <w:shd w:val="clear" w:color="auto" w:fill="auto"/>
                  <w:vAlign w:val="center"/>
                </w:tcPr>
                <w:p w14:paraId="14CABD9A">
                  <w:pPr>
                    <w:pStyle w:val="69"/>
                  </w:pPr>
                  <w:r>
                    <w:t>2套</w:t>
                  </w:r>
                </w:p>
              </w:tc>
            </w:tr>
            <w:tr w14:paraId="3C4E4E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E6E4217">
                  <w:pPr>
                    <w:pStyle w:val="69"/>
                  </w:pPr>
                  <w:r>
                    <w:t>2</w:t>
                  </w:r>
                </w:p>
              </w:tc>
              <w:tc>
                <w:tcPr>
                  <w:tcW w:w="1474" w:type="pct"/>
                  <w:shd w:val="clear" w:color="auto" w:fill="auto"/>
                  <w:vAlign w:val="center"/>
                </w:tcPr>
                <w:p w14:paraId="76EA4A16">
                  <w:pPr>
                    <w:pStyle w:val="69"/>
                  </w:pPr>
                  <w:r>
                    <w:t>粉料供给系统</w:t>
                  </w:r>
                </w:p>
              </w:tc>
              <w:tc>
                <w:tcPr>
                  <w:tcW w:w="1497" w:type="pct"/>
                  <w:shd w:val="clear" w:color="auto" w:fill="auto"/>
                  <w:vAlign w:val="center"/>
                </w:tcPr>
                <w:p w14:paraId="1529371D">
                  <w:pPr>
                    <w:pStyle w:val="69"/>
                  </w:pPr>
                  <w:r>
                    <w:t>粉料仓、叶轮给料机、螺旋输送机</w:t>
                  </w:r>
                </w:p>
              </w:tc>
              <w:tc>
                <w:tcPr>
                  <w:tcW w:w="1182" w:type="pct"/>
                  <w:vMerge w:val="continue"/>
                  <w:shd w:val="clear" w:color="auto" w:fill="auto"/>
                  <w:vAlign w:val="center"/>
                </w:tcPr>
                <w:p w14:paraId="69341698">
                  <w:pPr>
                    <w:pStyle w:val="69"/>
                  </w:pPr>
                </w:p>
              </w:tc>
              <w:tc>
                <w:tcPr>
                  <w:tcW w:w="424" w:type="pct"/>
                  <w:vMerge w:val="continue"/>
                  <w:shd w:val="clear" w:color="auto" w:fill="auto"/>
                  <w:vAlign w:val="center"/>
                </w:tcPr>
                <w:p w14:paraId="0E53B4DE">
                  <w:pPr>
                    <w:pStyle w:val="69"/>
                  </w:pPr>
                </w:p>
              </w:tc>
            </w:tr>
            <w:tr w14:paraId="72C03F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325E0D6">
                  <w:pPr>
                    <w:pStyle w:val="69"/>
                  </w:pPr>
                  <w:r>
                    <w:t>3</w:t>
                  </w:r>
                </w:p>
              </w:tc>
              <w:tc>
                <w:tcPr>
                  <w:tcW w:w="1474" w:type="pct"/>
                  <w:shd w:val="clear" w:color="auto" w:fill="auto"/>
                  <w:vAlign w:val="center"/>
                </w:tcPr>
                <w:p w14:paraId="7F2F39E5">
                  <w:pPr>
                    <w:pStyle w:val="69"/>
                  </w:pPr>
                  <w:r>
                    <w:t>供水系统</w:t>
                  </w:r>
                </w:p>
              </w:tc>
              <w:tc>
                <w:tcPr>
                  <w:tcW w:w="1497" w:type="pct"/>
                  <w:shd w:val="clear" w:color="auto" w:fill="auto"/>
                  <w:vAlign w:val="center"/>
                </w:tcPr>
                <w:p w14:paraId="51CD0352">
                  <w:pPr>
                    <w:pStyle w:val="69"/>
                  </w:pPr>
                  <w:r>
                    <w:t>水箱、水泵、喷水器</w:t>
                  </w:r>
                </w:p>
              </w:tc>
              <w:tc>
                <w:tcPr>
                  <w:tcW w:w="1182" w:type="pct"/>
                  <w:vMerge w:val="continue"/>
                  <w:shd w:val="clear" w:color="auto" w:fill="auto"/>
                  <w:vAlign w:val="center"/>
                </w:tcPr>
                <w:p w14:paraId="410547D1">
                  <w:pPr>
                    <w:pStyle w:val="69"/>
                  </w:pPr>
                </w:p>
              </w:tc>
              <w:tc>
                <w:tcPr>
                  <w:tcW w:w="424" w:type="pct"/>
                  <w:vMerge w:val="continue"/>
                  <w:shd w:val="clear" w:color="auto" w:fill="auto"/>
                  <w:vAlign w:val="center"/>
                </w:tcPr>
                <w:p w14:paraId="02A0ED67">
                  <w:pPr>
                    <w:pStyle w:val="69"/>
                  </w:pPr>
                </w:p>
              </w:tc>
            </w:tr>
            <w:tr w14:paraId="562695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43F4C6F">
                  <w:pPr>
                    <w:pStyle w:val="69"/>
                  </w:pPr>
                  <w:r>
                    <w:t>4</w:t>
                  </w:r>
                </w:p>
              </w:tc>
              <w:tc>
                <w:tcPr>
                  <w:tcW w:w="1474" w:type="pct"/>
                  <w:shd w:val="clear" w:color="auto" w:fill="auto"/>
                  <w:vAlign w:val="center"/>
                </w:tcPr>
                <w:p w14:paraId="1B641B2A">
                  <w:pPr>
                    <w:pStyle w:val="69"/>
                  </w:pPr>
                  <w:r>
                    <w:t>搅拌装置</w:t>
                  </w:r>
                </w:p>
              </w:tc>
              <w:tc>
                <w:tcPr>
                  <w:tcW w:w="1497" w:type="pct"/>
                  <w:shd w:val="clear" w:color="auto" w:fill="auto"/>
                  <w:vAlign w:val="center"/>
                </w:tcPr>
                <w:p w14:paraId="6A72CFC1">
                  <w:pPr>
                    <w:pStyle w:val="69"/>
                  </w:pPr>
                  <w:r>
                    <w:t>双卧轴搅拌机</w:t>
                  </w:r>
                </w:p>
              </w:tc>
              <w:tc>
                <w:tcPr>
                  <w:tcW w:w="1182" w:type="pct"/>
                  <w:vMerge w:val="continue"/>
                  <w:shd w:val="clear" w:color="auto" w:fill="auto"/>
                  <w:vAlign w:val="center"/>
                </w:tcPr>
                <w:p w14:paraId="5199137A">
                  <w:pPr>
                    <w:pStyle w:val="69"/>
                  </w:pPr>
                </w:p>
              </w:tc>
              <w:tc>
                <w:tcPr>
                  <w:tcW w:w="424" w:type="pct"/>
                  <w:vMerge w:val="continue"/>
                  <w:shd w:val="clear" w:color="auto" w:fill="auto"/>
                  <w:vAlign w:val="center"/>
                </w:tcPr>
                <w:p w14:paraId="788D0C87">
                  <w:pPr>
                    <w:pStyle w:val="69"/>
                  </w:pPr>
                </w:p>
              </w:tc>
            </w:tr>
            <w:tr w14:paraId="514687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14BA039">
                  <w:pPr>
                    <w:pStyle w:val="69"/>
                  </w:pPr>
                  <w:r>
                    <w:t>5</w:t>
                  </w:r>
                </w:p>
              </w:tc>
              <w:tc>
                <w:tcPr>
                  <w:tcW w:w="1474" w:type="pct"/>
                  <w:shd w:val="clear" w:color="auto" w:fill="auto"/>
                  <w:vAlign w:val="center"/>
                </w:tcPr>
                <w:p w14:paraId="6D4E6A65">
                  <w:pPr>
                    <w:pStyle w:val="69"/>
                  </w:pPr>
                  <w:r>
                    <w:t>水泥</w:t>
                  </w:r>
                  <w:r>
                    <w:rPr>
                      <w:rFonts w:hint="eastAsia"/>
                    </w:rPr>
                    <w:t>筒仓</w:t>
                  </w:r>
                </w:p>
              </w:tc>
              <w:tc>
                <w:tcPr>
                  <w:tcW w:w="1497" w:type="pct"/>
                  <w:shd w:val="clear" w:color="auto" w:fill="auto"/>
                  <w:vAlign w:val="center"/>
                </w:tcPr>
                <w:p w14:paraId="74548DAA">
                  <w:pPr>
                    <w:pStyle w:val="69"/>
                  </w:pPr>
                  <w:r>
                    <w:t>储量为100t/个</w:t>
                  </w:r>
                </w:p>
              </w:tc>
              <w:tc>
                <w:tcPr>
                  <w:tcW w:w="1182" w:type="pct"/>
                  <w:vMerge w:val="continue"/>
                  <w:shd w:val="clear" w:color="auto" w:fill="auto"/>
                  <w:vAlign w:val="center"/>
                </w:tcPr>
                <w:p w14:paraId="6ACB9F07">
                  <w:pPr>
                    <w:pStyle w:val="69"/>
                  </w:pPr>
                </w:p>
              </w:tc>
              <w:tc>
                <w:tcPr>
                  <w:tcW w:w="424" w:type="pct"/>
                  <w:shd w:val="clear" w:color="auto" w:fill="auto"/>
                  <w:vAlign w:val="center"/>
                </w:tcPr>
                <w:p w14:paraId="20A0BB84">
                  <w:pPr>
                    <w:pStyle w:val="69"/>
                  </w:pPr>
                  <w:r>
                    <w:t>4个</w:t>
                  </w:r>
                </w:p>
              </w:tc>
            </w:tr>
            <w:tr w14:paraId="6E4987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B7DE3C">
                  <w:pPr>
                    <w:pStyle w:val="69"/>
                  </w:pPr>
                  <w:r>
                    <w:t>6</w:t>
                  </w:r>
                </w:p>
              </w:tc>
              <w:tc>
                <w:tcPr>
                  <w:tcW w:w="1474" w:type="pct"/>
                  <w:shd w:val="clear" w:color="auto" w:fill="auto"/>
                  <w:vAlign w:val="center"/>
                </w:tcPr>
                <w:p w14:paraId="3DD5557A">
                  <w:pPr>
                    <w:pStyle w:val="69"/>
                  </w:pPr>
                  <w:r>
                    <w:t>粉煤灰</w:t>
                  </w:r>
                  <w:r>
                    <w:rPr>
                      <w:rFonts w:hint="eastAsia"/>
                    </w:rPr>
                    <w:t>筒仓</w:t>
                  </w:r>
                </w:p>
              </w:tc>
              <w:tc>
                <w:tcPr>
                  <w:tcW w:w="1497" w:type="pct"/>
                  <w:shd w:val="clear" w:color="auto" w:fill="auto"/>
                  <w:vAlign w:val="center"/>
                </w:tcPr>
                <w:p w14:paraId="3C3CED35">
                  <w:pPr>
                    <w:pStyle w:val="69"/>
                  </w:pPr>
                  <w:r>
                    <w:t>储量为80t/个</w:t>
                  </w:r>
                </w:p>
              </w:tc>
              <w:tc>
                <w:tcPr>
                  <w:tcW w:w="1182" w:type="pct"/>
                  <w:vMerge w:val="continue"/>
                  <w:shd w:val="clear" w:color="auto" w:fill="auto"/>
                  <w:vAlign w:val="center"/>
                </w:tcPr>
                <w:p w14:paraId="0864D376">
                  <w:pPr>
                    <w:pStyle w:val="69"/>
                  </w:pPr>
                </w:p>
              </w:tc>
              <w:tc>
                <w:tcPr>
                  <w:tcW w:w="424" w:type="pct"/>
                  <w:shd w:val="clear" w:color="auto" w:fill="auto"/>
                  <w:vAlign w:val="center"/>
                </w:tcPr>
                <w:p w14:paraId="1F111B1A">
                  <w:pPr>
                    <w:pStyle w:val="69"/>
                  </w:pPr>
                  <w:r>
                    <w:t>4个</w:t>
                  </w:r>
                </w:p>
              </w:tc>
            </w:tr>
            <w:tr w14:paraId="7F9AF6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5F2E30F">
                  <w:pPr>
                    <w:pStyle w:val="69"/>
                  </w:pPr>
                  <w:r>
                    <w:t>7</w:t>
                  </w:r>
                </w:p>
              </w:tc>
              <w:tc>
                <w:tcPr>
                  <w:tcW w:w="2971" w:type="pct"/>
                  <w:gridSpan w:val="2"/>
                  <w:shd w:val="clear" w:color="auto" w:fill="auto"/>
                  <w:vAlign w:val="center"/>
                </w:tcPr>
                <w:p w14:paraId="21FD6A87">
                  <w:pPr>
                    <w:pStyle w:val="69"/>
                  </w:pPr>
                  <w:r>
                    <w:t>控制系统</w:t>
                  </w:r>
                </w:p>
              </w:tc>
              <w:tc>
                <w:tcPr>
                  <w:tcW w:w="1182" w:type="pct"/>
                  <w:vMerge w:val="continue"/>
                  <w:shd w:val="clear" w:color="auto" w:fill="auto"/>
                  <w:vAlign w:val="center"/>
                </w:tcPr>
                <w:p w14:paraId="11EC79BD">
                  <w:pPr>
                    <w:pStyle w:val="69"/>
                  </w:pPr>
                </w:p>
              </w:tc>
              <w:tc>
                <w:tcPr>
                  <w:tcW w:w="424" w:type="pct"/>
                  <w:shd w:val="clear" w:color="auto" w:fill="auto"/>
                  <w:vAlign w:val="center"/>
                </w:tcPr>
                <w:p w14:paraId="38070015">
                  <w:pPr>
                    <w:pStyle w:val="69"/>
                  </w:pPr>
                  <w:r>
                    <w:t>1套</w:t>
                  </w:r>
                </w:p>
              </w:tc>
            </w:tr>
            <w:tr w14:paraId="6F664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8FE154E">
                  <w:pPr>
                    <w:pStyle w:val="69"/>
                  </w:pPr>
                  <w:r>
                    <w:rPr>
                      <w:rFonts w:hint="eastAsia"/>
                    </w:rPr>
                    <w:t>8</w:t>
                  </w:r>
                </w:p>
              </w:tc>
              <w:tc>
                <w:tcPr>
                  <w:tcW w:w="2971" w:type="pct"/>
                  <w:gridSpan w:val="2"/>
                  <w:shd w:val="clear" w:color="auto" w:fill="auto"/>
                  <w:vAlign w:val="center"/>
                </w:tcPr>
                <w:p w14:paraId="26843631">
                  <w:pPr>
                    <w:pStyle w:val="69"/>
                  </w:pPr>
                  <w:r>
                    <w:rPr>
                      <w:rFonts w:hint="eastAsia"/>
                    </w:rPr>
                    <w:t>袋式除尘器</w:t>
                  </w:r>
                </w:p>
              </w:tc>
              <w:tc>
                <w:tcPr>
                  <w:tcW w:w="1182" w:type="pct"/>
                  <w:shd w:val="clear" w:color="auto" w:fill="auto"/>
                  <w:vAlign w:val="center"/>
                </w:tcPr>
                <w:p w14:paraId="391FBC02">
                  <w:pPr>
                    <w:pStyle w:val="69"/>
                  </w:pPr>
                  <w:r>
                    <w:rPr>
                      <w:rFonts w:hint="eastAsia"/>
                    </w:rPr>
                    <w:t>/</w:t>
                  </w:r>
                </w:p>
              </w:tc>
              <w:tc>
                <w:tcPr>
                  <w:tcW w:w="424" w:type="pct"/>
                  <w:shd w:val="clear" w:color="auto" w:fill="auto"/>
                  <w:vAlign w:val="center"/>
                </w:tcPr>
                <w:p w14:paraId="117C7A23">
                  <w:pPr>
                    <w:pStyle w:val="69"/>
                  </w:pPr>
                  <w:r>
                    <w:rPr>
                      <w:rFonts w:hint="eastAsia"/>
                    </w:rPr>
                    <w:t>1套</w:t>
                  </w:r>
                </w:p>
              </w:tc>
            </w:tr>
            <w:tr w14:paraId="5E0928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shd w:val="clear" w:color="auto" w:fill="auto"/>
                  <w:vAlign w:val="center"/>
                </w:tcPr>
                <w:p w14:paraId="76FCDF23">
                  <w:pPr>
                    <w:pStyle w:val="69"/>
                  </w:pPr>
                  <w:r>
                    <w:t>沥青混凝土生产线</w:t>
                  </w:r>
                </w:p>
              </w:tc>
            </w:tr>
            <w:tr w14:paraId="208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06CD193">
                  <w:pPr>
                    <w:pStyle w:val="69"/>
                  </w:pPr>
                  <w:r>
                    <w:t>1</w:t>
                  </w:r>
                </w:p>
              </w:tc>
              <w:tc>
                <w:tcPr>
                  <w:tcW w:w="1474" w:type="pct"/>
                  <w:shd w:val="clear" w:color="auto" w:fill="auto"/>
                  <w:vAlign w:val="center"/>
                </w:tcPr>
                <w:p w14:paraId="09B0B1FF">
                  <w:pPr>
                    <w:pStyle w:val="69"/>
                  </w:pPr>
                  <w:r>
                    <w:t>冷料供给系统</w:t>
                  </w:r>
                </w:p>
              </w:tc>
              <w:tc>
                <w:tcPr>
                  <w:tcW w:w="1497" w:type="pct"/>
                  <w:shd w:val="clear" w:color="auto" w:fill="auto"/>
                  <w:vAlign w:val="center"/>
                </w:tcPr>
                <w:p w14:paraId="5AA942F3">
                  <w:pPr>
                    <w:pStyle w:val="69"/>
                  </w:pPr>
                  <w:r>
                    <w:t>料斗、皮带输送机、给料机</w:t>
                  </w:r>
                </w:p>
              </w:tc>
              <w:tc>
                <w:tcPr>
                  <w:tcW w:w="1182" w:type="pct"/>
                  <w:vMerge w:val="restart"/>
                  <w:shd w:val="clear" w:color="auto" w:fill="auto"/>
                  <w:vAlign w:val="center"/>
                </w:tcPr>
                <w:p w14:paraId="2A7A50C6">
                  <w:pPr>
                    <w:pStyle w:val="69"/>
                  </w:pPr>
                  <w:r>
                    <w:t>日工3000型</w:t>
                  </w:r>
                </w:p>
              </w:tc>
              <w:tc>
                <w:tcPr>
                  <w:tcW w:w="424" w:type="pct"/>
                  <w:vMerge w:val="restart"/>
                  <w:shd w:val="clear" w:color="auto" w:fill="auto"/>
                  <w:vAlign w:val="center"/>
                </w:tcPr>
                <w:p w14:paraId="3179965F">
                  <w:pPr>
                    <w:pStyle w:val="69"/>
                  </w:pPr>
                  <w:r>
                    <w:t>1套</w:t>
                  </w:r>
                </w:p>
              </w:tc>
            </w:tr>
            <w:tr w14:paraId="361EA8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B0BE4AC">
                  <w:pPr>
                    <w:pStyle w:val="69"/>
                  </w:pPr>
                  <w:r>
                    <w:t>2</w:t>
                  </w:r>
                </w:p>
              </w:tc>
              <w:tc>
                <w:tcPr>
                  <w:tcW w:w="1474" w:type="pct"/>
                  <w:shd w:val="clear" w:color="auto" w:fill="auto"/>
                  <w:vAlign w:val="center"/>
                </w:tcPr>
                <w:p w14:paraId="12509213">
                  <w:pPr>
                    <w:pStyle w:val="69"/>
                  </w:pPr>
                  <w:r>
                    <w:t>骨料烘干加热系统</w:t>
                  </w:r>
                </w:p>
              </w:tc>
              <w:tc>
                <w:tcPr>
                  <w:tcW w:w="1497" w:type="pct"/>
                  <w:shd w:val="clear" w:color="auto" w:fill="auto"/>
                  <w:vAlign w:val="center"/>
                </w:tcPr>
                <w:p w14:paraId="3800927C">
                  <w:pPr>
                    <w:pStyle w:val="69"/>
                  </w:pPr>
                  <w:r>
                    <w:t>干燥滚筒、主燃烧器、</w:t>
                  </w:r>
                  <w:r>
                    <w:rPr>
                      <w:rFonts w:hint="eastAsia"/>
                    </w:rPr>
                    <w:t>2个18立方米醇醚罐</w:t>
                  </w:r>
                </w:p>
              </w:tc>
              <w:tc>
                <w:tcPr>
                  <w:tcW w:w="1182" w:type="pct"/>
                  <w:vMerge w:val="continue"/>
                  <w:shd w:val="clear" w:color="auto" w:fill="auto"/>
                  <w:vAlign w:val="center"/>
                </w:tcPr>
                <w:p w14:paraId="09005FA4">
                  <w:pPr>
                    <w:pStyle w:val="69"/>
                  </w:pPr>
                </w:p>
              </w:tc>
              <w:tc>
                <w:tcPr>
                  <w:tcW w:w="424" w:type="pct"/>
                  <w:vMerge w:val="continue"/>
                  <w:shd w:val="clear" w:color="auto" w:fill="auto"/>
                  <w:vAlign w:val="center"/>
                </w:tcPr>
                <w:p w14:paraId="6E61B9B8">
                  <w:pPr>
                    <w:pStyle w:val="69"/>
                  </w:pPr>
                </w:p>
              </w:tc>
            </w:tr>
            <w:tr w14:paraId="6EF6D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1445BB3">
                  <w:pPr>
                    <w:pStyle w:val="69"/>
                  </w:pPr>
                  <w:r>
                    <w:t>3</w:t>
                  </w:r>
                </w:p>
              </w:tc>
              <w:tc>
                <w:tcPr>
                  <w:tcW w:w="1474" w:type="pct"/>
                  <w:shd w:val="clear" w:color="auto" w:fill="auto"/>
                  <w:vAlign w:val="center"/>
                </w:tcPr>
                <w:p w14:paraId="467ED1AC">
                  <w:pPr>
                    <w:pStyle w:val="69"/>
                  </w:pPr>
                  <w:r>
                    <w:t>筛分、计量及拌合系统</w:t>
                  </w:r>
                </w:p>
              </w:tc>
              <w:tc>
                <w:tcPr>
                  <w:tcW w:w="1497" w:type="pct"/>
                  <w:shd w:val="clear" w:color="auto" w:fill="auto"/>
                  <w:vAlign w:val="center"/>
                </w:tcPr>
                <w:p w14:paraId="0A3E7FB1">
                  <w:pPr>
                    <w:pStyle w:val="69"/>
                  </w:pPr>
                  <w:r>
                    <w:t>骨料提升机、振动筛、骨料仓、计量称、搅拌缸</w:t>
                  </w:r>
                </w:p>
              </w:tc>
              <w:tc>
                <w:tcPr>
                  <w:tcW w:w="1182" w:type="pct"/>
                  <w:vMerge w:val="continue"/>
                  <w:shd w:val="clear" w:color="auto" w:fill="auto"/>
                  <w:vAlign w:val="center"/>
                </w:tcPr>
                <w:p w14:paraId="1AB5525D">
                  <w:pPr>
                    <w:pStyle w:val="69"/>
                  </w:pPr>
                </w:p>
              </w:tc>
              <w:tc>
                <w:tcPr>
                  <w:tcW w:w="424" w:type="pct"/>
                  <w:vMerge w:val="continue"/>
                  <w:shd w:val="clear" w:color="auto" w:fill="auto"/>
                  <w:vAlign w:val="center"/>
                </w:tcPr>
                <w:p w14:paraId="392581F1">
                  <w:pPr>
                    <w:pStyle w:val="69"/>
                  </w:pPr>
                </w:p>
              </w:tc>
            </w:tr>
            <w:tr w14:paraId="66C11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DC8F74E">
                  <w:pPr>
                    <w:pStyle w:val="69"/>
                  </w:pPr>
                  <w:r>
                    <w:t>4</w:t>
                  </w:r>
                </w:p>
              </w:tc>
              <w:tc>
                <w:tcPr>
                  <w:tcW w:w="1474" w:type="pct"/>
                  <w:shd w:val="clear" w:color="auto" w:fill="auto"/>
                  <w:vAlign w:val="center"/>
                </w:tcPr>
                <w:p w14:paraId="71C42DF2">
                  <w:pPr>
                    <w:pStyle w:val="69"/>
                  </w:pPr>
                  <w:r>
                    <w:t>粉料供给系统</w:t>
                  </w:r>
                </w:p>
              </w:tc>
              <w:tc>
                <w:tcPr>
                  <w:tcW w:w="1497" w:type="pct"/>
                  <w:shd w:val="clear" w:color="auto" w:fill="auto"/>
                  <w:vAlign w:val="center"/>
                </w:tcPr>
                <w:p w14:paraId="0E23891D">
                  <w:pPr>
                    <w:pStyle w:val="69"/>
                  </w:pPr>
                  <w:r>
                    <w:t>粉料仓、回收粉仓</w:t>
                  </w:r>
                </w:p>
              </w:tc>
              <w:tc>
                <w:tcPr>
                  <w:tcW w:w="1182" w:type="pct"/>
                  <w:vMerge w:val="continue"/>
                  <w:shd w:val="clear" w:color="auto" w:fill="auto"/>
                  <w:vAlign w:val="center"/>
                </w:tcPr>
                <w:p w14:paraId="044FDC1B">
                  <w:pPr>
                    <w:pStyle w:val="69"/>
                  </w:pPr>
                </w:p>
              </w:tc>
              <w:tc>
                <w:tcPr>
                  <w:tcW w:w="424" w:type="pct"/>
                  <w:vMerge w:val="continue"/>
                  <w:shd w:val="clear" w:color="auto" w:fill="auto"/>
                  <w:vAlign w:val="center"/>
                </w:tcPr>
                <w:p w14:paraId="06BB9EA0">
                  <w:pPr>
                    <w:pStyle w:val="69"/>
                  </w:pPr>
                </w:p>
              </w:tc>
            </w:tr>
            <w:tr w14:paraId="1B10D5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89E06AC">
                  <w:pPr>
                    <w:pStyle w:val="69"/>
                  </w:pPr>
                  <w:r>
                    <w:t>5</w:t>
                  </w:r>
                </w:p>
              </w:tc>
              <w:tc>
                <w:tcPr>
                  <w:tcW w:w="1474" w:type="pct"/>
                  <w:shd w:val="clear" w:color="auto" w:fill="auto"/>
                  <w:vAlign w:val="center"/>
                </w:tcPr>
                <w:p w14:paraId="0172A9C3">
                  <w:pPr>
                    <w:pStyle w:val="69"/>
                  </w:pPr>
                  <w:r>
                    <w:t>沥青供给及加热系统</w:t>
                  </w:r>
                </w:p>
              </w:tc>
              <w:tc>
                <w:tcPr>
                  <w:tcW w:w="1497" w:type="pct"/>
                  <w:shd w:val="clear" w:color="auto" w:fill="auto"/>
                  <w:vAlign w:val="center"/>
                </w:tcPr>
                <w:p w14:paraId="26E756F0">
                  <w:pPr>
                    <w:pStyle w:val="69"/>
                  </w:pPr>
                  <w:r>
                    <w:t>保温沥青罐、沥青循环泵、导热油加热炉</w:t>
                  </w:r>
                  <w:r>
                    <w:rPr>
                      <w:rFonts w:hint="eastAsia"/>
                    </w:rPr>
                    <w:t>8</w:t>
                  </w:r>
                  <w:r>
                    <w:t>0kw</w:t>
                  </w:r>
                </w:p>
              </w:tc>
              <w:tc>
                <w:tcPr>
                  <w:tcW w:w="1182" w:type="pct"/>
                  <w:vMerge w:val="continue"/>
                  <w:shd w:val="clear" w:color="auto" w:fill="auto"/>
                  <w:vAlign w:val="center"/>
                </w:tcPr>
                <w:p w14:paraId="13FEF867">
                  <w:pPr>
                    <w:pStyle w:val="69"/>
                  </w:pPr>
                </w:p>
              </w:tc>
              <w:tc>
                <w:tcPr>
                  <w:tcW w:w="424" w:type="pct"/>
                  <w:vMerge w:val="continue"/>
                  <w:shd w:val="clear" w:color="auto" w:fill="auto"/>
                  <w:vAlign w:val="center"/>
                </w:tcPr>
                <w:p w14:paraId="378C43C6">
                  <w:pPr>
                    <w:pStyle w:val="69"/>
                  </w:pPr>
                </w:p>
              </w:tc>
            </w:tr>
            <w:tr w14:paraId="746469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FDCDFC1">
                  <w:pPr>
                    <w:pStyle w:val="69"/>
                  </w:pPr>
                  <w:r>
                    <w:t>6</w:t>
                  </w:r>
                </w:p>
              </w:tc>
              <w:tc>
                <w:tcPr>
                  <w:tcW w:w="1474" w:type="pct"/>
                  <w:shd w:val="clear" w:color="auto" w:fill="auto"/>
                  <w:vAlign w:val="center"/>
                </w:tcPr>
                <w:p w14:paraId="0780DA0A">
                  <w:pPr>
                    <w:pStyle w:val="69"/>
                  </w:pPr>
                  <w:r>
                    <w:t>启动系统</w:t>
                  </w:r>
                </w:p>
              </w:tc>
              <w:tc>
                <w:tcPr>
                  <w:tcW w:w="1497" w:type="pct"/>
                  <w:shd w:val="clear" w:color="auto" w:fill="auto"/>
                  <w:vAlign w:val="center"/>
                </w:tcPr>
                <w:p w14:paraId="75396CE6">
                  <w:pPr>
                    <w:pStyle w:val="69"/>
                  </w:pPr>
                  <w:r>
                    <w:t>螺杆式空压机、储气罐、气缸及其他气动元件</w:t>
                  </w:r>
                </w:p>
              </w:tc>
              <w:tc>
                <w:tcPr>
                  <w:tcW w:w="1182" w:type="pct"/>
                  <w:vMerge w:val="continue"/>
                  <w:shd w:val="clear" w:color="auto" w:fill="auto"/>
                  <w:vAlign w:val="center"/>
                </w:tcPr>
                <w:p w14:paraId="3713A765">
                  <w:pPr>
                    <w:pStyle w:val="69"/>
                  </w:pPr>
                </w:p>
              </w:tc>
              <w:tc>
                <w:tcPr>
                  <w:tcW w:w="424" w:type="pct"/>
                  <w:vMerge w:val="continue"/>
                  <w:shd w:val="clear" w:color="auto" w:fill="auto"/>
                  <w:vAlign w:val="center"/>
                </w:tcPr>
                <w:p w14:paraId="0809A0A4">
                  <w:pPr>
                    <w:pStyle w:val="69"/>
                  </w:pPr>
                </w:p>
              </w:tc>
            </w:tr>
            <w:tr w14:paraId="166C9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B4270B7">
                  <w:pPr>
                    <w:pStyle w:val="69"/>
                  </w:pPr>
                  <w:r>
                    <w:t>7</w:t>
                  </w:r>
                </w:p>
              </w:tc>
              <w:tc>
                <w:tcPr>
                  <w:tcW w:w="1474" w:type="pct"/>
                  <w:shd w:val="clear" w:color="auto" w:fill="auto"/>
                  <w:vAlign w:val="center"/>
                </w:tcPr>
                <w:p w14:paraId="4EEAEEAD">
                  <w:pPr>
                    <w:pStyle w:val="69"/>
                  </w:pPr>
                  <w:r>
                    <w:t>除尘系统</w:t>
                  </w:r>
                </w:p>
              </w:tc>
              <w:tc>
                <w:tcPr>
                  <w:tcW w:w="1497" w:type="pct"/>
                  <w:shd w:val="clear" w:color="auto" w:fill="auto"/>
                  <w:vAlign w:val="center"/>
                </w:tcPr>
                <w:p w14:paraId="25D346A7">
                  <w:pPr>
                    <w:pStyle w:val="69"/>
                  </w:pPr>
                  <w:r>
                    <w:t>袋式除尘器</w:t>
                  </w:r>
                </w:p>
              </w:tc>
              <w:tc>
                <w:tcPr>
                  <w:tcW w:w="1182" w:type="pct"/>
                  <w:vMerge w:val="continue"/>
                  <w:shd w:val="clear" w:color="auto" w:fill="auto"/>
                  <w:vAlign w:val="center"/>
                </w:tcPr>
                <w:p w14:paraId="354A4C69">
                  <w:pPr>
                    <w:pStyle w:val="69"/>
                  </w:pPr>
                </w:p>
              </w:tc>
              <w:tc>
                <w:tcPr>
                  <w:tcW w:w="424" w:type="pct"/>
                  <w:vMerge w:val="continue"/>
                  <w:shd w:val="clear" w:color="auto" w:fill="auto"/>
                  <w:vAlign w:val="center"/>
                </w:tcPr>
                <w:p w14:paraId="7E622684">
                  <w:pPr>
                    <w:pStyle w:val="69"/>
                  </w:pPr>
                </w:p>
              </w:tc>
            </w:tr>
            <w:tr w14:paraId="4B72F4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EC38E89">
                  <w:pPr>
                    <w:pStyle w:val="69"/>
                  </w:pPr>
                  <w:r>
                    <w:t>8</w:t>
                  </w:r>
                </w:p>
              </w:tc>
              <w:tc>
                <w:tcPr>
                  <w:tcW w:w="1474" w:type="pct"/>
                  <w:shd w:val="clear" w:color="auto" w:fill="auto"/>
                  <w:vAlign w:val="center"/>
                </w:tcPr>
                <w:p w14:paraId="0F40065F">
                  <w:pPr>
                    <w:pStyle w:val="69"/>
                  </w:pPr>
                  <w:r>
                    <w:t>沥青罐</w:t>
                  </w:r>
                </w:p>
              </w:tc>
              <w:tc>
                <w:tcPr>
                  <w:tcW w:w="1497" w:type="pct"/>
                  <w:shd w:val="clear" w:color="auto" w:fill="auto"/>
                  <w:vAlign w:val="center"/>
                </w:tcPr>
                <w:p w14:paraId="264133DE">
                  <w:pPr>
                    <w:pStyle w:val="69"/>
                  </w:pPr>
                  <w:r>
                    <w:t>/</w:t>
                  </w:r>
                </w:p>
              </w:tc>
              <w:tc>
                <w:tcPr>
                  <w:tcW w:w="1182" w:type="pct"/>
                  <w:shd w:val="clear" w:color="auto" w:fill="auto"/>
                  <w:vAlign w:val="center"/>
                </w:tcPr>
                <w:p w14:paraId="2E6F9ED2">
                  <w:pPr>
                    <w:pStyle w:val="69"/>
                  </w:pPr>
                  <w:r>
                    <w:t>50t</w:t>
                  </w:r>
                </w:p>
              </w:tc>
              <w:tc>
                <w:tcPr>
                  <w:tcW w:w="424" w:type="pct"/>
                  <w:shd w:val="clear" w:color="auto" w:fill="auto"/>
                  <w:vAlign w:val="center"/>
                </w:tcPr>
                <w:p w14:paraId="0B2CA998">
                  <w:pPr>
                    <w:pStyle w:val="69"/>
                  </w:pPr>
                  <w:r>
                    <w:t>4个</w:t>
                  </w:r>
                </w:p>
              </w:tc>
            </w:tr>
            <w:tr w14:paraId="090C6C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243D00">
                  <w:pPr>
                    <w:pStyle w:val="69"/>
                  </w:pPr>
                  <w:r>
                    <w:t>9</w:t>
                  </w:r>
                </w:p>
              </w:tc>
              <w:tc>
                <w:tcPr>
                  <w:tcW w:w="1474" w:type="pct"/>
                  <w:shd w:val="clear" w:color="auto" w:fill="auto"/>
                  <w:vAlign w:val="center"/>
                </w:tcPr>
                <w:p w14:paraId="4D44D4E8">
                  <w:pPr>
                    <w:pStyle w:val="69"/>
                  </w:pPr>
                  <w:r>
                    <w:t>沥青储备罐</w:t>
                  </w:r>
                </w:p>
              </w:tc>
              <w:tc>
                <w:tcPr>
                  <w:tcW w:w="1497" w:type="pct"/>
                  <w:shd w:val="clear" w:color="auto" w:fill="auto"/>
                  <w:vAlign w:val="center"/>
                </w:tcPr>
                <w:p w14:paraId="64A8B30D">
                  <w:pPr>
                    <w:pStyle w:val="69"/>
                  </w:pPr>
                  <w:r>
                    <w:rPr>
                      <w:rFonts w:hint="eastAsia"/>
                    </w:rPr>
                    <w:t>/</w:t>
                  </w:r>
                </w:p>
              </w:tc>
              <w:tc>
                <w:tcPr>
                  <w:tcW w:w="1182" w:type="pct"/>
                  <w:shd w:val="clear" w:color="auto" w:fill="auto"/>
                  <w:vAlign w:val="center"/>
                </w:tcPr>
                <w:p w14:paraId="36E9F3B5">
                  <w:pPr>
                    <w:pStyle w:val="69"/>
                  </w:pPr>
                  <w:r>
                    <w:t>2000</w:t>
                  </w:r>
                  <w:r>
                    <w:rPr>
                      <w:rFonts w:hint="eastAsia"/>
                    </w:rPr>
                    <w:t>t</w:t>
                  </w:r>
                </w:p>
              </w:tc>
              <w:tc>
                <w:tcPr>
                  <w:tcW w:w="424" w:type="pct"/>
                  <w:shd w:val="clear" w:color="auto" w:fill="auto"/>
                  <w:vAlign w:val="center"/>
                </w:tcPr>
                <w:p w14:paraId="48373581">
                  <w:pPr>
                    <w:pStyle w:val="69"/>
                  </w:pPr>
                  <w:r>
                    <w:t>1个</w:t>
                  </w:r>
                </w:p>
              </w:tc>
            </w:tr>
            <w:tr w14:paraId="12576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C994466">
                  <w:pPr>
                    <w:pStyle w:val="69"/>
                  </w:pPr>
                  <w:r>
                    <w:t>10</w:t>
                  </w:r>
                </w:p>
              </w:tc>
              <w:tc>
                <w:tcPr>
                  <w:tcW w:w="1474" w:type="pct"/>
                  <w:shd w:val="clear" w:color="auto" w:fill="auto"/>
                  <w:vAlign w:val="center"/>
                </w:tcPr>
                <w:p w14:paraId="5EE1E08F">
                  <w:pPr>
                    <w:pStyle w:val="69"/>
                  </w:pPr>
                  <w:r>
                    <w:t>矿粉</w:t>
                  </w:r>
                  <w:r>
                    <w:rPr>
                      <w:rFonts w:hint="eastAsia"/>
                    </w:rPr>
                    <w:t>筒仓</w:t>
                  </w:r>
                </w:p>
              </w:tc>
              <w:tc>
                <w:tcPr>
                  <w:tcW w:w="1497" w:type="pct"/>
                  <w:shd w:val="clear" w:color="auto" w:fill="auto"/>
                  <w:vAlign w:val="center"/>
                </w:tcPr>
                <w:p w14:paraId="1A70B02F">
                  <w:pPr>
                    <w:pStyle w:val="69"/>
                  </w:pPr>
                  <w:r>
                    <w:rPr>
                      <w:rFonts w:hint="eastAsia"/>
                    </w:rPr>
                    <w:t>/</w:t>
                  </w:r>
                </w:p>
              </w:tc>
              <w:tc>
                <w:tcPr>
                  <w:tcW w:w="1182" w:type="pct"/>
                  <w:shd w:val="clear" w:color="auto" w:fill="auto"/>
                  <w:vAlign w:val="center"/>
                </w:tcPr>
                <w:p w14:paraId="7023B391">
                  <w:pPr>
                    <w:pStyle w:val="69"/>
                  </w:pPr>
                  <w:r>
                    <w:rPr>
                      <w:rFonts w:hint="eastAsia"/>
                    </w:rPr>
                    <w:t>80t</w:t>
                  </w:r>
                </w:p>
              </w:tc>
              <w:tc>
                <w:tcPr>
                  <w:tcW w:w="424" w:type="pct"/>
                  <w:shd w:val="clear" w:color="auto" w:fill="auto"/>
                  <w:vAlign w:val="center"/>
                </w:tcPr>
                <w:p w14:paraId="24ACC03B">
                  <w:pPr>
                    <w:pStyle w:val="69"/>
                  </w:pPr>
                  <w:r>
                    <w:t>1个</w:t>
                  </w:r>
                </w:p>
              </w:tc>
            </w:tr>
            <w:tr w14:paraId="032F52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shd w:val="clear" w:color="auto" w:fill="auto"/>
                  <w:vAlign w:val="center"/>
                </w:tcPr>
                <w:p w14:paraId="3E70A9CF">
                  <w:pPr>
                    <w:pStyle w:val="69"/>
                  </w:pPr>
                  <w:r>
                    <w:t>水泥混凝土生产线</w:t>
                  </w:r>
                </w:p>
              </w:tc>
            </w:tr>
            <w:tr w14:paraId="5A0474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79EC79">
                  <w:pPr>
                    <w:pStyle w:val="69"/>
                  </w:pPr>
                  <w:r>
                    <w:t>1</w:t>
                  </w:r>
                </w:p>
              </w:tc>
              <w:tc>
                <w:tcPr>
                  <w:tcW w:w="2971" w:type="pct"/>
                  <w:gridSpan w:val="2"/>
                  <w:shd w:val="clear" w:color="CAEACE" w:fill="auto"/>
                  <w:vAlign w:val="center"/>
                </w:tcPr>
                <w:p w14:paraId="6571C5BC">
                  <w:pPr>
                    <w:jc w:val="center"/>
                    <w:rPr>
                      <w:sz w:val="21"/>
                      <w:szCs w:val="21"/>
                    </w:rPr>
                  </w:pPr>
                  <w:r>
                    <w:rPr>
                      <w:sz w:val="21"/>
                      <w:szCs w:val="21"/>
                    </w:rPr>
                    <w:t>称量系统</w:t>
                  </w:r>
                </w:p>
              </w:tc>
              <w:tc>
                <w:tcPr>
                  <w:tcW w:w="1182" w:type="pct"/>
                  <w:vMerge w:val="restart"/>
                  <w:shd w:val="clear" w:color="auto" w:fill="auto"/>
                  <w:vAlign w:val="center"/>
                </w:tcPr>
                <w:p w14:paraId="58BB9DBA">
                  <w:pPr>
                    <w:pStyle w:val="69"/>
                  </w:pPr>
                  <w:r>
                    <w:t>120型双线拌合站</w:t>
                  </w:r>
                </w:p>
              </w:tc>
              <w:tc>
                <w:tcPr>
                  <w:tcW w:w="424" w:type="pct"/>
                  <w:vMerge w:val="restart"/>
                  <w:shd w:val="clear" w:color="auto" w:fill="auto"/>
                  <w:vAlign w:val="center"/>
                </w:tcPr>
                <w:p w14:paraId="309EE002">
                  <w:pPr>
                    <w:pStyle w:val="69"/>
                  </w:pPr>
                  <w:r>
                    <w:t>1套</w:t>
                  </w:r>
                </w:p>
              </w:tc>
            </w:tr>
            <w:tr w14:paraId="6D213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7FF1920">
                  <w:pPr>
                    <w:pStyle w:val="69"/>
                  </w:pPr>
                  <w:r>
                    <w:t>2</w:t>
                  </w:r>
                </w:p>
              </w:tc>
              <w:tc>
                <w:tcPr>
                  <w:tcW w:w="2971" w:type="pct"/>
                  <w:gridSpan w:val="2"/>
                  <w:shd w:val="clear" w:color="CAEACE" w:fill="auto"/>
                  <w:vAlign w:val="center"/>
                </w:tcPr>
                <w:p w14:paraId="1073CFBF">
                  <w:pPr>
                    <w:jc w:val="center"/>
                    <w:rPr>
                      <w:sz w:val="21"/>
                      <w:szCs w:val="21"/>
                    </w:rPr>
                  </w:pPr>
                  <w:r>
                    <w:rPr>
                      <w:sz w:val="21"/>
                      <w:szCs w:val="21"/>
                    </w:rPr>
                    <w:t>骨料配料、提升系统</w:t>
                  </w:r>
                </w:p>
              </w:tc>
              <w:tc>
                <w:tcPr>
                  <w:tcW w:w="1182" w:type="pct"/>
                  <w:vMerge w:val="continue"/>
                  <w:shd w:val="clear" w:color="auto" w:fill="auto"/>
                  <w:vAlign w:val="center"/>
                </w:tcPr>
                <w:p w14:paraId="45F59440">
                  <w:pPr>
                    <w:pStyle w:val="69"/>
                  </w:pPr>
                </w:p>
              </w:tc>
              <w:tc>
                <w:tcPr>
                  <w:tcW w:w="424" w:type="pct"/>
                  <w:vMerge w:val="continue"/>
                  <w:shd w:val="clear" w:color="auto" w:fill="auto"/>
                  <w:vAlign w:val="center"/>
                </w:tcPr>
                <w:p w14:paraId="79452820">
                  <w:pPr>
                    <w:pStyle w:val="69"/>
                  </w:pPr>
                </w:p>
              </w:tc>
            </w:tr>
            <w:tr w14:paraId="049234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EF0A7ED">
                  <w:pPr>
                    <w:pStyle w:val="69"/>
                  </w:pPr>
                  <w:r>
                    <w:t>3</w:t>
                  </w:r>
                </w:p>
              </w:tc>
              <w:tc>
                <w:tcPr>
                  <w:tcW w:w="2971" w:type="pct"/>
                  <w:gridSpan w:val="2"/>
                  <w:shd w:val="clear" w:color="CAEACE" w:fill="auto"/>
                  <w:vAlign w:val="center"/>
                </w:tcPr>
                <w:p w14:paraId="6166E9EA">
                  <w:pPr>
                    <w:jc w:val="center"/>
                    <w:rPr>
                      <w:sz w:val="21"/>
                      <w:szCs w:val="21"/>
                    </w:rPr>
                  </w:pPr>
                  <w:r>
                    <w:rPr>
                      <w:sz w:val="21"/>
                      <w:szCs w:val="21"/>
                    </w:rPr>
                    <w:t>搅拌机</w:t>
                  </w:r>
                </w:p>
              </w:tc>
              <w:tc>
                <w:tcPr>
                  <w:tcW w:w="1182" w:type="pct"/>
                  <w:vMerge w:val="continue"/>
                  <w:shd w:val="clear" w:color="auto" w:fill="auto"/>
                  <w:vAlign w:val="center"/>
                </w:tcPr>
                <w:p w14:paraId="4428A666">
                  <w:pPr>
                    <w:pStyle w:val="69"/>
                  </w:pPr>
                </w:p>
              </w:tc>
              <w:tc>
                <w:tcPr>
                  <w:tcW w:w="424" w:type="pct"/>
                  <w:vMerge w:val="continue"/>
                  <w:shd w:val="clear" w:color="auto" w:fill="auto"/>
                  <w:vAlign w:val="center"/>
                </w:tcPr>
                <w:p w14:paraId="66848293">
                  <w:pPr>
                    <w:pStyle w:val="69"/>
                  </w:pPr>
                </w:p>
              </w:tc>
            </w:tr>
            <w:tr w14:paraId="649643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7EEDFDE">
                  <w:pPr>
                    <w:pStyle w:val="69"/>
                  </w:pPr>
                  <w:r>
                    <w:t>4</w:t>
                  </w:r>
                </w:p>
              </w:tc>
              <w:tc>
                <w:tcPr>
                  <w:tcW w:w="2971" w:type="pct"/>
                  <w:gridSpan w:val="2"/>
                  <w:shd w:val="clear" w:color="CAEACE" w:fill="auto"/>
                  <w:vAlign w:val="center"/>
                </w:tcPr>
                <w:p w14:paraId="220F47EE">
                  <w:pPr>
                    <w:jc w:val="center"/>
                    <w:rPr>
                      <w:sz w:val="21"/>
                      <w:szCs w:val="21"/>
                    </w:rPr>
                  </w:pPr>
                  <w:r>
                    <w:rPr>
                      <w:sz w:val="21"/>
                      <w:szCs w:val="21"/>
                    </w:rPr>
                    <w:t>螺旋输送机</w:t>
                  </w:r>
                </w:p>
              </w:tc>
              <w:tc>
                <w:tcPr>
                  <w:tcW w:w="1182" w:type="pct"/>
                  <w:vMerge w:val="continue"/>
                  <w:shd w:val="clear" w:color="auto" w:fill="auto"/>
                  <w:vAlign w:val="center"/>
                </w:tcPr>
                <w:p w14:paraId="3F4727BD">
                  <w:pPr>
                    <w:pStyle w:val="69"/>
                  </w:pPr>
                </w:p>
              </w:tc>
              <w:tc>
                <w:tcPr>
                  <w:tcW w:w="424" w:type="pct"/>
                  <w:vMerge w:val="continue"/>
                  <w:shd w:val="clear" w:color="auto" w:fill="auto"/>
                  <w:vAlign w:val="center"/>
                </w:tcPr>
                <w:p w14:paraId="27CC52EE">
                  <w:pPr>
                    <w:pStyle w:val="69"/>
                  </w:pPr>
                </w:p>
              </w:tc>
            </w:tr>
            <w:tr w14:paraId="25B434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397850A">
                  <w:pPr>
                    <w:pStyle w:val="69"/>
                  </w:pPr>
                  <w:r>
                    <w:t>5</w:t>
                  </w:r>
                </w:p>
              </w:tc>
              <w:tc>
                <w:tcPr>
                  <w:tcW w:w="2971" w:type="pct"/>
                  <w:gridSpan w:val="2"/>
                  <w:shd w:val="clear" w:color="CAEACE" w:fill="auto"/>
                  <w:vAlign w:val="center"/>
                </w:tcPr>
                <w:p w14:paraId="16D7D4BC">
                  <w:pPr>
                    <w:jc w:val="center"/>
                    <w:rPr>
                      <w:sz w:val="21"/>
                      <w:szCs w:val="21"/>
                    </w:rPr>
                  </w:pPr>
                  <w:r>
                    <w:rPr>
                      <w:sz w:val="21"/>
                      <w:szCs w:val="21"/>
                    </w:rPr>
                    <w:t>供水系统</w:t>
                  </w:r>
                </w:p>
              </w:tc>
              <w:tc>
                <w:tcPr>
                  <w:tcW w:w="1182" w:type="pct"/>
                  <w:vMerge w:val="continue"/>
                  <w:shd w:val="clear" w:color="auto" w:fill="auto"/>
                  <w:vAlign w:val="center"/>
                </w:tcPr>
                <w:p w14:paraId="7108ECC3">
                  <w:pPr>
                    <w:pStyle w:val="69"/>
                  </w:pPr>
                </w:p>
              </w:tc>
              <w:tc>
                <w:tcPr>
                  <w:tcW w:w="424" w:type="pct"/>
                  <w:vMerge w:val="continue"/>
                  <w:shd w:val="clear" w:color="auto" w:fill="auto"/>
                  <w:vAlign w:val="center"/>
                </w:tcPr>
                <w:p w14:paraId="7E6FE514">
                  <w:pPr>
                    <w:pStyle w:val="69"/>
                  </w:pPr>
                </w:p>
              </w:tc>
            </w:tr>
            <w:tr w14:paraId="3DBB6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D49B69E">
                  <w:pPr>
                    <w:pStyle w:val="69"/>
                  </w:pPr>
                  <w:r>
                    <w:t>6</w:t>
                  </w:r>
                </w:p>
              </w:tc>
              <w:tc>
                <w:tcPr>
                  <w:tcW w:w="2971" w:type="pct"/>
                  <w:gridSpan w:val="2"/>
                  <w:shd w:val="clear" w:color="CAEACE" w:fill="auto"/>
                  <w:vAlign w:val="center"/>
                </w:tcPr>
                <w:p w14:paraId="5FEF9547">
                  <w:pPr>
                    <w:jc w:val="center"/>
                    <w:rPr>
                      <w:sz w:val="21"/>
                      <w:szCs w:val="21"/>
                    </w:rPr>
                  </w:pPr>
                  <w:r>
                    <w:rPr>
                      <w:sz w:val="21"/>
                      <w:szCs w:val="21"/>
                    </w:rPr>
                    <w:t>添加剂供料系统</w:t>
                  </w:r>
                </w:p>
              </w:tc>
              <w:tc>
                <w:tcPr>
                  <w:tcW w:w="1182" w:type="pct"/>
                  <w:vMerge w:val="continue"/>
                  <w:shd w:val="clear" w:color="auto" w:fill="auto"/>
                  <w:vAlign w:val="center"/>
                </w:tcPr>
                <w:p w14:paraId="053EA262">
                  <w:pPr>
                    <w:pStyle w:val="69"/>
                  </w:pPr>
                </w:p>
              </w:tc>
              <w:tc>
                <w:tcPr>
                  <w:tcW w:w="424" w:type="pct"/>
                  <w:vMerge w:val="continue"/>
                  <w:shd w:val="clear" w:color="auto" w:fill="auto"/>
                  <w:vAlign w:val="center"/>
                </w:tcPr>
                <w:p w14:paraId="4EE8380E">
                  <w:pPr>
                    <w:pStyle w:val="69"/>
                  </w:pPr>
                </w:p>
              </w:tc>
            </w:tr>
            <w:tr w14:paraId="0716F4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8C28EE7">
                  <w:pPr>
                    <w:pStyle w:val="69"/>
                  </w:pPr>
                  <w:r>
                    <w:t>7</w:t>
                  </w:r>
                </w:p>
              </w:tc>
              <w:tc>
                <w:tcPr>
                  <w:tcW w:w="2971" w:type="pct"/>
                  <w:gridSpan w:val="2"/>
                  <w:shd w:val="clear" w:color="CAEACE" w:fill="auto"/>
                  <w:vAlign w:val="center"/>
                </w:tcPr>
                <w:p w14:paraId="3AF10F68">
                  <w:pPr>
                    <w:jc w:val="center"/>
                    <w:rPr>
                      <w:sz w:val="21"/>
                      <w:szCs w:val="21"/>
                    </w:rPr>
                  </w:pPr>
                  <w:r>
                    <w:rPr>
                      <w:sz w:val="21"/>
                      <w:szCs w:val="21"/>
                    </w:rPr>
                    <w:t>气路系统</w:t>
                  </w:r>
                </w:p>
              </w:tc>
              <w:tc>
                <w:tcPr>
                  <w:tcW w:w="1182" w:type="pct"/>
                  <w:vMerge w:val="continue"/>
                  <w:shd w:val="clear" w:color="auto" w:fill="auto"/>
                  <w:vAlign w:val="center"/>
                </w:tcPr>
                <w:p w14:paraId="4CE8DA4E">
                  <w:pPr>
                    <w:pStyle w:val="69"/>
                  </w:pPr>
                </w:p>
              </w:tc>
              <w:tc>
                <w:tcPr>
                  <w:tcW w:w="424" w:type="pct"/>
                  <w:vMerge w:val="continue"/>
                  <w:shd w:val="clear" w:color="auto" w:fill="auto"/>
                  <w:vAlign w:val="center"/>
                </w:tcPr>
                <w:p w14:paraId="1C0BADCB">
                  <w:pPr>
                    <w:pStyle w:val="69"/>
                  </w:pPr>
                </w:p>
              </w:tc>
            </w:tr>
            <w:tr w14:paraId="41ADD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6BC1A34">
                  <w:pPr>
                    <w:pStyle w:val="69"/>
                  </w:pPr>
                  <w:r>
                    <w:t>8</w:t>
                  </w:r>
                </w:p>
              </w:tc>
              <w:tc>
                <w:tcPr>
                  <w:tcW w:w="2971" w:type="pct"/>
                  <w:gridSpan w:val="2"/>
                  <w:shd w:val="clear" w:color="CAEACE" w:fill="auto"/>
                  <w:vAlign w:val="center"/>
                </w:tcPr>
                <w:p w14:paraId="4945E98C">
                  <w:pPr>
                    <w:jc w:val="center"/>
                    <w:rPr>
                      <w:sz w:val="21"/>
                      <w:szCs w:val="21"/>
                    </w:rPr>
                  </w:pPr>
                  <w:r>
                    <w:rPr>
                      <w:sz w:val="21"/>
                      <w:szCs w:val="21"/>
                    </w:rPr>
                    <w:t>控制系统</w:t>
                  </w:r>
                </w:p>
              </w:tc>
              <w:tc>
                <w:tcPr>
                  <w:tcW w:w="1182" w:type="pct"/>
                  <w:vMerge w:val="continue"/>
                  <w:shd w:val="clear" w:color="auto" w:fill="auto"/>
                  <w:vAlign w:val="center"/>
                </w:tcPr>
                <w:p w14:paraId="1A1D8397">
                  <w:pPr>
                    <w:pStyle w:val="69"/>
                  </w:pPr>
                </w:p>
              </w:tc>
              <w:tc>
                <w:tcPr>
                  <w:tcW w:w="424" w:type="pct"/>
                  <w:vMerge w:val="continue"/>
                  <w:shd w:val="clear" w:color="auto" w:fill="auto"/>
                  <w:vAlign w:val="center"/>
                </w:tcPr>
                <w:p w14:paraId="794E08A0">
                  <w:pPr>
                    <w:pStyle w:val="69"/>
                  </w:pPr>
                </w:p>
              </w:tc>
            </w:tr>
            <w:tr w14:paraId="561F67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5B6CEF0">
                  <w:pPr>
                    <w:pStyle w:val="69"/>
                  </w:pPr>
                  <w:r>
                    <w:t>9</w:t>
                  </w:r>
                </w:p>
              </w:tc>
              <w:tc>
                <w:tcPr>
                  <w:tcW w:w="2971" w:type="pct"/>
                  <w:gridSpan w:val="2"/>
                  <w:shd w:val="clear" w:color="CAEACE" w:fill="auto"/>
                  <w:vAlign w:val="center"/>
                </w:tcPr>
                <w:p w14:paraId="112D9B6A">
                  <w:pPr>
                    <w:jc w:val="center"/>
                    <w:rPr>
                      <w:sz w:val="21"/>
                      <w:szCs w:val="21"/>
                    </w:rPr>
                  </w:pPr>
                  <w:r>
                    <w:rPr>
                      <w:sz w:val="21"/>
                      <w:szCs w:val="21"/>
                    </w:rPr>
                    <w:t>水泥</w:t>
                  </w:r>
                  <w:r>
                    <w:rPr>
                      <w:rFonts w:hint="eastAsia"/>
                      <w:sz w:val="21"/>
                      <w:szCs w:val="21"/>
                    </w:rPr>
                    <w:t>筒仓</w:t>
                  </w:r>
                </w:p>
              </w:tc>
              <w:tc>
                <w:tcPr>
                  <w:tcW w:w="1182" w:type="pct"/>
                  <w:shd w:val="clear" w:color="auto" w:fill="auto"/>
                  <w:vAlign w:val="center"/>
                </w:tcPr>
                <w:p w14:paraId="1DAFFD43">
                  <w:pPr>
                    <w:pStyle w:val="69"/>
                  </w:pPr>
                  <w:r>
                    <w:t>100t</w:t>
                  </w:r>
                </w:p>
              </w:tc>
              <w:tc>
                <w:tcPr>
                  <w:tcW w:w="424" w:type="pct"/>
                  <w:shd w:val="clear" w:color="auto" w:fill="auto"/>
                  <w:vAlign w:val="center"/>
                </w:tcPr>
                <w:p w14:paraId="0393BF52">
                  <w:pPr>
                    <w:pStyle w:val="69"/>
                  </w:pPr>
                  <w:r>
                    <w:t>3个</w:t>
                  </w:r>
                </w:p>
              </w:tc>
            </w:tr>
            <w:tr w14:paraId="6ADE95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DCB1639">
                  <w:pPr>
                    <w:pStyle w:val="69"/>
                  </w:pPr>
                  <w:r>
                    <w:rPr>
                      <w:rFonts w:hint="eastAsia"/>
                    </w:rPr>
                    <w:t>1</w:t>
                  </w:r>
                  <w:r>
                    <w:t>0</w:t>
                  </w:r>
                </w:p>
              </w:tc>
              <w:tc>
                <w:tcPr>
                  <w:tcW w:w="2971" w:type="pct"/>
                  <w:gridSpan w:val="2"/>
                  <w:shd w:val="clear" w:color="CAEACE" w:fill="auto"/>
                  <w:vAlign w:val="center"/>
                </w:tcPr>
                <w:p w14:paraId="432037FD">
                  <w:pPr>
                    <w:jc w:val="center"/>
                    <w:rPr>
                      <w:sz w:val="21"/>
                      <w:szCs w:val="21"/>
                    </w:rPr>
                  </w:pPr>
                  <w:r>
                    <w:rPr>
                      <w:rFonts w:hint="eastAsia"/>
                      <w:sz w:val="21"/>
                      <w:szCs w:val="21"/>
                    </w:rPr>
                    <w:t>粉煤灰筒仓</w:t>
                  </w:r>
                </w:p>
              </w:tc>
              <w:tc>
                <w:tcPr>
                  <w:tcW w:w="1182" w:type="pct"/>
                  <w:shd w:val="clear" w:color="auto" w:fill="auto"/>
                  <w:vAlign w:val="center"/>
                </w:tcPr>
                <w:p w14:paraId="4610AFFD">
                  <w:pPr>
                    <w:pStyle w:val="69"/>
                  </w:pPr>
                  <w:r>
                    <w:t>80</w:t>
                  </w:r>
                  <w:r>
                    <w:rPr>
                      <w:rFonts w:hint="eastAsia"/>
                    </w:rPr>
                    <w:t>t</w:t>
                  </w:r>
                </w:p>
              </w:tc>
              <w:tc>
                <w:tcPr>
                  <w:tcW w:w="424" w:type="pct"/>
                  <w:shd w:val="clear" w:color="auto" w:fill="auto"/>
                  <w:vAlign w:val="center"/>
                </w:tcPr>
                <w:p w14:paraId="093C56E7">
                  <w:pPr>
                    <w:pStyle w:val="69"/>
                  </w:pPr>
                  <w:r>
                    <w:rPr>
                      <w:rFonts w:hint="eastAsia"/>
                    </w:rPr>
                    <w:t>2个</w:t>
                  </w:r>
                </w:p>
              </w:tc>
            </w:tr>
            <w:tr w14:paraId="1B6E87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38546C7">
                  <w:pPr>
                    <w:pStyle w:val="69"/>
                  </w:pPr>
                  <w:r>
                    <w:rPr>
                      <w:rFonts w:hint="eastAsia"/>
                    </w:rPr>
                    <w:t>1</w:t>
                  </w:r>
                  <w:r>
                    <w:t>1</w:t>
                  </w:r>
                </w:p>
              </w:tc>
              <w:tc>
                <w:tcPr>
                  <w:tcW w:w="2971" w:type="pct"/>
                  <w:gridSpan w:val="2"/>
                  <w:shd w:val="clear" w:color="CAEACE" w:fill="auto"/>
                  <w:vAlign w:val="center"/>
                </w:tcPr>
                <w:p w14:paraId="5AF92DD6">
                  <w:pPr>
                    <w:jc w:val="center"/>
                    <w:rPr>
                      <w:sz w:val="21"/>
                      <w:szCs w:val="21"/>
                    </w:rPr>
                  </w:pPr>
                  <w:r>
                    <w:rPr>
                      <w:rFonts w:hint="eastAsia"/>
                      <w:sz w:val="21"/>
                      <w:szCs w:val="21"/>
                    </w:rPr>
                    <w:t>袋式除尘器</w:t>
                  </w:r>
                </w:p>
              </w:tc>
              <w:tc>
                <w:tcPr>
                  <w:tcW w:w="1182" w:type="pct"/>
                  <w:shd w:val="clear" w:color="auto" w:fill="auto"/>
                  <w:vAlign w:val="center"/>
                </w:tcPr>
                <w:p w14:paraId="24605A2A">
                  <w:pPr>
                    <w:pStyle w:val="69"/>
                  </w:pPr>
                  <w:r>
                    <w:rPr>
                      <w:rFonts w:hint="eastAsia"/>
                    </w:rPr>
                    <w:t>/</w:t>
                  </w:r>
                </w:p>
              </w:tc>
              <w:tc>
                <w:tcPr>
                  <w:tcW w:w="424" w:type="pct"/>
                  <w:shd w:val="clear" w:color="auto" w:fill="auto"/>
                  <w:vAlign w:val="center"/>
                </w:tcPr>
                <w:p w14:paraId="1F6FB48F">
                  <w:pPr>
                    <w:pStyle w:val="69"/>
                  </w:pPr>
                  <w:r>
                    <w:rPr>
                      <w:rFonts w:hint="eastAsia"/>
                    </w:rPr>
                    <w:t>1套</w:t>
                  </w:r>
                </w:p>
              </w:tc>
            </w:tr>
            <w:tr w14:paraId="2EF98D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shd w:val="clear" w:color="auto" w:fill="auto"/>
                  <w:vAlign w:val="center"/>
                </w:tcPr>
                <w:p w14:paraId="780D3D67">
                  <w:pPr>
                    <w:pStyle w:val="69"/>
                  </w:pPr>
                  <w:r>
                    <w:t>预制场及钢筋加工生产线</w:t>
                  </w:r>
                </w:p>
              </w:tc>
            </w:tr>
            <w:tr w14:paraId="0EB318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6C2F022">
                  <w:pPr>
                    <w:pStyle w:val="69"/>
                  </w:pPr>
                  <w:r>
                    <w:t>1</w:t>
                  </w:r>
                </w:p>
              </w:tc>
              <w:tc>
                <w:tcPr>
                  <w:tcW w:w="2971" w:type="pct"/>
                  <w:gridSpan w:val="2"/>
                  <w:shd w:val="clear" w:color="auto" w:fill="auto"/>
                  <w:vAlign w:val="center"/>
                </w:tcPr>
                <w:p w14:paraId="6F831454">
                  <w:pPr>
                    <w:pStyle w:val="69"/>
                  </w:pPr>
                  <w:r>
                    <w:t>钢材数控切断机</w:t>
                  </w:r>
                </w:p>
              </w:tc>
              <w:tc>
                <w:tcPr>
                  <w:tcW w:w="1182" w:type="pct"/>
                  <w:shd w:val="clear" w:color="auto" w:fill="auto"/>
                  <w:vAlign w:val="center"/>
                </w:tcPr>
                <w:p w14:paraId="12AFBB67">
                  <w:pPr>
                    <w:pStyle w:val="69"/>
                  </w:pPr>
                  <w:r>
                    <w:t>WG12D-4</w:t>
                  </w:r>
                </w:p>
              </w:tc>
              <w:tc>
                <w:tcPr>
                  <w:tcW w:w="424" w:type="pct"/>
                  <w:shd w:val="clear" w:color="auto" w:fill="auto"/>
                  <w:vAlign w:val="center"/>
                </w:tcPr>
                <w:p w14:paraId="7AB50CA5">
                  <w:pPr>
                    <w:pStyle w:val="69"/>
                  </w:pPr>
                  <w:r>
                    <w:t>2台</w:t>
                  </w:r>
                </w:p>
              </w:tc>
            </w:tr>
            <w:tr w14:paraId="66584C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CFB655">
                  <w:pPr>
                    <w:pStyle w:val="69"/>
                  </w:pPr>
                  <w:r>
                    <w:t>2</w:t>
                  </w:r>
                </w:p>
              </w:tc>
              <w:tc>
                <w:tcPr>
                  <w:tcW w:w="2971" w:type="pct"/>
                  <w:gridSpan w:val="2"/>
                  <w:shd w:val="clear" w:color="auto" w:fill="auto"/>
                  <w:vAlign w:val="center"/>
                </w:tcPr>
                <w:p w14:paraId="46928EE1">
                  <w:pPr>
                    <w:pStyle w:val="69"/>
                  </w:pPr>
                  <w:r>
                    <w:t>数控钢筋弯箍机</w:t>
                  </w:r>
                </w:p>
              </w:tc>
              <w:tc>
                <w:tcPr>
                  <w:tcW w:w="1182" w:type="pct"/>
                  <w:shd w:val="clear" w:color="auto" w:fill="auto"/>
                  <w:vAlign w:val="center"/>
                </w:tcPr>
                <w:p w14:paraId="7F8029D2">
                  <w:pPr>
                    <w:pStyle w:val="69"/>
                  </w:pPr>
                  <w:r>
                    <w:t>WG12D-4</w:t>
                  </w:r>
                </w:p>
              </w:tc>
              <w:tc>
                <w:tcPr>
                  <w:tcW w:w="424" w:type="pct"/>
                  <w:shd w:val="clear" w:color="auto" w:fill="auto"/>
                  <w:vAlign w:val="center"/>
                </w:tcPr>
                <w:p w14:paraId="72D1668E">
                  <w:pPr>
                    <w:pStyle w:val="69"/>
                  </w:pPr>
                  <w:r>
                    <w:t>2台</w:t>
                  </w:r>
                </w:p>
              </w:tc>
            </w:tr>
            <w:tr w14:paraId="2C213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48707A6">
                  <w:pPr>
                    <w:pStyle w:val="69"/>
                  </w:pPr>
                  <w:r>
                    <w:t>3</w:t>
                  </w:r>
                </w:p>
              </w:tc>
              <w:tc>
                <w:tcPr>
                  <w:tcW w:w="2971" w:type="pct"/>
                  <w:gridSpan w:val="2"/>
                  <w:shd w:val="clear" w:color="auto" w:fill="auto"/>
                  <w:vAlign w:val="center"/>
                </w:tcPr>
                <w:p w14:paraId="2B3D4778">
                  <w:pPr>
                    <w:pStyle w:val="69"/>
                  </w:pPr>
                  <w:r>
                    <w:t>智能数控自动弯曲机</w:t>
                  </w:r>
                </w:p>
              </w:tc>
              <w:tc>
                <w:tcPr>
                  <w:tcW w:w="1182" w:type="pct"/>
                  <w:shd w:val="clear" w:color="auto" w:fill="auto"/>
                  <w:vAlign w:val="center"/>
                </w:tcPr>
                <w:p w14:paraId="68EB8A1A">
                  <w:pPr>
                    <w:pStyle w:val="69"/>
                  </w:pPr>
                  <w:r>
                    <w:t>HL2000G</w:t>
                  </w:r>
                </w:p>
              </w:tc>
              <w:tc>
                <w:tcPr>
                  <w:tcW w:w="424" w:type="pct"/>
                  <w:shd w:val="clear" w:color="auto" w:fill="auto"/>
                  <w:vAlign w:val="center"/>
                </w:tcPr>
                <w:p w14:paraId="2F1DFA89">
                  <w:pPr>
                    <w:pStyle w:val="69"/>
                  </w:pPr>
                  <w:r>
                    <w:t>2台</w:t>
                  </w:r>
                </w:p>
              </w:tc>
            </w:tr>
            <w:tr w14:paraId="4A074C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0C5B959">
                  <w:pPr>
                    <w:pStyle w:val="69"/>
                  </w:pPr>
                  <w:r>
                    <w:t>4</w:t>
                  </w:r>
                </w:p>
              </w:tc>
              <w:tc>
                <w:tcPr>
                  <w:tcW w:w="2971" w:type="pct"/>
                  <w:gridSpan w:val="2"/>
                  <w:shd w:val="clear" w:color="auto" w:fill="auto"/>
                  <w:vAlign w:val="center"/>
                </w:tcPr>
                <w:p w14:paraId="0C643E5D">
                  <w:pPr>
                    <w:pStyle w:val="69"/>
                  </w:pPr>
                  <w:r>
                    <w:t>数控钢筋剪切</w:t>
                  </w:r>
                </w:p>
              </w:tc>
              <w:tc>
                <w:tcPr>
                  <w:tcW w:w="1182" w:type="pct"/>
                  <w:shd w:val="clear" w:color="auto" w:fill="auto"/>
                  <w:vAlign w:val="center"/>
                </w:tcPr>
                <w:p w14:paraId="7CB91DA5">
                  <w:pPr>
                    <w:pStyle w:val="69"/>
                  </w:pPr>
                  <w:r>
                    <w:t>XQ120</w:t>
                  </w:r>
                </w:p>
              </w:tc>
              <w:tc>
                <w:tcPr>
                  <w:tcW w:w="424" w:type="pct"/>
                  <w:shd w:val="clear" w:color="auto" w:fill="auto"/>
                  <w:vAlign w:val="center"/>
                </w:tcPr>
                <w:p w14:paraId="64B3350E">
                  <w:pPr>
                    <w:pStyle w:val="69"/>
                  </w:pPr>
                  <w:r>
                    <w:t>3台</w:t>
                  </w:r>
                </w:p>
              </w:tc>
            </w:tr>
            <w:tr w14:paraId="6B44CC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50EB25B">
                  <w:pPr>
                    <w:pStyle w:val="69"/>
                  </w:pPr>
                  <w:r>
                    <w:t>5</w:t>
                  </w:r>
                </w:p>
              </w:tc>
              <w:tc>
                <w:tcPr>
                  <w:tcW w:w="2971" w:type="pct"/>
                  <w:gridSpan w:val="2"/>
                  <w:shd w:val="clear" w:color="auto" w:fill="auto"/>
                  <w:vAlign w:val="center"/>
                </w:tcPr>
                <w:p w14:paraId="6FDCF717">
                  <w:pPr>
                    <w:pStyle w:val="69"/>
                  </w:pPr>
                  <w:r>
                    <w:t>切割机</w:t>
                  </w:r>
                </w:p>
              </w:tc>
              <w:tc>
                <w:tcPr>
                  <w:tcW w:w="1182" w:type="pct"/>
                  <w:shd w:val="clear" w:color="auto" w:fill="auto"/>
                  <w:vAlign w:val="center"/>
                </w:tcPr>
                <w:p w14:paraId="0B0029BD">
                  <w:pPr>
                    <w:pStyle w:val="69"/>
                  </w:pPr>
                </w:p>
              </w:tc>
              <w:tc>
                <w:tcPr>
                  <w:tcW w:w="424" w:type="pct"/>
                  <w:shd w:val="clear" w:color="auto" w:fill="auto"/>
                  <w:vAlign w:val="center"/>
                </w:tcPr>
                <w:p w14:paraId="204DFF38">
                  <w:pPr>
                    <w:pStyle w:val="69"/>
                  </w:pPr>
                  <w:r>
                    <w:t>4台</w:t>
                  </w:r>
                </w:p>
              </w:tc>
            </w:tr>
            <w:tr w14:paraId="0CAFE8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6EDD0D">
                  <w:pPr>
                    <w:pStyle w:val="69"/>
                  </w:pPr>
                  <w:r>
                    <w:t>6</w:t>
                  </w:r>
                </w:p>
              </w:tc>
              <w:tc>
                <w:tcPr>
                  <w:tcW w:w="2971" w:type="pct"/>
                  <w:gridSpan w:val="2"/>
                  <w:shd w:val="clear" w:color="auto" w:fill="auto"/>
                  <w:vAlign w:val="center"/>
                </w:tcPr>
                <w:p w14:paraId="3D2321B3">
                  <w:pPr>
                    <w:pStyle w:val="69"/>
                  </w:pPr>
                  <w:r>
                    <w:t>车丝机</w:t>
                  </w:r>
                </w:p>
              </w:tc>
              <w:tc>
                <w:tcPr>
                  <w:tcW w:w="1182" w:type="pct"/>
                  <w:shd w:val="clear" w:color="auto" w:fill="auto"/>
                  <w:vAlign w:val="center"/>
                </w:tcPr>
                <w:p w14:paraId="07D0B20A">
                  <w:pPr>
                    <w:pStyle w:val="69"/>
                  </w:pPr>
                </w:p>
              </w:tc>
              <w:tc>
                <w:tcPr>
                  <w:tcW w:w="424" w:type="pct"/>
                  <w:shd w:val="clear" w:color="auto" w:fill="auto"/>
                  <w:vAlign w:val="center"/>
                </w:tcPr>
                <w:p w14:paraId="6C4ACD39">
                  <w:pPr>
                    <w:pStyle w:val="69"/>
                  </w:pPr>
                  <w:r>
                    <w:t>3套</w:t>
                  </w:r>
                </w:p>
              </w:tc>
            </w:tr>
            <w:tr w14:paraId="6267ED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36E2330">
                  <w:pPr>
                    <w:pStyle w:val="69"/>
                  </w:pPr>
                  <w:r>
                    <w:t>7</w:t>
                  </w:r>
                </w:p>
              </w:tc>
              <w:tc>
                <w:tcPr>
                  <w:tcW w:w="2971" w:type="pct"/>
                  <w:gridSpan w:val="2"/>
                  <w:shd w:val="clear" w:color="auto" w:fill="auto"/>
                  <w:vAlign w:val="center"/>
                </w:tcPr>
                <w:p w14:paraId="4348C1E7">
                  <w:pPr>
                    <w:pStyle w:val="69"/>
                  </w:pPr>
                  <w:r>
                    <w:t>叉车</w:t>
                  </w:r>
                </w:p>
              </w:tc>
              <w:tc>
                <w:tcPr>
                  <w:tcW w:w="1182" w:type="pct"/>
                  <w:shd w:val="clear" w:color="auto" w:fill="auto"/>
                  <w:vAlign w:val="center"/>
                </w:tcPr>
                <w:p w14:paraId="5943901C">
                  <w:pPr>
                    <w:pStyle w:val="69"/>
                  </w:pPr>
                </w:p>
              </w:tc>
              <w:tc>
                <w:tcPr>
                  <w:tcW w:w="424" w:type="pct"/>
                  <w:shd w:val="clear" w:color="auto" w:fill="auto"/>
                  <w:vAlign w:val="center"/>
                </w:tcPr>
                <w:p w14:paraId="0FFC702B">
                  <w:pPr>
                    <w:pStyle w:val="69"/>
                  </w:pPr>
                  <w:r>
                    <w:t>4俩</w:t>
                  </w:r>
                </w:p>
              </w:tc>
            </w:tr>
            <w:tr w14:paraId="4C975E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82146D1">
                  <w:pPr>
                    <w:pStyle w:val="69"/>
                  </w:pPr>
                  <w:r>
                    <w:t>8</w:t>
                  </w:r>
                </w:p>
              </w:tc>
              <w:tc>
                <w:tcPr>
                  <w:tcW w:w="2971" w:type="pct"/>
                  <w:gridSpan w:val="2"/>
                  <w:shd w:val="clear" w:color="auto" w:fill="auto"/>
                  <w:vAlign w:val="center"/>
                </w:tcPr>
                <w:p w14:paraId="3FA6A634">
                  <w:pPr>
                    <w:pStyle w:val="69"/>
                  </w:pPr>
                  <w:r>
                    <w:t>龙门吊</w:t>
                  </w:r>
                </w:p>
              </w:tc>
              <w:tc>
                <w:tcPr>
                  <w:tcW w:w="1182" w:type="pct"/>
                  <w:shd w:val="clear" w:color="auto" w:fill="auto"/>
                  <w:vAlign w:val="center"/>
                </w:tcPr>
                <w:p w14:paraId="7742F067">
                  <w:pPr>
                    <w:pStyle w:val="69"/>
                  </w:pPr>
                  <w:r>
                    <w:t>10T</w:t>
                  </w:r>
                </w:p>
              </w:tc>
              <w:tc>
                <w:tcPr>
                  <w:tcW w:w="424" w:type="pct"/>
                  <w:shd w:val="clear" w:color="auto" w:fill="auto"/>
                  <w:vAlign w:val="center"/>
                </w:tcPr>
                <w:p w14:paraId="5E0DA59D">
                  <w:pPr>
                    <w:pStyle w:val="69"/>
                  </w:pPr>
                  <w:r>
                    <w:t>2台</w:t>
                  </w:r>
                </w:p>
              </w:tc>
            </w:tr>
          </w:tbl>
          <w:p w14:paraId="66043AD6">
            <w:pPr>
              <w:spacing w:line="460" w:lineRule="exact"/>
              <w:ind w:firstLine="482" w:firstLineChars="200"/>
              <w:rPr>
                <w:b/>
                <w:bCs/>
              </w:rPr>
            </w:pPr>
            <w:r>
              <w:rPr>
                <w:b/>
                <w:bCs/>
              </w:rPr>
              <w:t>4、产品方案</w:t>
            </w:r>
          </w:p>
          <w:p w14:paraId="4B520BD1">
            <w:pPr>
              <w:spacing w:line="460" w:lineRule="exact"/>
              <w:ind w:firstLine="480" w:firstLineChars="200"/>
            </w:pPr>
            <w:r>
              <w:t>项目产品方案见表2-3。</w:t>
            </w:r>
          </w:p>
          <w:p w14:paraId="259C363B">
            <w:pPr>
              <w:pStyle w:val="76"/>
              <w:ind w:firstLine="420"/>
              <w:rPr>
                <w:color w:val="auto"/>
              </w:rPr>
            </w:pPr>
            <w:r>
              <w:rPr>
                <w:color w:val="auto"/>
              </w:rPr>
              <w:t>表2-3                     项目产品方案一览表</w:t>
            </w:r>
            <w:r>
              <w:rPr>
                <w:rFonts w:hint="eastAsia"/>
                <w:color w:val="auto"/>
              </w:rPr>
              <w:t xml:space="preserve"> </w:t>
            </w:r>
            <w:r>
              <w:rPr>
                <w:color w:val="auto"/>
              </w:rPr>
              <w:t xml:space="preserve">                </w:t>
            </w:r>
            <w:r>
              <w:rPr>
                <w:rFonts w:hint="eastAsia"/>
                <w:color w:val="auto"/>
              </w:rPr>
              <w:t>单位：a</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599"/>
              <w:gridCol w:w="2932"/>
              <w:gridCol w:w="2637"/>
            </w:tblGrid>
            <w:tr w14:paraId="553A4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0" w:type="pct"/>
                  <w:vAlign w:val="center"/>
                </w:tcPr>
                <w:p w14:paraId="74D93F16">
                  <w:pPr>
                    <w:pStyle w:val="63"/>
                  </w:pPr>
                  <w:r>
                    <w:t>序号</w:t>
                  </w:r>
                </w:p>
              </w:tc>
              <w:tc>
                <w:tcPr>
                  <w:tcW w:w="977" w:type="pct"/>
                  <w:vAlign w:val="center"/>
                </w:tcPr>
                <w:p w14:paraId="4D561E09">
                  <w:pPr>
                    <w:pStyle w:val="63"/>
                  </w:pPr>
                  <w:r>
                    <w:t>名称</w:t>
                  </w:r>
                </w:p>
              </w:tc>
              <w:tc>
                <w:tcPr>
                  <w:tcW w:w="1791" w:type="pct"/>
                  <w:vAlign w:val="center"/>
                </w:tcPr>
                <w:p w14:paraId="7BCB2099">
                  <w:pPr>
                    <w:pStyle w:val="63"/>
                  </w:pPr>
                  <w:r>
                    <w:t>总用量</w:t>
                  </w:r>
                </w:p>
              </w:tc>
              <w:tc>
                <w:tcPr>
                  <w:tcW w:w="1611" w:type="pct"/>
                  <w:vAlign w:val="center"/>
                </w:tcPr>
                <w:p w14:paraId="3AAE8BE9">
                  <w:pPr>
                    <w:pStyle w:val="63"/>
                  </w:pPr>
                  <w:r>
                    <w:t>备注</w:t>
                  </w:r>
                </w:p>
              </w:tc>
            </w:tr>
            <w:tr w14:paraId="1B44F2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0" w:type="pct"/>
                  <w:vAlign w:val="center"/>
                </w:tcPr>
                <w:p w14:paraId="38ABAD2A">
                  <w:pPr>
                    <w:pStyle w:val="63"/>
                  </w:pPr>
                  <w:r>
                    <w:t>1</w:t>
                  </w:r>
                </w:p>
              </w:tc>
              <w:tc>
                <w:tcPr>
                  <w:tcW w:w="977" w:type="pct"/>
                  <w:vAlign w:val="center"/>
                </w:tcPr>
                <w:p w14:paraId="2D1F073D">
                  <w:pPr>
                    <w:pStyle w:val="63"/>
                  </w:pPr>
                  <w:r>
                    <w:t>沥青</w:t>
                  </w:r>
                  <w:r>
                    <w:rPr>
                      <w:rFonts w:hint="eastAsia"/>
                    </w:rPr>
                    <w:t>混凝</w:t>
                  </w:r>
                  <w:r>
                    <w:t>土</w:t>
                  </w:r>
                </w:p>
              </w:tc>
              <w:tc>
                <w:tcPr>
                  <w:tcW w:w="1791" w:type="pct"/>
                  <w:vAlign w:val="center"/>
                </w:tcPr>
                <w:p w14:paraId="1A6586FB">
                  <w:pPr>
                    <w:pStyle w:val="63"/>
                  </w:pPr>
                  <w:r>
                    <w:t>300000</w:t>
                  </w:r>
                  <w:r>
                    <w:rPr>
                      <w:rFonts w:hint="eastAsia"/>
                    </w:rPr>
                    <w:t>m</w:t>
                  </w:r>
                  <w:r>
                    <w:rPr>
                      <w:vertAlign w:val="superscript"/>
                    </w:rPr>
                    <w:t>3</w:t>
                  </w:r>
                </w:p>
              </w:tc>
              <w:tc>
                <w:tcPr>
                  <w:tcW w:w="1611" w:type="pct"/>
                  <w:vMerge w:val="restart"/>
                  <w:vAlign w:val="center"/>
                </w:tcPr>
                <w:p w14:paraId="43F7FA2A">
                  <w:pPr>
                    <w:pStyle w:val="63"/>
                  </w:pPr>
                  <w:r>
                    <w:rPr>
                      <w:rFonts w:hint="eastAsia"/>
                    </w:rPr>
                    <w:t>本项目为</w:t>
                  </w:r>
                  <w:r>
                    <w:t>S240线准东大井服务区至奇台公路改扩建项目</w:t>
                  </w:r>
                  <w:r>
                    <w:rPr>
                      <w:rFonts w:hint="eastAsia"/>
                    </w:rPr>
                    <w:t>服务（提供筑路材料），S</w:t>
                  </w:r>
                  <w:r>
                    <w:t>240</w:t>
                  </w:r>
                  <w:r>
                    <w:rPr>
                      <w:rFonts w:hint="eastAsia"/>
                    </w:rPr>
                    <w:t>线</w:t>
                  </w:r>
                  <w:r>
                    <w:t>施工结束后不再使用</w:t>
                  </w:r>
                </w:p>
              </w:tc>
            </w:tr>
            <w:tr w14:paraId="6EE70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0" w:type="pct"/>
                  <w:vAlign w:val="center"/>
                </w:tcPr>
                <w:p w14:paraId="3F247320">
                  <w:pPr>
                    <w:pStyle w:val="63"/>
                  </w:pPr>
                  <w:r>
                    <w:t>2</w:t>
                  </w:r>
                </w:p>
              </w:tc>
              <w:tc>
                <w:tcPr>
                  <w:tcW w:w="977" w:type="pct"/>
                  <w:vAlign w:val="center"/>
                </w:tcPr>
                <w:p w14:paraId="746170BB">
                  <w:pPr>
                    <w:pStyle w:val="63"/>
                  </w:pPr>
                  <w:r>
                    <w:t>水泥稳定土</w:t>
                  </w:r>
                </w:p>
              </w:tc>
              <w:tc>
                <w:tcPr>
                  <w:tcW w:w="1791" w:type="pct"/>
                  <w:vAlign w:val="center"/>
                </w:tcPr>
                <w:p w14:paraId="592EBB88">
                  <w:pPr>
                    <w:pStyle w:val="63"/>
                  </w:pPr>
                  <w:r>
                    <w:t>400000</w:t>
                  </w:r>
                  <w:r>
                    <w:rPr>
                      <w:rFonts w:hint="eastAsia"/>
                    </w:rPr>
                    <w:t>m</w:t>
                  </w:r>
                  <w:r>
                    <w:rPr>
                      <w:vertAlign w:val="superscript"/>
                    </w:rPr>
                    <w:t>3</w:t>
                  </w:r>
                </w:p>
              </w:tc>
              <w:tc>
                <w:tcPr>
                  <w:tcW w:w="1611" w:type="pct"/>
                  <w:vMerge w:val="continue"/>
                  <w:vAlign w:val="center"/>
                </w:tcPr>
                <w:p w14:paraId="70DD2526">
                  <w:pPr>
                    <w:pStyle w:val="63"/>
                  </w:pPr>
                </w:p>
              </w:tc>
            </w:tr>
            <w:tr w14:paraId="69854C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0" w:type="pct"/>
                  <w:vAlign w:val="center"/>
                </w:tcPr>
                <w:p w14:paraId="30F81AED">
                  <w:pPr>
                    <w:pStyle w:val="63"/>
                  </w:pPr>
                  <w:r>
                    <w:rPr>
                      <w:rFonts w:hint="eastAsia"/>
                    </w:rPr>
                    <w:t>3</w:t>
                  </w:r>
                </w:p>
              </w:tc>
              <w:tc>
                <w:tcPr>
                  <w:tcW w:w="977" w:type="pct"/>
                  <w:vAlign w:val="center"/>
                </w:tcPr>
                <w:p w14:paraId="392DB8DC">
                  <w:pPr>
                    <w:pStyle w:val="63"/>
                  </w:pPr>
                  <w:r>
                    <w:t>水泥混凝土</w:t>
                  </w:r>
                </w:p>
              </w:tc>
              <w:tc>
                <w:tcPr>
                  <w:tcW w:w="1791" w:type="pct"/>
                  <w:vAlign w:val="center"/>
                </w:tcPr>
                <w:p w14:paraId="2A19A3B2">
                  <w:pPr>
                    <w:pStyle w:val="63"/>
                  </w:pPr>
                  <w:r>
                    <w:rPr>
                      <w:rFonts w:hint="eastAsia"/>
                    </w:rPr>
                    <w:t>8</w:t>
                  </w:r>
                  <w:r>
                    <w:t>0000</w:t>
                  </w:r>
                  <w:r>
                    <w:rPr>
                      <w:rFonts w:hint="eastAsia"/>
                    </w:rPr>
                    <w:t>m</w:t>
                  </w:r>
                  <w:r>
                    <w:rPr>
                      <w:vertAlign w:val="superscript"/>
                    </w:rPr>
                    <w:t>3</w:t>
                  </w:r>
                </w:p>
              </w:tc>
              <w:tc>
                <w:tcPr>
                  <w:tcW w:w="1611" w:type="pct"/>
                  <w:vMerge w:val="continue"/>
                  <w:vAlign w:val="center"/>
                </w:tcPr>
                <w:p w14:paraId="34A999FD">
                  <w:pPr>
                    <w:pStyle w:val="63"/>
                  </w:pPr>
                </w:p>
              </w:tc>
            </w:tr>
            <w:tr w14:paraId="15F890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0" w:type="pct"/>
                  <w:vAlign w:val="center"/>
                </w:tcPr>
                <w:p w14:paraId="39E183FC">
                  <w:pPr>
                    <w:pStyle w:val="63"/>
                  </w:pPr>
                  <w:r>
                    <w:rPr>
                      <w:rFonts w:hint="eastAsia"/>
                    </w:rPr>
                    <w:t>4</w:t>
                  </w:r>
                </w:p>
              </w:tc>
              <w:tc>
                <w:tcPr>
                  <w:tcW w:w="977" w:type="pct"/>
                  <w:vAlign w:val="center"/>
                </w:tcPr>
                <w:p w14:paraId="1B913703">
                  <w:pPr>
                    <w:pStyle w:val="63"/>
                  </w:pPr>
                  <w:r>
                    <w:t>预制构件</w:t>
                  </w:r>
                </w:p>
              </w:tc>
              <w:tc>
                <w:tcPr>
                  <w:tcW w:w="1791" w:type="pct"/>
                  <w:vAlign w:val="center"/>
                </w:tcPr>
                <w:p w14:paraId="2CF8271D">
                  <w:pPr>
                    <w:pStyle w:val="63"/>
                  </w:pPr>
                  <w:r>
                    <w:t>49200m</w:t>
                  </w:r>
                  <w:r>
                    <w:rPr>
                      <w:vertAlign w:val="superscript"/>
                    </w:rPr>
                    <w:t>3</w:t>
                  </w:r>
                </w:p>
              </w:tc>
              <w:tc>
                <w:tcPr>
                  <w:tcW w:w="1611" w:type="pct"/>
                  <w:vMerge w:val="continue"/>
                  <w:vAlign w:val="center"/>
                </w:tcPr>
                <w:p w14:paraId="47013FC7">
                  <w:pPr>
                    <w:pStyle w:val="63"/>
                  </w:pPr>
                </w:p>
              </w:tc>
            </w:tr>
          </w:tbl>
          <w:p w14:paraId="7BD15A6F">
            <w:pPr>
              <w:spacing w:line="460" w:lineRule="exact"/>
              <w:ind w:firstLine="482" w:firstLineChars="200"/>
              <w:rPr>
                <w:b/>
              </w:rPr>
            </w:pPr>
            <w:r>
              <w:rPr>
                <w:rFonts w:hint="eastAsia"/>
                <w:b/>
              </w:rPr>
              <w:t>5</w:t>
            </w:r>
            <w:r>
              <w:rPr>
                <w:b/>
              </w:rPr>
              <w:t>、主要原辅材料及能源消耗</w:t>
            </w:r>
          </w:p>
          <w:p w14:paraId="29874E62">
            <w:pPr>
              <w:spacing w:line="460" w:lineRule="exact"/>
              <w:ind w:firstLine="480" w:firstLineChars="200"/>
            </w:pPr>
            <w:r>
              <w:t>本项目所涉及的主要原辅材料、能源年消耗量见表2-4。</w:t>
            </w:r>
          </w:p>
          <w:p w14:paraId="46D6DB65">
            <w:pPr>
              <w:pStyle w:val="76"/>
              <w:ind w:firstLine="420"/>
              <w:rPr>
                <w:color w:val="auto"/>
              </w:rPr>
            </w:pPr>
            <w:r>
              <w:rPr>
                <w:color w:val="auto"/>
              </w:rPr>
              <w:t>表2-4                     主要原辅材料</w:t>
            </w:r>
            <w:r>
              <w:rPr>
                <w:rFonts w:hint="eastAsia"/>
                <w:color w:val="auto"/>
              </w:rPr>
              <w:t>及能源</w:t>
            </w:r>
            <w:r>
              <w:rPr>
                <w:color w:val="auto"/>
              </w:rPr>
              <w:t>消耗情况</w:t>
            </w:r>
            <w:r>
              <w:rPr>
                <w:rFonts w:hint="eastAsia"/>
                <w:color w:val="auto"/>
              </w:rPr>
              <w:t xml:space="preserve"> </w:t>
            </w:r>
            <w:r>
              <w:rPr>
                <w:color w:val="auto"/>
              </w:rPr>
              <w:t xml:space="preserve">         </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640"/>
              <w:gridCol w:w="1108"/>
              <w:gridCol w:w="998"/>
              <w:gridCol w:w="1127"/>
              <w:gridCol w:w="1764"/>
              <w:gridCol w:w="1936"/>
            </w:tblGrid>
            <w:tr w14:paraId="74B5E6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3BAB8AB5">
                  <w:pPr>
                    <w:jc w:val="center"/>
                    <w:rPr>
                      <w:sz w:val="21"/>
                      <w:szCs w:val="21"/>
                    </w:rPr>
                  </w:pPr>
                  <w:bookmarkStart w:id="9" w:name="OLE_LINK2"/>
                  <w:bookmarkStart w:id="10" w:name="OLE_LINK1"/>
                  <w:r>
                    <w:rPr>
                      <w:sz w:val="21"/>
                      <w:szCs w:val="21"/>
                    </w:rPr>
                    <w:t>序号</w:t>
                  </w:r>
                </w:p>
              </w:tc>
              <w:tc>
                <w:tcPr>
                  <w:tcW w:w="1068" w:type="pct"/>
                  <w:gridSpan w:val="2"/>
                  <w:shd w:val="clear" w:color="auto" w:fill="auto"/>
                  <w:vAlign w:val="center"/>
                </w:tcPr>
                <w:p w14:paraId="3EF51380">
                  <w:pPr>
                    <w:jc w:val="center"/>
                    <w:rPr>
                      <w:sz w:val="21"/>
                      <w:szCs w:val="21"/>
                    </w:rPr>
                  </w:pPr>
                  <w:r>
                    <w:rPr>
                      <w:sz w:val="21"/>
                      <w:szCs w:val="21"/>
                    </w:rPr>
                    <w:t>名称</w:t>
                  </w:r>
                </w:p>
              </w:tc>
              <w:tc>
                <w:tcPr>
                  <w:tcW w:w="610" w:type="pct"/>
                  <w:shd w:val="clear" w:color="auto" w:fill="auto"/>
                  <w:vAlign w:val="center"/>
                </w:tcPr>
                <w:p w14:paraId="5AF9F5DB">
                  <w:pPr>
                    <w:jc w:val="center"/>
                    <w:rPr>
                      <w:sz w:val="21"/>
                      <w:szCs w:val="21"/>
                    </w:rPr>
                  </w:pPr>
                  <w:r>
                    <w:rPr>
                      <w:sz w:val="21"/>
                      <w:szCs w:val="21"/>
                    </w:rPr>
                    <w:t>来源</w:t>
                  </w:r>
                </w:p>
              </w:tc>
              <w:tc>
                <w:tcPr>
                  <w:tcW w:w="689" w:type="pct"/>
                  <w:shd w:val="clear" w:color="auto" w:fill="auto"/>
                  <w:vAlign w:val="center"/>
                </w:tcPr>
                <w:p w14:paraId="4259C307">
                  <w:pPr>
                    <w:jc w:val="center"/>
                    <w:rPr>
                      <w:sz w:val="21"/>
                      <w:szCs w:val="21"/>
                    </w:rPr>
                  </w:pPr>
                  <w:r>
                    <w:rPr>
                      <w:sz w:val="21"/>
                      <w:szCs w:val="21"/>
                    </w:rPr>
                    <w:t>状态</w:t>
                  </w:r>
                </w:p>
              </w:tc>
              <w:tc>
                <w:tcPr>
                  <w:tcW w:w="1078" w:type="pct"/>
                  <w:shd w:val="clear" w:color="auto" w:fill="auto"/>
                  <w:vAlign w:val="center"/>
                </w:tcPr>
                <w:p w14:paraId="089BAFAC">
                  <w:pPr>
                    <w:jc w:val="center"/>
                    <w:rPr>
                      <w:sz w:val="21"/>
                      <w:szCs w:val="21"/>
                    </w:rPr>
                  </w:pPr>
                  <w:r>
                    <w:rPr>
                      <w:sz w:val="21"/>
                      <w:szCs w:val="21"/>
                    </w:rPr>
                    <w:t>消耗量</w:t>
                  </w:r>
                </w:p>
              </w:tc>
              <w:tc>
                <w:tcPr>
                  <w:tcW w:w="1184" w:type="pct"/>
                  <w:shd w:val="clear" w:color="auto" w:fill="auto"/>
                  <w:vAlign w:val="center"/>
                </w:tcPr>
                <w:p w14:paraId="57AF21F0">
                  <w:pPr>
                    <w:jc w:val="center"/>
                    <w:rPr>
                      <w:sz w:val="21"/>
                      <w:szCs w:val="21"/>
                    </w:rPr>
                  </w:pPr>
                  <w:r>
                    <w:rPr>
                      <w:sz w:val="21"/>
                      <w:szCs w:val="21"/>
                    </w:rPr>
                    <w:t>备注</w:t>
                  </w:r>
                </w:p>
              </w:tc>
            </w:tr>
            <w:tr w14:paraId="20F265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01652969">
                  <w:pPr>
                    <w:jc w:val="center"/>
                    <w:rPr>
                      <w:sz w:val="21"/>
                      <w:szCs w:val="21"/>
                    </w:rPr>
                  </w:pPr>
                  <w:r>
                    <w:rPr>
                      <w:sz w:val="21"/>
                      <w:szCs w:val="21"/>
                    </w:rPr>
                    <w:t>水</w:t>
                  </w:r>
                  <w:r>
                    <w:rPr>
                      <w:rFonts w:hint="eastAsia"/>
                      <w:sz w:val="21"/>
                      <w:szCs w:val="21"/>
                    </w:rPr>
                    <w:t>泥稳定土</w:t>
                  </w:r>
                  <w:r>
                    <w:rPr>
                      <w:sz w:val="21"/>
                      <w:szCs w:val="21"/>
                    </w:rPr>
                    <w:t>生产线</w:t>
                  </w:r>
                </w:p>
              </w:tc>
            </w:tr>
            <w:tr w14:paraId="5EFD6A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0E234CBA">
                  <w:pPr>
                    <w:jc w:val="center"/>
                    <w:rPr>
                      <w:sz w:val="21"/>
                      <w:szCs w:val="21"/>
                    </w:rPr>
                  </w:pPr>
                  <w:r>
                    <w:rPr>
                      <w:sz w:val="21"/>
                      <w:szCs w:val="21"/>
                    </w:rPr>
                    <w:t>1</w:t>
                  </w:r>
                </w:p>
              </w:tc>
              <w:tc>
                <w:tcPr>
                  <w:tcW w:w="1068" w:type="pct"/>
                  <w:gridSpan w:val="2"/>
                  <w:shd w:val="clear" w:color="auto" w:fill="auto"/>
                  <w:vAlign w:val="center"/>
                </w:tcPr>
                <w:p w14:paraId="7B433FF0">
                  <w:pPr>
                    <w:jc w:val="center"/>
                    <w:rPr>
                      <w:sz w:val="21"/>
                      <w:szCs w:val="21"/>
                    </w:rPr>
                  </w:pPr>
                  <w:r>
                    <w:rPr>
                      <w:sz w:val="21"/>
                      <w:szCs w:val="21"/>
                    </w:rPr>
                    <w:t>水泥</w:t>
                  </w:r>
                </w:p>
              </w:tc>
              <w:tc>
                <w:tcPr>
                  <w:tcW w:w="610" w:type="pct"/>
                  <w:shd w:val="clear" w:color="auto" w:fill="auto"/>
                  <w:vAlign w:val="center"/>
                </w:tcPr>
                <w:p w14:paraId="5DF8E3DE">
                  <w:pPr>
                    <w:jc w:val="center"/>
                    <w:rPr>
                      <w:sz w:val="21"/>
                      <w:szCs w:val="21"/>
                    </w:rPr>
                  </w:pPr>
                  <w:r>
                    <w:rPr>
                      <w:sz w:val="21"/>
                      <w:szCs w:val="21"/>
                    </w:rPr>
                    <w:t>外购</w:t>
                  </w:r>
                </w:p>
              </w:tc>
              <w:tc>
                <w:tcPr>
                  <w:tcW w:w="689" w:type="pct"/>
                  <w:vMerge w:val="restart"/>
                  <w:shd w:val="clear" w:color="auto" w:fill="auto"/>
                  <w:vAlign w:val="center"/>
                </w:tcPr>
                <w:p w14:paraId="304A9FAE">
                  <w:pPr>
                    <w:jc w:val="center"/>
                    <w:rPr>
                      <w:sz w:val="21"/>
                      <w:szCs w:val="21"/>
                    </w:rPr>
                  </w:pPr>
                  <w:r>
                    <w:rPr>
                      <w:sz w:val="21"/>
                      <w:szCs w:val="21"/>
                    </w:rPr>
                    <w:t>粉末状</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39DC9C7F">
                  <w:pPr>
                    <w:jc w:val="center"/>
                    <w:rPr>
                      <w:sz w:val="21"/>
                      <w:szCs w:val="21"/>
                    </w:rPr>
                  </w:pPr>
                  <w:r>
                    <w:rPr>
                      <w:sz w:val="21"/>
                      <w:szCs w:val="21"/>
                    </w:rPr>
                    <w:t>38000t/a</w:t>
                  </w:r>
                </w:p>
              </w:tc>
              <w:tc>
                <w:tcPr>
                  <w:tcW w:w="1184" w:type="pct"/>
                  <w:vMerge w:val="restart"/>
                  <w:shd w:val="clear" w:color="auto" w:fill="auto"/>
                  <w:vAlign w:val="center"/>
                </w:tcPr>
                <w:p w14:paraId="5F6C7626">
                  <w:pPr>
                    <w:jc w:val="center"/>
                    <w:rPr>
                      <w:sz w:val="21"/>
                      <w:szCs w:val="21"/>
                    </w:rPr>
                  </w:pPr>
                  <w:r>
                    <w:rPr>
                      <w:sz w:val="21"/>
                      <w:szCs w:val="21"/>
                    </w:rPr>
                    <w:t>罐车运输</w:t>
                  </w:r>
                  <w:r>
                    <w:rPr>
                      <w:rFonts w:hint="eastAsia"/>
                      <w:sz w:val="21"/>
                      <w:szCs w:val="21"/>
                    </w:rPr>
                    <w:t>，筒仓储存</w:t>
                  </w:r>
                </w:p>
              </w:tc>
            </w:tr>
            <w:tr w14:paraId="67A26A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3AF00EEF">
                  <w:pPr>
                    <w:jc w:val="center"/>
                    <w:rPr>
                      <w:sz w:val="21"/>
                      <w:szCs w:val="21"/>
                    </w:rPr>
                  </w:pPr>
                  <w:r>
                    <w:rPr>
                      <w:sz w:val="21"/>
                      <w:szCs w:val="21"/>
                    </w:rPr>
                    <w:t>2</w:t>
                  </w:r>
                </w:p>
              </w:tc>
              <w:tc>
                <w:tcPr>
                  <w:tcW w:w="1068" w:type="pct"/>
                  <w:gridSpan w:val="2"/>
                  <w:shd w:val="clear" w:color="auto" w:fill="auto"/>
                  <w:vAlign w:val="center"/>
                </w:tcPr>
                <w:p w14:paraId="2679B101">
                  <w:pPr>
                    <w:jc w:val="center"/>
                    <w:rPr>
                      <w:sz w:val="21"/>
                      <w:szCs w:val="21"/>
                    </w:rPr>
                  </w:pPr>
                  <w:r>
                    <w:rPr>
                      <w:sz w:val="21"/>
                      <w:szCs w:val="21"/>
                    </w:rPr>
                    <w:t>粉煤灰</w:t>
                  </w:r>
                </w:p>
              </w:tc>
              <w:tc>
                <w:tcPr>
                  <w:tcW w:w="610" w:type="pct"/>
                  <w:shd w:val="clear" w:color="auto" w:fill="auto"/>
                  <w:vAlign w:val="center"/>
                </w:tcPr>
                <w:p w14:paraId="25884676">
                  <w:pPr>
                    <w:jc w:val="center"/>
                    <w:rPr>
                      <w:sz w:val="21"/>
                      <w:szCs w:val="21"/>
                    </w:rPr>
                  </w:pPr>
                  <w:r>
                    <w:rPr>
                      <w:sz w:val="21"/>
                      <w:szCs w:val="21"/>
                    </w:rPr>
                    <w:t>外购</w:t>
                  </w:r>
                </w:p>
              </w:tc>
              <w:tc>
                <w:tcPr>
                  <w:tcW w:w="689" w:type="pct"/>
                  <w:vMerge w:val="continue"/>
                  <w:shd w:val="clear" w:color="auto" w:fill="auto"/>
                  <w:vAlign w:val="center"/>
                </w:tcPr>
                <w:p w14:paraId="7803E133">
                  <w:pPr>
                    <w:jc w:val="center"/>
                    <w:rPr>
                      <w:sz w:val="21"/>
                      <w:szCs w:val="21"/>
                    </w:rPr>
                  </w:pPr>
                </w:p>
              </w:tc>
              <w:tc>
                <w:tcPr>
                  <w:tcW w:w="1078" w:type="pct"/>
                  <w:tcBorders>
                    <w:top w:val="nil"/>
                    <w:left w:val="single" w:color="auto" w:sz="4" w:space="0"/>
                    <w:bottom w:val="single" w:color="auto" w:sz="4" w:space="0"/>
                    <w:right w:val="single" w:color="auto" w:sz="4" w:space="0"/>
                  </w:tcBorders>
                  <w:shd w:val="clear" w:color="auto" w:fill="auto"/>
                  <w:vAlign w:val="center"/>
                </w:tcPr>
                <w:p w14:paraId="47E3548B">
                  <w:pPr>
                    <w:jc w:val="center"/>
                    <w:rPr>
                      <w:sz w:val="21"/>
                      <w:szCs w:val="21"/>
                    </w:rPr>
                  </w:pPr>
                  <w:r>
                    <w:rPr>
                      <w:sz w:val="21"/>
                      <w:szCs w:val="21"/>
                    </w:rPr>
                    <w:t>95100t/a</w:t>
                  </w:r>
                </w:p>
              </w:tc>
              <w:tc>
                <w:tcPr>
                  <w:tcW w:w="1184" w:type="pct"/>
                  <w:vMerge w:val="continue"/>
                  <w:shd w:val="clear" w:color="auto" w:fill="auto"/>
                  <w:vAlign w:val="center"/>
                </w:tcPr>
                <w:p w14:paraId="772F2B70">
                  <w:pPr>
                    <w:jc w:val="center"/>
                    <w:rPr>
                      <w:sz w:val="21"/>
                      <w:szCs w:val="21"/>
                    </w:rPr>
                  </w:pPr>
                </w:p>
              </w:tc>
            </w:tr>
            <w:tr w14:paraId="53E1C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5CE8829B">
                  <w:pPr>
                    <w:jc w:val="center"/>
                    <w:rPr>
                      <w:sz w:val="21"/>
                      <w:szCs w:val="21"/>
                    </w:rPr>
                  </w:pPr>
                  <w:r>
                    <w:rPr>
                      <w:sz w:val="21"/>
                      <w:szCs w:val="21"/>
                    </w:rPr>
                    <w:t>3</w:t>
                  </w:r>
                </w:p>
              </w:tc>
              <w:tc>
                <w:tcPr>
                  <w:tcW w:w="1068" w:type="pct"/>
                  <w:gridSpan w:val="2"/>
                  <w:shd w:val="clear" w:color="auto" w:fill="auto"/>
                  <w:vAlign w:val="center"/>
                </w:tcPr>
                <w:p w14:paraId="5EE7545D">
                  <w:pPr>
                    <w:jc w:val="center"/>
                    <w:rPr>
                      <w:sz w:val="21"/>
                      <w:szCs w:val="21"/>
                    </w:rPr>
                  </w:pPr>
                  <w:r>
                    <w:rPr>
                      <w:sz w:val="21"/>
                      <w:szCs w:val="21"/>
                    </w:rPr>
                    <w:t>碎石</w:t>
                  </w:r>
                </w:p>
              </w:tc>
              <w:tc>
                <w:tcPr>
                  <w:tcW w:w="610" w:type="pct"/>
                  <w:shd w:val="clear" w:color="auto" w:fill="auto"/>
                  <w:vAlign w:val="center"/>
                </w:tcPr>
                <w:p w14:paraId="6B9C6EBD">
                  <w:pPr>
                    <w:jc w:val="center"/>
                    <w:rPr>
                      <w:sz w:val="21"/>
                      <w:szCs w:val="21"/>
                    </w:rPr>
                  </w:pPr>
                  <w:r>
                    <w:rPr>
                      <w:sz w:val="21"/>
                      <w:szCs w:val="21"/>
                    </w:rPr>
                    <w:t>外购</w:t>
                  </w:r>
                </w:p>
              </w:tc>
              <w:tc>
                <w:tcPr>
                  <w:tcW w:w="689" w:type="pct"/>
                  <w:shd w:val="clear" w:color="auto" w:fill="auto"/>
                  <w:vAlign w:val="center"/>
                </w:tcPr>
                <w:p w14:paraId="6B514BA2">
                  <w:pPr>
                    <w:jc w:val="center"/>
                    <w:rPr>
                      <w:sz w:val="21"/>
                      <w:szCs w:val="21"/>
                    </w:rPr>
                  </w:pPr>
                  <w:r>
                    <w:rPr>
                      <w:sz w:val="21"/>
                      <w:szCs w:val="21"/>
                    </w:rPr>
                    <w:t>块状</w:t>
                  </w:r>
                </w:p>
              </w:tc>
              <w:tc>
                <w:tcPr>
                  <w:tcW w:w="1078" w:type="pct"/>
                  <w:tcBorders>
                    <w:top w:val="nil"/>
                    <w:left w:val="single" w:color="auto" w:sz="4" w:space="0"/>
                    <w:bottom w:val="single" w:color="auto" w:sz="4" w:space="0"/>
                    <w:right w:val="single" w:color="auto" w:sz="4" w:space="0"/>
                  </w:tcBorders>
                  <w:shd w:val="clear" w:color="auto" w:fill="auto"/>
                  <w:vAlign w:val="center"/>
                </w:tcPr>
                <w:p w14:paraId="28CF732C">
                  <w:pPr>
                    <w:jc w:val="center"/>
                    <w:rPr>
                      <w:sz w:val="21"/>
                      <w:szCs w:val="21"/>
                    </w:rPr>
                  </w:pPr>
                  <w:r>
                    <w:rPr>
                      <w:sz w:val="21"/>
                      <w:szCs w:val="21"/>
                    </w:rPr>
                    <w:t>818767t/a</w:t>
                  </w:r>
                </w:p>
              </w:tc>
              <w:tc>
                <w:tcPr>
                  <w:tcW w:w="1184" w:type="pct"/>
                  <w:shd w:val="clear" w:color="auto" w:fill="auto"/>
                  <w:vAlign w:val="center"/>
                </w:tcPr>
                <w:p w14:paraId="3982396C">
                  <w:pPr>
                    <w:ind w:firstLine="210" w:firstLineChars="100"/>
                    <w:rPr>
                      <w:sz w:val="21"/>
                      <w:szCs w:val="21"/>
                    </w:rPr>
                  </w:pPr>
                  <w:r>
                    <w:rPr>
                      <w:sz w:val="21"/>
                      <w:szCs w:val="21"/>
                    </w:rPr>
                    <w:t>专运车辆运输</w:t>
                  </w:r>
                  <w:r>
                    <w:rPr>
                      <w:rFonts w:hint="eastAsia"/>
                      <w:sz w:val="21"/>
                      <w:szCs w:val="21"/>
                    </w:rPr>
                    <w:t>，半封闭料仓储存</w:t>
                  </w:r>
                </w:p>
              </w:tc>
            </w:tr>
            <w:tr w14:paraId="7FD754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0F87EEA">
                  <w:pPr>
                    <w:jc w:val="center"/>
                    <w:rPr>
                      <w:sz w:val="21"/>
                      <w:szCs w:val="21"/>
                    </w:rPr>
                  </w:pPr>
                  <w:r>
                    <w:rPr>
                      <w:rFonts w:hint="eastAsia"/>
                      <w:sz w:val="21"/>
                      <w:szCs w:val="21"/>
                    </w:rPr>
                    <w:t>4</w:t>
                  </w:r>
                </w:p>
              </w:tc>
              <w:tc>
                <w:tcPr>
                  <w:tcW w:w="1068" w:type="pct"/>
                  <w:gridSpan w:val="2"/>
                  <w:shd w:val="clear" w:color="auto" w:fill="auto"/>
                  <w:vAlign w:val="center"/>
                </w:tcPr>
                <w:p w14:paraId="0829DB69">
                  <w:pPr>
                    <w:jc w:val="center"/>
                    <w:rPr>
                      <w:sz w:val="21"/>
                      <w:szCs w:val="21"/>
                    </w:rPr>
                  </w:pPr>
                  <w:r>
                    <w:rPr>
                      <w:rFonts w:hint="eastAsia"/>
                      <w:sz w:val="21"/>
                      <w:szCs w:val="21"/>
                    </w:rPr>
                    <w:t>水</w:t>
                  </w:r>
                </w:p>
              </w:tc>
              <w:tc>
                <w:tcPr>
                  <w:tcW w:w="610" w:type="pct"/>
                  <w:shd w:val="clear" w:color="auto" w:fill="auto"/>
                  <w:vAlign w:val="center"/>
                </w:tcPr>
                <w:p w14:paraId="48D2FD1F">
                  <w:pPr>
                    <w:jc w:val="center"/>
                    <w:rPr>
                      <w:sz w:val="21"/>
                      <w:szCs w:val="21"/>
                    </w:rPr>
                  </w:pPr>
                  <w:r>
                    <w:rPr>
                      <w:rFonts w:hint="eastAsia"/>
                      <w:sz w:val="21"/>
                      <w:szCs w:val="21"/>
                    </w:rPr>
                    <w:t>管网供给</w:t>
                  </w:r>
                </w:p>
              </w:tc>
              <w:tc>
                <w:tcPr>
                  <w:tcW w:w="689" w:type="pct"/>
                  <w:shd w:val="clear" w:color="auto" w:fill="auto"/>
                  <w:vAlign w:val="center"/>
                </w:tcPr>
                <w:p w14:paraId="61456E05">
                  <w:pPr>
                    <w:jc w:val="center"/>
                    <w:rPr>
                      <w:sz w:val="21"/>
                      <w:szCs w:val="21"/>
                    </w:rPr>
                  </w:pPr>
                  <w:r>
                    <w:rPr>
                      <w:rFonts w:hint="eastAsia"/>
                      <w:sz w:val="21"/>
                      <w:szCs w:val="21"/>
                    </w:rPr>
                    <w:t>/</w:t>
                  </w:r>
                </w:p>
              </w:tc>
              <w:tc>
                <w:tcPr>
                  <w:tcW w:w="1078" w:type="pct"/>
                  <w:tcBorders>
                    <w:top w:val="nil"/>
                    <w:left w:val="single" w:color="auto" w:sz="4" w:space="0"/>
                    <w:bottom w:val="single" w:color="auto" w:sz="4" w:space="0"/>
                    <w:right w:val="single" w:color="auto" w:sz="4" w:space="0"/>
                  </w:tcBorders>
                  <w:shd w:val="clear" w:color="auto" w:fill="auto"/>
                  <w:vAlign w:val="center"/>
                </w:tcPr>
                <w:p w14:paraId="3F9A94E7">
                  <w:pPr>
                    <w:jc w:val="center"/>
                    <w:rPr>
                      <w:sz w:val="21"/>
                      <w:szCs w:val="21"/>
                    </w:rPr>
                  </w:pPr>
                  <w:r>
                    <w:rPr>
                      <w:rFonts w:hint="eastAsia"/>
                      <w:sz w:val="21"/>
                      <w:szCs w:val="21"/>
                    </w:rPr>
                    <w:t>4</w:t>
                  </w:r>
                  <w:r>
                    <w:rPr>
                      <w:sz w:val="21"/>
                      <w:szCs w:val="21"/>
                    </w:rPr>
                    <w:t>9100t/a</w:t>
                  </w:r>
                </w:p>
              </w:tc>
              <w:tc>
                <w:tcPr>
                  <w:tcW w:w="1184" w:type="pct"/>
                  <w:shd w:val="clear" w:color="auto" w:fill="auto"/>
                  <w:vAlign w:val="center"/>
                </w:tcPr>
                <w:p w14:paraId="284F28A7">
                  <w:pPr>
                    <w:ind w:firstLine="210" w:firstLineChars="100"/>
                    <w:rPr>
                      <w:sz w:val="21"/>
                      <w:szCs w:val="21"/>
                    </w:rPr>
                  </w:pPr>
                </w:p>
              </w:tc>
            </w:tr>
            <w:tr w14:paraId="0668B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17A740AB">
                  <w:pPr>
                    <w:jc w:val="center"/>
                    <w:rPr>
                      <w:sz w:val="21"/>
                      <w:szCs w:val="21"/>
                    </w:rPr>
                  </w:pPr>
                  <w:r>
                    <w:rPr>
                      <w:sz w:val="21"/>
                      <w:szCs w:val="21"/>
                    </w:rPr>
                    <w:t>沥青</w:t>
                  </w:r>
                  <w:r>
                    <w:rPr>
                      <w:rFonts w:hint="eastAsia"/>
                      <w:sz w:val="21"/>
                      <w:szCs w:val="21"/>
                    </w:rPr>
                    <w:t>混凝土</w:t>
                  </w:r>
                  <w:r>
                    <w:rPr>
                      <w:sz w:val="21"/>
                      <w:szCs w:val="21"/>
                    </w:rPr>
                    <w:t>生产线</w:t>
                  </w:r>
                </w:p>
              </w:tc>
            </w:tr>
            <w:tr w14:paraId="682159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96852E9">
                  <w:pPr>
                    <w:jc w:val="center"/>
                    <w:rPr>
                      <w:sz w:val="21"/>
                      <w:szCs w:val="21"/>
                    </w:rPr>
                  </w:pPr>
                  <w:r>
                    <w:rPr>
                      <w:sz w:val="21"/>
                      <w:szCs w:val="21"/>
                    </w:rPr>
                    <w:t>1</w:t>
                  </w:r>
                </w:p>
              </w:tc>
              <w:tc>
                <w:tcPr>
                  <w:tcW w:w="1068" w:type="pct"/>
                  <w:gridSpan w:val="2"/>
                  <w:shd w:val="clear" w:color="auto" w:fill="auto"/>
                  <w:vAlign w:val="center"/>
                </w:tcPr>
                <w:p w14:paraId="32419B99">
                  <w:pPr>
                    <w:jc w:val="center"/>
                    <w:rPr>
                      <w:sz w:val="21"/>
                      <w:szCs w:val="21"/>
                    </w:rPr>
                  </w:pPr>
                  <w:r>
                    <w:rPr>
                      <w:sz w:val="21"/>
                      <w:szCs w:val="21"/>
                    </w:rPr>
                    <w:t>碎石</w:t>
                  </w:r>
                </w:p>
              </w:tc>
              <w:tc>
                <w:tcPr>
                  <w:tcW w:w="610" w:type="pct"/>
                  <w:shd w:val="clear" w:color="auto" w:fill="auto"/>
                  <w:vAlign w:val="center"/>
                </w:tcPr>
                <w:p w14:paraId="19FB063D">
                  <w:pPr>
                    <w:jc w:val="center"/>
                    <w:rPr>
                      <w:sz w:val="21"/>
                      <w:szCs w:val="21"/>
                    </w:rPr>
                  </w:pPr>
                  <w:r>
                    <w:rPr>
                      <w:sz w:val="21"/>
                      <w:szCs w:val="21"/>
                    </w:rPr>
                    <w:t>外购</w:t>
                  </w:r>
                </w:p>
              </w:tc>
              <w:tc>
                <w:tcPr>
                  <w:tcW w:w="689" w:type="pct"/>
                  <w:shd w:val="clear" w:color="auto" w:fill="auto"/>
                  <w:vAlign w:val="center"/>
                </w:tcPr>
                <w:p w14:paraId="4E2B1AD7">
                  <w:pPr>
                    <w:jc w:val="center"/>
                    <w:rPr>
                      <w:sz w:val="21"/>
                      <w:szCs w:val="21"/>
                    </w:rPr>
                  </w:pPr>
                  <w:r>
                    <w:rPr>
                      <w:sz w:val="21"/>
                      <w:szCs w:val="21"/>
                    </w:rPr>
                    <w:t>块状</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66B18B49">
                  <w:pPr>
                    <w:jc w:val="center"/>
                    <w:rPr>
                      <w:sz w:val="21"/>
                      <w:szCs w:val="21"/>
                    </w:rPr>
                  </w:pPr>
                  <w:r>
                    <w:rPr>
                      <w:sz w:val="21"/>
                      <w:szCs w:val="21"/>
                    </w:rPr>
                    <w:t>669792t/a</w:t>
                  </w:r>
                </w:p>
              </w:tc>
              <w:tc>
                <w:tcPr>
                  <w:tcW w:w="1184" w:type="pct"/>
                  <w:shd w:val="clear" w:color="auto" w:fill="auto"/>
                  <w:vAlign w:val="center"/>
                </w:tcPr>
                <w:p w14:paraId="44395FE9">
                  <w:pPr>
                    <w:jc w:val="center"/>
                    <w:rPr>
                      <w:sz w:val="21"/>
                      <w:szCs w:val="21"/>
                    </w:rPr>
                  </w:pPr>
                  <w:r>
                    <w:rPr>
                      <w:sz w:val="21"/>
                      <w:szCs w:val="21"/>
                    </w:rPr>
                    <w:t>专运车辆运输</w:t>
                  </w:r>
                  <w:r>
                    <w:rPr>
                      <w:rFonts w:hint="eastAsia"/>
                      <w:sz w:val="21"/>
                      <w:szCs w:val="21"/>
                    </w:rPr>
                    <w:t>，半封闭料仓储存</w:t>
                  </w:r>
                </w:p>
              </w:tc>
            </w:tr>
            <w:tr w14:paraId="763378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62669332">
                  <w:pPr>
                    <w:jc w:val="center"/>
                    <w:rPr>
                      <w:sz w:val="21"/>
                      <w:szCs w:val="21"/>
                    </w:rPr>
                  </w:pPr>
                  <w:r>
                    <w:rPr>
                      <w:sz w:val="21"/>
                      <w:szCs w:val="21"/>
                    </w:rPr>
                    <w:t>2</w:t>
                  </w:r>
                </w:p>
              </w:tc>
              <w:tc>
                <w:tcPr>
                  <w:tcW w:w="1068" w:type="pct"/>
                  <w:gridSpan w:val="2"/>
                  <w:shd w:val="clear" w:color="auto" w:fill="auto"/>
                  <w:vAlign w:val="center"/>
                </w:tcPr>
                <w:p w14:paraId="1429D76F">
                  <w:pPr>
                    <w:jc w:val="center"/>
                    <w:rPr>
                      <w:sz w:val="21"/>
                      <w:szCs w:val="21"/>
                    </w:rPr>
                  </w:pPr>
                  <w:r>
                    <w:rPr>
                      <w:sz w:val="21"/>
                      <w:szCs w:val="21"/>
                    </w:rPr>
                    <w:t>矿粉</w:t>
                  </w:r>
                </w:p>
              </w:tc>
              <w:tc>
                <w:tcPr>
                  <w:tcW w:w="610" w:type="pct"/>
                  <w:shd w:val="clear" w:color="auto" w:fill="auto"/>
                  <w:vAlign w:val="center"/>
                </w:tcPr>
                <w:p w14:paraId="243A70E0">
                  <w:pPr>
                    <w:jc w:val="center"/>
                    <w:rPr>
                      <w:sz w:val="21"/>
                      <w:szCs w:val="21"/>
                    </w:rPr>
                  </w:pPr>
                  <w:r>
                    <w:rPr>
                      <w:sz w:val="21"/>
                      <w:szCs w:val="21"/>
                    </w:rPr>
                    <w:t>外购</w:t>
                  </w:r>
                </w:p>
              </w:tc>
              <w:tc>
                <w:tcPr>
                  <w:tcW w:w="689" w:type="pct"/>
                  <w:shd w:val="clear" w:color="auto" w:fill="auto"/>
                  <w:vAlign w:val="center"/>
                </w:tcPr>
                <w:p w14:paraId="71091A03">
                  <w:pPr>
                    <w:jc w:val="center"/>
                    <w:rPr>
                      <w:sz w:val="21"/>
                      <w:szCs w:val="21"/>
                    </w:rPr>
                  </w:pPr>
                  <w:r>
                    <w:rPr>
                      <w:sz w:val="21"/>
                      <w:szCs w:val="21"/>
                    </w:rPr>
                    <w:t>粉末状</w:t>
                  </w:r>
                </w:p>
              </w:tc>
              <w:tc>
                <w:tcPr>
                  <w:tcW w:w="1078" w:type="pct"/>
                  <w:tcBorders>
                    <w:top w:val="nil"/>
                    <w:left w:val="single" w:color="auto" w:sz="4" w:space="0"/>
                    <w:bottom w:val="single" w:color="auto" w:sz="4" w:space="0"/>
                    <w:right w:val="single" w:color="auto" w:sz="4" w:space="0"/>
                  </w:tcBorders>
                  <w:shd w:val="clear" w:color="auto" w:fill="auto"/>
                  <w:vAlign w:val="center"/>
                </w:tcPr>
                <w:p w14:paraId="0537E0BA">
                  <w:pPr>
                    <w:jc w:val="center"/>
                    <w:rPr>
                      <w:sz w:val="21"/>
                      <w:szCs w:val="21"/>
                    </w:rPr>
                  </w:pPr>
                  <w:r>
                    <w:rPr>
                      <w:sz w:val="21"/>
                      <w:szCs w:val="21"/>
                    </w:rPr>
                    <w:t>18216t/a</w:t>
                  </w:r>
                </w:p>
              </w:tc>
              <w:tc>
                <w:tcPr>
                  <w:tcW w:w="1184" w:type="pct"/>
                  <w:shd w:val="clear" w:color="auto" w:fill="auto"/>
                  <w:vAlign w:val="center"/>
                </w:tcPr>
                <w:p w14:paraId="4BB4E7F5">
                  <w:pPr>
                    <w:jc w:val="center"/>
                    <w:rPr>
                      <w:sz w:val="21"/>
                      <w:szCs w:val="21"/>
                    </w:rPr>
                  </w:pPr>
                  <w:r>
                    <w:rPr>
                      <w:sz w:val="21"/>
                      <w:szCs w:val="21"/>
                    </w:rPr>
                    <w:t>罐车运输</w:t>
                  </w:r>
                  <w:r>
                    <w:rPr>
                      <w:rFonts w:hint="eastAsia"/>
                      <w:sz w:val="21"/>
                      <w:szCs w:val="21"/>
                    </w:rPr>
                    <w:t>，</w:t>
                  </w:r>
                  <w:r>
                    <w:rPr>
                      <w:sz w:val="21"/>
                      <w:szCs w:val="21"/>
                    </w:rPr>
                    <w:t>筒仓储存</w:t>
                  </w:r>
                </w:p>
              </w:tc>
            </w:tr>
            <w:tr w14:paraId="4C0D91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2F96057B">
                  <w:pPr>
                    <w:jc w:val="center"/>
                    <w:rPr>
                      <w:sz w:val="21"/>
                      <w:szCs w:val="21"/>
                    </w:rPr>
                  </w:pPr>
                  <w:r>
                    <w:rPr>
                      <w:sz w:val="21"/>
                      <w:szCs w:val="21"/>
                    </w:rPr>
                    <w:t>3</w:t>
                  </w:r>
                </w:p>
              </w:tc>
              <w:tc>
                <w:tcPr>
                  <w:tcW w:w="1068" w:type="pct"/>
                  <w:gridSpan w:val="2"/>
                  <w:shd w:val="clear" w:color="auto" w:fill="auto"/>
                  <w:vAlign w:val="center"/>
                </w:tcPr>
                <w:p w14:paraId="295CFCE7">
                  <w:pPr>
                    <w:jc w:val="center"/>
                    <w:rPr>
                      <w:sz w:val="21"/>
                      <w:szCs w:val="21"/>
                    </w:rPr>
                  </w:pPr>
                  <w:r>
                    <w:rPr>
                      <w:sz w:val="21"/>
                      <w:szCs w:val="21"/>
                    </w:rPr>
                    <w:t>沥青</w:t>
                  </w:r>
                </w:p>
              </w:tc>
              <w:tc>
                <w:tcPr>
                  <w:tcW w:w="610" w:type="pct"/>
                  <w:shd w:val="clear" w:color="auto" w:fill="auto"/>
                  <w:vAlign w:val="center"/>
                </w:tcPr>
                <w:p w14:paraId="6F5EECC0">
                  <w:pPr>
                    <w:jc w:val="center"/>
                    <w:rPr>
                      <w:sz w:val="21"/>
                      <w:szCs w:val="21"/>
                    </w:rPr>
                  </w:pPr>
                  <w:r>
                    <w:rPr>
                      <w:sz w:val="21"/>
                      <w:szCs w:val="21"/>
                    </w:rPr>
                    <w:t>外购</w:t>
                  </w:r>
                </w:p>
              </w:tc>
              <w:tc>
                <w:tcPr>
                  <w:tcW w:w="689" w:type="pct"/>
                  <w:shd w:val="clear" w:color="auto" w:fill="auto"/>
                  <w:vAlign w:val="center"/>
                </w:tcPr>
                <w:p w14:paraId="27AD82DA">
                  <w:pPr>
                    <w:jc w:val="center"/>
                    <w:rPr>
                      <w:sz w:val="21"/>
                      <w:szCs w:val="21"/>
                    </w:rPr>
                  </w:pPr>
                  <w:r>
                    <w:rPr>
                      <w:sz w:val="21"/>
                      <w:szCs w:val="21"/>
                    </w:rPr>
                    <w:t>半液态</w:t>
                  </w:r>
                </w:p>
              </w:tc>
              <w:tc>
                <w:tcPr>
                  <w:tcW w:w="1078" w:type="pct"/>
                  <w:tcBorders>
                    <w:top w:val="nil"/>
                    <w:left w:val="single" w:color="auto" w:sz="4" w:space="0"/>
                    <w:bottom w:val="single" w:color="auto" w:sz="4" w:space="0"/>
                    <w:right w:val="single" w:color="auto" w:sz="4" w:space="0"/>
                  </w:tcBorders>
                  <w:shd w:val="clear" w:color="auto" w:fill="auto"/>
                  <w:vAlign w:val="center"/>
                </w:tcPr>
                <w:p w14:paraId="4681BDD6">
                  <w:pPr>
                    <w:jc w:val="center"/>
                    <w:rPr>
                      <w:sz w:val="21"/>
                      <w:szCs w:val="21"/>
                    </w:rPr>
                  </w:pPr>
                  <w:r>
                    <w:rPr>
                      <w:sz w:val="21"/>
                      <w:szCs w:val="21"/>
                    </w:rPr>
                    <w:t>32832t/a</w:t>
                  </w:r>
                </w:p>
              </w:tc>
              <w:tc>
                <w:tcPr>
                  <w:tcW w:w="1184" w:type="pct"/>
                  <w:shd w:val="clear" w:color="auto" w:fill="auto"/>
                  <w:vAlign w:val="center"/>
                </w:tcPr>
                <w:p w14:paraId="7A5C9002">
                  <w:pPr>
                    <w:jc w:val="center"/>
                    <w:rPr>
                      <w:sz w:val="21"/>
                      <w:szCs w:val="21"/>
                    </w:rPr>
                  </w:pPr>
                  <w:r>
                    <w:rPr>
                      <w:sz w:val="21"/>
                      <w:szCs w:val="21"/>
                    </w:rPr>
                    <w:t>罐车运输</w:t>
                  </w:r>
                  <w:r>
                    <w:rPr>
                      <w:rFonts w:hint="eastAsia"/>
                      <w:sz w:val="21"/>
                      <w:szCs w:val="21"/>
                    </w:rPr>
                    <w:t>，沥青储罐</w:t>
                  </w:r>
                </w:p>
              </w:tc>
            </w:tr>
            <w:tr w14:paraId="37B34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3F9AFB9B">
                  <w:pPr>
                    <w:jc w:val="center"/>
                    <w:rPr>
                      <w:sz w:val="21"/>
                      <w:szCs w:val="21"/>
                    </w:rPr>
                  </w:pPr>
                  <w:r>
                    <w:rPr>
                      <w:rFonts w:hint="eastAsia"/>
                      <w:sz w:val="21"/>
                      <w:szCs w:val="21"/>
                    </w:rPr>
                    <w:t>水泥</w:t>
                  </w:r>
                  <w:r>
                    <w:rPr>
                      <w:sz w:val="21"/>
                      <w:szCs w:val="21"/>
                    </w:rPr>
                    <w:t>混凝土生产线</w:t>
                  </w:r>
                </w:p>
              </w:tc>
            </w:tr>
            <w:tr w14:paraId="540CF4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4C4A7B9">
                  <w:pPr>
                    <w:jc w:val="center"/>
                    <w:rPr>
                      <w:sz w:val="21"/>
                      <w:szCs w:val="21"/>
                    </w:rPr>
                  </w:pPr>
                  <w:r>
                    <w:rPr>
                      <w:sz w:val="21"/>
                      <w:szCs w:val="21"/>
                    </w:rPr>
                    <w:t>1</w:t>
                  </w:r>
                </w:p>
              </w:tc>
              <w:tc>
                <w:tcPr>
                  <w:tcW w:w="1068" w:type="pct"/>
                  <w:gridSpan w:val="2"/>
                  <w:shd w:val="clear" w:color="auto" w:fill="auto"/>
                  <w:vAlign w:val="center"/>
                </w:tcPr>
                <w:p w14:paraId="37634DDB">
                  <w:pPr>
                    <w:jc w:val="center"/>
                    <w:rPr>
                      <w:sz w:val="21"/>
                      <w:szCs w:val="21"/>
                    </w:rPr>
                  </w:pPr>
                  <w:r>
                    <w:rPr>
                      <w:sz w:val="21"/>
                      <w:szCs w:val="21"/>
                    </w:rPr>
                    <w:t>碎石</w:t>
                  </w:r>
                </w:p>
              </w:tc>
              <w:tc>
                <w:tcPr>
                  <w:tcW w:w="610" w:type="pct"/>
                  <w:shd w:val="clear" w:color="auto" w:fill="auto"/>
                  <w:vAlign w:val="center"/>
                </w:tcPr>
                <w:p w14:paraId="77AEA8E4">
                  <w:pPr>
                    <w:jc w:val="center"/>
                    <w:rPr>
                      <w:sz w:val="21"/>
                      <w:szCs w:val="21"/>
                    </w:rPr>
                  </w:pPr>
                  <w:r>
                    <w:rPr>
                      <w:sz w:val="21"/>
                      <w:szCs w:val="21"/>
                    </w:rPr>
                    <w:t>外购</w:t>
                  </w:r>
                </w:p>
              </w:tc>
              <w:tc>
                <w:tcPr>
                  <w:tcW w:w="689" w:type="pct"/>
                  <w:shd w:val="clear" w:color="auto" w:fill="auto"/>
                  <w:vAlign w:val="center"/>
                </w:tcPr>
                <w:p w14:paraId="029226F9">
                  <w:pPr>
                    <w:jc w:val="center"/>
                    <w:rPr>
                      <w:sz w:val="21"/>
                      <w:szCs w:val="21"/>
                    </w:rPr>
                  </w:pPr>
                  <w:r>
                    <w:rPr>
                      <w:sz w:val="21"/>
                      <w:szCs w:val="21"/>
                    </w:rPr>
                    <w:t>块状</w:t>
                  </w:r>
                </w:p>
              </w:tc>
              <w:tc>
                <w:tcPr>
                  <w:tcW w:w="1078" w:type="pct"/>
                  <w:shd w:val="clear" w:color="auto" w:fill="auto"/>
                  <w:vAlign w:val="center"/>
                </w:tcPr>
                <w:p w14:paraId="3BEDC08D">
                  <w:pPr>
                    <w:jc w:val="center"/>
                    <w:rPr>
                      <w:sz w:val="21"/>
                      <w:szCs w:val="21"/>
                    </w:rPr>
                  </w:pPr>
                  <w:r>
                    <w:rPr>
                      <w:sz w:val="21"/>
                      <w:szCs w:val="21"/>
                    </w:rPr>
                    <w:t>68541t</w:t>
                  </w:r>
                </w:p>
              </w:tc>
              <w:tc>
                <w:tcPr>
                  <w:tcW w:w="1184" w:type="pct"/>
                  <w:shd w:val="clear" w:color="auto" w:fill="auto"/>
                  <w:vAlign w:val="center"/>
                </w:tcPr>
                <w:p w14:paraId="2B00AD81">
                  <w:pPr>
                    <w:jc w:val="center"/>
                    <w:rPr>
                      <w:sz w:val="21"/>
                      <w:szCs w:val="21"/>
                    </w:rPr>
                  </w:pPr>
                  <w:r>
                    <w:rPr>
                      <w:sz w:val="21"/>
                      <w:szCs w:val="21"/>
                    </w:rPr>
                    <w:t>专运车辆运输</w:t>
                  </w:r>
                  <w:r>
                    <w:rPr>
                      <w:rFonts w:hint="eastAsia"/>
                      <w:sz w:val="21"/>
                      <w:szCs w:val="21"/>
                    </w:rPr>
                    <w:t>，半封闭料仓储存</w:t>
                  </w:r>
                </w:p>
              </w:tc>
            </w:tr>
            <w:tr w14:paraId="2608E1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0D95266F">
                  <w:pPr>
                    <w:jc w:val="center"/>
                    <w:rPr>
                      <w:sz w:val="21"/>
                      <w:szCs w:val="21"/>
                    </w:rPr>
                  </w:pPr>
                  <w:r>
                    <w:rPr>
                      <w:rFonts w:hint="eastAsia"/>
                      <w:sz w:val="21"/>
                      <w:szCs w:val="21"/>
                    </w:rPr>
                    <w:t>2</w:t>
                  </w:r>
                </w:p>
              </w:tc>
              <w:tc>
                <w:tcPr>
                  <w:tcW w:w="1068" w:type="pct"/>
                  <w:gridSpan w:val="2"/>
                  <w:shd w:val="clear" w:color="auto" w:fill="auto"/>
                  <w:vAlign w:val="center"/>
                </w:tcPr>
                <w:p w14:paraId="2DF01C02">
                  <w:pPr>
                    <w:jc w:val="center"/>
                    <w:rPr>
                      <w:sz w:val="21"/>
                      <w:szCs w:val="21"/>
                    </w:rPr>
                  </w:pPr>
                  <w:r>
                    <w:rPr>
                      <w:rFonts w:hint="eastAsia"/>
                      <w:sz w:val="21"/>
                      <w:szCs w:val="21"/>
                    </w:rPr>
                    <w:t>砂</w:t>
                  </w:r>
                </w:p>
              </w:tc>
              <w:tc>
                <w:tcPr>
                  <w:tcW w:w="610" w:type="pct"/>
                  <w:shd w:val="clear" w:color="auto" w:fill="auto"/>
                  <w:vAlign w:val="center"/>
                </w:tcPr>
                <w:p w14:paraId="6F6F4E98">
                  <w:pPr>
                    <w:jc w:val="center"/>
                    <w:rPr>
                      <w:sz w:val="21"/>
                      <w:szCs w:val="21"/>
                    </w:rPr>
                  </w:pPr>
                  <w:r>
                    <w:rPr>
                      <w:sz w:val="21"/>
                      <w:szCs w:val="21"/>
                    </w:rPr>
                    <w:t>外购</w:t>
                  </w:r>
                </w:p>
              </w:tc>
              <w:tc>
                <w:tcPr>
                  <w:tcW w:w="689" w:type="pct"/>
                  <w:shd w:val="clear" w:color="auto" w:fill="auto"/>
                  <w:vAlign w:val="center"/>
                </w:tcPr>
                <w:p w14:paraId="1C26FD34">
                  <w:pPr>
                    <w:jc w:val="center"/>
                    <w:rPr>
                      <w:sz w:val="21"/>
                      <w:szCs w:val="21"/>
                    </w:rPr>
                  </w:pPr>
                  <w:r>
                    <w:rPr>
                      <w:rFonts w:hint="eastAsia"/>
                      <w:sz w:val="21"/>
                      <w:szCs w:val="21"/>
                    </w:rPr>
                    <w:t>颗粒状</w:t>
                  </w:r>
                </w:p>
              </w:tc>
              <w:tc>
                <w:tcPr>
                  <w:tcW w:w="1078" w:type="pct"/>
                  <w:shd w:val="clear" w:color="auto" w:fill="auto"/>
                  <w:vAlign w:val="center"/>
                </w:tcPr>
                <w:p w14:paraId="1ECC8198">
                  <w:pPr>
                    <w:jc w:val="center"/>
                    <w:rPr>
                      <w:sz w:val="21"/>
                      <w:szCs w:val="21"/>
                    </w:rPr>
                  </w:pPr>
                  <w:r>
                    <w:rPr>
                      <w:sz w:val="21"/>
                      <w:szCs w:val="21"/>
                    </w:rPr>
                    <w:t>36929.5t</w:t>
                  </w:r>
                </w:p>
              </w:tc>
              <w:tc>
                <w:tcPr>
                  <w:tcW w:w="1184" w:type="pct"/>
                  <w:shd w:val="clear" w:color="auto" w:fill="auto"/>
                  <w:vAlign w:val="center"/>
                </w:tcPr>
                <w:p w14:paraId="2694658F">
                  <w:pPr>
                    <w:jc w:val="center"/>
                    <w:rPr>
                      <w:sz w:val="21"/>
                      <w:szCs w:val="21"/>
                    </w:rPr>
                  </w:pPr>
                  <w:r>
                    <w:rPr>
                      <w:sz w:val="21"/>
                      <w:szCs w:val="21"/>
                    </w:rPr>
                    <w:t>专运车辆运输</w:t>
                  </w:r>
                  <w:r>
                    <w:rPr>
                      <w:rFonts w:hint="eastAsia"/>
                      <w:sz w:val="21"/>
                      <w:szCs w:val="21"/>
                    </w:rPr>
                    <w:t>，封闭料仓储存</w:t>
                  </w:r>
                </w:p>
              </w:tc>
            </w:tr>
            <w:tr w14:paraId="5A03CF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101BD687">
                  <w:pPr>
                    <w:jc w:val="center"/>
                    <w:rPr>
                      <w:sz w:val="21"/>
                      <w:szCs w:val="21"/>
                    </w:rPr>
                  </w:pPr>
                  <w:r>
                    <w:rPr>
                      <w:sz w:val="21"/>
                      <w:szCs w:val="21"/>
                    </w:rPr>
                    <w:t>3</w:t>
                  </w:r>
                </w:p>
              </w:tc>
              <w:tc>
                <w:tcPr>
                  <w:tcW w:w="1068" w:type="pct"/>
                  <w:gridSpan w:val="2"/>
                  <w:shd w:val="clear" w:color="auto" w:fill="auto"/>
                  <w:vAlign w:val="center"/>
                </w:tcPr>
                <w:p w14:paraId="1701AAA6">
                  <w:pPr>
                    <w:jc w:val="center"/>
                    <w:rPr>
                      <w:sz w:val="21"/>
                      <w:szCs w:val="21"/>
                    </w:rPr>
                  </w:pPr>
                  <w:r>
                    <w:rPr>
                      <w:sz w:val="21"/>
                      <w:szCs w:val="21"/>
                    </w:rPr>
                    <w:t>粉煤灰</w:t>
                  </w:r>
                </w:p>
              </w:tc>
              <w:tc>
                <w:tcPr>
                  <w:tcW w:w="610" w:type="pct"/>
                  <w:shd w:val="clear" w:color="auto" w:fill="auto"/>
                  <w:vAlign w:val="center"/>
                </w:tcPr>
                <w:p w14:paraId="35FC5F39">
                  <w:pPr>
                    <w:jc w:val="center"/>
                    <w:rPr>
                      <w:sz w:val="21"/>
                      <w:szCs w:val="21"/>
                    </w:rPr>
                  </w:pPr>
                  <w:r>
                    <w:rPr>
                      <w:sz w:val="21"/>
                      <w:szCs w:val="21"/>
                    </w:rPr>
                    <w:t>外购</w:t>
                  </w:r>
                </w:p>
              </w:tc>
              <w:tc>
                <w:tcPr>
                  <w:tcW w:w="689" w:type="pct"/>
                  <w:shd w:val="clear" w:color="auto" w:fill="auto"/>
                  <w:vAlign w:val="center"/>
                </w:tcPr>
                <w:p w14:paraId="2DDDDB09">
                  <w:pPr>
                    <w:jc w:val="center"/>
                    <w:rPr>
                      <w:sz w:val="21"/>
                      <w:szCs w:val="21"/>
                    </w:rPr>
                  </w:pPr>
                  <w:r>
                    <w:rPr>
                      <w:sz w:val="21"/>
                      <w:szCs w:val="21"/>
                    </w:rPr>
                    <w:t>粉末状</w:t>
                  </w:r>
                </w:p>
              </w:tc>
              <w:tc>
                <w:tcPr>
                  <w:tcW w:w="1078" w:type="pct"/>
                  <w:shd w:val="clear" w:color="auto" w:fill="auto"/>
                  <w:vAlign w:val="center"/>
                </w:tcPr>
                <w:p w14:paraId="3328AD21">
                  <w:pPr>
                    <w:jc w:val="center"/>
                    <w:rPr>
                      <w:sz w:val="21"/>
                      <w:szCs w:val="21"/>
                    </w:rPr>
                  </w:pPr>
                  <w:r>
                    <w:rPr>
                      <w:sz w:val="21"/>
                      <w:szCs w:val="21"/>
                    </w:rPr>
                    <w:t>15398.4t</w:t>
                  </w:r>
                </w:p>
              </w:tc>
              <w:tc>
                <w:tcPr>
                  <w:tcW w:w="1184" w:type="pct"/>
                  <w:shd w:val="clear" w:color="auto" w:fill="auto"/>
                  <w:vAlign w:val="center"/>
                </w:tcPr>
                <w:p w14:paraId="3A86A20E">
                  <w:pPr>
                    <w:jc w:val="center"/>
                    <w:rPr>
                      <w:sz w:val="21"/>
                      <w:szCs w:val="21"/>
                    </w:rPr>
                  </w:pPr>
                  <w:r>
                    <w:rPr>
                      <w:sz w:val="21"/>
                      <w:szCs w:val="21"/>
                    </w:rPr>
                    <w:t>罐车运输</w:t>
                  </w:r>
                  <w:r>
                    <w:rPr>
                      <w:rFonts w:hint="eastAsia"/>
                      <w:sz w:val="21"/>
                      <w:szCs w:val="21"/>
                    </w:rPr>
                    <w:t>，</w:t>
                  </w:r>
                  <w:r>
                    <w:rPr>
                      <w:sz w:val="21"/>
                      <w:szCs w:val="21"/>
                    </w:rPr>
                    <w:t>筒仓储存</w:t>
                  </w:r>
                </w:p>
              </w:tc>
            </w:tr>
            <w:tr w14:paraId="52AAB7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5F3B2D5F">
                  <w:pPr>
                    <w:jc w:val="center"/>
                    <w:rPr>
                      <w:sz w:val="21"/>
                      <w:szCs w:val="21"/>
                    </w:rPr>
                  </w:pPr>
                  <w:r>
                    <w:rPr>
                      <w:sz w:val="21"/>
                      <w:szCs w:val="21"/>
                    </w:rPr>
                    <w:t>4</w:t>
                  </w:r>
                </w:p>
              </w:tc>
              <w:tc>
                <w:tcPr>
                  <w:tcW w:w="1068" w:type="pct"/>
                  <w:gridSpan w:val="2"/>
                  <w:shd w:val="clear" w:color="auto" w:fill="auto"/>
                  <w:vAlign w:val="center"/>
                </w:tcPr>
                <w:p w14:paraId="7C487C3C">
                  <w:pPr>
                    <w:jc w:val="center"/>
                    <w:rPr>
                      <w:sz w:val="21"/>
                      <w:szCs w:val="21"/>
                    </w:rPr>
                  </w:pPr>
                  <w:r>
                    <w:rPr>
                      <w:sz w:val="21"/>
                      <w:szCs w:val="21"/>
                    </w:rPr>
                    <w:t>水泥</w:t>
                  </w:r>
                </w:p>
              </w:tc>
              <w:tc>
                <w:tcPr>
                  <w:tcW w:w="610" w:type="pct"/>
                  <w:shd w:val="clear" w:color="auto" w:fill="auto"/>
                  <w:vAlign w:val="center"/>
                </w:tcPr>
                <w:p w14:paraId="03D30B21">
                  <w:pPr>
                    <w:jc w:val="center"/>
                    <w:rPr>
                      <w:sz w:val="21"/>
                      <w:szCs w:val="21"/>
                    </w:rPr>
                  </w:pPr>
                  <w:r>
                    <w:rPr>
                      <w:sz w:val="21"/>
                      <w:szCs w:val="21"/>
                    </w:rPr>
                    <w:t>外购</w:t>
                  </w:r>
                </w:p>
              </w:tc>
              <w:tc>
                <w:tcPr>
                  <w:tcW w:w="689" w:type="pct"/>
                  <w:shd w:val="clear" w:color="auto" w:fill="auto"/>
                  <w:vAlign w:val="center"/>
                </w:tcPr>
                <w:p w14:paraId="525E91E2">
                  <w:pPr>
                    <w:jc w:val="center"/>
                    <w:rPr>
                      <w:sz w:val="21"/>
                      <w:szCs w:val="21"/>
                    </w:rPr>
                  </w:pPr>
                  <w:r>
                    <w:rPr>
                      <w:sz w:val="21"/>
                      <w:szCs w:val="21"/>
                    </w:rPr>
                    <w:t>粉末状</w:t>
                  </w:r>
                </w:p>
              </w:tc>
              <w:tc>
                <w:tcPr>
                  <w:tcW w:w="1078" w:type="pct"/>
                  <w:shd w:val="clear" w:color="auto" w:fill="auto"/>
                  <w:vAlign w:val="center"/>
                </w:tcPr>
                <w:p w14:paraId="110F5AFA">
                  <w:pPr>
                    <w:jc w:val="center"/>
                    <w:rPr>
                      <w:sz w:val="21"/>
                      <w:szCs w:val="21"/>
                    </w:rPr>
                  </w:pPr>
                  <w:r>
                    <w:rPr>
                      <w:sz w:val="21"/>
                      <w:szCs w:val="21"/>
                    </w:rPr>
                    <w:t>48172.8t</w:t>
                  </w:r>
                </w:p>
              </w:tc>
              <w:tc>
                <w:tcPr>
                  <w:tcW w:w="1184" w:type="pct"/>
                  <w:shd w:val="clear" w:color="auto" w:fill="auto"/>
                  <w:vAlign w:val="center"/>
                </w:tcPr>
                <w:p w14:paraId="1521F46D">
                  <w:pPr>
                    <w:jc w:val="center"/>
                    <w:rPr>
                      <w:sz w:val="21"/>
                      <w:szCs w:val="21"/>
                    </w:rPr>
                  </w:pPr>
                  <w:r>
                    <w:rPr>
                      <w:rFonts w:hint="eastAsia"/>
                      <w:sz w:val="21"/>
                      <w:szCs w:val="21"/>
                    </w:rPr>
                    <w:t>罐车运输，半封闭料仓储存</w:t>
                  </w:r>
                </w:p>
              </w:tc>
            </w:tr>
            <w:tr w14:paraId="4A097A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A53D156">
                  <w:pPr>
                    <w:jc w:val="center"/>
                    <w:rPr>
                      <w:sz w:val="21"/>
                      <w:szCs w:val="21"/>
                    </w:rPr>
                  </w:pPr>
                  <w:r>
                    <w:rPr>
                      <w:sz w:val="21"/>
                      <w:szCs w:val="21"/>
                    </w:rPr>
                    <w:t>5</w:t>
                  </w:r>
                </w:p>
              </w:tc>
              <w:tc>
                <w:tcPr>
                  <w:tcW w:w="1068" w:type="pct"/>
                  <w:gridSpan w:val="2"/>
                  <w:shd w:val="clear" w:color="auto" w:fill="auto"/>
                  <w:vAlign w:val="center"/>
                </w:tcPr>
                <w:p w14:paraId="7C92CA5F">
                  <w:pPr>
                    <w:jc w:val="center"/>
                    <w:rPr>
                      <w:sz w:val="21"/>
                      <w:szCs w:val="21"/>
                    </w:rPr>
                  </w:pPr>
                  <w:r>
                    <w:rPr>
                      <w:sz w:val="21"/>
                      <w:szCs w:val="21"/>
                    </w:rPr>
                    <w:t>添加剂</w:t>
                  </w:r>
                </w:p>
              </w:tc>
              <w:tc>
                <w:tcPr>
                  <w:tcW w:w="610" w:type="pct"/>
                  <w:shd w:val="clear" w:color="auto" w:fill="auto"/>
                  <w:vAlign w:val="center"/>
                </w:tcPr>
                <w:p w14:paraId="266AA1B7">
                  <w:pPr>
                    <w:jc w:val="center"/>
                    <w:rPr>
                      <w:sz w:val="21"/>
                      <w:szCs w:val="21"/>
                    </w:rPr>
                  </w:pPr>
                  <w:r>
                    <w:rPr>
                      <w:sz w:val="21"/>
                      <w:szCs w:val="21"/>
                    </w:rPr>
                    <w:t>外购</w:t>
                  </w:r>
                </w:p>
              </w:tc>
              <w:tc>
                <w:tcPr>
                  <w:tcW w:w="689" w:type="pct"/>
                  <w:shd w:val="clear" w:color="auto" w:fill="auto"/>
                  <w:vAlign w:val="center"/>
                </w:tcPr>
                <w:p w14:paraId="63CA9F0D">
                  <w:pPr>
                    <w:jc w:val="center"/>
                    <w:rPr>
                      <w:sz w:val="21"/>
                      <w:szCs w:val="21"/>
                    </w:rPr>
                  </w:pPr>
                  <w:r>
                    <w:rPr>
                      <w:rFonts w:hint="eastAsia"/>
                      <w:sz w:val="21"/>
                      <w:szCs w:val="21"/>
                    </w:rPr>
                    <w:t>液态</w:t>
                  </w:r>
                </w:p>
              </w:tc>
              <w:tc>
                <w:tcPr>
                  <w:tcW w:w="1078" w:type="pct"/>
                  <w:shd w:val="clear" w:color="auto" w:fill="auto"/>
                  <w:vAlign w:val="center"/>
                </w:tcPr>
                <w:p w14:paraId="6F44B10D">
                  <w:pPr>
                    <w:jc w:val="center"/>
                    <w:rPr>
                      <w:sz w:val="21"/>
                      <w:szCs w:val="21"/>
                    </w:rPr>
                  </w:pPr>
                  <w:r>
                    <w:rPr>
                      <w:sz w:val="21"/>
                      <w:szCs w:val="21"/>
                    </w:rPr>
                    <w:t>1382.4t</w:t>
                  </w:r>
                </w:p>
              </w:tc>
              <w:tc>
                <w:tcPr>
                  <w:tcW w:w="1184" w:type="pct"/>
                  <w:shd w:val="clear" w:color="auto" w:fill="auto"/>
                  <w:vAlign w:val="center"/>
                </w:tcPr>
                <w:p w14:paraId="39493F2D">
                  <w:pPr>
                    <w:jc w:val="center"/>
                    <w:rPr>
                      <w:sz w:val="21"/>
                      <w:szCs w:val="21"/>
                    </w:rPr>
                  </w:pPr>
                  <w:r>
                    <w:rPr>
                      <w:sz w:val="21"/>
                      <w:szCs w:val="21"/>
                    </w:rPr>
                    <w:t>车辆运输</w:t>
                  </w:r>
                  <w:r>
                    <w:rPr>
                      <w:rFonts w:hint="eastAsia"/>
                      <w:sz w:val="21"/>
                      <w:szCs w:val="21"/>
                    </w:rPr>
                    <w:t>，储罐储存</w:t>
                  </w:r>
                </w:p>
              </w:tc>
            </w:tr>
            <w:tr w14:paraId="56DE3D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4AF1A9BF">
                  <w:pPr>
                    <w:jc w:val="center"/>
                    <w:rPr>
                      <w:sz w:val="21"/>
                      <w:szCs w:val="21"/>
                    </w:rPr>
                  </w:pPr>
                  <w:r>
                    <w:rPr>
                      <w:sz w:val="21"/>
                      <w:szCs w:val="21"/>
                    </w:rPr>
                    <w:t>6</w:t>
                  </w:r>
                </w:p>
              </w:tc>
              <w:tc>
                <w:tcPr>
                  <w:tcW w:w="1068" w:type="pct"/>
                  <w:gridSpan w:val="2"/>
                  <w:shd w:val="clear" w:color="auto" w:fill="auto"/>
                  <w:vAlign w:val="center"/>
                </w:tcPr>
                <w:p w14:paraId="3409EF03">
                  <w:pPr>
                    <w:jc w:val="center"/>
                    <w:rPr>
                      <w:sz w:val="21"/>
                      <w:szCs w:val="21"/>
                    </w:rPr>
                  </w:pPr>
                  <w:r>
                    <w:rPr>
                      <w:rFonts w:hint="eastAsia"/>
                      <w:sz w:val="21"/>
                      <w:szCs w:val="21"/>
                    </w:rPr>
                    <w:t>水</w:t>
                  </w:r>
                </w:p>
              </w:tc>
              <w:tc>
                <w:tcPr>
                  <w:tcW w:w="610" w:type="pct"/>
                  <w:shd w:val="clear" w:color="auto" w:fill="auto"/>
                  <w:vAlign w:val="center"/>
                </w:tcPr>
                <w:p w14:paraId="7C230BC5">
                  <w:pPr>
                    <w:jc w:val="center"/>
                    <w:rPr>
                      <w:sz w:val="21"/>
                      <w:szCs w:val="21"/>
                    </w:rPr>
                  </w:pPr>
                  <w:r>
                    <w:rPr>
                      <w:rFonts w:hint="eastAsia"/>
                      <w:sz w:val="21"/>
                      <w:szCs w:val="21"/>
                    </w:rPr>
                    <w:t>管网供给</w:t>
                  </w:r>
                </w:p>
              </w:tc>
              <w:tc>
                <w:tcPr>
                  <w:tcW w:w="689" w:type="pct"/>
                  <w:shd w:val="clear" w:color="auto" w:fill="auto"/>
                  <w:vAlign w:val="center"/>
                </w:tcPr>
                <w:p w14:paraId="678781EB">
                  <w:pPr>
                    <w:jc w:val="center"/>
                    <w:rPr>
                      <w:sz w:val="21"/>
                      <w:szCs w:val="21"/>
                    </w:rPr>
                  </w:pPr>
                  <w:r>
                    <w:rPr>
                      <w:rFonts w:hint="eastAsia"/>
                      <w:sz w:val="21"/>
                      <w:szCs w:val="21"/>
                    </w:rPr>
                    <w:t>/</w:t>
                  </w:r>
                </w:p>
              </w:tc>
              <w:tc>
                <w:tcPr>
                  <w:tcW w:w="1078" w:type="pct"/>
                  <w:shd w:val="clear" w:color="auto" w:fill="auto"/>
                  <w:vAlign w:val="center"/>
                </w:tcPr>
                <w:p w14:paraId="5490103A">
                  <w:pPr>
                    <w:widowControl/>
                    <w:jc w:val="center"/>
                    <w:rPr>
                      <w:sz w:val="21"/>
                      <w:szCs w:val="21"/>
                    </w:rPr>
                  </w:pPr>
                  <w:r>
                    <w:rPr>
                      <w:sz w:val="20"/>
                      <w:szCs w:val="20"/>
                    </w:rPr>
                    <w:t>23059</w:t>
                  </w:r>
                  <w:r>
                    <w:rPr>
                      <w:sz w:val="21"/>
                      <w:szCs w:val="21"/>
                    </w:rPr>
                    <w:t>t/a</w:t>
                  </w:r>
                </w:p>
              </w:tc>
              <w:tc>
                <w:tcPr>
                  <w:tcW w:w="1184" w:type="pct"/>
                  <w:shd w:val="clear" w:color="auto" w:fill="auto"/>
                  <w:vAlign w:val="center"/>
                </w:tcPr>
                <w:p w14:paraId="35CB6493">
                  <w:pPr>
                    <w:jc w:val="center"/>
                    <w:rPr>
                      <w:sz w:val="21"/>
                      <w:szCs w:val="21"/>
                    </w:rPr>
                  </w:pPr>
                </w:p>
              </w:tc>
            </w:tr>
            <w:tr w14:paraId="482EE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689F73EB">
                  <w:pPr>
                    <w:jc w:val="center"/>
                    <w:rPr>
                      <w:sz w:val="21"/>
                      <w:szCs w:val="21"/>
                    </w:rPr>
                  </w:pPr>
                  <w:r>
                    <w:rPr>
                      <w:sz w:val="21"/>
                      <w:szCs w:val="21"/>
                    </w:rPr>
                    <w:t>预制场</w:t>
                  </w:r>
                </w:p>
              </w:tc>
            </w:tr>
            <w:tr w14:paraId="5EEECC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4AFDC0B3">
                  <w:pPr>
                    <w:jc w:val="center"/>
                    <w:rPr>
                      <w:sz w:val="21"/>
                      <w:szCs w:val="21"/>
                    </w:rPr>
                  </w:pPr>
                  <w:r>
                    <w:rPr>
                      <w:sz w:val="21"/>
                      <w:szCs w:val="21"/>
                    </w:rPr>
                    <w:t>1</w:t>
                  </w:r>
                </w:p>
              </w:tc>
              <w:tc>
                <w:tcPr>
                  <w:tcW w:w="1068" w:type="pct"/>
                  <w:gridSpan w:val="2"/>
                  <w:shd w:val="clear" w:color="auto" w:fill="auto"/>
                  <w:vAlign w:val="center"/>
                </w:tcPr>
                <w:p w14:paraId="03D669B9">
                  <w:pPr>
                    <w:jc w:val="center"/>
                    <w:rPr>
                      <w:sz w:val="21"/>
                      <w:szCs w:val="21"/>
                    </w:rPr>
                  </w:pPr>
                  <w:r>
                    <w:rPr>
                      <w:sz w:val="21"/>
                      <w:szCs w:val="21"/>
                    </w:rPr>
                    <w:t>钢筋</w:t>
                  </w:r>
                </w:p>
              </w:tc>
              <w:tc>
                <w:tcPr>
                  <w:tcW w:w="610" w:type="pct"/>
                  <w:shd w:val="clear" w:color="auto" w:fill="auto"/>
                  <w:vAlign w:val="center"/>
                </w:tcPr>
                <w:p w14:paraId="53A297C0">
                  <w:pPr>
                    <w:jc w:val="center"/>
                    <w:rPr>
                      <w:sz w:val="21"/>
                      <w:szCs w:val="21"/>
                    </w:rPr>
                  </w:pPr>
                  <w:r>
                    <w:rPr>
                      <w:sz w:val="21"/>
                      <w:szCs w:val="21"/>
                    </w:rPr>
                    <w:t>外购</w:t>
                  </w:r>
                </w:p>
              </w:tc>
              <w:tc>
                <w:tcPr>
                  <w:tcW w:w="689" w:type="pct"/>
                  <w:shd w:val="clear" w:color="auto" w:fill="auto"/>
                  <w:vAlign w:val="center"/>
                </w:tcPr>
                <w:p w14:paraId="1FA48DC6">
                  <w:pPr>
                    <w:jc w:val="center"/>
                    <w:rPr>
                      <w:sz w:val="21"/>
                      <w:szCs w:val="21"/>
                    </w:rPr>
                  </w:pPr>
                  <w:r>
                    <w:rPr>
                      <w:sz w:val="21"/>
                      <w:szCs w:val="21"/>
                    </w:rPr>
                    <w:t>直条状</w:t>
                  </w:r>
                </w:p>
              </w:tc>
              <w:tc>
                <w:tcPr>
                  <w:tcW w:w="1078" w:type="pct"/>
                  <w:shd w:val="clear" w:color="auto" w:fill="auto"/>
                  <w:vAlign w:val="center"/>
                </w:tcPr>
                <w:p w14:paraId="06DFA36C">
                  <w:pPr>
                    <w:jc w:val="center"/>
                    <w:rPr>
                      <w:sz w:val="21"/>
                      <w:szCs w:val="21"/>
                    </w:rPr>
                  </w:pPr>
                  <w:r>
                    <w:rPr>
                      <w:sz w:val="21"/>
                      <w:szCs w:val="21"/>
                    </w:rPr>
                    <w:t>5030t</w:t>
                  </w:r>
                </w:p>
              </w:tc>
              <w:tc>
                <w:tcPr>
                  <w:tcW w:w="1184" w:type="pct"/>
                  <w:shd w:val="clear" w:color="auto" w:fill="auto"/>
                  <w:vAlign w:val="center"/>
                </w:tcPr>
                <w:p w14:paraId="4C8D2C71">
                  <w:pPr>
                    <w:jc w:val="center"/>
                    <w:rPr>
                      <w:sz w:val="21"/>
                      <w:szCs w:val="21"/>
                    </w:rPr>
                  </w:pPr>
                  <w:r>
                    <w:rPr>
                      <w:sz w:val="21"/>
                      <w:szCs w:val="21"/>
                    </w:rPr>
                    <w:t>车辆运输</w:t>
                  </w:r>
                  <w:r>
                    <w:rPr>
                      <w:rFonts w:hint="eastAsia"/>
                      <w:sz w:val="21"/>
                      <w:szCs w:val="21"/>
                    </w:rPr>
                    <w:t>，在原料堆存区储存</w:t>
                  </w:r>
                </w:p>
              </w:tc>
            </w:tr>
            <w:tr w14:paraId="122F4F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0A268371">
                  <w:pPr>
                    <w:jc w:val="center"/>
                    <w:rPr>
                      <w:sz w:val="21"/>
                      <w:szCs w:val="21"/>
                    </w:rPr>
                  </w:pPr>
                  <w:r>
                    <w:rPr>
                      <w:sz w:val="21"/>
                      <w:szCs w:val="21"/>
                    </w:rPr>
                    <w:t>2</w:t>
                  </w:r>
                </w:p>
              </w:tc>
              <w:tc>
                <w:tcPr>
                  <w:tcW w:w="1068" w:type="pct"/>
                  <w:gridSpan w:val="2"/>
                  <w:shd w:val="clear" w:color="auto" w:fill="auto"/>
                  <w:vAlign w:val="center"/>
                </w:tcPr>
                <w:p w14:paraId="028D3EDA">
                  <w:pPr>
                    <w:jc w:val="center"/>
                    <w:rPr>
                      <w:sz w:val="21"/>
                      <w:szCs w:val="21"/>
                    </w:rPr>
                  </w:pPr>
                  <w:r>
                    <w:rPr>
                      <w:sz w:val="21"/>
                      <w:szCs w:val="21"/>
                    </w:rPr>
                    <w:t>焊丝</w:t>
                  </w:r>
                </w:p>
              </w:tc>
              <w:tc>
                <w:tcPr>
                  <w:tcW w:w="610" w:type="pct"/>
                  <w:shd w:val="clear" w:color="auto" w:fill="auto"/>
                  <w:vAlign w:val="center"/>
                </w:tcPr>
                <w:p w14:paraId="7FB0D887">
                  <w:pPr>
                    <w:jc w:val="center"/>
                    <w:rPr>
                      <w:sz w:val="21"/>
                      <w:szCs w:val="21"/>
                    </w:rPr>
                  </w:pPr>
                  <w:r>
                    <w:rPr>
                      <w:sz w:val="21"/>
                      <w:szCs w:val="21"/>
                    </w:rPr>
                    <w:t>外购</w:t>
                  </w:r>
                </w:p>
              </w:tc>
              <w:tc>
                <w:tcPr>
                  <w:tcW w:w="689" w:type="pct"/>
                  <w:shd w:val="clear" w:color="auto" w:fill="auto"/>
                  <w:vAlign w:val="center"/>
                </w:tcPr>
                <w:p w14:paraId="3E6FC11C">
                  <w:pPr>
                    <w:jc w:val="center"/>
                    <w:rPr>
                      <w:sz w:val="21"/>
                      <w:szCs w:val="21"/>
                    </w:rPr>
                  </w:pPr>
                  <w:r>
                    <w:rPr>
                      <w:sz w:val="21"/>
                      <w:szCs w:val="21"/>
                    </w:rPr>
                    <w:t>/</w:t>
                  </w:r>
                </w:p>
              </w:tc>
              <w:tc>
                <w:tcPr>
                  <w:tcW w:w="1078" w:type="pct"/>
                  <w:shd w:val="clear" w:color="auto" w:fill="auto"/>
                  <w:vAlign w:val="center"/>
                </w:tcPr>
                <w:p w14:paraId="605028B6">
                  <w:pPr>
                    <w:jc w:val="center"/>
                    <w:rPr>
                      <w:sz w:val="21"/>
                      <w:szCs w:val="21"/>
                    </w:rPr>
                  </w:pPr>
                  <w:r>
                    <w:rPr>
                      <w:sz w:val="21"/>
                      <w:szCs w:val="21"/>
                    </w:rPr>
                    <w:t>6.5t</w:t>
                  </w:r>
                </w:p>
              </w:tc>
              <w:tc>
                <w:tcPr>
                  <w:tcW w:w="1184" w:type="pct"/>
                  <w:shd w:val="clear" w:color="auto" w:fill="auto"/>
                  <w:vAlign w:val="center"/>
                </w:tcPr>
                <w:p w14:paraId="7E36AA47">
                  <w:pPr>
                    <w:jc w:val="center"/>
                    <w:rPr>
                      <w:sz w:val="21"/>
                      <w:szCs w:val="21"/>
                    </w:rPr>
                  </w:pPr>
                  <w:r>
                    <w:rPr>
                      <w:sz w:val="21"/>
                      <w:szCs w:val="21"/>
                    </w:rPr>
                    <w:t>外购</w:t>
                  </w:r>
                </w:p>
              </w:tc>
            </w:tr>
            <w:tr w14:paraId="69A591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3C101FEC">
                  <w:pPr>
                    <w:jc w:val="center"/>
                    <w:rPr>
                      <w:sz w:val="21"/>
                      <w:szCs w:val="21"/>
                    </w:rPr>
                  </w:pPr>
                  <w:r>
                    <w:rPr>
                      <w:sz w:val="21"/>
                      <w:szCs w:val="21"/>
                    </w:rPr>
                    <w:t>3</w:t>
                  </w:r>
                </w:p>
              </w:tc>
              <w:tc>
                <w:tcPr>
                  <w:tcW w:w="1068" w:type="pct"/>
                  <w:gridSpan w:val="2"/>
                  <w:shd w:val="clear" w:color="auto" w:fill="auto"/>
                  <w:vAlign w:val="center"/>
                </w:tcPr>
                <w:p w14:paraId="51A5818A">
                  <w:pPr>
                    <w:jc w:val="center"/>
                    <w:rPr>
                      <w:sz w:val="21"/>
                      <w:szCs w:val="21"/>
                    </w:rPr>
                  </w:pPr>
                  <w:r>
                    <w:rPr>
                      <w:rFonts w:hint="eastAsia"/>
                      <w:sz w:val="21"/>
                      <w:szCs w:val="21"/>
                    </w:rPr>
                    <w:t>水泥</w:t>
                  </w:r>
                  <w:r>
                    <w:rPr>
                      <w:sz w:val="21"/>
                      <w:szCs w:val="21"/>
                    </w:rPr>
                    <w:t>混凝土</w:t>
                  </w:r>
                </w:p>
              </w:tc>
              <w:tc>
                <w:tcPr>
                  <w:tcW w:w="610" w:type="pct"/>
                  <w:shd w:val="clear" w:color="auto" w:fill="auto"/>
                  <w:vAlign w:val="center"/>
                </w:tcPr>
                <w:p w14:paraId="55677F0C">
                  <w:pPr>
                    <w:jc w:val="center"/>
                    <w:rPr>
                      <w:sz w:val="21"/>
                      <w:szCs w:val="21"/>
                    </w:rPr>
                  </w:pPr>
                  <w:r>
                    <w:rPr>
                      <w:rFonts w:hint="eastAsia"/>
                      <w:sz w:val="21"/>
                      <w:szCs w:val="21"/>
                    </w:rPr>
                    <w:t>自产</w:t>
                  </w:r>
                </w:p>
              </w:tc>
              <w:tc>
                <w:tcPr>
                  <w:tcW w:w="689" w:type="pct"/>
                  <w:shd w:val="clear" w:color="auto" w:fill="auto"/>
                  <w:vAlign w:val="center"/>
                </w:tcPr>
                <w:p w14:paraId="7E81C91F">
                  <w:pPr>
                    <w:jc w:val="center"/>
                    <w:rPr>
                      <w:sz w:val="21"/>
                      <w:szCs w:val="21"/>
                    </w:rPr>
                  </w:pPr>
                  <w:r>
                    <w:rPr>
                      <w:sz w:val="21"/>
                      <w:szCs w:val="21"/>
                    </w:rPr>
                    <w:t>/</w:t>
                  </w:r>
                </w:p>
              </w:tc>
              <w:tc>
                <w:tcPr>
                  <w:tcW w:w="1078" w:type="pct"/>
                  <w:shd w:val="clear" w:color="auto" w:fill="auto"/>
                  <w:vAlign w:val="center"/>
                </w:tcPr>
                <w:p w14:paraId="540D9B54">
                  <w:pPr>
                    <w:jc w:val="center"/>
                    <w:rPr>
                      <w:sz w:val="21"/>
                      <w:szCs w:val="21"/>
                    </w:rPr>
                  </w:pPr>
                  <w:r>
                    <w:rPr>
                      <w:sz w:val="21"/>
                      <w:szCs w:val="21"/>
                    </w:rPr>
                    <w:t>49200t</w:t>
                  </w:r>
                </w:p>
              </w:tc>
              <w:tc>
                <w:tcPr>
                  <w:tcW w:w="1184" w:type="pct"/>
                  <w:shd w:val="clear" w:color="auto" w:fill="auto"/>
                  <w:vAlign w:val="center"/>
                </w:tcPr>
                <w:p w14:paraId="290CC31A">
                  <w:pPr>
                    <w:jc w:val="center"/>
                    <w:rPr>
                      <w:sz w:val="21"/>
                      <w:szCs w:val="21"/>
                    </w:rPr>
                  </w:pPr>
                  <w:r>
                    <w:rPr>
                      <w:rFonts w:hint="eastAsia"/>
                      <w:sz w:val="21"/>
                      <w:szCs w:val="21"/>
                    </w:rPr>
                    <w:t>自产</w:t>
                  </w:r>
                </w:p>
              </w:tc>
            </w:tr>
            <w:tr w14:paraId="6EEFF9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3FCDAE1">
                  <w:pPr>
                    <w:jc w:val="center"/>
                    <w:rPr>
                      <w:sz w:val="21"/>
                      <w:szCs w:val="21"/>
                    </w:rPr>
                  </w:pPr>
                  <w:r>
                    <w:rPr>
                      <w:rFonts w:hint="eastAsia"/>
                      <w:sz w:val="21"/>
                      <w:szCs w:val="21"/>
                    </w:rPr>
                    <w:t>4</w:t>
                  </w:r>
                </w:p>
              </w:tc>
              <w:tc>
                <w:tcPr>
                  <w:tcW w:w="1068" w:type="pct"/>
                  <w:gridSpan w:val="2"/>
                  <w:shd w:val="clear" w:color="auto" w:fill="auto"/>
                  <w:vAlign w:val="center"/>
                </w:tcPr>
                <w:p w14:paraId="4665EAB1">
                  <w:pPr>
                    <w:jc w:val="center"/>
                    <w:rPr>
                      <w:sz w:val="21"/>
                      <w:szCs w:val="21"/>
                    </w:rPr>
                  </w:pPr>
                  <w:r>
                    <w:rPr>
                      <w:rFonts w:hint="eastAsia"/>
                      <w:sz w:val="21"/>
                      <w:szCs w:val="21"/>
                    </w:rPr>
                    <w:t>水</w:t>
                  </w:r>
                </w:p>
              </w:tc>
              <w:tc>
                <w:tcPr>
                  <w:tcW w:w="610" w:type="pct"/>
                  <w:shd w:val="clear" w:color="auto" w:fill="auto"/>
                  <w:vAlign w:val="center"/>
                </w:tcPr>
                <w:p w14:paraId="4EE95301">
                  <w:pPr>
                    <w:jc w:val="center"/>
                    <w:rPr>
                      <w:sz w:val="21"/>
                      <w:szCs w:val="21"/>
                    </w:rPr>
                  </w:pPr>
                  <w:r>
                    <w:rPr>
                      <w:rFonts w:hint="eastAsia"/>
                      <w:sz w:val="21"/>
                      <w:szCs w:val="21"/>
                    </w:rPr>
                    <w:t>管网供给</w:t>
                  </w:r>
                </w:p>
              </w:tc>
              <w:tc>
                <w:tcPr>
                  <w:tcW w:w="689" w:type="pct"/>
                  <w:shd w:val="clear" w:color="auto" w:fill="auto"/>
                  <w:vAlign w:val="center"/>
                </w:tcPr>
                <w:p w14:paraId="68222ADF">
                  <w:pPr>
                    <w:jc w:val="center"/>
                    <w:rPr>
                      <w:sz w:val="21"/>
                      <w:szCs w:val="21"/>
                    </w:rPr>
                  </w:pPr>
                  <w:r>
                    <w:rPr>
                      <w:rFonts w:hint="eastAsia"/>
                      <w:sz w:val="21"/>
                      <w:szCs w:val="21"/>
                    </w:rPr>
                    <w:t>/</w:t>
                  </w:r>
                </w:p>
              </w:tc>
              <w:tc>
                <w:tcPr>
                  <w:tcW w:w="1078" w:type="pct"/>
                  <w:shd w:val="clear" w:color="auto" w:fill="auto"/>
                  <w:vAlign w:val="center"/>
                </w:tcPr>
                <w:p w14:paraId="01D3A13B">
                  <w:pPr>
                    <w:jc w:val="center"/>
                    <w:rPr>
                      <w:sz w:val="21"/>
                      <w:szCs w:val="21"/>
                    </w:rPr>
                  </w:pPr>
                  <w:r>
                    <w:rPr>
                      <w:sz w:val="20"/>
                      <w:szCs w:val="20"/>
                    </w:rPr>
                    <w:t>540</w:t>
                  </w:r>
                  <w:r>
                    <w:rPr>
                      <w:sz w:val="21"/>
                      <w:szCs w:val="21"/>
                    </w:rPr>
                    <w:t>t/a</w:t>
                  </w:r>
                </w:p>
              </w:tc>
              <w:tc>
                <w:tcPr>
                  <w:tcW w:w="1184" w:type="pct"/>
                  <w:shd w:val="clear" w:color="auto" w:fill="auto"/>
                  <w:vAlign w:val="center"/>
                </w:tcPr>
                <w:p w14:paraId="2EDCFD59">
                  <w:pPr>
                    <w:jc w:val="center"/>
                    <w:rPr>
                      <w:sz w:val="21"/>
                      <w:szCs w:val="21"/>
                    </w:rPr>
                  </w:pPr>
                </w:p>
              </w:tc>
            </w:tr>
            <w:tr w14:paraId="39D4BA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0FC2A8DC">
                  <w:pPr>
                    <w:jc w:val="center"/>
                    <w:rPr>
                      <w:sz w:val="21"/>
                      <w:szCs w:val="21"/>
                    </w:rPr>
                  </w:pPr>
                  <w:r>
                    <w:rPr>
                      <w:rFonts w:hint="eastAsia"/>
                      <w:sz w:val="21"/>
                      <w:szCs w:val="21"/>
                    </w:rPr>
                    <w:t>能源消耗</w:t>
                  </w:r>
                </w:p>
              </w:tc>
            </w:tr>
            <w:tr w14:paraId="458DEA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31043571">
                  <w:pPr>
                    <w:jc w:val="center"/>
                    <w:rPr>
                      <w:sz w:val="21"/>
                      <w:szCs w:val="21"/>
                    </w:rPr>
                  </w:pPr>
                  <w:r>
                    <w:rPr>
                      <w:sz w:val="21"/>
                      <w:szCs w:val="21"/>
                    </w:rPr>
                    <w:t>1</w:t>
                  </w:r>
                </w:p>
              </w:tc>
              <w:tc>
                <w:tcPr>
                  <w:tcW w:w="391" w:type="pct"/>
                  <w:vMerge w:val="restart"/>
                  <w:shd w:val="clear" w:color="auto" w:fill="auto"/>
                  <w:vAlign w:val="center"/>
                </w:tcPr>
                <w:p w14:paraId="09830194">
                  <w:pPr>
                    <w:jc w:val="center"/>
                    <w:rPr>
                      <w:sz w:val="21"/>
                      <w:szCs w:val="21"/>
                    </w:rPr>
                  </w:pPr>
                  <w:r>
                    <w:rPr>
                      <w:sz w:val="21"/>
                      <w:szCs w:val="21"/>
                    </w:rPr>
                    <w:t>能源</w:t>
                  </w:r>
                </w:p>
              </w:tc>
              <w:tc>
                <w:tcPr>
                  <w:tcW w:w="677" w:type="pct"/>
                  <w:shd w:val="clear" w:color="auto" w:fill="auto"/>
                  <w:vAlign w:val="center"/>
                </w:tcPr>
                <w:p w14:paraId="01E02FDC">
                  <w:pPr>
                    <w:jc w:val="center"/>
                    <w:rPr>
                      <w:sz w:val="21"/>
                      <w:szCs w:val="21"/>
                    </w:rPr>
                  </w:pPr>
                  <w:r>
                    <w:rPr>
                      <w:sz w:val="21"/>
                      <w:szCs w:val="21"/>
                    </w:rPr>
                    <w:t>电</w:t>
                  </w:r>
                </w:p>
              </w:tc>
              <w:tc>
                <w:tcPr>
                  <w:tcW w:w="610" w:type="pct"/>
                  <w:shd w:val="clear" w:color="auto" w:fill="auto"/>
                  <w:vAlign w:val="center"/>
                </w:tcPr>
                <w:p w14:paraId="1098BB07">
                  <w:pPr>
                    <w:jc w:val="center"/>
                    <w:rPr>
                      <w:sz w:val="21"/>
                      <w:szCs w:val="21"/>
                    </w:rPr>
                  </w:pPr>
                  <w:r>
                    <w:rPr>
                      <w:sz w:val="21"/>
                      <w:szCs w:val="21"/>
                    </w:rPr>
                    <w:t>外购</w:t>
                  </w:r>
                </w:p>
              </w:tc>
              <w:tc>
                <w:tcPr>
                  <w:tcW w:w="1767" w:type="pct"/>
                  <w:gridSpan w:val="2"/>
                  <w:shd w:val="clear" w:color="auto" w:fill="auto"/>
                  <w:vAlign w:val="center"/>
                </w:tcPr>
                <w:p w14:paraId="4C0CD2E2">
                  <w:pPr>
                    <w:jc w:val="center"/>
                    <w:rPr>
                      <w:sz w:val="21"/>
                      <w:szCs w:val="21"/>
                    </w:rPr>
                  </w:pPr>
                  <w:r>
                    <w:rPr>
                      <w:sz w:val="21"/>
                      <w:szCs w:val="21"/>
                    </w:rPr>
                    <w:t>400000</w:t>
                  </w:r>
                  <w:r>
                    <w:rPr>
                      <w:rFonts w:hint="eastAsia"/>
                      <w:kern w:val="0"/>
                      <w:szCs w:val="20"/>
                    </w:rPr>
                    <w:t xml:space="preserve"> </w:t>
                  </w:r>
                  <w:r>
                    <w:rPr>
                      <w:rFonts w:hint="eastAsia"/>
                      <w:sz w:val="21"/>
                      <w:szCs w:val="21"/>
                    </w:rPr>
                    <w:t>kWh/a</w:t>
                  </w:r>
                </w:p>
              </w:tc>
              <w:tc>
                <w:tcPr>
                  <w:tcW w:w="1184" w:type="pct"/>
                  <w:shd w:val="clear" w:color="auto" w:fill="auto"/>
                  <w:vAlign w:val="center"/>
                </w:tcPr>
                <w:p w14:paraId="230302C4">
                  <w:pPr>
                    <w:jc w:val="center"/>
                    <w:rPr>
                      <w:sz w:val="21"/>
                      <w:szCs w:val="21"/>
                    </w:rPr>
                  </w:pPr>
                  <w:r>
                    <w:rPr>
                      <w:sz w:val="21"/>
                      <w:szCs w:val="21"/>
                    </w:rPr>
                    <w:t>区域电网</w:t>
                  </w:r>
                </w:p>
              </w:tc>
            </w:tr>
            <w:tr w14:paraId="54216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70758CE4">
                  <w:pPr>
                    <w:jc w:val="center"/>
                    <w:rPr>
                      <w:sz w:val="21"/>
                      <w:szCs w:val="21"/>
                    </w:rPr>
                  </w:pPr>
                  <w:r>
                    <w:rPr>
                      <w:sz w:val="21"/>
                      <w:szCs w:val="21"/>
                    </w:rPr>
                    <w:t>2</w:t>
                  </w:r>
                </w:p>
              </w:tc>
              <w:tc>
                <w:tcPr>
                  <w:tcW w:w="391" w:type="pct"/>
                  <w:vMerge w:val="continue"/>
                  <w:shd w:val="clear" w:color="auto" w:fill="auto"/>
                  <w:vAlign w:val="center"/>
                </w:tcPr>
                <w:p w14:paraId="68AAFF89">
                  <w:pPr>
                    <w:jc w:val="center"/>
                    <w:rPr>
                      <w:sz w:val="21"/>
                      <w:szCs w:val="21"/>
                    </w:rPr>
                  </w:pPr>
                </w:p>
              </w:tc>
              <w:tc>
                <w:tcPr>
                  <w:tcW w:w="677" w:type="pct"/>
                  <w:shd w:val="clear" w:color="auto" w:fill="auto"/>
                  <w:vAlign w:val="center"/>
                </w:tcPr>
                <w:p w14:paraId="031A1C97">
                  <w:pPr>
                    <w:jc w:val="center"/>
                    <w:rPr>
                      <w:sz w:val="21"/>
                      <w:szCs w:val="21"/>
                    </w:rPr>
                  </w:pPr>
                  <w:r>
                    <w:rPr>
                      <w:sz w:val="21"/>
                      <w:szCs w:val="21"/>
                    </w:rPr>
                    <w:t>醇醚</w:t>
                  </w:r>
                </w:p>
              </w:tc>
              <w:tc>
                <w:tcPr>
                  <w:tcW w:w="610" w:type="pct"/>
                  <w:shd w:val="clear" w:color="auto" w:fill="auto"/>
                  <w:vAlign w:val="center"/>
                </w:tcPr>
                <w:p w14:paraId="1BC77CF6">
                  <w:pPr>
                    <w:jc w:val="center"/>
                    <w:rPr>
                      <w:sz w:val="21"/>
                      <w:szCs w:val="21"/>
                    </w:rPr>
                  </w:pPr>
                  <w:r>
                    <w:rPr>
                      <w:sz w:val="21"/>
                      <w:szCs w:val="21"/>
                    </w:rPr>
                    <w:t>外购</w:t>
                  </w:r>
                </w:p>
              </w:tc>
              <w:tc>
                <w:tcPr>
                  <w:tcW w:w="1767" w:type="pct"/>
                  <w:gridSpan w:val="2"/>
                  <w:shd w:val="clear" w:color="auto" w:fill="auto"/>
                  <w:vAlign w:val="center"/>
                </w:tcPr>
                <w:p w14:paraId="75418A88">
                  <w:pPr>
                    <w:jc w:val="center"/>
                    <w:rPr>
                      <w:sz w:val="21"/>
                      <w:szCs w:val="21"/>
                    </w:rPr>
                  </w:pPr>
                  <w:r>
                    <w:rPr>
                      <w:sz w:val="21"/>
                      <w:szCs w:val="21"/>
                    </w:rPr>
                    <w:t>8314t/a</w:t>
                  </w:r>
                </w:p>
              </w:tc>
              <w:tc>
                <w:tcPr>
                  <w:tcW w:w="1184" w:type="pct"/>
                  <w:shd w:val="clear" w:color="auto" w:fill="auto"/>
                  <w:vAlign w:val="center"/>
                </w:tcPr>
                <w:p w14:paraId="6E6C846E">
                  <w:pPr>
                    <w:jc w:val="center"/>
                    <w:rPr>
                      <w:sz w:val="21"/>
                      <w:szCs w:val="21"/>
                    </w:rPr>
                  </w:pPr>
                  <w:r>
                    <w:rPr>
                      <w:sz w:val="21"/>
                      <w:szCs w:val="21"/>
                    </w:rPr>
                    <w:t>2个18m</w:t>
                  </w:r>
                  <w:r>
                    <w:rPr>
                      <w:sz w:val="21"/>
                      <w:szCs w:val="21"/>
                      <w:vertAlign w:val="superscript"/>
                    </w:rPr>
                    <w:t>3</w:t>
                  </w:r>
                  <w:r>
                    <w:rPr>
                      <w:sz w:val="21"/>
                      <w:szCs w:val="21"/>
                    </w:rPr>
                    <w:t>储罐</w:t>
                  </w:r>
                </w:p>
              </w:tc>
            </w:tr>
            <w:tr w14:paraId="262E79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shd w:val="clear" w:color="auto" w:fill="auto"/>
                  <w:vAlign w:val="center"/>
                </w:tcPr>
                <w:p w14:paraId="20A25AF9">
                  <w:pPr>
                    <w:jc w:val="center"/>
                    <w:rPr>
                      <w:sz w:val="21"/>
                      <w:szCs w:val="21"/>
                    </w:rPr>
                  </w:pPr>
                  <w:r>
                    <w:rPr>
                      <w:sz w:val="21"/>
                      <w:szCs w:val="21"/>
                    </w:rPr>
                    <w:t>3</w:t>
                  </w:r>
                </w:p>
              </w:tc>
              <w:tc>
                <w:tcPr>
                  <w:tcW w:w="391" w:type="pct"/>
                  <w:vMerge w:val="continue"/>
                  <w:shd w:val="clear" w:color="auto" w:fill="auto"/>
                  <w:vAlign w:val="center"/>
                </w:tcPr>
                <w:p w14:paraId="0F88D388">
                  <w:pPr>
                    <w:jc w:val="center"/>
                    <w:rPr>
                      <w:sz w:val="21"/>
                      <w:szCs w:val="21"/>
                    </w:rPr>
                  </w:pPr>
                </w:p>
              </w:tc>
              <w:tc>
                <w:tcPr>
                  <w:tcW w:w="677" w:type="pct"/>
                  <w:shd w:val="clear" w:color="auto" w:fill="auto"/>
                  <w:vAlign w:val="center"/>
                </w:tcPr>
                <w:p w14:paraId="0F27D06A">
                  <w:pPr>
                    <w:jc w:val="center"/>
                    <w:rPr>
                      <w:sz w:val="21"/>
                      <w:szCs w:val="21"/>
                    </w:rPr>
                  </w:pPr>
                  <w:r>
                    <w:rPr>
                      <w:sz w:val="21"/>
                      <w:szCs w:val="21"/>
                    </w:rPr>
                    <w:t>水</w:t>
                  </w:r>
                </w:p>
              </w:tc>
              <w:tc>
                <w:tcPr>
                  <w:tcW w:w="610" w:type="pct"/>
                  <w:shd w:val="clear" w:color="auto" w:fill="auto"/>
                  <w:vAlign w:val="center"/>
                </w:tcPr>
                <w:p w14:paraId="05733B58">
                  <w:pPr>
                    <w:jc w:val="center"/>
                    <w:rPr>
                      <w:sz w:val="21"/>
                      <w:szCs w:val="21"/>
                    </w:rPr>
                  </w:pPr>
                  <w:r>
                    <w:rPr>
                      <w:sz w:val="21"/>
                      <w:szCs w:val="21"/>
                    </w:rPr>
                    <w:t>外购</w:t>
                  </w:r>
                </w:p>
              </w:tc>
              <w:tc>
                <w:tcPr>
                  <w:tcW w:w="1767" w:type="pct"/>
                  <w:gridSpan w:val="2"/>
                  <w:shd w:val="clear" w:color="auto" w:fill="auto"/>
                  <w:vAlign w:val="center"/>
                </w:tcPr>
                <w:p w14:paraId="27B04E93">
                  <w:pPr>
                    <w:jc w:val="center"/>
                    <w:rPr>
                      <w:sz w:val="21"/>
                      <w:szCs w:val="21"/>
                      <w:highlight w:val="yellow"/>
                    </w:rPr>
                  </w:pPr>
                  <w:r>
                    <w:rPr>
                      <w:sz w:val="21"/>
                      <w:szCs w:val="21"/>
                    </w:rPr>
                    <w:t>112275.6t</w:t>
                  </w:r>
                </w:p>
              </w:tc>
              <w:tc>
                <w:tcPr>
                  <w:tcW w:w="1184" w:type="pct"/>
                  <w:shd w:val="clear" w:color="auto" w:fill="auto"/>
                  <w:vAlign w:val="center"/>
                </w:tcPr>
                <w:p w14:paraId="31C32350">
                  <w:pPr>
                    <w:jc w:val="center"/>
                    <w:rPr>
                      <w:sz w:val="21"/>
                      <w:szCs w:val="21"/>
                    </w:rPr>
                  </w:pPr>
                  <w:r>
                    <w:rPr>
                      <w:rFonts w:hint="eastAsia"/>
                      <w:sz w:val="21"/>
                      <w:szCs w:val="21"/>
                    </w:rPr>
                    <w:t>由供水管线供</w:t>
                  </w:r>
                  <w:r>
                    <w:rPr>
                      <w:sz w:val="21"/>
                      <w:szCs w:val="21"/>
                    </w:rPr>
                    <w:t>给</w:t>
                  </w:r>
                </w:p>
              </w:tc>
            </w:tr>
            <w:bookmarkEnd w:id="9"/>
            <w:bookmarkEnd w:id="10"/>
          </w:tbl>
          <w:p w14:paraId="5FFBABA3">
            <w:pPr>
              <w:pStyle w:val="77"/>
              <w:spacing w:line="460" w:lineRule="exact"/>
              <w:ind w:firstLine="480"/>
            </w:pPr>
            <w:r>
              <w:t>原料介绍：</w:t>
            </w:r>
          </w:p>
          <w:p w14:paraId="54F469E0">
            <w:pPr>
              <w:pStyle w:val="77"/>
              <w:spacing w:line="460" w:lineRule="exact"/>
              <w:ind w:firstLine="480"/>
            </w:pPr>
            <w:r>
              <w:t>（1）沥青</w:t>
            </w:r>
          </w:p>
          <w:p w14:paraId="3F8E922A">
            <w:pPr>
              <w:pStyle w:val="77"/>
              <w:spacing w:line="460" w:lineRule="exact"/>
              <w:ind w:firstLine="480"/>
            </w:pPr>
            <w:r>
              <w:t>沥青是一类黑色或深色的混合物，主要由高分子量碳氢化合物组成，沥青一般在常温下呈固体、半固体或黏稠液体的形态，几乎不溶于水，完全溶解于二硫化碳，也可溶于吡啶、芳烃、氯化烃和四氢呋喃等有机溶剂，相对密度为1.15~1.25g/cm</w:t>
            </w:r>
            <w:r>
              <w:rPr>
                <w:vertAlign w:val="superscript"/>
              </w:rPr>
              <w:t>3</w:t>
            </w:r>
            <w:r>
              <w:t>。沥青可来源于天然或人工制造。天然沥青是石油渗出地表经长期暴露和蒸发后的残留物；人工制造的沥青主要以原油为原料，通过蒸馏、氧化等工艺加工而成。沥青构造致密，具有良好的防水性，可抵抗一般酸、碱、盐类等侵蚀性液体和气体的侵蚀，具有较强的抗腐蚀性；能紧密黏附于矿物材料的表面，具有很好的黏结力；具有一定的塑性，能适应基材的变形；通常被描述为一种热塑性材料，加热时可以反复软化，冷却时可以硬化，是一种粘弹性物质，在不同温度下表现出不同的力学性能；耐久性好。</w:t>
            </w:r>
          </w:p>
          <w:p w14:paraId="5B8A1C4A">
            <w:pPr>
              <w:pStyle w:val="77"/>
              <w:spacing w:line="460" w:lineRule="exact"/>
              <w:ind w:firstLine="480"/>
            </w:pPr>
            <w:r>
              <w:t>（2）</w:t>
            </w:r>
            <w:r>
              <w:rPr>
                <w:rFonts w:hint="eastAsia"/>
              </w:rPr>
              <w:t>碎石</w:t>
            </w:r>
          </w:p>
          <w:p w14:paraId="5C6C2437">
            <w:pPr>
              <w:pStyle w:val="77"/>
              <w:spacing w:line="460" w:lineRule="exact"/>
              <w:ind w:firstLine="480"/>
            </w:pPr>
            <w:r>
              <w:t>碎石是指天然岩石、卵石或矿山废石经机械破碎、筛分制成的，粒径大于4.75mm的岩石颗粒，按粒径大小可分为特细碎石</w:t>
            </w:r>
            <w:r>
              <w:rPr>
                <w:rFonts w:hint="eastAsia"/>
              </w:rPr>
              <w:t>（5</w:t>
            </w:r>
            <w:r>
              <w:t>-10</w:t>
            </w:r>
            <w:r>
              <w:rPr>
                <w:rFonts w:hint="eastAsia"/>
              </w:rPr>
              <w:t>mm）</w:t>
            </w:r>
            <w:r>
              <w:t>、细碎石</w:t>
            </w:r>
            <w:r>
              <w:rPr>
                <w:rFonts w:hint="eastAsia"/>
              </w:rPr>
              <w:t>（1</w:t>
            </w:r>
            <w:r>
              <w:t>0-20</w:t>
            </w:r>
            <w:r>
              <w:rPr>
                <w:rFonts w:hint="eastAsia"/>
              </w:rPr>
              <w:t>mm）</w:t>
            </w:r>
            <w:r>
              <w:t>、中碎石</w:t>
            </w:r>
            <w:r>
              <w:rPr>
                <w:rFonts w:hint="eastAsia"/>
              </w:rPr>
              <w:t>（2</w:t>
            </w:r>
            <w:r>
              <w:t>0-40</w:t>
            </w:r>
            <w:r>
              <w:rPr>
                <w:rFonts w:hint="eastAsia"/>
              </w:rPr>
              <w:t>mm）</w:t>
            </w:r>
            <w:r>
              <w:t>、粗碎石</w:t>
            </w:r>
            <w:r>
              <w:rPr>
                <w:rFonts w:hint="eastAsia"/>
              </w:rPr>
              <w:t>（</w:t>
            </w:r>
            <w:r>
              <w:t>40-150mm</w:t>
            </w:r>
            <w:r>
              <w:rPr>
                <w:rFonts w:hint="eastAsia"/>
              </w:rPr>
              <w:t>）</w:t>
            </w:r>
            <w:r>
              <w:t>等不同级别，按技术要求分为Ⅰ类、Ⅱ类、Ⅲ类。Ⅰ类碎石适用于强度等级大于C60的混凝土，Ⅱ类碎石适用于强度等级为C30-C60的混凝土及抗冻、抗渗或其他要求的混凝土，Ⅲ类碎石适用于强度等级小于C30的混凝土。</w:t>
            </w:r>
          </w:p>
          <w:p w14:paraId="5EE2017F">
            <w:pPr>
              <w:pStyle w:val="77"/>
              <w:spacing w:line="460" w:lineRule="exact"/>
              <w:ind w:firstLine="480"/>
            </w:pPr>
            <w:r>
              <w:rPr>
                <w:rFonts w:hint="eastAsia"/>
              </w:rPr>
              <w:t>（3）砂</w:t>
            </w:r>
          </w:p>
          <w:p w14:paraId="7BD01994">
            <w:pPr>
              <w:pStyle w:val="77"/>
              <w:spacing w:line="460" w:lineRule="exact"/>
              <w:ind w:firstLine="480"/>
            </w:pPr>
            <w:r>
              <w:rPr>
                <w:rFonts w:hint="eastAsia"/>
              </w:rPr>
              <w:t>粒径通常在</w:t>
            </w:r>
            <w:r>
              <w:t xml:space="preserve"> ‌0.075mm~4.75mm‌ </w:t>
            </w:r>
            <w:r>
              <w:rPr>
                <w:rFonts w:hint="eastAsia"/>
              </w:rPr>
              <w:t>之间的天然砂或机制砂。</w:t>
            </w:r>
            <w:r>
              <w:rPr>
                <w:rFonts w:hint="cs"/>
              </w:rPr>
              <w:t>‌</w:t>
            </w:r>
            <w:r>
              <w:rPr>
                <w:rFonts w:hint="eastAsia"/>
              </w:rPr>
              <w:t>作用</w:t>
            </w:r>
            <w:r>
              <w:rPr>
                <w:rFonts w:hint="eastAsia" w:ascii="MS Gothic" w:hAnsi="MS Gothic" w:eastAsia="MS Gothic" w:cs="MS Gothic"/>
              </w:rPr>
              <w:t>‌</w:t>
            </w:r>
            <w:r>
              <w:rPr>
                <w:rFonts w:hint="eastAsia" w:ascii="宋体" w:hAnsi="宋体" w:cs="宋体"/>
              </w:rPr>
              <w:t>：</w:t>
            </w:r>
            <w:r>
              <w:rPr>
                <w:rFonts w:hint="eastAsia"/>
              </w:rPr>
              <w:t>填充碎石之间的空隙，减少水泥浆用量；辅助传递应力，提高混凝土密实性和工作性（流动性、可塑性）。</w:t>
            </w:r>
            <w:r>
              <w:rPr>
                <w:rFonts w:hint="cs"/>
              </w:rPr>
              <w:t>‌</w:t>
            </w:r>
            <w:r>
              <w:rPr>
                <w:rFonts w:hint="eastAsia"/>
              </w:rPr>
              <w:t>要求</w:t>
            </w:r>
            <w:r>
              <w:rPr>
                <w:rFonts w:hint="eastAsia" w:ascii="MS Gothic" w:hAnsi="MS Gothic" w:eastAsia="MS Gothic" w:cs="MS Gothic"/>
              </w:rPr>
              <w:t>‌</w:t>
            </w:r>
            <w:r>
              <w:rPr>
                <w:rFonts w:hint="eastAsia" w:ascii="宋体" w:hAnsi="宋体" w:cs="宋体"/>
              </w:rPr>
              <w:t>：需清洁（含泥量低）、级配合理（不同粒径混合以</w:t>
            </w:r>
            <w:r>
              <w:rPr>
                <w:rFonts w:hint="eastAsia"/>
              </w:rPr>
              <w:t>提高密实度）。</w:t>
            </w:r>
          </w:p>
          <w:p w14:paraId="3BB629F2">
            <w:pPr>
              <w:pStyle w:val="77"/>
              <w:spacing w:line="460" w:lineRule="exact"/>
              <w:ind w:firstLine="480"/>
              <w:rPr>
                <w:snapToGrid w:val="0"/>
              </w:rPr>
            </w:pPr>
            <w:r>
              <w:rPr>
                <w:snapToGrid w:val="0"/>
              </w:rPr>
              <w:t>（4）</w:t>
            </w:r>
            <w:r>
              <w:rPr>
                <w:rFonts w:hint="eastAsia"/>
                <w:snapToGrid w:val="0"/>
              </w:rPr>
              <w:t>粉煤灰</w:t>
            </w:r>
          </w:p>
          <w:p w14:paraId="56740C31">
            <w:pPr>
              <w:pStyle w:val="77"/>
              <w:spacing w:line="460" w:lineRule="exact"/>
              <w:ind w:firstLine="480"/>
              <w:rPr>
                <w:snapToGrid w:val="0"/>
              </w:rPr>
            </w:pPr>
            <w:r>
              <w:rPr>
                <w:snapToGrid w:val="0"/>
              </w:rPr>
              <w:t>粉煤灰是燃煤电厂排放的主要固体废弃物，可作为混凝土掺和料，替代部分水泥，降低混凝土的成本，同时改善混凝土的工作性、增强耐久性、降低水化热等，还可用于生产水泥、砖块、墙板等建筑材料。主要氧化物组成为SiO</w:t>
            </w:r>
            <w:r>
              <w:rPr>
                <w:snapToGrid w:val="0"/>
                <w:vertAlign w:val="subscript"/>
              </w:rPr>
              <w:t>2</w:t>
            </w:r>
            <w:r>
              <w:rPr>
                <w:snapToGrid w:val="0"/>
              </w:rPr>
              <w:t>、Al</w:t>
            </w:r>
            <w:r>
              <w:rPr>
                <w:snapToGrid w:val="0"/>
                <w:vertAlign w:val="subscript"/>
              </w:rPr>
              <w:t>2</w:t>
            </w:r>
            <w:r>
              <w:rPr>
                <w:snapToGrid w:val="0"/>
              </w:rPr>
              <w:t>O</w:t>
            </w:r>
            <w:r>
              <w:rPr>
                <w:snapToGrid w:val="0"/>
                <w:vertAlign w:val="subscript"/>
              </w:rPr>
              <w:t>3</w:t>
            </w:r>
            <w:r>
              <w:rPr>
                <w:snapToGrid w:val="0"/>
              </w:rPr>
              <w:t>、FeO、Fe</w:t>
            </w:r>
            <w:r>
              <w:rPr>
                <w:snapToGrid w:val="0"/>
                <w:vertAlign w:val="subscript"/>
              </w:rPr>
              <w:t>2</w:t>
            </w:r>
            <w:r>
              <w:rPr>
                <w:snapToGrid w:val="0"/>
              </w:rPr>
              <w:t>O</w:t>
            </w:r>
            <w:r>
              <w:rPr>
                <w:snapToGrid w:val="0"/>
                <w:vertAlign w:val="subscript"/>
              </w:rPr>
              <w:t>3</w:t>
            </w:r>
            <w:r>
              <w:rPr>
                <w:snapToGrid w:val="0"/>
              </w:rPr>
              <w:t>、CaO、TiO</w:t>
            </w:r>
            <w:r>
              <w:rPr>
                <w:snapToGrid w:val="0"/>
                <w:vertAlign w:val="subscript"/>
              </w:rPr>
              <w:t>2</w:t>
            </w:r>
            <w:r>
              <w:rPr>
                <w:snapToGrid w:val="0"/>
              </w:rPr>
              <w:t>、MgO、K</w:t>
            </w:r>
            <w:r>
              <w:rPr>
                <w:snapToGrid w:val="0"/>
                <w:vertAlign w:val="subscript"/>
              </w:rPr>
              <w:t>2</w:t>
            </w:r>
            <w:r>
              <w:rPr>
                <w:snapToGrid w:val="0"/>
              </w:rPr>
              <w:t>O、Na</w:t>
            </w:r>
            <w:r>
              <w:rPr>
                <w:snapToGrid w:val="0"/>
                <w:vertAlign w:val="subscript"/>
              </w:rPr>
              <w:t>2</w:t>
            </w:r>
            <w:r>
              <w:rPr>
                <w:snapToGrid w:val="0"/>
              </w:rPr>
              <w:t>O、SO</w:t>
            </w:r>
            <w:r>
              <w:rPr>
                <w:snapToGrid w:val="0"/>
                <w:vertAlign w:val="subscript"/>
              </w:rPr>
              <w:t>3</w:t>
            </w:r>
            <w:r>
              <w:rPr>
                <w:snapToGrid w:val="0"/>
              </w:rPr>
              <w:t>、MnO等，此外还有P</w:t>
            </w:r>
            <w:r>
              <w:rPr>
                <w:snapToGrid w:val="0"/>
                <w:vertAlign w:val="subscript"/>
              </w:rPr>
              <w:t>2</w:t>
            </w:r>
            <w:r>
              <w:rPr>
                <w:snapToGrid w:val="0"/>
              </w:rPr>
              <w:t>O</w:t>
            </w:r>
            <w:r>
              <w:rPr>
                <w:snapToGrid w:val="0"/>
                <w:vertAlign w:val="subscript"/>
              </w:rPr>
              <w:t>3</w:t>
            </w:r>
            <w:r>
              <w:rPr>
                <w:snapToGrid w:val="0"/>
              </w:rPr>
              <w:t>等。粉煤灰的颗粒较细，大部分颗粒粒径在0.5μm-300μm之间。</w:t>
            </w:r>
          </w:p>
          <w:p w14:paraId="3D04A77E">
            <w:pPr>
              <w:pStyle w:val="77"/>
              <w:spacing w:line="460" w:lineRule="exact"/>
              <w:ind w:firstLine="480"/>
              <w:rPr>
                <w:snapToGrid w:val="0"/>
              </w:rPr>
            </w:pPr>
            <w:r>
              <w:rPr>
                <w:rFonts w:hint="eastAsia"/>
                <w:snapToGrid w:val="0"/>
              </w:rPr>
              <w:t>（</w:t>
            </w:r>
            <w:r>
              <w:rPr>
                <w:snapToGrid w:val="0"/>
              </w:rPr>
              <w:t>5</w:t>
            </w:r>
            <w:r>
              <w:rPr>
                <w:rFonts w:hint="eastAsia"/>
                <w:snapToGrid w:val="0"/>
              </w:rPr>
              <w:t>）矿粉</w:t>
            </w:r>
          </w:p>
          <w:p w14:paraId="769A51A1">
            <w:pPr>
              <w:pStyle w:val="77"/>
              <w:spacing w:line="460" w:lineRule="exact"/>
              <w:ind w:firstLine="480"/>
              <w:rPr>
                <w:snapToGrid w:val="0"/>
              </w:rPr>
            </w:pPr>
            <w:r>
              <w:rPr>
                <w:rFonts w:hint="eastAsia"/>
                <w:snapToGrid w:val="0"/>
              </w:rPr>
              <w:t>将矿石粉碎球磨加工后的产物，矿粉主要为石灰石粉，性状为无臭、无味白色粉末，粒径小于</w:t>
            </w:r>
            <w:r>
              <w:rPr>
                <w:snapToGrid w:val="0"/>
              </w:rPr>
              <w:t>0.075mm</w:t>
            </w:r>
            <w:r>
              <w:rPr>
                <w:rFonts w:hint="eastAsia"/>
                <w:snapToGrid w:val="0"/>
              </w:rPr>
              <w:t>，几乎不溶于水，主要成分是碳酸钙（</w:t>
            </w:r>
            <w:r>
              <w:rPr>
                <w:snapToGrid w:val="0"/>
              </w:rPr>
              <w:t>CaCO</w:t>
            </w:r>
            <w:r>
              <w:rPr>
                <w:snapToGrid w:val="0"/>
                <w:vertAlign w:val="subscript"/>
              </w:rPr>
              <w:t>3</w:t>
            </w:r>
            <w:r>
              <w:rPr>
                <w:rFonts w:hint="eastAsia"/>
                <w:snapToGrid w:val="0"/>
              </w:rPr>
              <w:t>）。</w:t>
            </w:r>
          </w:p>
          <w:p w14:paraId="193A8AEC">
            <w:pPr>
              <w:pStyle w:val="77"/>
              <w:spacing w:line="460" w:lineRule="exact"/>
              <w:ind w:firstLine="480"/>
              <w:rPr>
                <w:snapToGrid w:val="0"/>
              </w:rPr>
            </w:pPr>
            <w:r>
              <w:rPr>
                <w:snapToGrid w:val="0"/>
              </w:rPr>
              <w:t>（6）水泥</w:t>
            </w:r>
          </w:p>
          <w:p w14:paraId="75F035E8">
            <w:pPr>
              <w:pStyle w:val="59"/>
              <w:spacing w:line="460" w:lineRule="exact"/>
              <w:ind w:firstLine="480"/>
              <w:rPr>
                <w:snapToGrid w:val="0"/>
              </w:rPr>
            </w:pPr>
            <w:r>
              <w:rPr>
                <w:snapToGrid w:val="0"/>
              </w:rPr>
              <w:t>公路常用的水泥有多种类型，道路硅酸盐水泥以硅酸钙和较多铁铝酸钙的硅酸盐水泥熟料，加适量成分磨细制成，抗折、耐磨、抗冻且干缩率小，适用于公路路面、机场跑道等；硅酸盐水泥硅酸三钙和硅酸二钙含量高，早期强度高、抗冻性好但水化热大，用于早期强度要求高或严寒地区公路工程；普通硅酸盐水泥含一定混合材料，早期强度略低、后期增长快且抗渗性好，适用于有抗渗、耐磨要求的公路工程。</w:t>
            </w:r>
          </w:p>
          <w:p w14:paraId="1B50EBA3">
            <w:pPr>
              <w:pStyle w:val="59"/>
              <w:spacing w:line="460" w:lineRule="exact"/>
              <w:ind w:firstLine="480"/>
              <w:rPr>
                <w:rFonts w:cs="Times New Roman"/>
                <w:szCs w:val="24"/>
              </w:rPr>
            </w:pPr>
            <w:r>
              <w:rPr>
                <w:rFonts w:cs="Times New Roman"/>
                <w:szCs w:val="24"/>
              </w:rPr>
              <w:t>（7）添加剂</w:t>
            </w:r>
          </w:p>
          <w:p w14:paraId="0A6C847D">
            <w:pPr>
              <w:pStyle w:val="59"/>
              <w:spacing w:line="460" w:lineRule="exact"/>
              <w:ind w:firstLine="480"/>
              <w:rPr>
                <w:rFonts w:cs="Times New Roman"/>
                <w:szCs w:val="24"/>
              </w:rPr>
            </w:pPr>
            <w:r>
              <w:rPr>
                <w:rFonts w:cs="Times New Roman"/>
              </w:rPr>
              <w:t>项目使用的添加剂主要为减水剂。减水剂使用聚羧酸减水剂，聚羧酸减水剂是一种高性能减水剂，是水泥混凝土运用中的一种水泥分散剂。适用于高速铁路、客运专线、工业与民用建筑、道路、桥梁、港口码头、机场等工程建设的预制和现浇混凝土、钢筋混凝土及预应力混凝土。使用火车和汽车运输。</w:t>
            </w:r>
          </w:p>
          <w:p w14:paraId="002372B3">
            <w:pPr>
              <w:pStyle w:val="77"/>
              <w:spacing w:line="460" w:lineRule="exact"/>
              <w:ind w:firstLine="480"/>
              <w:rPr>
                <w:snapToGrid w:val="0"/>
              </w:rPr>
            </w:pPr>
            <w:r>
              <w:rPr>
                <w:rFonts w:hint="eastAsia"/>
                <w:snapToGrid w:val="0"/>
              </w:rPr>
              <w:t>（</w:t>
            </w:r>
            <w:r>
              <w:rPr>
                <w:snapToGrid w:val="0"/>
              </w:rPr>
              <w:t>8</w:t>
            </w:r>
            <w:r>
              <w:rPr>
                <w:rFonts w:hint="eastAsia"/>
                <w:snapToGrid w:val="0"/>
              </w:rPr>
              <w:t>）醇醚燃料</w:t>
            </w:r>
          </w:p>
          <w:p w14:paraId="6AF3F4D9">
            <w:pPr>
              <w:pStyle w:val="77"/>
              <w:spacing w:line="460" w:lineRule="exact"/>
              <w:ind w:firstLine="480"/>
              <w:rPr>
                <w:snapToGrid w:val="0"/>
              </w:rPr>
            </w:pPr>
            <w:r>
              <w:rPr>
                <w:rFonts w:hint="eastAsia"/>
                <w:snapToGrid w:val="0"/>
              </w:rPr>
              <w:t>醇醚燃料的狭义定义是由煤通过气化合成的低碳含氧燃料，主要包括甲醇、二甲醚及其他低碳醇，其生产原料主要为原煤、煤层气、焦炉煤气等。醇醚燃料的广义定义是指通过煤气化合成、生物质转化，或通过利用光伏、风电、水电等清洁能源耦合二氧化碳制成的低碳含氧燃料，主要包括1,4-丁二醇二缩水甘油醚，4-异丙氧基丁醇，</w:t>
            </w:r>
            <w:r>
              <w:rPr>
                <w:snapToGrid w:val="0"/>
              </w:rPr>
              <w:t>1</w:t>
            </w:r>
            <w:r>
              <w:rPr>
                <w:rFonts w:hint="eastAsia"/>
                <w:snapToGrid w:val="0"/>
              </w:rPr>
              <w:t>,</w:t>
            </w:r>
            <w:r>
              <w:rPr>
                <w:snapToGrid w:val="0"/>
              </w:rPr>
              <w:t>4-</w:t>
            </w:r>
            <w:r>
              <w:rPr>
                <w:rFonts w:hint="eastAsia"/>
                <w:snapToGrid w:val="0"/>
              </w:rPr>
              <w:t>丁二醇等。热值2</w:t>
            </w:r>
            <w:r>
              <w:rPr>
                <w:snapToGrid w:val="0"/>
              </w:rPr>
              <w:t>7.83</w:t>
            </w:r>
            <w:r>
              <w:rPr>
                <w:rFonts w:hint="eastAsia"/>
                <w:snapToGrid w:val="0"/>
              </w:rPr>
              <w:t>M</w:t>
            </w:r>
            <w:r>
              <w:rPr>
                <w:snapToGrid w:val="0"/>
              </w:rPr>
              <w:t>J/</w:t>
            </w:r>
            <w:r>
              <w:rPr>
                <w:rFonts w:hint="eastAsia"/>
                <w:snapToGrid w:val="0"/>
              </w:rPr>
              <w:t>kg，闪点1</w:t>
            </w:r>
            <w:r>
              <w:rPr>
                <w:snapToGrid w:val="0"/>
              </w:rPr>
              <w:t>21.0</w:t>
            </w:r>
            <w:r>
              <w:rPr>
                <w:rFonts w:hint="eastAsia"/>
                <w:snapToGrid w:val="0"/>
              </w:rPr>
              <w:t>℃。</w:t>
            </w:r>
          </w:p>
          <w:p w14:paraId="2C050F0A">
            <w:pPr>
              <w:pStyle w:val="4"/>
              <w:spacing w:before="0" w:after="0" w:line="460" w:lineRule="exact"/>
              <w:ind w:firstLine="482" w:firstLineChars="200"/>
              <w:rPr>
                <w:sz w:val="24"/>
              </w:rPr>
            </w:pPr>
            <w:r>
              <w:rPr>
                <w:sz w:val="24"/>
              </w:rPr>
              <w:t>6、公用工程</w:t>
            </w:r>
          </w:p>
          <w:p w14:paraId="591EAB34">
            <w:pPr>
              <w:pStyle w:val="5"/>
              <w:spacing w:line="460" w:lineRule="exact"/>
              <w:ind w:firstLine="482"/>
              <w:rPr>
                <w:color w:val="auto"/>
                <w:sz w:val="24"/>
              </w:rPr>
            </w:pPr>
            <w:r>
              <w:rPr>
                <w:color w:val="auto"/>
                <w:sz w:val="24"/>
              </w:rPr>
              <w:t>6.1供电</w:t>
            </w:r>
          </w:p>
          <w:p w14:paraId="089AC90E">
            <w:pPr>
              <w:widowControl/>
              <w:spacing w:line="460" w:lineRule="exact"/>
              <w:ind w:firstLine="480" w:firstLineChars="200"/>
              <w:jc w:val="left"/>
            </w:pPr>
            <w:r>
              <w:rPr>
                <w:kern w:val="0"/>
                <w:lang w:bidi="ar"/>
              </w:rPr>
              <w:t>本项目供电电源依托园区现有电网，可满足厂内用电负荷的供电需要，运营期总用电量约为400000</w:t>
            </w:r>
            <w:r>
              <w:rPr>
                <w:rFonts w:hint="eastAsia"/>
                <w:kern w:val="0"/>
                <w:lang w:bidi="ar"/>
              </w:rPr>
              <w:t xml:space="preserve"> kWh/a</w:t>
            </w:r>
            <w:r>
              <w:rPr>
                <w:kern w:val="0"/>
                <w:lang w:bidi="ar"/>
              </w:rPr>
              <w:t>。</w:t>
            </w:r>
          </w:p>
          <w:p w14:paraId="351FC56D">
            <w:pPr>
              <w:pStyle w:val="5"/>
              <w:spacing w:line="460" w:lineRule="exact"/>
              <w:ind w:firstLine="482"/>
              <w:rPr>
                <w:color w:val="auto"/>
                <w:sz w:val="24"/>
              </w:rPr>
            </w:pPr>
            <w:r>
              <w:rPr>
                <w:color w:val="auto"/>
                <w:sz w:val="24"/>
              </w:rPr>
              <w:t>6.2给排水</w:t>
            </w:r>
          </w:p>
          <w:p w14:paraId="1EE5A7F0">
            <w:pPr>
              <w:spacing w:line="460" w:lineRule="exact"/>
              <w:ind w:firstLine="480" w:firstLineChars="200"/>
            </w:pPr>
            <w:r>
              <w:t>（1）给水项目</w:t>
            </w:r>
          </w:p>
          <w:p w14:paraId="6B6864A6">
            <w:pPr>
              <w:spacing w:line="460" w:lineRule="exact"/>
              <w:ind w:firstLine="480" w:firstLineChars="200"/>
            </w:pPr>
            <w:r>
              <w:t>本项目供水</w:t>
            </w:r>
            <w:r>
              <w:rPr>
                <w:rFonts w:hint="eastAsia"/>
              </w:rPr>
              <w:t>接入园区供水管网</w:t>
            </w:r>
            <w:r>
              <w:t>，可满足本项目用水需求。本项目新鲜水用水量为112275.6m</w:t>
            </w:r>
            <w:r>
              <w:rPr>
                <w:vertAlign w:val="superscript"/>
              </w:rPr>
              <w:t>3</w:t>
            </w:r>
            <w:r>
              <w:t>/a，其中生活用水量为561.6m</w:t>
            </w:r>
            <w:r>
              <w:rPr>
                <w:vertAlign w:val="superscript"/>
              </w:rPr>
              <w:t>3</w:t>
            </w:r>
            <w:r>
              <w:t>/a，生产用水113462.4m</w:t>
            </w:r>
            <w:r>
              <w:rPr>
                <w:vertAlign w:val="superscript"/>
              </w:rPr>
              <w:t>3</w:t>
            </w:r>
            <w:r>
              <w:t>/a。厂站计划设置3个尺寸为：10×10×2.5m</w:t>
            </w:r>
            <w:r>
              <w:rPr>
                <w:rFonts w:hint="eastAsia"/>
              </w:rPr>
              <w:t>沉淀</w:t>
            </w:r>
            <w:r>
              <w:t>池；水稳站计划设置6×6×2.5m尺寸蓄水池2个。</w:t>
            </w:r>
          </w:p>
          <w:p w14:paraId="1EEA1291">
            <w:pPr>
              <w:numPr>
                <w:ilvl w:val="0"/>
                <w:numId w:val="4"/>
              </w:numPr>
              <w:spacing w:line="460" w:lineRule="exact"/>
            </w:pPr>
            <w:r>
              <w:t>搅拌用水</w:t>
            </w:r>
          </w:p>
          <w:p w14:paraId="14D70BA3">
            <w:pPr>
              <w:spacing w:line="460" w:lineRule="exact"/>
              <w:ind w:firstLine="480" w:firstLineChars="200"/>
            </w:pPr>
            <w:r>
              <w:t>根据建设单位提供资料，</w:t>
            </w:r>
            <w:bookmarkStart w:id="11" w:name="OLE_LINK19"/>
            <w:bookmarkStart w:id="12" w:name="OLE_LINK18"/>
            <w:r>
              <w:t>项目生产1m</w:t>
            </w:r>
            <w:r>
              <w:rPr>
                <w:vertAlign w:val="superscript"/>
              </w:rPr>
              <w:t>3</w:t>
            </w:r>
            <w:r>
              <w:t>水泥稳定土搅拌用水量为0.123m</w:t>
            </w:r>
            <w:r>
              <w:rPr>
                <w:vertAlign w:val="superscript"/>
              </w:rPr>
              <w:t>3</w:t>
            </w:r>
            <w:r>
              <w:t>，则水稳搅拌用水量为49100m</w:t>
            </w:r>
            <w:r>
              <w:rPr>
                <w:vertAlign w:val="superscript"/>
              </w:rPr>
              <w:t>3</w:t>
            </w:r>
            <w:r>
              <w:t>/a</w:t>
            </w:r>
            <w:bookmarkEnd w:id="11"/>
            <w:bookmarkEnd w:id="12"/>
            <w:r>
              <w:rPr>
                <w:rFonts w:hint="eastAsia"/>
              </w:rPr>
              <w:t>；</w:t>
            </w:r>
            <w:r>
              <w:t>项目生产1m</w:t>
            </w:r>
            <w:r>
              <w:rPr>
                <w:vertAlign w:val="superscript"/>
              </w:rPr>
              <w:t>3</w:t>
            </w:r>
            <w:r>
              <w:t>水泥</w:t>
            </w:r>
            <w:r>
              <w:rPr>
                <w:rFonts w:hint="eastAsia"/>
              </w:rPr>
              <w:t>混凝土</w:t>
            </w:r>
            <w:r>
              <w:t>搅拌用水量为0.288m</w:t>
            </w:r>
            <w:r>
              <w:rPr>
                <w:vertAlign w:val="superscript"/>
              </w:rPr>
              <w:t>3</w:t>
            </w:r>
            <w:r>
              <w:t>，则水泥</w:t>
            </w:r>
            <w:r>
              <w:rPr>
                <w:rFonts w:hint="eastAsia"/>
              </w:rPr>
              <w:t>混凝土</w:t>
            </w:r>
            <w:r>
              <w:t>搅拌用水</w:t>
            </w:r>
            <w:r>
              <w:rPr>
                <w:rFonts w:hint="eastAsia"/>
              </w:rPr>
              <w:t>共需要</w:t>
            </w:r>
            <w:r>
              <w:t>23059m</w:t>
            </w:r>
            <w:r>
              <w:rPr>
                <w:vertAlign w:val="superscript"/>
              </w:rPr>
              <w:t>3</w:t>
            </w:r>
            <w:r>
              <w:t>/a</w:t>
            </w:r>
            <w:r>
              <w:rPr>
                <w:rFonts w:hint="eastAsia"/>
              </w:rPr>
              <w:t>，其中一部分来源于混凝搅拌车冲洗用水2</w:t>
            </w:r>
            <w:r>
              <w:t>160m</w:t>
            </w:r>
            <w:r>
              <w:rPr>
                <w:vertAlign w:val="superscript"/>
              </w:rPr>
              <w:t>3</w:t>
            </w:r>
            <w:r>
              <w:rPr>
                <w:rFonts w:hint="eastAsia"/>
              </w:rPr>
              <w:t>/</w:t>
            </w:r>
            <w:r>
              <w:t>a</w:t>
            </w:r>
            <w:r>
              <w:rPr>
                <w:rFonts w:hint="eastAsia"/>
              </w:rPr>
              <w:t>，另一部分来源于新鲜水补充2</w:t>
            </w:r>
            <w:r>
              <w:t>0899 m</w:t>
            </w:r>
            <w:r>
              <w:rPr>
                <w:vertAlign w:val="superscript"/>
              </w:rPr>
              <w:t>3</w:t>
            </w:r>
            <w:r>
              <w:t>/a</w:t>
            </w:r>
            <w:r>
              <w:rPr>
                <w:rFonts w:hint="eastAsia"/>
              </w:rPr>
              <w:t>。</w:t>
            </w:r>
          </w:p>
          <w:p w14:paraId="18E62038">
            <w:pPr>
              <w:pStyle w:val="87"/>
              <w:numPr>
                <w:ilvl w:val="0"/>
                <w:numId w:val="4"/>
              </w:numPr>
              <w:spacing w:line="460" w:lineRule="exact"/>
              <w:ind w:firstLineChars="0"/>
            </w:pPr>
            <w:r>
              <w:t>冲洗用水</w:t>
            </w:r>
          </w:p>
          <w:p w14:paraId="4F6EBA11">
            <w:pPr>
              <w:spacing w:line="460" w:lineRule="exact"/>
              <w:ind w:firstLine="480" w:firstLineChars="200"/>
            </w:pPr>
            <w:r>
              <w:t>项目冲洗用水主要包括搅拌机冲洗用水和运输车辆冲洗用水。搅拌机及水泥稳定土、沥青混凝土运输车冲洗用水经过沉淀池沉淀后回用于</w:t>
            </w:r>
            <w:r>
              <w:rPr>
                <w:rFonts w:hint="eastAsia"/>
              </w:rPr>
              <w:t>水泥混凝土</w:t>
            </w:r>
            <w:r>
              <w:t>搅拌工序。</w:t>
            </w:r>
          </w:p>
          <w:p w14:paraId="65E50114">
            <w:pPr>
              <w:spacing w:line="460" w:lineRule="exact"/>
              <w:ind w:firstLine="480" w:firstLineChars="200"/>
            </w:pPr>
            <w:r>
              <w:t>搅拌机每天冲洗1次，其搅拌机的容积为2m</w:t>
            </w:r>
            <w:r>
              <w:rPr>
                <w:vertAlign w:val="superscript"/>
              </w:rPr>
              <w:t>3</w:t>
            </w:r>
            <w:r>
              <w:t>，每台冲洗水量按2m</w:t>
            </w:r>
            <w:r>
              <w:rPr>
                <w:vertAlign w:val="superscript"/>
              </w:rPr>
              <w:t>3</w:t>
            </w:r>
            <w:r>
              <w:t>/次计算，本项目设置3台搅拌机，每天冲洗水6m</w:t>
            </w:r>
            <w:r>
              <w:rPr>
                <w:vertAlign w:val="superscript"/>
              </w:rPr>
              <w:t>3</w:t>
            </w:r>
            <w:r>
              <w:t>/d，则搅拌机冲洗水用量为1620m</w:t>
            </w:r>
            <w:r>
              <w:rPr>
                <w:vertAlign w:val="superscript"/>
              </w:rPr>
              <w:t>3</w:t>
            </w:r>
            <w:r>
              <w:t>/a。</w:t>
            </w:r>
          </w:p>
          <w:p w14:paraId="1D67537B">
            <w:pPr>
              <w:spacing w:line="460" w:lineRule="exact"/>
              <w:ind w:firstLine="480" w:firstLineChars="200"/>
            </w:pPr>
            <w:r>
              <w:t>项目运输罐车每</w:t>
            </w:r>
            <w:r>
              <w:rPr>
                <w:rFonts w:hint="eastAsia"/>
              </w:rPr>
              <w:t>天</w:t>
            </w:r>
            <w:r>
              <w:t>清洗一次，根据建设单位提供资料，项目运输罐车约8辆，清洗车辆按0.5m</w:t>
            </w:r>
            <w:r>
              <w:rPr>
                <w:vertAlign w:val="superscript"/>
              </w:rPr>
              <w:t>3</w:t>
            </w:r>
            <w:r>
              <w:t>/辆·次，则车辆清洗用水为4m</w:t>
            </w:r>
            <w:r>
              <w:rPr>
                <w:vertAlign w:val="superscript"/>
              </w:rPr>
              <w:t>3</w:t>
            </w:r>
            <w:r>
              <w:t>/d（1080m</w:t>
            </w:r>
            <w:r>
              <w:rPr>
                <w:vertAlign w:val="superscript"/>
              </w:rPr>
              <w:t>3</w:t>
            </w:r>
            <w:r>
              <w:t>/a）。</w:t>
            </w:r>
          </w:p>
          <w:p w14:paraId="1FFA48C9">
            <w:pPr>
              <w:spacing w:line="460" w:lineRule="exact"/>
              <w:ind w:firstLine="480" w:firstLineChars="200"/>
            </w:pPr>
            <w:r>
              <w:t>冲洗总用水量为2700m</w:t>
            </w:r>
            <w:r>
              <w:rPr>
                <w:vertAlign w:val="superscript"/>
              </w:rPr>
              <w:t>3</w:t>
            </w:r>
            <w:r>
              <w:t>/a，污水产生量为2160m</w:t>
            </w:r>
            <w:r>
              <w:rPr>
                <w:vertAlign w:val="superscript"/>
              </w:rPr>
              <w:t>3</w:t>
            </w:r>
            <w:r>
              <w:t>/a。项目冲洗废水进入厂区沉淀池，经沉淀后回用于</w:t>
            </w:r>
            <w:r>
              <w:rPr>
                <w:rFonts w:hint="eastAsia"/>
              </w:rPr>
              <w:t>搅拌工序</w:t>
            </w:r>
            <w:r>
              <w:t>，不外排。</w:t>
            </w:r>
          </w:p>
          <w:p w14:paraId="5FC71C36">
            <w:pPr>
              <w:spacing w:line="460" w:lineRule="exact"/>
              <w:ind w:firstLine="480" w:firstLineChars="200"/>
            </w:pPr>
            <w:r>
              <w:fldChar w:fldCharType="begin"/>
            </w:r>
            <w:r>
              <w:instrText xml:space="preserve"> = 3 \* GB3 </w:instrText>
            </w:r>
            <w:r>
              <w:fldChar w:fldCharType="separate"/>
            </w:r>
            <w:r>
              <w:rPr>
                <w:rFonts w:hint="eastAsia" w:ascii="宋体" w:hAnsi="宋体" w:cs="宋体"/>
              </w:rPr>
              <w:t>③</w:t>
            </w:r>
            <w:r>
              <w:fldChar w:fldCharType="end"/>
            </w:r>
            <w:r>
              <w:t>厂区抑尘用水</w:t>
            </w:r>
          </w:p>
          <w:p w14:paraId="7492319C">
            <w:pPr>
              <w:spacing w:line="460" w:lineRule="exact"/>
              <w:ind w:firstLine="480" w:firstLineChars="200"/>
            </w:pPr>
            <w:r>
              <w:t>厂区抑尘洒水主要为原料棚内抑尘用水、道路洒水、原料转载点等过程，需要不定时洒水降尘，用水按0.02m</w:t>
            </w:r>
            <w:r>
              <w:rPr>
                <w:vertAlign w:val="superscript"/>
              </w:rPr>
              <w:t>3</w:t>
            </w:r>
            <w:r>
              <w:t>/m</w:t>
            </w:r>
            <w:r>
              <w:rPr>
                <w:vertAlign w:val="superscript"/>
              </w:rPr>
              <w:t>2</w:t>
            </w:r>
            <w:r>
              <w:t>·d估算，洒水面积按6000m</w:t>
            </w:r>
            <w:r>
              <w:rPr>
                <w:vertAlign w:val="superscript"/>
              </w:rPr>
              <w:t>2</w:t>
            </w:r>
            <w:r>
              <w:t>考虑，则用水量为32400m</w:t>
            </w:r>
            <w:r>
              <w:rPr>
                <w:vertAlign w:val="superscript"/>
              </w:rPr>
              <w:t>3</w:t>
            </w:r>
            <w:r>
              <w:t>/a，该部分水蒸发不外排。</w:t>
            </w:r>
          </w:p>
          <w:p w14:paraId="27862064">
            <w:pPr>
              <w:spacing w:line="460" w:lineRule="exact"/>
              <w:ind w:firstLine="480" w:firstLineChars="200"/>
            </w:pPr>
            <w:r>
              <w:fldChar w:fldCharType="begin"/>
            </w:r>
            <w:r>
              <w:instrText xml:space="preserve"> = 4 \* GB3 </w:instrText>
            </w:r>
            <w:r>
              <w:fldChar w:fldCharType="separate"/>
            </w:r>
            <w:r>
              <w:rPr>
                <w:rFonts w:hint="eastAsia" w:ascii="宋体" w:hAnsi="宋体" w:cs="宋体"/>
              </w:rPr>
              <w:t>④</w:t>
            </w:r>
            <w:r>
              <w:fldChar w:fldCharType="end"/>
            </w:r>
            <w:r>
              <w:t>喷淋用水：项目安装水雾喷淋装置，沉降生产过程产生的粉尘颗粒物，根据喷雾降尘工艺设计方案，企业拟设置14个喷头，单个喷头耗水量约0.2m</w:t>
            </w:r>
            <w:r>
              <w:rPr>
                <w:vertAlign w:val="superscript"/>
              </w:rPr>
              <w:t>3</w:t>
            </w:r>
            <w:r>
              <w:t>/h，每天喷淋时间约8h，则喷淋</w:t>
            </w:r>
            <w:r>
              <w:rPr>
                <w:rFonts w:hint="eastAsia"/>
              </w:rPr>
              <w:t>用水</w:t>
            </w:r>
            <w:r>
              <w:t>量约为22.4m</w:t>
            </w:r>
            <w:r>
              <w:rPr>
                <w:vertAlign w:val="superscript"/>
              </w:rPr>
              <w:t>3</w:t>
            </w:r>
            <w:r>
              <w:t>/d（6048m</w:t>
            </w:r>
            <w:r>
              <w:rPr>
                <w:vertAlign w:val="superscript"/>
              </w:rPr>
              <w:t>3</w:t>
            </w:r>
            <w:r>
              <w:t>/a），该部分水蒸发不外排。</w:t>
            </w:r>
          </w:p>
          <w:p w14:paraId="5F955366">
            <w:pPr>
              <w:spacing w:line="460" w:lineRule="exact"/>
              <w:ind w:firstLine="480" w:firstLineChars="200"/>
            </w:pPr>
            <w:r>
              <w:fldChar w:fldCharType="begin"/>
            </w:r>
            <w:r>
              <w:instrText xml:space="preserve"> = 5 \* GB3 </w:instrText>
            </w:r>
            <w:r>
              <w:fldChar w:fldCharType="separate"/>
            </w:r>
            <w:r>
              <w:rPr>
                <w:rFonts w:hint="eastAsia"/>
              </w:rPr>
              <w:t>⑤</w:t>
            </w:r>
            <w:r>
              <w:fldChar w:fldCharType="end"/>
            </w:r>
            <w:r>
              <w:t>预制梁板养护用水</w:t>
            </w:r>
          </w:p>
          <w:p w14:paraId="7EAD5D4C">
            <w:pPr>
              <w:spacing w:line="460" w:lineRule="exact"/>
              <w:ind w:firstLine="480" w:firstLineChars="200"/>
            </w:pPr>
            <w:r>
              <w:t>项目预制梁板成品需要进行养护，过程使用水喷洒养护，根据企业提供数据，养护过程用水量为2m</w:t>
            </w:r>
            <w:r>
              <w:rPr>
                <w:vertAlign w:val="superscript"/>
              </w:rPr>
              <w:t>3</w:t>
            </w:r>
            <w:r>
              <w:t>/d（540m</w:t>
            </w:r>
            <w:r>
              <w:rPr>
                <w:vertAlign w:val="superscript"/>
              </w:rPr>
              <w:t>3</w:t>
            </w:r>
            <w:r>
              <w:t>/a），全部进入产品。</w:t>
            </w:r>
          </w:p>
          <w:p w14:paraId="6610101B">
            <w:pPr>
              <w:spacing w:line="460" w:lineRule="exact"/>
              <w:ind w:firstLine="480" w:firstLineChars="200"/>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喷淋塔用水</w:t>
            </w:r>
          </w:p>
          <w:p w14:paraId="70A78C3C">
            <w:pPr>
              <w:spacing w:line="460" w:lineRule="exact"/>
              <w:ind w:firstLine="480" w:firstLineChars="200"/>
            </w:pPr>
            <w:r>
              <w:rPr>
                <w:rFonts w:hint="eastAsia"/>
              </w:rPr>
              <w:t>沥青烟净化系统使用水喷淋塔对烟气进行喷淋降尘，根据企业提供资料，喷淋塔首次用水量为</w:t>
            </w:r>
            <w:r>
              <w:t>150</w:t>
            </w:r>
            <w:r>
              <w:rPr>
                <w:rFonts w:hint="eastAsia"/>
              </w:rPr>
              <w:t>m</w:t>
            </w:r>
            <w:r>
              <w:rPr>
                <w:rFonts w:hint="eastAsia"/>
                <w:vertAlign w:val="superscript"/>
              </w:rPr>
              <w:t>3</w:t>
            </w:r>
            <w:r>
              <w:rPr>
                <w:rFonts w:hint="eastAsia"/>
              </w:rPr>
              <w:t>，每天补水量为0.1m</w:t>
            </w:r>
            <w:r>
              <w:rPr>
                <w:rFonts w:hint="eastAsia"/>
                <w:vertAlign w:val="superscript"/>
              </w:rPr>
              <w:t>3</w:t>
            </w:r>
            <w:r>
              <w:rPr>
                <w:rFonts w:hint="eastAsia"/>
              </w:rPr>
              <w:t>，年生产天数为2</w:t>
            </w:r>
            <w:r>
              <w:t>70</w:t>
            </w:r>
            <w:r>
              <w:rPr>
                <w:rFonts w:hint="eastAsia"/>
              </w:rPr>
              <w:t xml:space="preserve"> 天，则补充新鲜水为2</w:t>
            </w:r>
            <w:r>
              <w:t>7</w:t>
            </w:r>
            <w:r>
              <w:rPr>
                <w:rFonts w:hint="eastAsia"/>
              </w:rPr>
              <w:t>m</w:t>
            </w:r>
            <w:r>
              <w:rPr>
                <w:rFonts w:hint="eastAsia"/>
                <w:vertAlign w:val="superscript"/>
              </w:rPr>
              <w:t>3</w:t>
            </w:r>
            <w:r>
              <w:rPr>
                <w:rFonts w:hint="eastAsia"/>
              </w:rPr>
              <w:t>/a。</w:t>
            </w:r>
          </w:p>
          <w:p w14:paraId="5BE1265E">
            <w:pPr>
              <w:spacing w:line="460" w:lineRule="exact"/>
              <w:ind w:firstLine="480" w:firstLineChars="200"/>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rPr>
                <w:rFonts w:hint="eastAsia"/>
              </w:rPr>
              <w:t>生活用水</w:t>
            </w:r>
          </w:p>
          <w:p w14:paraId="6789C46E">
            <w:pPr>
              <w:spacing w:line="460" w:lineRule="exact"/>
              <w:ind w:firstLine="480" w:firstLineChars="200"/>
            </w:pPr>
            <w:r>
              <w:t>根据</w:t>
            </w:r>
            <w:r>
              <w:rPr>
                <w:rFonts w:hint="eastAsia"/>
              </w:rPr>
              <w:t>新疆维吾尔自治区生活用水定额</w:t>
            </w:r>
            <w:r>
              <w:t>，员工用水量按80L/</w:t>
            </w:r>
            <w:r>
              <w:rPr>
                <w:rFonts w:hint="eastAsia"/>
              </w:rPr>
              <w:t>人</w:t>
            </w:r>
            <w:r>
              <w:t>·d计算，项目劳动定员26人，生活用水量为2.08m</w:t>
            </w:r>
            <w:r>
              <w:rPr>
                <w:vertAlign w:val="superscript"/>
              </w:rPr>
              <w:t>3</w:t>
            </w:r>
            <w:r>
              <w:t>/d，年用水量为561.6m</w:t>
            </w:r>
            <w:r>
              <w:rPr>
                <w:vertAlign w:val="superscript"/>
              </w:rPr>
              <w:t>3</w:t>
            </w:r>
            <w:r>
              <w:t>/a。</w:t>
            </w:r>
          </w:p>
          <w:p w14:paraId="2B419976">
            <w:pPr>
              <w:spacing w:line="460" w:lineRule="exact"/>
              <w:ind w:firstLine="480" w:firstLineChars="200"/>
            </w:pPr>
            <w:r>
              <w:t>（2）排水</w:t>
            </w:r>
          </w:p>
          <w:p w14:paraId="0EA9141E">
            <w:pPr>
              <w:spacing w:line="460" w:lineRule="exact"/>
              <w:ind w:firstLine="480" w:firstLineChars="200"/>
            </w:pPr>
            <w:r>
              <w:t>项目运营期无生产废水外排，</w:t>
            </w:r>
            <w:r>
              <w:rPr>
                <w:rFonts w:hint="eastAsia"/>
              </w:rPr>
              <w:t>搅拌机冲洗废水和运输车辆冲洗废水经</w:t>
            </w:r>
            <w:r>
              <w:t>沉淀池处理后回用</w:t>
            </w:r>
            <w:r>
              <w:rPr>
                <w:rFonts w:hint="eastAsia"/>
              </w:rPr>
              <w:t>。</w:t>
            </w:r>
            <w:r>
              <w:t>生活污水产生量为449.28m</w:t>
            </w:r>
            <w:r>
              <w:rPr>
                <w:vertAlign w:val="superscript"/>
              </w:rPr>
              <w:t>3</w:t>
            </w:r>
            <w:r>
              <w:t>/a，生活污水排入下水管网，最终进入奇台县喇嘛湖梁工业园区污水处理厂处理。</w:t>
            </w:r>
          </w:p>
          <w:p w14:paraId="19D153DC">
            <w:pPr>
              <w:pStyle w:val="76"/>
              <w:ind w:firstLine="420"/>
              <w:rPr>
                <w:color w:val="auto"/>
              </w:rPr>
            </w:pPr>
            <w:r>
              <w:rPr>
                <w:rFonts w:hint="eastAsia"/>
                <w:color w:val="auto"/>
              </w:rPr>
              <w:t>表2-</w:t>
            </w:r>
            <w:r>
              <w:rPr>
                <w:color w:val="auto"/>
              </w:rPr>
              <w:t>5</w:t>
            </w:r>
            <w:r>
              <w:rPr>
                <w:rFonts w:hint="eastAsia"/>
                <w:color w:val="auto"/>
              </w:rPr>
              <w:t xml:space="preserve">                   用水和排水情况一览表 </w:t>
            </w:r>
            <w:r>
              <w:rPr>
                <w:color w:val="auto"/>
              </w:rPr>
              <w:t xml:space="preserve">       </w:t>
            </w:r>
            <w:r>
              <w:rPr>
                <w:rFonts w:hint="eastAsia"/>
                <w:color w:val="auto"/>
              </w:rPr>
              <w:t>单位：t</w:t>
            </w:r>
            <w:r>
              <w:rPr>
                <w:color w:val="auto"/>
              </w:rPr>
              <w:t>/a</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2043"/>
              <w:gridCol w:w="2043"/>
              <w:gridCol w:w="2043"/>
            </w:tblGrid>
            <w:tr w14:paraId="543F8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86" w:type="dxa"/>
                  <w:gridSpan w:val="2"/>
                </w:tcPr>
                <w:p w14:paraId="74EEB1D3">
                  <w:pPr>
                    <w:pStyle w:val="63"/>
                  </w:pPr>
                  <w:r>
                    <w:rPr>
                      <w:rFonts w:hint="eastAsia"/>
                    </w:rPr>
                    <w:t>用水量</w:t>
                  </w:r>
                </w:p>
              </w:tc>
              <w:tc>
                <w:tcPr>
                  <w:tcW w:w="4086" w:type="dxa"/>
                  <w:gridSpan w:val="2"/>
                </w:tcPr>
                <w:p w14:paraId="31EFB6AB">
                  <w:pPr>
                    <w:pStyle w:val="63"/>
                  </w:pPr>
                  <w:r>
                    <w:rPr>
                      <w:rFonts w:hint="eastAsia"/>
                    </w:rPr>
                    <w:t>排水量</w:t>
                  </w:r>
                </w:p>
              </w:tc>
            </w:tr>
            <w:tr w14:paraId="312BA6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23D88B05">
                  <w:pPr>
                    <w:pStyle w:val="63"/>
                  </w:pPr>
                  <w:r>
                    <w:rPr>
                      <w:rFonts w:hint="eastAsia"/>
                    </w:rPr>
                    <w:t>名称</w:t>
                  </w:r>
                </w:p>
              </w:tc>
              <w:tc>
                <w:tcPr>
                  <w:tcW w:w="2043" w:type="dxa"/>
                </w:tcPr>
                <w:p w14:paraId="455A00E7">
                  <w:pPr>
                    <w:pStyle w:val="63"/>
                  </w:pPr>
                  <w:r>
                    <w:rPr>
                      <w:rFonts w:hint="eastAsia"/>
                    </w:rPr>
                    <w:t>数量</w:t>
                  </w:r>
                </w:p>
              </w:tc>
              <w:tc>
                <w:tcPr>
                  <w:tcW w:w="2043" w:type="dxa"/>
                  <w:vAlign w:val="center"/>
                </w:tcPr>
                <w:p w14:paraId="28E17FB3">
                  <w:pPr>
                    <w:pStyle w:val="63"/>
                  </w:pPr>
                  <w:r>
                    <w:rPr>
                      <w:rFonts w:hint="eastAsia"/>
                    </w:rPr>
                    <w:t>名称</w:t>
                  </w:r>
                </w:p>
              </w:tc>
              <w:tc>
                <w:tcPr>
                  <w:tcW w:w="2043" w:type="dxa"/>
                  <w:vAlign w:val="center"/>
                </w:tcPr>
                <w:p w14:paraId="6DECD170">
                  <w:pPr>
                    <w:pStyle w:val="63"/>
                  </w:pPr>
                  <w:r>
                    <w:rPr>
                      <w:rFonts w:hint="eastAsia"/>
                    </w:rPr>
                    <w:t>数量</w:t>
                  </w:r>
                </w:p>
              </w:tc>
            </w:tr>
            <w:tr w14:paraId="331203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72A357F4">
                  <w:pPr>
                    <w:pStyle w:val="63"/>
                  </w:pPr>
                  <w:r>
                    <w:rPr>
                      <w:rFonts w:hint="eastAsia"/>
                    </w:rPr>
                    <w:t>生活用水</w:t>
                  </w:r>
                </w:p>
              </w:tc>
              <w:tc>
                <w:tcPr>
                  <w:tcW w:w="2043" w:type="dxa"/>
                </w:tcPr>
                <w:p w14:paraId="7F722F10">
                  <w:pPr>
                    <w:pStyle w:val="63"/>
                  </w:pPr>
                  <w:r>
                    <w:rPr>
                      <w:rFonts w:hint="eastAsia"/>
                    </w:rPr>
                    <w:t>5</w:t>
                  </w:r>
                  <w:r>
                    <w:t>61.6</w:t>
                  </w:r>
                </w:p>
              </w:tc>
              <w:tc>
                <w:tcPr>
                  <w:tcW w:w="2043" w:type="dxa"/>
                </w:tcPr>
                <w:p w14:paraId="5A8469BA">
                  <w:pPr>
                    <w:pStyle w:val="63"/>
                  </w:pPr>
                  <w:r>
                    <w:rPr>
                      <w:rFonts w:hint="eastAsia"/>
                    </w:rPr>
                    <w:t>生活污水</w:t>
                  </w:r>
                </w:p>
              </w:tc>
              <w:tc>
                <w:tcPr>
                  <w:tcW w:w="2043" w:type="dxa"/>
                </w:tcPr>
                <w:p w14:paraId="24D8FA96">
                  <w:pPr>
                    <w:pStyle w:val="63"/>
                  </w:pPr>
                  <w:r>
                    <w:rPr>
                      <w:rFonts w:hint="eastAsia"/>
                    </w:rPr>
                    <w:t>4</w:t>
                  </w:r>
                  <w:r>
                    <w:t>49</w:t>
                  </w:r>
                  <w:r>
                    <w:rPr>
                      <w:rFonts w:hint="eastAsia"/>
                    </w:rPr>
                    <w:t>.</w:t>
                  </w:r>
                  <w:r>
                    <w:t>28</w:t>
                  </w:r>
                </w:p>
              </w:tc>
            </w:tr>
            <w:tr w14:paraId="78BD4A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55113934">
                  <w:pPr>
                    <w:pStyle w:val="63"/>
                  </w:pPr>
                  <w:r>
                    <w:rPr>
                      <w:rFonts w:hint="eastAsia"/>
                    </w:rPr>
                    <w:t>水泥混凝土搅拌用水</w:t>
                  </w:r>
                </w:p>
              </w:tc>
              <w:tc>
                <w:tcPr>
                  <w:tcW w:w="2043" w:type="dxa"/>
                </w:tcPr>
                <w:p w14:paraId="10CC67E5">
                  <w:pPr>
                    <w:pStyle w:val="63"/>
                  </w:pPr>
                  <w:r>
                    <w:rPr>
                      <w:rFonts w:hint="eastAsia"/>
                    </w:rPr>
                    <w:t>2</w:t>
                  </w:r>
                  <w:r>
                    <w:t>0899</w:t>
                  </w:r>
                </w:p>
              </w:tc>
              <w:tc>
                <w:tcPr>
                  <w:tcW w:w="2043" w:type="dxa"/>
                </w:tcPr>
                <w:p w14:paraId="0CBA742B">
                  <w:pPr>
                    <w:pStyle w:val="63"/>
                  </w:pPr>
                  <w:r>
                    <w:rPr>
                      <w:rFonts w:hint="eastAsia"/>
                    </w:rPr>
                    <w:t>混凝土搅拌机和运输车冲洗废水</w:t>
                  </w:r>
                </w:p>
              </w:tc>
              <w:tc>
                <w:tcPr>
                  <w:tcW w:w="2043" w:type="dxa"/>
                </w:tcPr>
                <w:p w14:paraId="68073D08">
                  <w:pPr>
                    <w:pStyle w:val="63"/>
                  </w:pPr>
                  <w:r>
                    <w:rPr>
                      <w:rFonts w:hint="eastAsia"/>
                    </w:rPr>
                    <w:t>2</w:t>
                  </w:r>
                  <w:r>
                    <w:t>160</w:t>
                  </w:r>
                </w:p>
              </w:tc>
            </w:tr>
            <w:tr w14:paraId="3DDDA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10E2CE1C">
                  <w:pPr>
                    <w:pStyle w:val="63"/>
                  </w:pPr>
                  <w:r>
                    <w:rPr>
                      <w:rFonts w:hint="eastAsia"/>
                    </w:rPr>
                    <w:t>混凝土搅拌机和运输车冲洗用水</w:t>
                  </w:r>
                </w:p>
              </w:tc>
              <w:tc>
                <w:tcPr>
                  <w:tcW w:w="2043" w:type="dxa"/>
                </w:tcPr>
                <w:p w14:paraId="6809C071">
                  <w:pPr>
                    <w:pStyle w:val="63"/>
                  </w:pPr>
                  <w:r>
                    <w:rPr>
                      <w:rFonts w:hint="eastAsia"/>
                    </w:rPr>
                    <w:t>2</w:t>
                  </w:r>
                  <w:r>
                    <w:t>700</w:t>
                  </w:r>
                </w:p>
              </w:tc>
              <w:tc>
                <w:tcPr>
                  <w:tcW w:w="2043" w:type="dxa"/>
                </w:tcPr>
                <w:p w14:paraId="592898B3">
                  <w:pPr>
                    <w:pStyle w:val="63"/>
                  </w:pPr>
                </w:p>
              </w:tc>
              <w:tc>
                <w:tcPr>
                  <w:tcW w:w="2043" w:type="dxa"/>
                </w:tcPr>
                <w:p w14:paraId="0576E937">
                  <w:pPr>
                    <w:pStyle w:val="63"/>
                  </w:pPr>
                </w:p>
              </w:tc>
            </w:tr>
            <w:tr w14:paraId="5CFA1E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7ABC22D5">
                  <w:pPr>
                    <w:pStyle w:val="63"/>
                  </w:pPr>
                  <w:r>
                    <w:rPr>
                      <w:rFonts w:hint="eastAsia"/>
                    </w:rPr>
                    <w:t>水泥稳定土搅拌用水</w:t>
                  </w:r>
                </w:p>
              </w:tc>
              <w:tc>
                <w:tcPr>
                  <w:tcW w:w="2043" w:type="dxa"/>
                </w:tcPr>
                <w:p w14:paraId="1E914FB3">
                  <w:pPr>
                    <w:pStyle w:val="63"/>
                  </w:pPr>
                  <w:r>
                    <w:rPr>
                      <w:rFonts w:hint="eastAsia"/>
                    </w:rPr>
                    <w:t>4</w:t>
                  </w:r>
                  <w:r>
                    <w:t>9100</w:t>
                  </w:r>
                </w:p>
              </w:tc>
              <w:tc>
                <w:tcPr>
                  <w:tcW w:w="2043" w:type="dxa"/>
                </w:tcPr>
                <w:p w14:paraId="47AB457E">
                  <w:pPr>
                    <w:pStyle w:val="63"/>
                  </w:pPr>
                </w:p>
              </w:tc>
              <w:tc>
                <w:tcPr>
                  <w:tcW w:w="2043" w:type="dxa"/>
                </w:tcPr>
                <w:p w14:paraId="1095C6D9">
                  <w:pPr>
                    <w:pStyle w:val="63"/>
                  </w:pPr>
                </w:p>
              </w:tc>
            </w:tr>
            <w:tr w14:paraId="624CF1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1C2004F6">
                  <w:pPr>
                    <w:pStyle w:val="63"/>
                  </w:pPr>
                  <w:r>
                    <w:rPr>
                      <w:rFonts w:hint="eastAsia"/>
                    </w:rPr>
                    <w:t>厂区抑尘用水</w:t>
                  </w:r>
                </w:p>
              </w:tc>
              <w:tc>
                <w:tcPr>
                  <w:tcW w:w="2043" w:type="dxa"/>
                </w:tcPr>
                <w:p w14:paraId="136B1BC6">
                  <w:pPr>
                    <w:pStyle w:val="63"/>
                  </w:pPr>
                  <w:r>
                    <w:rPr>
                      <w:rFonts w:hint="eastAsia"/>
                    </w:rPr>
                    <w:t>3</w:t>
                  </w:r>
                  <w:r>
                    <w:t>2400</w:t>
                  </w:r>
                </w:p>
              </w:tc>
              <w:tc>
                <w:tcPr>
                  <w:tcW w:w="2043" w:type="dxa"/>
                </w:tcPr>
                <w:p w14:paraId="0F153C92">
                  <w:pPr>
                    <w:pStyle w:val="63"/>
                  </w:pPr>
                </w:p>
              </w:tc>
              <w:tc>
                <w:tcPr>
                  <w:tcW w:w="2043" w:type="dxa"/>
                </w:tcPr>
                <w:p w14:paraId="3CC16503">
                  <w:pPr>
                    <w:pStyle w:val="63"/>
                  </w:pPr>
                </w:p>
              </w:tc>
            </w:tr>
            <w:tr w14:paraId="73288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4114B207">
                  <w:pPr>
                    <w:pStyle w:val="63"/>
                  </w:pPr>
                  <w:r>
                    <w:rPr>
                      <w:rFonts w:hint="eastAsia"/>
                    </w:rPr>
                    <w:t>喷淋用水</w:t>
                  </w:r>
                </w:p>
              </w:tc>
              <w:tc>
                <w:tcPr>
                  <w:tcW w:w="2043" w:type="dxa"/>
                </w:tcPr>
                <w:p w14:paraId="51FE7F26">
                  <w:pPr>
                    <w:pStyle w:val="63"/>
                  </w:pPr>
                  <w:r>
                    <w:rPr>
                      <w:rFonts w:hint="eastAsia"/>
                    </w:rPr>
                    <w:t>6</w:t>
                  </w:r>
                  <w:r>
                    <w:t>048</w:t>
                  </w:r>
                </w:p>
              </w:tc>
              <w:tc>
                <w:tcPr>
                  <w:tcW w:w="2043" w:type="dxa"/>
                </w:tcPr>
                <w:p w14:paraId="2B60AF05">
                  <w:pPr>
                    <w:pStyle w:val="63"/>
                  </w:pPr>
                </w:p>
              </w:tc>
              <w:tc>
                <w:tcPr>
                  <w:tcW w:w="2043" w:type="dxa"/>
                </w:tcPr>
                <w:p w14:paraId="372720F8">
                  <w:pPr>
                    <w:pStyle w:val="63"/>
                  </w:pPr>
                </w:p>
              </w:tc>
            </w:tr>
            <w:tr w14:paraId="07307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2F7A2770">
                  <w:pPr>
                    <w:pStyle w:val="63"/>
                  </w:pPr>
                  <w:r>
                    <w:rPr>
                      <w:rFonts w:hint="eastAsia"/>
                    </w:rPr>
                    <w:t>预制板养护用水</w:t>
                  </w:r>
                </w:p>
              </w:tc>
              <w:tc>
                <w:tcPr>
                  <w:tcW w:w="2043" w:type="dxa"/>
                </w:tcPr>
                <w:p w14:paraId="7C47D2FE">
                  <w:pPr>
                    <w:pStyle w:val="63"/>
                  </w:pPr>
                  <w:r>
                    <w:rPr>
                      <w:rFonts w:hint="eastAsia"/>
                    </w:rPr>
                    <w:t>5</w:t>
                  </w:r>
                  <w:r>
                    <w:t>40</w:t>
                  </w:r>
                </w:p>
              </w:tc>
              <w:tc>
                <w:tcPr>
                  <w:tcW w:w="2043" w:type="dxa"/>
                </w:tcPr>
                <w:p w14:paraId="6A765C46">
                  <w:pPr>
                    <w:pStyle w:val="63"/>
                  </w:pPr>
                </w:p>
              </w:tc>
              <w:tc>
                <w:tcPr>
                  <w:tcW w:w="2043" w:type="dxa"/>
                </w:tcPr>
                <w:p w14:paraId="59BEC8F6">
                  <w:pPr>
                    <w:pStyle w:val="63"/>
                  </w:pPr>
                </w:p>
              </w:tc>
            </w:tr>
            <w:tr w14:paraId="6E1FF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73083A49">
                  <w:pPr>
                    <w:pStyle w:val="63"/>
                  </w:pPr>
                  <w:r>
                    <w:rPr>
                      <w:rFonts w:hint="eastAsia"/>
                    </w:rPr>
                    <w:t>喷淋塔用水</w:t>
                  </w:r>
                </w:p>
              </w:tc>
              <w:tc>
                <w:tcPr>
                  <w:tcW w:w="2043" w:type="dxa"/>
                </w:tcPr>
                <w:p w14:paraId="1DB0EABF">
                  <w:pPr>
                    <w:pStyle w:val="63"/>
                  </w:pPr>
                  <w:r>
                    <w:rPr>
                      <w:rFonts w:hint="eastAsia"/>
                    </w:rPr>
                    <w:t>2</w:t>
                  </w:r>
                  <w:r>
                    <w:t>7</w:t>
                  </w:r>
                </w:p>
              </w:tc>
              <w:tc>
                <w:tcPr>
                  <w:tcW w:w="2043" w:type="dxa"/>
                </w:tcPr>
                <w:p w14:paraId="272A6E57">
                  <w:pPr>
                    <w:pStyle w:val="63"/>
                  </w:pPr>
                </w:p>
              </w:tc>
              <w:tc>
                <w:tcPr>
                  <w:tcW w:w="2043" w:type="dxa"/>
                </w:tcPr>
                <w:p w14:paraId="21D7C7FD">
                  <w:pPr>
                    <w:pStyle w:val="63"/>
                  </w:pPr>
                </w:p>
              </w:tc>
            </w:tr>
            <w:tr w14:paraId="561DE9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3" w:type="dxa"/>
                </w:tcPr>
                <w:p w14:paraId="2186BAFE">
                  <w:pPr>
                    <w:pStyle w:val="63"/>
                  </w:pPr>
                  <w:r>
                    <w:rPr>
                      <w:rFonts w:hint="eastAsia"/>
                    </w:rPr>
                    <w:t>合计</w:t>
                  </w:r>
                </w:p>
              </w:tc>
              <w:tc>
                <w:tcPr>
                  <w:tcW w:w="2043" w:type="dxa"/>
                </w:tcPr>
                <w:p w14:paraId="48C073A5">
                  <w:pPr>
                    <w:pStyle w:val="63"/>
                  </w:pPr>
                  <w:r>
                    <w:rPr>
                      <w:rFonts w:hint="eastAsia"/>
                    </w:rPr>
                    <w:t>1</w:t>
                  </w:r>
                  <w:r>
                    <w:t>12275.6</w:t>
                  </w:r>
                </w:p>
              </w:tc>
              <w:tc>
                <w:tcPr>
                  <w:tcW w:w="2043" w:type="dxa"/>
                </w:tcPr>
                <w:p w14:paraId="1A2164D3">
                  <w:pPr>
                    <w:pStyle w:val="63"/>
                  </w:pPr>
                  <w:r>
                    <w:rPr>
                      <w:rFonts w:hint="eastAsia"/>
                    </w:rPr>
                    <w:t>合计</w:t>
                  </w:r>
                </w:p>
              </w:tc>
              <w:tc>
                <w:tcPr>
                  <w:tcW w:w="2043" w:type="dxa"/>
                </w:tcPr>
                <w:p w14:paraId="0E25AB00">
                  <w:pPr>
                    <w:pStyle w:val="63"/>
                  </w:pPr>
                  <w:r>
                    <w:rPr>
                      <w:rFonts w:hint="eastAsia"/>
                    </w:rPr>
                    <w:t>2</w:t>
                  </w:r>
                  <w:r>
                    <w:t>609.28</w:t>
                  </w:r>
                </w:p>
              </w:tc>
            </w:tr>
          </w:tbl>
          <w:p w14:paraId="032AC00D">
            <w:pPr>
              <w:pStyle w:val="76"/>
              <w:ind w:firstLine="420"/>
              <w:rPr>
                <w:color w:val="auto"/>
              </w:rPr>
            </w:pPr>
            <w:r>
              <w:rPr>
                <w:rFonts w:hint="eastAsia"/>
                <w:color w:val="auto"/>
              </w:rPr>
              <w:t xml:space="preserve">   </w:t>
            </w:r>
          </w:p>
          <w:p w14:paraId="5A1052F8">
            <w:pPr>
              <w:pStyle w:val="76"/>
              <w:ind w:firstLine="0" w:firstLineChars="0"/>
              <w:rPr>
                <w:color w:val="auto"/>
              </w:rPr>
            </w:pPr>
            <w:r>
              <w:rPr>
                <w:color w:val="auto"/>
              </w:rPr>
              <w:object>
                <v:shape id="_x0000_i1025" o:spt="75" type="#_x0000_t75" style="height:363.7pt;width:404.7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14:paraId="3D7210E3">
            <w:pPr>
              <w:pStyle w:val="76"/>
              <w:ind w:firstLine="0" w:firstLineChars="0"/>
              <w:jc w:val="center"/>
              <w:rPr>
                <w:color w:val="auto"/>
              </w:rPr>
            </w:pPr>
            <w:r>
              <w:rPr>
                <w:rFonts w:hint="eastAsia"/>
                <w:color w:val="auto"/>
              </w:rPr>
              <w:t>图2</w:t>
            </w:r>
            <w:r>
              <w:rPr>
                <w:color w:val="auto"/>
              </w:rPr>
              <w:t xml:space="preserve">-2  </w:t>
            </w:r>
            <w:r>
              <w:rPr>
                <w:rFonts w:hint="eastAsia"/>
                <w:color w:val="auto"/>
              </w:rPr>
              <w:t>水平衡图</w:t>
            </w:r>
          </w:p>
          <w:p w14:paraId="001BFDC5">
            <w:pPr>
              <w:spacing w:line="460" w:lineRule="exact"/>
              <w:ind w:firstLine="482" w:firstLineChars="200"/>
              <w:rPr>
                <w:b/>
              </w:rPr>
            </w:pPr>
          </w:p>
          <w:p w14:paraId="07758AFC">
            <w:pPr>
              <w:spacing w:line="460" w:lineRule="exact"/>
              <w:ind w:firstLine="482" w:firstLineChars="200"/>
              <w:rPr>
                <w:b/>
              </w:rPr>
            </w:pPr>
            <w:r>
              <w:rPr>
                <w:rFonts w:hint="eastAsia"/>
                <w:b/>
              </w:rPr>
              <w:t>7、物料平衡分析</w:t>
            </w:r>
          </w:p>
          <w:p w14:paraId="43618EFB">
            <w:pPr>
              <w:pStyle w:val="76"/>
              <w:ind w:firstLine="420"/>
              <w:rPr>
                <w:color w:val="auto"/>
              </w:rPr>
            </w:pPr>
            <w:r>
              <w:rPr>
                <w:color w:val="auto"/>
              </w:rPr>
              <w:t xml:space="preserve">表2-6              </w:t>
            </w:r>
            <w:r>
              <w:rPr>
                <w:rFonts w:hint="eastAsia"/>
                <w:color w:val="auto"/>
              </w:rPr>
              <w:t xml:space="preserve">水泥稳定土生产线物料平衡一览表 </w:t>
            </w:r>
            <w:r>
              <w:rPr>
                <w:color w:val="auto"/>
              </w:rPr>
              <w:t xml:space="preserve">              </w:t>
            </w:r>
            <w:r>
              <w:rPr>
                <w:rFonts w:hint="eastAsia"/>
                <w:color w:val="auto"/>
              </w:rPr>
              <w:t>单位：</w:t>
            </w:r>
            <w:r>
              <w:rPr>
                <w:color w:val="auto"/>
              </w:rPr>
              <w:t>t/a</w:t>
            </w:r>
          </w:p>
          <w:tbl>
            <w:tblPr>
              <w:tblStyle w:val="24"/>
              <w:tblW w:w="818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297"/>
              <w:gridCol w:w="3129"/>
              <w:gridCol w:w="1562"/>
            </w:tblGrid>
            <w:tr w14:paraId="14A1ED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1" w:type="dxa"/>
                  <w:gridSpan w:val="2"/>
                  <w:shd w:val="clear" w:color="auto" w:fill="auto"/>
                  <w:vAlign w:val="center"/>
                </w:tcPr>
                <w:p w14:paraId="10B71E2F">
                  <w:pPr>
                    <w:pStyle w:val="63"/>
                  </w:pPr>
                  <w:r>
                    <w:rPr>
                      <w:rFonts w:hint="eastAsia"/>
                    </w:rPr>
                    <w:t>投入</w:t>
                  </w:r>
                </w:p>
              </w:tc>
              <w:tc>
                <w:tcPr>
                  <w:tcW w:w="4691" w:type="dxa"/>
                  <w:gridSpan w:val="2"/>
                  <w:shd w:val="clear" w:color="auto" w:fill="auto"/>
                  <w:vAlign w:val="center"/>
                </w:tcPr>
                <w:p w14:paraId="5C0DB33C">
                  <w:pPr>
                    <w:pStyle w:val="63"/>
                  </w:pPr>
                  <w:r>
                    <w:rPr>
                      <w:rFonts w:hint="eastAsia"/>
                    </w:rPr>
                    <w:t>产出</w:t>
                  </w:r>
                </w:p>
              </w:tc>
            </w:tr>
            <w:tr w14:paraId="53FEC8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2194" w:type="dxa"/>
                  <w:shd w:val="clear" w:color="auto" w:fill="auto"/>
                  <w:vAlign w:val="center"/>
                </w:tcPr>
                <w:p w14:paraId="2322EB27">
                  <w:pPr>
                    <w:pStyle w:val="63"/>
                  </w:pPr>
                  <w:r>
                    <w:rPr>
                      <w:rFonts w:hint="eastAsia"/>
                    </w:rPr>
                    <w:t>名称</w:t>
                  </w:r>
                </w:p>
              </w:tc>
              <w:tc>
                <w:tcPr>
                  <w:tcW w:w="1297" w:type="dxa"/>
                  <w:shd w:val="clear" w:color="auto" w:fill="auto"/>
                  <w:vAlign w:val="center"/>
                </w:tcPr>
                <w:p w14:paraId="0DA4021A">
                  <w:pPr>
                    <w:pStyle w:val="63"/>
                  </w:pPr>
                  <w:r>
                    <w:rPr>
                      <w:rFonts w:hint="eastAsia"/>
                    </w:rPr>
                    <w:t>数量</w:t>
                  </w:r>
                </w:p>
              </w:tc>
              <w:tc>
                <w:tcPr>
                  <w:tcW w:w="3129" w:type="dxa"/>
                  <w:shd w:val="clear" w:color="auto" w:fill="auto"/>
                  <w:vAlign w:val="center"/>
                </w:tcPr>
                <w:p w14:paraId="67F14522">
                  <w:pPr>
                    <w:pStyle w:val="63"/>
                  </w:pPr>
                  <w:r>
                    <w:rPr>
                      <w:rFonts w:hint="eastAsia"/>
                    </w:rPr>
                    <w:t>名称</w:t>
                  </w:r>
                </w:p>
              </w:tc>
              <w:tc>
                <w:tcPr>
                  <w:tcW w:w="1562" w:type="dxa"/>
                  <w:shd w:val="clear" w:color="auto" w:fill="auto"/>
                  <w:vAlign w:val="center"/>
                </w:tcPr>
                <w:p w14:paraId="2DF61134">
                  <w:pPr>
                    <w:pStyle w:val="63"/>
                  </w:pPr>
                  <w:r>
                    <w:rPr>
                      <w:rFonts w:hint="eastAsia"/>
                    </w:rPr>
                    <w:t>数量</w:t>
                  </w:r>
                </w:p>
              </w:tc>
            </w:tr>
            <w:tr w14:paraId="1654E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vAlign w:val="center"/>
                </w:tcPr>
                <w:p w14:paraId="705694E6">
                  <w:pPr>
                    <w:pStyle w:val="63"/>
                  </w:pPr>
                  <w:r>
                    <w:rPr>
                      <w:rFonts w:hint="eastAsia"/>
                    </w:rPr>
                    <w:t>水泥</w:t>
                  </w:r>
                </w:p>
              </w:tc>
              <w:tc>
                <w:tcPr>
                  <w:tcW w:w="1297" w:type="dxa"/>
                  <w:shd w:val="clear" w:color="auto" w:fill="auto"/>
                  <w:vAlign w:val="center"/>
                </w:tcPr>
                <w:p w14:paraId="449B2979">
                  <w:pPr>
                    <w:pStyle w:val="63"/>
                  </w:pPr>
                  <w:r>
                    <w:t>38000</w:t>
                  </w:r>
                </w:p>
              </w:tc>
              <w:tc>
                <w:tcPr>
                  <w:tcW w:w="3129" w:type="dxa"/>
                  <w:shd w:val="clear" w:color="auto" w:fill="auto"/>
                  <w:noWrap/>
                  <w:vAlign w:val="center"/>
                </w:tcPr>
                <w:p w14:paraId="0F92F2C8">
                  <w:pPr>
                    <w:pStyle w:val="63"/>
                  </w:pPr>
                  <w:r>
                    <w:t>水泥稳定土</w:t>
                  </w:r>
                </w:p>
              </w:tc>
              <w:tc>
                <w:tcPr>
                  <w:tcW w:w="1562" w:type="dxa"/>
                  <w:shd w:val="clear" w:color="auto" w:fill="auto"/>
                  <w:noWrap/>
                  <w:vAlign w:val="center"/>
                </w:tcPr>
                <w:p w14:paraId="1378A4BF">
                  <w:pPr>
                    <w:widowControl/>
                    <w:jc w:val="center"/>
                    <w:rPr>
                      <w:kern w:val="0"/>
                      <w:sz w:val="21"/>
                      <w:szCs w:val="21"/>
                    </w:rPr>
                  </w:pPr>
                  <w:r>
                    <w:rPr>
                      <w:sz w:val="21"/>
                      <w:szCs w:val="21"/>
                    </w:rPr>
                    <w:t>1000000</w:t>
                  </w:r>
                </w:p>
              </w:tc>
            </w:tr>
            <w:tr w14:paraId="650DAF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vAlign w:val="center"/>
                </w:tcPr>
                <w:p w14:paraId="535A303F">
                  <w:pPr>
                    <w:pStyle w:val="63"/>
                  </w:pPr>
                  <w:r>
                    <w:rPr>
                      <w:rFonts w:hint="eastAsia"/>
                    </w:rPr>
                    <w:t>粉煤灰</w:t>
                  </w:r>
                </w:p>
              </w:tc>
              <w:tc>
                <w:tcPr>
                  <w:tcW w:w="1297" w:type="dxa"/>
                  <w:shd w:val="clear" w:color="auto" w:fill="auto"/>
                  <w:vAlign w:val="center"/>
                </w:tcPr>
                <w:p w14:paraId="45F9D1CE">
                  <w:pPr>
                    <w:pStyle w:val="63"/>
                  </w:pPr>
                  <w:r>
                    <w:t>95100</w:t>
                  </w:r>
                </w:p>
              </w:tc>
              <w:tc>
                <w:tcPr>
                  <w:tcW w:w="3129" w:type="dxa"/>
                  <w:shd w:val="clear" w:color="auto" w:fill="auto"/>
                  <w:noWrap/>
                  <w:vAlign w:val="center"/>
                </w:tcPr>
                <w:p w14:paraId="1BF29B6A">
                  <w:pPr>
                    <w:pStyle w:val="63"/>
                  </w:pPr>
                  <w:r>
                    <w:rPr>
                      <w:rFonts w:hint="eastAsia"/>
                    </w:rPr>
                    <w:t>水泥筒仓无组织粉尘</w:t>
                  </w:r>
                </w:p>
              </w:tc>
              <w:tc>
                <w:tcPr>
                  <w:tcW w:w="1562" w:type="dxa"/>
                  <w:shd w:val="clear" w:color="auto" w:fill="auto"/>
                  <w:noWrap/>
                  <w:vAlign w:val="center"/>
                </w:tcPr>
                <w:p w14:paraId="4540E13D">
                  <w:pPr>
                    <w:jc w:val="center"/>
                    <w:rPr>
                      <w:sz w:val="21"/>
                      <w:szCs w:val="21"/>
                    </w:rPr>
                  </w:pPr>
                  <w:r>
                    <w:rPr>
                      <w:sz w:val="21"/>
                      <w:szCs w:val="21"/>
                    </w:rPr>
                    <w:t>0.046</w:t>
                  </w:r>
                </w:p>
              </w:tc>
            </w:tr>
            <w:tr w14:paraId="66149D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vAlign w:val="center"/>
                </w:tcPr>
                <w:p w14:paraId="5919B433">
                  <w:pPr>
                    <w:pStyle w:val="63"/>
                  </w:pPr>
                  <w:r>
                    <w:rPr>
                      <w:rFonts w:hint="eastAsia"/>
                    </w:rPr>
                    <w:t>碎石</w:t>
                  </w:r>
                </w:p>
              </w:tc>
              <w:tc>
                <w:tcPr>
                  <w:tcW w:w="1297" w:type="dxa"/>
                  <w:shd w:val="clear" w:color="auto" w:fill="auto"/>
                  <w:vAlign w:val="center"/>
                </w:tcPr>
                <w:p w14:paraId="4A22EA62">
                  <w:pPr>
                    <w:pStyle w:val="63"/>
                  </w:pPr>
                  <w:r>
                    <w:t>818767</w:t>
                  </w:r>
                </w:p>
              </w:tc>
              <w:tc>
                <w:tcPr>
                  <w:tcW w:w="3129" w:type="dxa"/>
                  <w:shd w:val="clear" w:color="auto" w:fill="auto"/>
                  <w:noWrap/>
                  <w:vAlign w:val="center"/>
                </w:tcPr>
                <w:p w14:paraId="388693FC">
                  <w:pPr>
                    <w:pStyle w:val="63"/>
                  </w:pPr>
                  <w:r>
                    <w:rPr>
                      <w:rFonts w:hint="eastAsia"/>
                    </w:rPr>
                    <w:t>粉煤灰无组织粉尘</w:t>
                  </w:r>
                </w:p>
              </w:tc>
              <w:tc>
                <w:tcPr>
                  <w:tcW w:w="1562" w:type="dxa"/>
                  <w:shd w:val="clear" w:color="auto" w:fill="auto"/>
                  <w:noWrap/>
                  <w:vAlign w:val="center"/>
                </w:tcPr>
                <w:p w14:paraId="1DE7F0FB">
                  <w:pPr>
                    <w:jc w:val="center"/>
                    <w:rPr>
                      <w:sz w:val="21"/>
                      <w:szCs w:val="21"/>
                    </w:rPr>
                  </w:pPr>
                  <w:r>
                    <w:rPr>
                      <w:sz w:val="21"/>
                      <w:szCs w:val="21"/>
                    </w:rPr>
                    <w:t>0.114</w:t>
                  </w:r>
                </w:p>
              </w:tc>
            </w:tr>
            <w:tr w14:paraId="407C7D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vAlign w:val="center"/>
                </w:tcPr>
                <w:p w14:paraId="3FDCF3EC">
                  <w:pPr>
                    <w:pStyle w:val="63"/>
                  </w:pPr>
                  <w:r>
                    <w:rPr>
                      <w:rFonts w:hint="eastAsia"/>
                    </w:rPr>
                    <w:t>水</w:t>
                  </w:r>
                </w:p>
              </w:tc>
              <w:tc>
                <w:tcPr>
                  <w:tcW w:w="1297" w:type="dxa"/>
                  <w:shd w:val="clear" w:color="auto" w:fill="auto"/>
                  <w:vAlign w:val="center"/>
                </w:tcPr>
                <w:p w14:paraId="1A868505">
                  <w:pPr>
                    <w:pStyle w:val="63"/>
                  </w:pPr>
                  <w:r>
                    <w:t>49100</w:t>
                  </w:r>
                </w:p>
              </w:tc>
              <w:tc>
                <w:tcPr>
                  <w:tcW w:w="3129" w:type="dxa"/>
                  <w:shd w:val="clear" w:color="auto" w:fill="auto"/>
                  <w:noWrap/>
                  <w:vAlign w:val="center"/>
                </w:tcPr>
                <w:p w14:paraId="35A9D3F4">
                  <w:pPr>
                    <w:pStyle w:val="63"/>
                  </w:pPr>
                  <w:r>
                    <w:rPr>
                      <w:rFonts w:hint="eastAsia"/>
                    </w:rPr>
                    <w:t>除尘器设备收集粉尘</w:t>
                  </w:r>
                </w:p>
              </w:tc>
              <w:tc>
                <w:tcPr>
                  <w:tcW w:w="1562" w:type="dxa"/>
                  <w:shd w:val="clear" w:color="auto" w:fill="auto"/>
                  <w:noWrap/>
                  <w:vAlign w:val="center"/>
                </w:tcPr>
                <w:p w14:paraId="4F3507E3">
                  <w:pPr>
                    <w:jc w:val="center"/>
                    <w:rPr>
                      <w:sz w:val="21"/>
                      <w:szCs w:val="21"/>
                    </w:rPr>
                  </w:pPr>
                  <w:r>
                    <w:rPr>
                      <w:sz w:val="21"/>
                      <w:szCs w:val="21"/>
                    </w:rPr>
                    <w:t xml:space="preserve">134.627 </w:t>
                  </w:r>
                </w:p>
              </w:tc>
            </w:tr>
            <w:tr w14:paraId="182F11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noWrap/>
                  <w:vAlign w:val="center"/>
                </w:tcPr>
                <w:p w14:paraId="02F72372">
                  <w:pPr>
                    <w:pStyle w:val="63"/>
                  </w:pPr>
                  <w:r>
                    <w:t>　</w:t>
                  </w:r>
                </w:p>
              </w:tc>
              <w:tc>
                <w:tcPr>
                  <w:tcW w:w="1297" w:type="dxa"/>
                  <w:shd w:val="clear" w:color="auto" w:fill="auto"/>
                  <w:noWrap/>
                  <w:vAlign w:val="center"/>
                </w:tcPr>
                <w:p w14:paraId="5E17910C">
                  <w:pPr>
                    <w:pStyle w:val="63"/>
                  </w:pPr>
                  <w:r>
                    <w:t>　</w:t>
                  </w:r>
                </w:p>
              </w:tc>
              <w:tc>
                <w:tcPr>
                  <w:tcW w:w="3129" w:type="dxa"/>
                  <w:shd w:val="clear" w:color="auto" w:fill="auto"/>
                  <w:noWrap/>
                  <w:vAlign w:val="center"/>
                </w:tcPr>
                <w:p w14:paraId="492461E3">
                  <w:pPr>
                    <w:pStyle w:val="63"/>
                  </w:pPr>
                  <w:r>
                    <w:rPr>
                      <w:rFonts w:hint="eastAsia"/>
                    </w:rPr>
                    <w:t>不合格骨料</w:t>
                  </w:r>
                </w:p>
              </w:tc>
              <w:tc>
                <w:tcPr>
                  <w:tcW w:w="1562" w:type="dxa"/>
                  <w:shd w:val="clear" w:color="auto" w:fill="auto"/>
                  <w:noWrap/>
                  <w:vAlign w:val="center"/>
                </w:tcPr>
                <w:p w14:paraId="13CC1ADB">
                  <w:pPr>
                    <w:jc w:val="center"/>
                    <w:rPr>
                      <w:sz w:val="21"/>
                      <w:szCs w:val="21"/>
                    </w:rPr>
                  </w:pPr>
                  <w:r>
                    <w:rPr>
                      <w:sz w:val="21"/>
                      <w:szCs w:val="21"/>
                    </w:rPr>
                    <w:t>818.8</w:t>
                  </w:r>
                </w:p>
              </w:tc>
            </w:tr>
            <w:tr w14:paraId="7B597A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noWrap/>
                  <w:vAlign w:val="center"/>
                </w:tcPr>
                <w:p w14:paraId="68197E3C">
                  <w:pPr>
                    <w:pStyle w:val="63"/>
                  </w:pPr>
                </w:p>
              </w:tc>
              <w:tc>
                <w:tcPr>
                  <w:tcW w:w="1297" w:type="dxa"/>
                  <w:shd w:val="clear" w:color="auto" w:fill="auto"/>
                  <w:noWrap/>
                  <w:vAlign w:val="center"/>
                </w:tcPr>
                <w:p w14:paraId="350CA488">
                  <w:pPr>
                    <w:pStyle w:val="63"/>
                  </w:pPr>
                </w:p>
              </w:tc>
              <w:tc>
                <w:tcPr>
                  <w:tcW w:w="3129" w:type="dxa"/>
                  <w:shd w:val="clear" w:color="auto" w:fill="auto"/>
                  <w:noWrap/>
                  <w:vAlign w:val="center"/>
                </w:tcPr>
                <w:p w14:paraId="4110BBFD">
                  <w:pPr>
                    <w:pStyle w:val="63"/>
                  </w:pPr>
                  <w:r>
                    <w:rPr>
                      <w:rFonts w:hint="eastAsia"/>
                      <w:sz w:val="20"/>
                      <w:szCs w:val="20"/>
                    </w:rPr>
                    <w:t>物料搅拌工序无组织粉尘</w:t>
                  </w:r>
                </w:p>
              </w:tc>
              <w:tc>
                <w:tcPr>
                  <w:tcW w:w="1562" w:type="dxa"/>
                  <w:shd w:val="clear" w:color="auto" w:fill="auto"/>
                  <w:noWrap/>
                  <w:vAlign w:val="center"/>
                </w:tcPr>
                <w:p w14:paraId="3A08B6CC">
                  <w:pPr>
                    <w:jc w:val="center"/>
                    <w:rPr>
                      <w:sz w:val="21"/>
                      <w:szCs w:val="21"/>
                    </w:rPr>
                  </w:pPr>
                  <w:r>
                    <w:rPr>
                      <w:sz w:val="20"/>
                      <w:szCs w:val="20"/>
                    </w:rPr>
                    <w:t>13</w:t>
                  </w:r>
                </w:p>
              </w:tc>
            </w:tr>
            <w:tr w14:paraId="65FA9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4" w:type="dxa"/>
                  <w:shd w:val="clear" w:color="auto" w:fill="auto"/>
                  <w:vAlign w:val="center"/>
                </w:tcPr>
                <w:p w14:paraId="60CA17C5">
                  <w:pPr>
                    <w:pStyle w:val="63"/>
                  </w:pPr>
                  <w:r>
                    <w:rPr>
                      <w:rFonts w:hint="eastAsia"/>
                    </w:rPr>
                    <w:t>合计</w:t>
                  </w:r>
                </w:p>
              </w:tc>
              <w:tc>
                <w:tcPr>
                  <w:tcW w:w="1297" w:type="dxa"/>
                  <w:shd w:val="clear" w:color="auto" w:fill="auto"/>
                  <w:noWrap/>
                  <w:vAlign w:val="center"/>
                </w:tcPr>
                <w:p w14:paraId="43FED2E8">
                  <w:pPr>
                    <w:widowControl/>
                    <w:jc w:val="center"/>
                    <w:rPr>
                      <w:sz w:val="21"/>
                      <w:szCs w:val="21"/>
                    </w:rPr>
                  </w:pPr>
                  <w:r>
                    <w:rPr>
                      <w:sz w:val="21"/>
                      <w:szCs w:val="21"/>
                    </w:rPr>
                    <w:t>1000967</w:t>
                  </w:r>
                </w:p>
              </w:tc>
              <w:tc>
                <w:tcPr>
                  <w:tcW w:w="3129" w:type="dxa"/>
                  <w:shd w:val="clear" w:color="auto" w:fill="auto"/>
                  <w:vAlign w:val="center"/>
                </w:tcPr>
                <w:p w14:paraId="21EDEF2A">
                  <w:pPr>
                    <w:pStyle w:val="63"/>
                  </w:pPr>
                  <w:r>
                    <w:rPr>
                      <w:rFonts w:hint="eastAsia"/>
                    </w:rPr>
                    <w:t>合计</w:t>
                  </w:r>
                </w:p>
              </w:tc>
              <w:tc>
                <w:tcPr>
                  <w:tcW w:w="1562" w:type="dxa"/>
                  <w:shd w:val="clear" w:color="auto" w:fill="auto"/>
                  <w:noWrap/>
                  <w:vAlign w:val="center"/>
                </w:tcPr>
                <w:p w14:paraId="3FFCF2C7">
                  <w:pPr>
                    <w:widowControl/>
                    <w:jc w:val="center"/>
                    <w:rPr>
                      <w:sz w:val="21"/>
                      <w:szCs w:val="21"/>
                    </w:rPr>
                  </w:pPr>
                  <w:r>
                    <w:rPr>
                      <w:sz w:val="21"/>
                      <w:szCs w:val="21"/>
                    </w:rPr>
                    <w:t>1000967</w:t>
                  </w:r>
                </w:p>
              </w:tc>
            </w:tr>
          </w:tbl>
          <w:p w14:paraId="58BD6F44">
            <w:pPr>
              <w:pStyle w:val="76"/>
              <w:ind w:firstLine="420"/>
              <w:rPr>
                <w:color w:val="auto"/>
              </w:rPr>
            </w:pPr>
            <w:r>
              <w:rPr>
                <w:color w:val="auto"/>
              </w:rPr>
              <w:t xml:space="preserve">表2-7              </w:t>
            </w:r>
            <w:r>
              <w:rPr>
                <w:rFonts w:hint="eastAsia"/>
                <w:color w:val="auto"/>
              </w:rPr>
              <w:t xml:space="preserve">沥青混凝土生产线物料平衡一览表  </w:t>
            </w:r>
            <w:r>
              <w:rPr>
                <w:color w:val="auto"/>
              </w:rPr>
              <w:t xml:space="preserve">             </w:t>
            </w:r>
            <w:r>
              <w:rPr>
                <w:rFonts w:hint="eastAsia"/>
                <w:color w:val="auto"/>
              </w:rPr>
              <w:t>单位：</w:t>
            </w:r>
            <w:r>
              <w:rPr>
                <w:color w:val="auto"/>
              </w:rPr>
              <w:t>t/a</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185"/>
              <w:gridCol w:w="2860"/>
              <w:gridCol w:w="1599"/>
            </w:tblGrid>
            <w:tr w14:paraId="46617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75" w:type="pct"/>
                  <w:gridSpan w:val="2"/>
                  <w:shd w:val="clear" w:color="auto" w:fill="auto"/>
                  <w:vAlign w:val="center"/>
                </w:tcPr>
                <w:p w14:paraId="76625DB0">
                  <w:pPr>
                    <w:pStyle w:val="63"/>
                  </w:pPr>
                  <w:r>
                    <w:rPr>
                      <w:rFonts w:hint="eastAsia"/>
                    </w:rPr>
                    <w:t>投入</w:t>
                  </w:r>
                </w:p>
              </w:tc>
              <w:tc>
                <w:tcPr>
                  <w:tcW w:w="2725" w:type="pct"/>
                  <w:gridSpan w:val="2"/>
                  <w:shd w:val="clear" w:color="auto" w:fill="auto"/>
                  <w:vAlign w:val="center"/>
                </w:tcPr>
                <w:p w14:paraId="36B12EE9">
                  <w:pPr>
                    <w:pStyle w:val="63"/>
                  </w:pPr>
                  <w:r>
                    <w:rPr>
                      <w:rFonts w:hint="eastAsia"/>
                    </w:rPr>
                    <w:t>产出</w:t>
                  </w:r>
                </w:p>
              </w:tc>
            </w:tr>
            <w:tr w14:paraId="097F1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vAlign w:val="center"/>
                </w:tcPr>
                <w:p w14:paraId="235747B9">
                  <w:pPr>
                    <w:pStyle w:val="63"/>
                  </w:pPr>
                  <w:r>
                    <w:rPr>
                      <w:rFonts w:hint="eastAsia"/>
                    </w:rPr>
                    <w:t>名称</w:t>
                  </w:r>
                </w:p>
              </w:tc>
              <w:tc>
                <w:tcPr>
                  <w:tcW w:w="1335" w:type="pct"/>
                  <w:shd w:val="clear" w:color="auto" w:fill="auto"/>
                  <w:vAlign w:val="center"/>
                </w:tcPr>
                <w:p w14:paraId="666748EA">
                  <w:pPr>
                    <w:pStyle w:val="63"/>
                  </w:pPr>
                  <w:r>
                    <w:rPr>
                      <w:rFonts w:hint="eastAsia"/>
                    </w:rPr>
                    <w:t>数量</w:t>
                  </w:r>
                </w:p>
              </w:tc>
              <w:tc>
                <w:tcPr>
                  <w:tcW w:w="1748" w:type="pct"/>
                  <w:shd w:val="clear" w:color="auto" w:fill="auto"/>
                  <w:vAlign w:val="center"/>
                </w:tcPr>
                <w:p w14:paraId="23652881">
                  <w:pPr>
                    <w:pStyle w:val="63"/>
                  </w:pPr>
                  <w:r>
                    <w:rPr>
                      <w:rFonts w:hint="eastAsia"/>
                    </w:rPr>
                    <w:t>名称</w:t>
                  </w:r>
                </w:p>
              </w:tc>
              <w:tc>
                <w:tcPr>
                  <w:tcW w:w="977" w:type="pct"/>
                  <w:shd w:val="clear" w:color="auto" w:fill="auto"/>
                  <w:vAlign w:val="center"/>
                </w:tcPr>
                <w:p w14:paraId="7ACF9B20">
                  <w:pPr>
                    <w:pStyle w:val="63"/>
                  </w:pPr>
                  <w:r>
                    <w:rPr>
                      <w:rFonts w:hint="eastAsia"/>
                    </w:rPr>
                    <w:t>数量</w:t>
                  </w:r>
                </w:p>
              </w:tc>
            </w:tr>
            <w:tr w14:paraId="460C6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vAlign w:val="center"/>
                </w:tcPr>
                <w:p w14:paraId="6BE1AC96">
                  <w:pPr>
                    <w:pStyle w:val="63"/>
                    <w:rPr>
                      <w:rFonts w:cs="宋体"/>
                    </w:rPr>
                  </w:pPr>
                  <w:r>
                    <w:rPr>
                      <w:rFonts w:hint="eastAsia" w:cs="宋体"/>
                    </w:rPr>
                    <w:t>碎石</w:t>
                  </w:r>
                </w:p>
              </w:tc>
              <w:tc>
                <w:tcPr>
                  <w:tcW w:w="1335" w:type="pct"/>
                  <w:shd w:val="clear" w:color="auto" w:fill="auto"/>
                  <w:vAlign w:val="center"/>
                </w:tcPr>
                <w:p w14:paraId="4BA6E23D">
                  <w:pPr>
                    <w:pStyle w:val="63"/>
                  </w:pPr>
                  <w:r>
                    <w:t>669792</w:t>
                  </w:r>
                </w:p>
              </w:tc>
              <w:tc>
                <w:tcPr>
                  <w:tcW w:w="1748" w:type="pct"/>
                  <w:shd w:val="clear" w:color="auto" w:fill="auto"/>
                  <w:vAlign w:val="center"/>
                </w:tcPr>
                <w:p w14:paraId="5C421FCA">
                  <w:pPr>
                    <w:pStyle w:val="63"/>
                  </w:pPr>
                  <w:r>
                    <w:t>沥青混凝土</w:t>
                  </w:r>
                </w:p>
              </w:tc>
              <w:tc>
                <w:tcPr>
                  <w:tcW w:w="977" w:type="pct"/>
                  <w:shd w:val="clear" w:color="auto" w:fill="auto"/>
                  <w:noWrap/>
                  <w:vAlign w:val="center"/>
                </w:tcPr>
                <w:p w14:paraId="6FCA7C38">
                  <w:pPr>
                    <w:widowControl/>
                    <w:jc w:val="center"/>
                    <w:rPr>
                      <w:kern w:val="0"/>
                      <w:sz w:val="21"/>
                      <w:szCs w:val="21"/>
                    </w:rPr>
                  </w:pPr>
                  <w:r>
                    <w:rPr>
                      <w:sz w:val="21"/>
                      <w:szCs w:val="21"/>
                    </w:rPr>
                    <w:t>720000</w:t>
                  </w:r>
                </w:p>
              </w:tc>
            </w:tr>
            <w:tr w14:paraId="55C33C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vAlign w:val="center"/>
                </w:tcPr>
                <w:p w14:paraId="653848C3">
                  <w:pPr>
                    <w:pStyle w:val="63"/>
                    <w:rPr>
                      <w:rFonts w:cs="宋体"/>
                    </w:rPr>
                  </w:pPr>
                  <w:r>
                    <w:rPr>
                      <w:rFonts w:hint="eastAsia" w:cs="宋体"/>
                    </w:rPr>
                    <w:t>矿粉</w:t>
                  </w:r>
                </w:p>
              </w:tc>
              <w:tc>
                <w:tcPr>
                  <w:tcW w:w="1335" w:type="pct"/>
                  <w:shd w:val="clear" w:color="auto" w:fill="auto"/>
                  <w:vAlign w:val="center"/>
                </w:tcPr>
                <w:p w14:paraId="3B4C44F2">
                  <w:pPr>
                    <w:pStyle w:val="63"/>
                  </w:pPr>
                  <w:r>
                    <w:t>18216</w:t>
                  </w:r>
                </w:p>
              </w:tc>
              <w:tc>
                <w:tcPr>
                  <w:tcW w:w="1748" w:type="pct"/>
                  <w:shd w:val="clear" w:color="auto" w:fill="auto"/>
                  <w:vAlign w:val="center"/>
                </w:tcPr>
                <w:p w14:paraId="77FDC529">
                  <w:pPr>
                    <w:pStyle w:val="63"/>
                    <w:rPr>
                      <w:rFonts w:cs="宋体"/>
                    </w:rPr>
                  </w:pPr>
                  <w:r>
                    <w:rPr>
                      <w:rFonts w:hint="eastAsia" w:cs="宋体"/>
                    </w:rPr>
                    <w:t>矿粉筒仓无组织粉尘</w:t>
                  </w:r>
                </w:p>
              </w:tc>
              <w:tc>
                <w:tcPr>
                  <w:tcW w:w="977" w:type="pct"/>
                  <w:shd w:val="clear" w:color="auto" w:fill="auto"/>
                  <w:noWrap/>
                  <w:vAlign w:val="center"/>
                </w:tcPr>
                <w:p w14:paraId="5D81C083">
                  <w:pPr>
                    <w:jc w:val="center"/>
                    <w:rPr>
                      <w:sz w:val="21"/>
                      <w:szCs w:val="21"/>
                    </w:rPr>
                  </w:pPr>
                  <w:r>
                    <w:rPr>
                      <w:sz w:val="21"/>
                      <w:szCs w:val="21"/>
                    </w:rPr>
                    <w:t>0.022</w:t>
                  </w:r>
                </w:p>
              </w:tc>
            </w:tr>
            <w:tr w14:paraId="1D7FFC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940" w:type="pct"/>
                  <w:shd w:val="clear" w:color="auto" w:fill="auto"/>
                  <w:vAlign w:val="center"/>
                </w:tcPr>
                <w:p w14:paraId="3E053A0C">
                  <w:pPr>
                    <w:pStyle w:val="63"/>
                    <w:rPr>
                      <w:rFonts w:cs="宋体"/>
                    </w:rPr>
                  </w:pPr>
                  <w:r>
                    <w:rPr>
                      <w:rFonts w:hint="eastAsia" w:cs="宋体"/>
                    </w:rPr>
                    <w:t>沥青</w:t>
                  </w:r>
                </w:p>
              </w:tc>
              <w:tc>
                <w:tcPr>
                  <w:tcW w:w="1335" w:type="pct"/>
                  <w:shd w:val="clear" w:color="auto" w:fill="auto"/>
                  <w:vAlign w:val="center"/>
                </w:tcPr>
                <w:p w14:paraId="6990B20D">
                  <w:pPr>
                    <w:pStyle w:val="63"/>
                  </w:pPr>
                  <w:r>
                    <w:t>32832</w:t>
                  </w:r>
                </w:p>
              </w:tc>
              <w:tc>
                <w:tcPr>
                  <w:tcW w:w="1748" w:type="pct"/>
                  <w:shd w:val="clear" w:color="auto" w:fill="auto"/>
                  <w:vAlign w:val="center"/>
                </w:tcPr>
                <w:p w14:paraId="6F0B98CD">
                  <w:pPr>
                    <w:pStyle w:val="63"/>
                    <w:rPr>
                      <w:rFonts w:cs="宋体"/>
                    </w:rPr>
                  </w:pPr>
                  <w:r>
                    <w:rPr>
                      <w:rFonts w:hint="eastAsia" w:cs="宋体"/>
                    </w:rPr>
                    <w:t>骨料烘干、振动筛分有组织粉尘</w:t>
                  </w:r>
                </w:p>
              </w:tc>
              <w:tc>
                <w:tcPr>
                  <w:tcW w:w="977" w:type="pct"/>
                  <w:shd w:val="clear" w:color="auto" w:fill="auto"/>
                  <w:noWrap/>
                  <w:vAlign w:val="center"/>
                </w:tcPr>
                <w:p w14:paraId="2AF1E8E2">
                  <w:pPr>
                    <w:jc w:val="center"/>
                    <w:rPr>
                      <w:sz w:val="21"/>
                      <w:szCs w:val="21"/>
                    </w:rPr>
                  </w:pPr>
                  <w:r>
                    <w:rPr>
                      <w:sz w:val="21"/>
                      <w:szCs w:val="21"/>
                    </w:rPr>
                    <w:t>0.502</w:t>
                  </w:r>
                </w:p>
              </w:tc>
            </w:tr>
            <w:tr w14:paraId="1ED94C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vAlign w:val="center"/>
                </w:tcPr>
                <w:p w14:paraId="51F518F2">
                  <w:pPr>
                    <w:pStyle w:val="63"/>
                    <w:rPr>
                      <w:rFonts w:cs="宋体"/>
                    </w:rPr>
                  </w:pPr>
                  <w:r>
                    <w:rPr>
                      <w:rFonts w:hint="eastAsia" w:cs="宋体"/>
                    </w:rPr>
                    <w:t>　</w:t>
                  </w:r>
                </w:p>
              </w:tc>
              <w:tc>
                <w:tcPr>
                  <w:tcW w:w="1335" w:type="pct"/>
                  <w:shd w:val="clear" w:color="auto" w:fill="auto"/>
                  <w:vAlign w:val="center"/>
                </w:tcPr>
                <w:p w14:paraId="42CAEBC8">
                  <w:pPr>
                    <w:pStyle w:val="63"/>
                  </w:pPr>
                  <w:r>
                    <w:t>　</w:t>
                  </w:r>
                </w:p>
              </w:tc>
              <w:tc>
                <w:tcPr>
                  <w:tcW w:w="1748" w:type="pct"/>
                  <w:shd w:val="clear" w:color="auto" w:fill="auto"/>
                  <w:vAlign w:val="center"/>
                </w:tcPr>
                <w:p w14:paraId="7DC438C3">
                  <w:pPr>
                    <w:pStyle w:val="63"/>
                  </w:pPr>
                  <w:r>
                    <w:rPr>
                      <w:rFonts w:hint="eastAsia"/>
                    </w:rPr>
                    <w:t>除尘器设备收集粉尘</w:t>
                  </w:r>
                </w:p>
              </w:tc>
              <w:tc>
                <w:tcPr>
                  <w:tcW w:w="977" w:type="pct"/>
                  <w:shd w:val="clear" w:color="auto" w:fill="auto"/>
                  <w:noWrap/>
                  <w:vAlign w:val="center"/>
                </w:tcPr>
                <w:p w14:paraId="6BC27A43">
                  <w:pPr>
                    <w:jc w:val="center"/>
                    <w:rPr>
                      <w:sz w:val="21"/>
                      <w:szCs w:val="21"/>
                    </w:rPr>
                  </w:pPr>
                  <w:r>
                    <w:rPr>
                      <w:sz w:val="21"/>
                      <w:szCs w:val="21"/>
                    </w:rPr>
                    <w:t xml:space="preserve">169.116 </w:t>
                  </w:r>
                </w:p>
              </w:tc>
            </w:tr>
            <w:tr w14:paraId="0CC60D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noWrap/>
                  <w:vAlign w:val="center"/>
                </w:tcPr>
                <w:p w14:paraId="1147AEB3">
                  <w:pPr>
                    <w:pStyle w:val="63"/>
                  </w:pPr>
                  <w:r>
                    <w:t>　</w:t>
                  </w:r>
                </w:p>
              </w:tc>
              <w:tc>
                <w:tcPr>
                  <w:tcW w:w="1335" w:type="pct"/>
                  <w:shd w:val="clear" w:color="auto" w:fill="auto"/>
                  <w:noWrap/>
                  <w:vAlign w:val="center"/>
                </w:tcPr>
                <w:p w14:paraId="0605B4F0">
                  <w:pPr>
                    <w:pStyle w:val="63"/>
                  </w:pPr>
                  <w:r>
                    <w:t>　</w:t>
                  </w:r>
                </w:p>
              </w:tc>
              <w:tc>
                <w:tcPr>
                  <w:tcW w:w="1748" w:type="pct"/>
                  <w:shd w:val="clear" w:color="auto" w:fill="auto"/>
                  <w:vAlign w:val="center"/>
                </w:tcPr>
                <w:p w14:paraId="23FB1F99">
                  <w:pPr>
                    <w:pStyle w:val="63"/>
                    <w:rPr>
                      <w:rFonts w:cs="宋体"/>
                    </w:rPr>
                  </w:pPr>
                  <w:r>
                    <w:rPr>
                      <w:rFonts w:hint="eastAsia" w:cs="宋体"/>
                    </w:rPr>
                    <w:t>沥青加热废气及搅拌有组织废气</w:t>
                  </w:r>
                </w:p>
              </w:tc>
              <w:tc>
                <w:tcPr>
                  <w:tcW w:w="977" w:type="pct"/>
                  <w:shd w:val="clear" w:color="auto" w:fill="auto"/>
                  <w:noWrap/>
                  <w:vAlign w:val="center"/>
                </w:tcPr>
                <w:p w14:paraId="73F80433">
                  <w:pPr>
                    <w:jc w:val="center"/>
                    <w:rPr>
                      <w:sz w:val="21"/>
                      <w:szCs w:val="21"/>
                    </w:rPr>
                  </w:pPr>
                  <w:r>
                    <w:rPr>
                      <w:sz w:val="21"/>
                      <w:szCs w:val="21"/>
                    </w:rPr>
                    <w:t>0.038</w:t>
                  </w:r>
                </w:p>
              </w:tc>
            </w:tr>
            <w:tr w14:paraId="20893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noWrap/>
                  <w:vAlign w:val="center"/>
                </w:tcPr>
                <w:p w14:paraId="250622D3">
                  <w:pPr>
                    <w:pStyle w:val="63"/>
                  </w:pPr>
                  <w:r>
                    <w:t>　</w:t>
                  </w:r>
                </w:p>
              </w:tc>
              <w:tc>
                <w:tcPr>
                  <w:tcW w:w="1335" w:type="pct"/>
                  <w:shd w:val="clear" w:color="auto" w:fill="auto"/>
                  <w:noWrap/>
                  <w:vAlign w:val="center"/>
                </w:tcPr>
                <w:p w14:paraId="7772AEBF">
                  <w:pPr>
                    <w:pStyle w:val="63"/>
                  </w:pPr>
                  <w:r>
                    <w:t>　</w:t>
                  </w:r>
                </w:p>
              </w:tc>
              <w:tc>
                <w:tcPr>
                  <w:tcW w:w="1748" w:type="pct"/>
                  <w:shd w:val="clear" w:color="auto" w:fill="auto"/>
                  <w:vAlign w:val="center"/>
                </w:tcPr>
                <w:p w14:paraId="05A6DB23">
                  <w:pPr>
                    <w:pStyle w:val="63"/>
                    <w:rPr>
                      <w:rFonts w:cs="宋体"/>
                    </w:rPr>
                  </w:pPr>
                  <w:r>
                    <w:rPr>
                      <w:rFonts w:hint="eastAsia" w:cs="宋体"/>
                    </w:rPr>
                    <w:t>沥青加热废气及搅拌无组织废气</w:t>
                  </w:r>
                </w:p>
              </w:tc>
              <w:tc>
                <w:tcPr>
                  <w:tcW w:w="977" w:type="pct"/>
                  <w:shd w:val="clear" w:color="auto" w:fill="auto"/>
                  <w:noWrap/>
                  <w:vAlign w:val="center"/>
                </w:tcPr>
                <w:p w14:paraId="6D318A08">
                  <w:pPr>
                    <w:jc w:val="center"/>
                    <w:rPr>
                      <w:sz w:val="21"/>
                      <w:szCs w:val="21"/>
                    </w:rPr>
                  </w:pPr>
                  <w:r>
                    <w:rPr>
                      <w:sz w:val="21"/>
                      <w:szCs w:val="21"/>
                    </w:rPr>
                    <w:t xml:space="preserve">0.010 </w:t>
                  </w:r>
                </w:p>
              </w:tc>
            </w:tr>
            <w:tr w14:paraId="74A8E8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noWrap/>
                  <w:vAlign w:val="center"/>
                </w:tcPr>
                <w:p w14:paraId="4B17F872">
                  <w:pPr>
                    <w:pStyle w:val="63"/>
                  </w:pPr>
                  <w:r>
                    <w:t>　</w:t>
                  </w:r>
                </w:p>
              </w:tc>
              <w:tc>
                <w:tcPr>
                  <w:tcW w:w="1335" w:type="pct"/>
                  <w:shd w:val="clear" w:color="auto" w:fill="auto"/>
                  <w:noWrap/>
                  <w:vAlign w:val="center"/>
                </w:tcPr>
                <w:p w14:paraId="71A3017B">
                  <w:pPr>
                    <w:pStyle w:val="63"/>
                  </w:pPr>
                  <w:r>
                    <w:t>　</w:t>
                  </w:r>
                </w:p>
              </w:tc>
              <w:tc>
                <w:tcPr>
                  <w:tcW w:w="1748" w:type="pct"/>
                  <w:shd w:val="clear" w:color="auto" w:fill="auto"/>
                  <w:vAlign w:val="center"/>
                </w:tcPr>
                <w:p w14:paraId="157CC43F">
                  <w:pPr>
                    <w:pStyle w:val="63"/>
                    <w:rPr>
                      <w:rFonts w:cs="宋体"/>
                    </w:rPr>
                  </w:pPr>
                  <w:r>
                    <w:rPr>
                      <w:rFonts w:hint="eastAsia" w:cs="宋体"/>
                    </w:rPr>
                    <w:t>不合格骨料</w:t>
                  </w:r>
                </w:p>
              </w:tc>
              <w:tc>
                <w:tcPr>
                  <w:tcW w:w="977" w:type="pct"/>
                  <w:shd w:val="clear" w:color="auto" w:fill="auto"/>
                  <w:noWrap/>
                  <w:vAlign w:val="center"/>
                </w:tcPr>
                <w:p w14:paraId="6E816266">
                  <w:pPr>
                    <w:jc w:val="center"/>
                    <w:rPr>
                      <w:sz w:val="21"/>
                      <w:szCs w:val="21"/>
                    </w:rPr>
                  </w:pPr>
                  <w:r>
                    <w:rPr>
                      <w:sz w:val="21"/>
                      <w:szCs w:val="21"/>
                    </w:rPr>
                    <w:t xml:space="preserve">669.792 </w:t>
                  </w:r>
                </w:p>
              </w:tc>
            </w:tr>
            <w:tr w14:paraId="02BFDD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noWrap/>
                  <w:vAlign w:val="center"/>
                </w:tcPr>
                <w:p w14:paraId="0EDE043F">
                  <w:pPr>
                    <w:pStyle w:val="63"/>
                  </w:pPr>
                </w:p>
              </w:tc>
              <w:tc>
                <w:tcPr>
                  <w:tcW w:w="1335" w:type="pct"/>
                  <w:shd w:val="clear" w:color="auto" w:fill="auto"/>
                  <w:noWrap/>
                  <w:vAlign w:val="center"/>
                </w:tcPr>
                <w:p w14:paraId="765598A9">
                  <w:pPr>
                    <w:pStyle w:val="63"/>
                  </w:pPr>
                </w:p>
              </w:tc>
              <w:tc>
                <w:tcPr>
                  <w:tcW w:w="1748" w:type="pct"/>
                  <w:shd w:val="clear" w:color="auto" w:fill="auto"/>
                  <w:vAlign w:val="center"/>
                </w:tcPr>
                <w:p w14:paraId="4CCE78F0">
                  <w:pPr>
                    <w:pStyle w:val="63"/>
                    <w:rPr>
                      <w:rFonts w:cs="宋体"/>
                    </w:rPr>
                  </w:pPr>
                  <w:r>
                    <w:rPr>
                      <w:rFonts w:hint="eastAsia"/>
                    </w:rPr>
                    <w:t>焦油沉渣</w:t>
                  </w:r>
                </w:p>
              </w:tc>
              <w:tc>
                <w:tcPr>
                  <w:tcW w:w="977" w:type="pct"/>
                  <w:shd w:val="clear" w:color="auto" w:fill="auto"/>
                  <w:noWrap/>
                  <w:vAlign w:val="center"/>
                </w:tcPr>
                <w:p w14:paraId="28027E9C">
                  <w:pPr>
                    <w:pStyle w:val="63"/>
                  </w:pPr>
                  <w:r>
                    <w:rPr>
                      <w:rFonts w:hint="eastAsia"/>
                    </w:rPr>
                    <w:t>0</w:t>
                  </w:r>
                  <w:r>
                    <w:t>.05</w:t>
                  </w:r>
                </w:p>
              </w:tc>
            </w:tr>
            <w:tr w14:paraId="63D122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noWrap/>
                  <w:vAlign w:val="center"/>
                </w:tcPr>
                <w:p w14:paraId="15B34EE2">
                  <w:pPr>
                    <w:pStyle w:val="63"/>
                  </w:pPr>
                </w:p>
              </w:tc>
              <w:tc>
                <w:tcPr>
                  <w:tcW w:w="1335" w:type="pct"/>
                  <w:shd w:val="clear" w:color="auto" w:fill="auto"/>
                  <w:noWrap/>
                  <w:vAlign w:val="center"/>
                </w:tcPr>
                <w:p w14:paraId="1AE5FB23">
                  <w:pPr>
                    <w:pStyle w:val="63"/>
                  </w:pPr>
                </w:p>
              </w:tc>
              <w:tc>
                <w:tcPr>
                  <w:tcW w:w="1748" w:type="pct"/>
                  <w:shd w:val="clear" w:color="auto" w:fill="auto"/>
                  <w:vAlign w:val="center"/>
                </w:tcPr>
                <w:p w14:paraId="03E03FB1">
                  <w:pPr>
                    <w:pStyle w:val="63"/>
                    <w:rPr>
                      <w:rFonts w:cs="宋体"/>
                    </w:rPr>
                  </w:pPr>
                  <w:r>
                    <w:rPr>
                      <w:rFonts w:hint="eastAsia"/>
                    </w:rPr>
                    <w:t>电捕焦油器废油</w:t>
                  </w:r>
                </w:p>
              </w:tc>
              <w:tc>
                <w:tcPr>
                  <w:tcW w:w="977" w:type="pct"/>
                  <w:shd w:val="clear" w:color="auto" w:fill="auto"/>
                  <w:noWrap/>
                  <w:vAlign w:val="center"/>
                </w:tcPr>
                <w:p w14:paraId="4CF811D6">
                  <w:pPr>
                    <w:pStyle w:val="63"/>
                  </w:pPr>
                  <w:r>
                    <w:t>0.0114</w:t>
                  </w:r>
                </w:p>
              </w:tc>
            </w:tr>
            <w:tr w14:paraId="1CFCF1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 w:type="pct"/>
                  <w:shd w:val="clear" w:color="auto" w:fill="auto"/>
                  <w:vAlign w:val="center"/>
                </w:tcPr>
                <w:p w14:paraId="6932AC15">
                  <w:pPr>
                    <w:pStyle w:val="63"/>
                  </w:pPr>
                  <w:r>
                    <w:rPr>
                      <w:rFonts w:hint="eastAsia"/>
                    </w:rPr>
                    <w:t>合计</w:t>
                  </w:r>
                </w:p>
              </w:tc>
              <w:tc>
                <w:tcPr>
                  <w:tcW w:w="1335" w:type="pct"/>
                  <w:shd w:val="clear" w:color="auto" w:fill="auto"/>
                  <w:noWrap/>
                  <w:vAlign w:val="center"/>
                </w:tcPr>
                <w:p w14:paraId="580085E2">
                  <w:pPr>
                    <w:widowControl/>
                    <w:jc w:val="center"/>
                    <w:rPr>
                      <w:sz w:val="21"/>
                      <w:szCs w:val="21"/>
                    </w:rPr>
                  </w:pPr>
                  <w:r>
                    <w:rPr>
                      <w:sz w:val="21"/>
                      <w:szCs w:val="21"/>
                    </w:rPr>
                    <w:t>720840</w:t>
                  </w:r>
                </w:p>
              </w:tc>
              <w:tc>
                <w:tcPr>
                  <w:tcW w:w="1748" w:type="pct"/>
                  <w:shd w:val="clear" w:color="auto" w:fill="auto"/>
                  <w:vAlign w:val="center"/>
                </w:tcPr>
                <w:p w14:paraId="271D0A4B">
                  <w:pPr>
                    <w:pStyle w:val="63"/>
                  </w:pPr>
                  <w:r>
                    <w:rPr>
                      <w:rFonts w:hint="eastAsia"/>
                    </w:rPr>
                    <w:t>合计</w:t>
                  </w:r>
                </w:p>
              </w:tc>
              <w:tc>
                <w:tcPr>
                  <w:tcW w:w="977" w:type="pct"/>
                  <w:shd w:val="clear" w:color="auto" w:fill="auto"/>
                  <w:noWrap/>
                  <w:vAlign w:val="center"/>
                </w:tcPr>
                <w:p w14:paraId="202094E6">
                  <w:pPr>
                    <w:pStyle w:val="63"/>
                  </w:pPr>
                  <w:r>
                    <w:t>720840</w:t>
                  </w:r>
                </w:p>
              </w:tc>
            </w:tr>
          </w:tbl>
          <w:p w14:paraId="2EBB53F5">
            <w:pPr>
              <w:pStyle w:val="76"/>
              <w:ind w:firstLine="420"/>
              <w:rPr>
                <w:color w:val="auto"/>
              </w:rPr>
            </w:pPr>
            <w:r>
              <w:rPr>
                <w:color w:val="auto"/>
              </w:rPr>
              <w:t xml:space="preserve">表2-8              </w:t>
            </w:r>
            <w:r>
              <w:rPr>
                <w:rFonts w:hint="eastAsia"/>
                <w:color w:val="auto"/>
              </w:rPr>
              <w:t xml:space="preserve">水泥混凝土生产线物料平衡一览表 </w:t>
            </w:r>
            <w:r>
              <w:rPr>
                <w:color w:val="auto"/>
              </w:rPr>
              <w:t xml:space="preserve">             </w:t>
            </w:r>
            <w:r>
              <w:rPr>
                <w:rFonts w:hint="eastAsia"/>
                <w:color w:val="auto"/>
              </w:rPr>
              <w:t>单位：</w:t>
            </w:r>
            <w:r>
              <w:rPr>
                <w:color w:val="auto"/>
              </w:rPr>
              <w:t>t/a</w:t>
            </w:r>
          </w:p>
          <w:tbl>
            <w:tblPr>
              <w:tblStyle w:val="24"/>
              <w:tblW w:w="5000" w:type="pct"/>
              <w:tblInd w:w="0" w:type="dxa"/>
              <w:tblLayout w:type="autofit"/>
              <w:tblCellMar>
                <w:top w:w="0" w:type="dxa"/>
                <w:left w:w="108" w:type="dxa"/>
                <w:bottom w:w="0" w:type="dxa"/>
                <w:right w:w="108" w:type="dxa"/>
              </w:tblCellMar>
            </w:tblPr>
            <w:tblGrid>
              <w:gridCol w:w="1495"/>
              <w:gridCol w:w="2237"/>
              <w:gridCol w:w="2895"/>
              <w:gridCol w:w="1555"/>
            </w:tblGrid>
            <w:tr w14:paraId="6D973A8F">
              <w:tblPrEx>
                <w:tblCellMar>
                  <w:top w:w="0" w:type="dxa"/>
                  <w:left w:w="108" w:type="dxa"/>
                  <w:bottom w:w="0" w:type="dxa"/>
                  <w:right w:w="108" w:type="dxa"/>
                </w:tblCellMar>
              </w:tblPrEx>
              <w:trPr>
                <w:trHeight w:val="340" w:hRule="atLeast"/>
              </w:trPr>
              <w:tc>
                <w:tcPr>
                  <w:tcW w:w="2281" w:type="pct"/>
                  <w:gridSpan w:val="2"/>
                  <w:tcBorders>
                    <w:top w:val="single" w:color="auto" w:sz="12" w:space="0"/>
                    <w:bottom w:val="single" w:color="auto" w:sz="4" w:space="0"/>
                    <w:right w:val="single" w:color="auto" w:sz="4" w:space="0"/>
                  </w:tcBorders>
                  <w:shd w:val="clear" w:color="auto" w:fill="auto"/>
                  <w:vAlign w:val="center"/>
                </w:tcPr>
                <w:p w14:paraId="6390B718">
                  <w:pPr>
                    <w:widowControl/>
                    <w:jc w:val="center"/>
                    <w:rPr>
                      <w:kern w:val="0"/>
                      <w:sz w:val="21"/>
                      <w:szCs w:val="21"/>
                    </w:rPr>
                  </w:pPr>
                  <w:r>
                    <w:rPr>
                      <w:rFonts w:hint="eastAsia" w:ascii="宋体" w:hAnsi="宋体"/>
                      <w:kern w:val="0"/>
                      <w:sz w:val="21"/>
                      <w:szCs w:val="21"/>
                    </w:rPr>
                    <w:t>投入</w:t>
                  </w:r>
                </w:p>
              </w:tc>
              <w:tc>
                <w:tcPr>
                  <w:tcW w:w="2719" w:type="pct"/>
                  <w:gridSpan w:val="2"/>
                  <w:tcBorders>
                    <w:top w:val="single" w:color="auto" w:sz="12" w:space="0"/>
                    <w:left w:val="nil"/>
                    <w:bottom w:val="single" w:color="auto" w:sz="4" w:space="0"/>
                  </w:tcBorders>
                  <w:shd w:val="clear" w:color="auto" w:fill="auto"/>
                  <w:vAlign w:val="center"/>
                </w:tcPr>
                <w:p w14:paraId="41CCEC6F">
                  <w:pPr>
                    <w:widowControl/>
                    <w:jc w:val="center"/>
                    <w:rPr>
                      <w:kern w:val="0"/>
                      <w:sz w:val="21"/>
                      <w:szCs w:val="21"/>
                    </w:rPr>
                  </w:pPr>
                  <w:r>
                    <w:rPr>
                      <w:rFonts w:hint="eastAsia" w:ascii="宋体" w:hAnsi="宋体"/>
                      <w:kern w:val="0"/>
                      <w:sz w:val="21"/>
                      <w:szCs w:val="21"/>
                    </w:rPr>
                    <w:t>产出</w:t>
                  </w:r>
                </w:p>
              </w:tc>
            </w:tr>
            <w:tr w14:paraId="4986C94C">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vAlign w:val="center"/>
                </w:tcPr>
                <w:p w14:paraId="5DAE70CA">
                  <w:pPr>
                    <w:widowControl/>
                    <w:jc w:val="center"/>
                    <w:rPr>
                      <w:kern w:val="0"/>
                      <w:sz w:val="21"/>
                      <w:szCs w:val="21"/>
                    </w:rPr>
                  </w:pPr>
                  <w:r>
                    <w:rPr>
                      <w:rFonts w:hint="eastAsia" w:ascii="宋体" w:hAnsi="宋体"/>
                      <w:kern w:val="0"/>
                      <w:sz w:val="21"/>
                      <w:szCs w:val="21"/>
                    </w:rPr>
                    <w:t>名称</w:t>
                  </w:r>
                </w:p>
              </w:tc>
              <w:tc>
                <w:tcPr>
                  <w:tcW w:w="1367" w:type="pct"/>
                  <w:tcBorders>
                    <w:top w:val="single" w:color="auto" w:sz="4" w:space="0"/>
                    <w:left w:val="nil"/>
                    <w:bottom w:val="single" w:color="auto" w:sz="4" w:space="0"/>
                    <w:right w:val="single" w:color="auto" w:sz="4" w:space="0"/>
                  </w:tcBorders>
                  <w:shd w:val="clear" w:color="auto" w:fill="auto"/>
                  <w:vAlign w:val="center"/>
                </w:tcPr>
                <w:p w14:paraId="0829E481">
                  <w:pPr>
                    <w:widowControl/>
                    <w:jc w:val="center"/>
                    <w:rPr>
                      <w:kern w:val="0"/>
                      <w:sz w:val="21"/>
                      <w:szCs w:val="21"/>
                    </w:rPr>
                  </w:pPr>
                  <w:r>
                    <w:rPr>
                      <w:rFonts w:hint="eastAsia" w:ascii="宋体" w:hAnsi="宋体"/>
                      <w:kern w:val="0"/>
                      <w:sz w:val="21"/>
                      <w:szCs w:val="21"/>
                    </w:rPr>
                    <w:t>数量</w:t>
                  </w:r>
                </w:p>
              </w:tc>
              <w:tc>
                <w:tcPr>
                  <w:tcW w:w="1769" w:type="pct"/>
                  <w:tcBorders>
                    <w:top w:val="single" w:color="auto" w:sz="4" w:space="0"/>
                    <w:left w:val="nil"/>
                    <w:bottom w:val="single" w:color="auto" w:sz="4" w:space="0"/>
                    <w:right w:val="single" w:color="auto" w:sz="4" w:space="0"/>
                  </w:tcBorders>
                  <w:shd w:val="clear" w:color="auto" w:fill="auto"/>
                  <w:vAlign w:val="center"/>
                </w:tcPr>
                <w:p w14:paraId="4A2FEAA6">
                  <w:pPr>
                    <w:widowControl/>
                    <w:jc w:val="center"/>
                    <w:rPr>
                      <w:kern w:val="0"/>
                      <w:sz w:val="21"/>
                      <w:szCs w:val="21"/>
                    </w:rPr>
                  </w:pPr>
                  <w:r>
                    <w:rPr>
                      <w:rFonts w:hint="eastAsia" w:ascii="宋体" w:hAnsi="宋体"/>
                      <w:kern w:val="0"/>
                      <w:sz w:val="21"/>
                      <w:szCs w:val="21"/>
                    </w:rPr>
                    <w:t>名称</w:t>
                  </w:r>
                </w:p>
              </w:tc>
              <w:tc>
                <w:tcPr>
                  <w:tcW w:w="950" w:type="pct"/>
                  <w:tcBorders>
                    <w:top w:val="single" w:color="auto" w:sz="4" w:space="0"/>
                    <w:left w:val="nil"/>
                    <w:bottom w:val="single" w:color="auto" w:sz="4" w:space="0"/>
                  </w:tcBorders>
                  <w:shd w:val="clear" w:color="auto" w:fill="auto"/>
                  <w:vAlign w:val="center"/>
                </w:tcPr>
                <w:p w14:paraId="2B49CE94">
                  <w:pPr>
                    <w:widowControl/>
                    <w:jc w:val="center"/>
                    <w:rPr>
                      <w:kern w:val="0"/>
                      <w:sz w:val="21"/>
                      <w:szCs w:val="21"/>
                    </w:rPr>
                  </w:pPr>
                  <w:r>
                    <w:rPr>
                      <w:rFonts w:hint="eastAsia" w:ascii="宋体" w:hAnsi="宋体"/>
                      <w:kern w:val="0"/>
                      <w:sz w:val="21"/>
                      <w:szCs w:val="21"/>
                    </w:rPr>
                    <w:t>数量</w:t>
                  </w:r>
                </w:p>
              </w:tc>
            </w:tr>
            <w:tr w14:paraId="500E1DDB">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vAlign w:val="center"/>
                </w:tcPr>
                <w:p w14:paraId="52E55807">
                  <w:pPr>
                    <w:widowControl/>
                    <w:jc w:val="center"/>
                    <w:rPr>
                      <w:kern w:val="0"/>
                      <w:sz w:val="21"/>
                      <w:szCs w:val="21"/>
                    </w:rPr>
                  </w:pPr>
                  <w:r>
                    <w:rPr>
                      <w:rFonts w:hint="eastAsia" w:ascii="宋体" w:hAnsi="宋体"/>
                      <w:kern w:val="0"/>
                      <w:sz w:val="21"/>
                      <w:szCs w:val="21"/>
                    </w:rPr>
                    <w:t>水泥</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436EE234">
                  <w:pPr>
                    <w:widowControl/>
                    <w:jc w:val="center"/>
                    <w:rPr>
                      <w:kern w:val="0"/>
                      <w:sz w:val="21"/>
                      <w:szCs w:val="21"/>
                    </w:rPr>
                  </w:pPr>
                  <w:r>
                    <w:rPr>
                      <w:sz w:val="21"/>
                      <w:szCs w:val="21"/>
                    </w:rPr>
                    <w:t>48172.8</w:t>
                  </w:r>
                </w:p>
              </w:tc>
              <w:tc>
                <w:tcPr>
                  <w:tcW w:w="1769" w:type="pct"/>
                  <w:tcBorders>
                    <w:top w:val="single" w:color="auto" w:sz="4" w:space="0"/>
                    <w:left w:val="nil"/>
                    <w:bottom w:val="single" w:color="auto" w:sz="4" w:space="0"/>
                    <w:right w:val="single" w:color="auto" w:sz="4" w:space="0"/>
                  </w:tcBorders>
                  <w:shd w:val="clear" w:color="auto" w:fill="auto"/>
                  <w:vAlign w:val="center"/>
                </w:tcPr>
                <w:p w14:paraId="0FE8C0AE">
                  <w:pPr>
                    <w:widowControl/>
                    <w:jc w:val="center"/>
                    <w:rPr>
                      <w:kern w:val="0"/>
                      <w:sz w:val="21"/>
                      <w:szCs w:val="21"/>
                    </w:rPr>
                  </w:pPr>
                  <w:r>
                    <w:rPr>
                      <w:kern w:val="0"/>
                      <w:sz w:val="21"/>
                      <w:szCs w:val="21"/>
                    </w:rPr>
                    <w:t>水泥混凝土</w:t>
                  </w:r>
                </w:p>
              </w:tc>
              <w:tc>
                <w:tcPr>
                  <w:tcW w:w="950" w:type="pct"/>
                  <w:tcBorders>
                    <w:top w:val="single" w:color="auto" w:sz="4" w:space="0"/>
                    <w:left w:val="single" w:color="auto" w:sz="4" w:space="0"/>
                    <w:bottom w:val="single" w:color="auto" w:sz="4" w:space="0"/>
                  </w:tcBorders>
                  <w:shd w:val="clear" w:color="auto" w:fill="auto"/>
                  <w:noWrap/>
                  <w:vAlign w:val="center"/>
                </w:tcPr>
                <w:p w14:paraId="6F349A3E">
                  <w:pPr>
                    <w:widowControl/>
                    <w:jc w:val="center"/>
                    <w:rPr>
                      <w:kern w:val="0"/>
                      <w:sz w:val="21"/>
                      <w:szCs w:val="21"/>
                    </w:rPr>
                  </w:pPr>
                  <w:r>
                    <w:rPr>
                      <w:sz w:val="21"/>
                      <w:szCs w:val="21"/>
                    </w:rPr>
                    <w:t>192000</w:t>
                  </w:r>
                </w:p>
              </w:tc>
            </w:tr>
            <w:tr w14:paraId="719BEF1D">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vAlign w:val="center"/>
                </w:tcPr>
                <w:p w14:paraId="489C3299">
                  <w:pPr>
                    <w:widowControl/>
                    <w:jc w:val="center"/>
                    <w:rPr>
                      <w:kern w:val="0"/>
                      <w:sz w:val="21"/>
                      <w:szCs w:val="21"/>
                    </w:rPr>
                  </w:pPr>
                  <w:r>
                    <w:rPr>
                      <w:rFonts w:hint="eastAsia" w:ascii="宋体" w:hAnsi="宋体"/>
                      <w:kern w:val="0"/>
                      <w:sz w:val="21"/>
                      <w:szCs w:val="21"/>
                    </w:rPr>
                    <w:t>粉煤灰</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2B4E01D5">
                  <w:pPr>
                    <w:jc w:val="center"/>
                    <w:rPr>
                      <w:sz w:val="21"/>
                      <w:szCs w:val="21"/>
                    </w:rPr>
                  </w:pPr>
                  <w:r>
                    <w:rPr>
                      <w:sz w:val="21"/>
                      <w:szCs w:val="21"/>
                    </w:rPr>
                    <w:t>15398.4</w:t>
                  </w:r>
                </w:p>
              </w:tc>
              <w:tc>
                <w:tcPr>
                  <w:tcW w:w="1769" w:type="pct"/>
                  <w:tcBorders>
                    <w:top w:val="single" w:color="auto" w:sz="4" w:space="0"/>
                    <w:left w:val="nil"/>
                    <w:bottom w:val="single" w:color="auto" w:sz="4" w:space="0"/>
                    <w:right w:val="single" w:color="auto" w:sz="4" w:space="0"/>
                  </w:tcBorders>
                  <w:shd w:val="clear" w:color="auto" w:fill="auto"/>
                  <w:vAlign w:val="center"/>
                </w:tcPr>
                <w:p w14:paraId="6AA91195">
                  <w:pPr>
                    <w:widowControl/>
                    <w:jc w:val="center"/>
                    <w:rPr>
                      <w:kern w:val="0"/>
                      <w:sz w:val="21"/>
                      <w:szCs w:val="21"/>
                    </w:rPr>
                  </w:pPr>
                  <w:r>
                    <w:rPr>
                      <w:rFonts w:hint="eastAsia" w:ascii="宋体" w:hAnsi="宋体"/>
                      <w:kern w:val="0"/>
                      <w:sz w:val="21"/>
                      <w:szCs w:val="21"/>
                    </w:rPr>
                    <w:t>水泥筒仓无组织粉尘</w:t>
                  </w:r>
                </w:p>
              </w:tc>
              <w:tc>
                <w:tcPr>
                  <w:tcW w:w="950" w:type="pct"/>
                  <w:tcBorders>
                    <w:top w:val="single" w:color="auto" w:sz="4" w:space="0"/>
                    <w:left w:val="single" w:color="auto" w:sz="4" w:space="0"/>
                    <w:bottom w:val="single" w:color="auto" w:sz="4" w:space="0"/>
                  </w:tcBorders>
                  <w:shd w:val="clear" w:color="auto" w:fill="auto"/>
                  <w:noWrap/>
                  <w:vAlign w:val="center"/>
                </w:tcPr>
                <w:p w14:paraId="73146CB9">
                  <w:pPr>
                    <w:jc w:val="center"/>
                    <w:rPr>
                      <w:sz w:val="21"/>
                      <w:szCs w:val="21"/>
                    </w:rPr>
                  </w:pPr>
                  <w:r>
                    <w:rPr>
                      <w:sz w:val="21"/>
                      <w:szCs w:val="21"/>
                    </w:rPr>
                    <w:t>0.058</w:t>
                  </w:r>
                </w:p>
              </w:tc>
            </w:tr>
            <w:tr w14:paraId="51B476B7">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vAlign w:val="center"/>
                </w:tcPr>
                <w:p w14:paraId="063119C2">
                  <w:pPr>
                    <w:widowControl/>
                    <w:jc w:val="center"/>
                    <w:rPr>
                      <w:kern w:val="0"/>
                      <w:sz w:val="21"/>
                      <w:szCs w:val="21"/>
                    </w:rPr>
                  </w:pPr>
                  <w:r>
                    <w:rPr>
                      <w:rFonts w:hint="eastAsia" w:ascii="宋体" w:hAnsi="宋体"/>
                      <w:kern w:val="0"/>
                      <w:sz w:val="21"/>
                      <w:szCs w:val="21"/>
                    </w:rPr>
                    <w:t>碎石</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14:paraId="24B5E272">
                  <w:pPr>
                    <w:jc w:val="center"/>
                    <w:rPr>
                      <w:sz w:val="21"/>
                      <w:szCs w:val="21"/>
                    </w:rPr>
                  </w:pPr>
                  <w:r>
                    <w:rPr>
                      <w:sz w:val="21"/>
                      <w:szCs w:val="21"/>
                    </w:rPr>
                    <w:t>68541</w:t>
                  </w:r>
                </w:p>
              </w:tc>
              <w:tc>
                <w:tcPr>
                  <w:tcW w:w="1769" w:type="pct"/>
                  <w:tcBorders>
                    <w:top w:val="single" w:color="auto" w:sz="4" w:space="0"/>
                    <w:left w:val="nil"/>
                    <w:bottom w:val="single" w:color="auto" w:sz="4" w:space="0"/>
                    <w:right w:val="single" w:color="auto" w:sz="4" w:space="0"/>
                  </w:tcBorders>
                  <w:shd w:val="clear" w:color="auto" w:fill="auto"/>
                  <w:vAlign w:val="center"/>
                </w:tcPr>
                <w:p w14:paraId="70BD0761">
                  <w:pPr>
                    <w:widowControl/>
                    <w:jc w:val="center"/>
                    <w:rPr>
                      <w:kern w:val="0"/>
                      <w:sz w:val="21"/>
                      <w:szCs w:val="21"/>
                    </w:rPr>
                  </w:pPr>
                  <w:r>
                    <w:rPr>
                      <w:rFonts w:hint="eastAsia" w:ascii="宋体" w:hAnsi="宋体"/>
                      <w:kern w:val="0"/>
                      <w:sz w:val="21"/>
                      <w:szCs w:val="21"/>
                    </w:rPr>
                    <w:t>粉煤灰无组织粉尘</w:t>
                  </w:r>
                </w:p>
              </w:tc>
              <w:tc>
                <w:tcPr>
                  <w:tcW w:w="950" w:type="pct"/>
                  <w:tcBorders>
                    <w:top w:val="single" w:color="auto" w:sz="4" w:space="0"/>
                    <w:left w:val="single" w:color="auto" w:sz="4" w:space="0"/>
                    <w:bottom w:val="single" w:color="auto" w:sz="4" w:space="0"/>
                  </w:tcBorders>
                  <w:shd w:val="clear" w:color="auto" w:fill="auto"/>
                  <w:noWrap/>
                  <w:vAlign w:val="center"/>
                </w:tcPr>
                <w:p w14:paraId="1ED0F785">
                  <w:pPr>
                    <w:jc w:val="center"/>
                    <w:rPr>
                      <w:sz w:val="21"/>
                      <w:szCs w:val="21"/>
                    </w:rPr>
                  </w:pPr>
                  <w:r>
                    <w:rPr>
                      <w:sz w:val="21"/>
                      <w:szCs w:val="21"/>
                    </w:rPr>
                    <w:t>0.019</w:t>
                  </w:r>
                </w:p>
              </w:tc>
            </w:tr>
            <w:tr w14:paraId="6CAB5E90">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vAlign w:val="center"/>
                </w:tcPr>
                <w:p w14:paraId="133B3CAD">
                  <w:pPr>
                    <w:widowControl/>
                    <w:jc w:val="center"/>
                    <w:rPr>
                      <w:kern w:val="0"/>
                      <w:sz w:val="21"/>
                      <w:szCs w:val="21"/>
                    </w:rPr>
                  </w:pPr>
                  <w:r>
                    <w:rPr>
                      <w:rFonts w:hint="eastAsia"/>
                      <w:kern w:val="0"/>
                      <w:sz w:val="21"/>
                      <w:szCs w:val="21"/>
                    </w:rPr>
                    <w:t>砂</w:t>
                  </w:r>
                </w:p>
              </w:tc>
              <w:tc>
                <w:tcPr>
                  <w:tcW w:w="1367" w:type="pct"/>
                  <w:tcBorders>
                    <w:top w:val="single" w:color="auto" w:sz="4" w:space="0"/>
                    <w:left w:val="nil"/>
                    <w:bottom w:val="single" w:color="auto" w:sz="4" w:space="0"/>
                    <w:right w:val="nil"/>
                  </w:tcBorders>
                  <w:shd w:val="clear" w:color="auto" w:fill="auto"/>
                  <w:vAlign w:val="center"/>
                </w:tcPr>
                <w:p w14:paraId="6293656E">
                  <w:pPr>
                    <w:jc w:val="center"/>
                    <w:rPr>
                      <w:sz w:val="21"/>
                      <w:szCs w:val="21"/>
                    </w:rPr>
                  </w:pPr>
                  <w:r>
                    <w:rPr>
                      <w:rFonts w:hint="eastAsia"/>
                      <w:sz w:val="21"/>
                      <w:szCs w:val="21"/>
                    </w:rPr>
                    <w:t>369</w:t>
                  </w:r>
                  <w:r>
                    <w:rPr>
                      <w:sz w:val="21"/>
                      <w:szCs w:val="21"/>
                    </w:rPr>
                    <w:t>29.5</w:t>
                  </w:r>
                </w:p>
              </w:tc>
              <w:tc>
                <w:tcPr>
                  <w:tcW w:w="1769" w:type="pct"/>
                  <w:tcBorders>
                    <w:top w:val="single" w:color="auto" w:sz="4" w:space="0"/>
                    <w:left w:val="nil"/>
                    <w:bottom w:val="single" w:color="auto" w:sz="4" w:space="0"/>
                    <w:right w:val="single" w:color="auto" w:sz="4" w:space="0"/>
                  </w:tcBorders>
                  <w:shd w:val="clear" w:color="auto" w:fill="auto"/>
                  <w:vAlign w:val="center"/>
                </w:tcPr>
                <w:p w14:paraId="4BA709B9">
                  <w:pPr>
                    <w:widowControl/>
                    <w:jc w:val="center"/>
                    <w:rPr>
                      <w:kern w:val="0"/>
                      <w:sz w:val="21"/>
                      <w:szCs w:val="21"/>
                    </w:rPr>
                  </w:pPr>
                  <w:r>
                    <w:rPr>
                      <w:rFonts w:hint="eastAsia" w:ascii="宋体" w:hAnsi="宋体"/>
                      <w:kern w:val="0"/>
                      <w:sz w:val="21"/>
                      <w:szCs w:val="21"/>
                    </w:rPr>
                    <w:t>除尘器设备收集粉尘</w:t>
                  </w:r>
                </w:p>
              </w:tc>
              <w:tc>
                <w:tcPr>
                  <w:tcW w:w="950" w:type="pct"/>
                  <w:tcBorders>
                    <w:top w:val="single" w:color="auto" w:sz="4" w:space="0"/>
                    <w:left w:val="single" w:color="auto" w:sz="4" w:space="0"/>
                    <w:bottom w:val="single" w:color="auto" w:sz="4" w:space="0"/>
                  </w:tcBorders>
                  <w:shd w:val="clear" w:color="auto" w:fill="auto"/>
                  <w:noWrap/>
                  <w:vAlign w:val="center"/>
                </w:tcPr>
                <w:p w14:paraId="622CD319">
                  <w:pPr>
                    <w:jc w:val="center"/>
                    <w:rPr>
                      <w:sz w:val="21"/>
                      <w:szCs w:val="21"/>
                    </w:rPr>
                  </w:pPr>
                  <w:r>
                    <w:rPr>
                      <w:sz w:val="21"/>
                      <w:szCs w:val="21"/>
                    </w:rPr>
                    <w:t xml:space="preserve">29.878 </w:t>
                  </w:r>
                </w:p>
              </w:tc>
            </w:tr>
            <w:tr w14:paraId="47ECA76D">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noWrap/>
                  <w:vAlign w:val="center"/>
                </w:tcPr>
                <w:p w14:paraId="0557BD84">
                  <w:pPr>
                    <w:widowControl/>
                    <w:jc w:val="center"/>
                    <w:rPr>
                      <w:rFonts w:ascii="宋体" w:hAnsi="宋体" w:cs="宋体"/>
                      <w:kern w:val="0"/>
                      <w:sz w:val="21"/>
                      <w:szCs w:val="21"/>
                    </w:rPr>
                  </w:pPr>
                  <w:r>
                    <w:rPr>
                      <w:rFonts w:hint="eastAsia" w:ascii="宋体" w:hAnsi="宋体"/>
                      <w:kern w:val="0"/>
                      <w:sz w:val="21"/>
                      <w:szCs w:val="21"/>
                    </w:rPr>
                    <w:t>水</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E2688">
                  <w:pPr>
                    <w:jc w:val="center"/>
                    <w:rPr>
                      <w:sz w:val="21"/>
                      <w:szCs w:val="21"/>
                    </w:rPr>
                  </w:pPr>
                  <w:r>
                    <w:rPr>
                      <w:sz w:val="21"/>
                      <w:szCs w:val="21"/>
                    </w:rPr>
                    <w:t>23059</w:t>
                  </w:r>
                </w:p>
              </w:tc>
              <w:tc>
                <w:tcPr>
                  <w:tcW w:w="1769" w:type="pct"/>
                  <w:tcBorders>
                    <w:top w:val="single" w:color="auto" w:sz="4" w:space="0"/>
                    <w:left w:val="nil"/>
                    <w:bottom w:val="single" w:color="auto" w:sz="4" w:space="0"/>
                    <w:right w:val="single" w:color="auto" w:sz="4" w:space="0"/>
                  </w:tcBorders>
                  <w:shd w:val="clear" w:color="auto" w:fill="auto"/>
                  <w:vAlign w:val="center"/>
                </w:tcPr>
                <w:p w14:paraId="43E8DE03">
                  <w:pPr>
                    <w:widowControl/>
                    <w:jc w:val="center"/>
                    <w:rPr>
                      <w:rFonts w:ascii="宋体" w:hAnsi="宋体" w:cs="宋体"/>
                      <w:kern w:val="0"/>
                      <w:sz w:val="21"/>
                      <w:szCs w:val="21"/>
                    </w:rPr>
                  </w:pPr>
                  <w:r>
                    <w:rPr>
                      <w:rFonts w:hint="eastAsia" w:ascii="宋体" w:hAnsi="宋体" w:cs="宋体"/>
                      <w:kern w:val="0"/>
                      <w:sz w:val="21"/>
                      <w:szCs w:val="21"/>
                    </w:rPr>
                    <w:t>不合格骨料</w:t>
                  </w:r>
                </w:p>
              </w:tc>
              <w:tc>
                <w:tcPr>
                  <w:tcW w:w="950" w:type="pct"/>
                  <w:tcBorders>
                    <w:top w:val="single" w:color="auto" w:sz="4" w:space="0"/>
                    <w:left w:val="single" w:color="auto" w:sz="4" w:space="0"/>
                    <w:bottom w:val="single" w:color="auto" w:sz="4" w:space="0"/>
                  </w:tcBorders>
                  <w:shd w:val="clear" w:color="auto" w:fill="auto"/>
                  <w:noWrap/>
                  <w:vAlign w:val="center"/>
                </w:tcPr>
                <w:p w14:paraId="5799F22E">
                  <w:pPr>
                    <w:jc w:val="center"/>
                    <w:rPr>
                      <w:sz w:val="21"/>
                      <w:szCs w:val="21"/>
                    </w:rPr>
                  </w:pPr>
                  <w:r>
                    <w:rPr>
                      <w:sz w:val="21"/>
                      <w:szCs w:val="21"/>
                    </w:rPr>
                    <w:t>68.5</w:t>
                  </w:r>
                </w:p>
              </w:tc>
            </w:tr>
            <w:tr w14:paraId="5E139FF1">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4" w:space="0"/>
                    <w:right w:val="single" w:color="auto" w:sz="4" w:space="0"/>
                  </w:tcBorders>
                  <w:shd w:val="clear" w:color="auto" w:fill="auto"/>
                  <w:noWrap/>
                  <w:vAlign w:val="center"/>
                </w:tcPr>
                <w:p w14:paraId="5CDFDCD5">
                  <w:pPr>
                    <w:widowControl/>
                    <w:jc w:val="center"/>
                    <w:rPr>
                      <w:kern w:val="0"/>
                      <w:sz w:val="21"/>
                      <w:szCs w:val="21"/>
                    </w:rPr>
                  </w:pPr>
                  <w:r>
                    <w:rPr>
                      <w:rFonts w:hint="eastAsia" w:ascii="宋体" w:hAnsi="宋体" w:cs="宋体"/>
                      <w:kern w:val="0"/>
                      <w:sz w:val="21"/>
                      <w:szCs w:val="21"/>
                    </w:rPr>
                    <w:t>添加剂</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7C839">
                  <w:pPr>
                    <w:jc w:val="center"/>
                    <w:rPr>
                      <w:sz w:val="21"/>
                      <w:szCs w:val="21"/>
                    </w:rPr>
                  </w:pPr>
                  <w:r>
                    <w:rPr>
                      <w:sz w:val="21"/>
                      <w:szCs w:val="21"/>
                    </w:rPr>
                    <w:t>1382.4</w:t>
                  </w:r>
                </w:p>
              </w:tc>
              <w:tc>
                <w:tcPr>
                  <w:tcW w:w="17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8FB4F">
                  <w:pPr>
                    <w:widowControl/>
                    <w:jc w:val="center"/>
                    <w:rPr>
                      <w:rFonts w:ascii="宋体" w:hAnsi="宋体" w:cs="宋体"/>
                      <w:kern w:val="0"/>
                      <w:sz w:val="21"/>
                      <w:szCs w:val="21"/>
                    </w:rPr>
                  </w:pPr>
                  <w:r>
                    <w:rPr>
                      <w:rFonts w:hint="eastAsia"/>
                      <w:sz w:val="20"/>
                      <w:szCs w:val="20"/>
                    </w:rPr>
                    <w:t>物料搅拌工序无组织粉尘</w:t>
                  </w:r>
                </w:p>
              </w:tc>
              <w:tc>
                <w:tcPr>
                  <w:tcW w:w="950" w:type="pct"/>
                  <w:tcBorders>
                    <w:top w:val="single" w:color="auto" w:sz="4" w:space="0"/>
                    <w:left w:val="nil"/>
                    <w:bottom w:val="single" w:color="auto" w:sz="4" w:space="0"/>
                  </w:tcBorders>
                  <w:shd w:val="clear" w:color="auto" w:fill="auto"/>
                  <w:noWrap/>
                  <w:vAlign w:val="center"/>
                </w:tcPr>
                <w:p w14:paraId="3D0E0647">
                  <w:pPr>
                    <w:widowControl/>
                    <w:jc w:val="center"/>
                    <w:rPr>
                      <w:kern w:val="0"/>
                      <w:sz w:val="21"/>
                      <w:szCs w:val="21"/>
                    </w:rPr>
                  </w:pPr>
                  <w:r>
                    <w:rPr>
                      <w:sz w:val="20"/>
                      <w:szCs w:val="20"/>
                    </w:rPr>
                    <w:t>2.5</w:t>
                  </w:r>
                </w:p>
              </w:tc>
            </w:tr>
            <w:tr w14:paraId="13680C94">
              <w:tblPrEx>
                <w:tblCellMar>
                  <w:top w:w="0" w:type="dxa"/>
                  <w:left w:w="108" w:type="dxa"/>
                  <w:bottom w:w="0" w:type="dxa"/>
                  <w:right w:w="108" w:type="dxa"/>
                </w:tblCellMar>
              </w:tblPrEx>
              <w:trPr>
                <w:trHeight w:val="340" w:hRule="atLeast"/>
              </w:trPr>
              <w:tc>
                <w:tcPr>
                  <w:tcW w:w="914" w:type="pct"/>
                  <w:tcBorders>
                    <w:top w:val="single" w:color="auto" w:sz="4" w:space="0"/>
                    <w:bottom w:val="single" w:color="auto" w:sz="12" w:space="0"/>
                    <w:right w:val="single" w:color="auto" w:sz="4" w:space="0"/>
                  </w:tcBorders>
                  <w:shd w:val="clear" w:color="auto" w:fill="auto"/>
                  <w:vAlign w:val="center"/>
                </w:tcPr>
                <w:p w14:paraId="31EBCBB3">
                  <w:pPr>
                    <w:widowControl/>
                    <w:jc w:val="center"/>
                    <w:rPr>
                      <w:kern w:val="0"/>
                      <w:sz w:val="21"/>
                      <w:szCs w:val="21"/>
                    </w:rPr>
                  </w:pPr>
                  <w:r>
                    <w:rPr>
                      <w:rFonts w:hint="eastAsia" w:ascii="宋体" w:hAnsi="宋体"/>
                      <w:kern w:val="0"/>
                      <w:sz w:val="21"/>
                      <w:szCs w:val="21"/>
                    </w:rPr>
                    <w:t>合计</w:t>
                  </w:r>
                </w:p>
              </w:tc>
              <w:tc>
                <w:tcPr>
                  <w:tcW w:w="1367" w:type="pct"/>
                  <w:tcBorders>
                    <w:top w:val="single" w:color="auto" w:sz="4" w:space="0"/>
                    <w:left w:val="single" w:color="auto" w:sz="4" w:space="0"/>
                    <w:bottom w:val="single" w:color="auto" w:sz="12" w:space="0"/>
                    <w:right w:val="single" w:color="auto" w:sz="4" w:space="0"/>
                  </w:tcBorders>
                  <w:shd w:val="clear" w:color="auto" w:fill="auto"/>
                  <w:noWrap/>
                  <w:vAlign w:val="center"/>
                </w:tcPr>
                <w:p w14:paraId="3DF26220">
                  <w:pPr>
                    <w:widowControl/>
                    <w:jc w:val="center"/>
                    <w:rPr>
                      <w:sz w:val="21"/>
                      <w:szCs w:val="21"/>
                    </w:rPr>
                  </w:pPr>
                  <w:r>
                    <w:rPr>
                      <w:sz w:val="21"/>
                      <w:szCs w:val="21"/>
                    </w:rPr>
                    <w:t>192101</w:t>
                  </w:r>
                </w:p>
              </w:tc>
              <w:tc>
                <w:tcPr>
                  <w:tcW w:w="1769" w:type="pct"/>
                  <w:tcBorders>
                    <w:top w:val="single" w:color="auto" w:sz="4" w:space="0"/>
                    <w:left w:val="nil"/>
                    <w:bottom w:val="single" w:color="auto" w:sz="12" w:space="0"/>
                    <w:right w:val="single" w:color="auto" w:sz="4" w:space="0"/>
                  </w:tcBorders>
                  <w:shd w:val="clear" w:color="auto" w:fill="auto"/>
                  <w:vAlign w:val="center"/>
                </w:tcPr>
                <w:p w14:paraId="16AB4623">
                  <w:pPr>
                    <w:widowControl/>
                    <w:jc w:val="center"/>
                    <w:rPr>
                      <w:kern w:val="0"/>
                      <w:sz w:val="21"/>
                      <w:szCs w:val="21"/>
                    </w:rPr>
                  </w:pPr>
                  <w:r>
                    <w:rPr>
                      <w:rFonts w:hint="eastAsia" w:ascii="宋体" w:hAnsi="宋体"/>
                      <w:kern w:val="0"/>
                      <w:sz w:val="21"/>
                      <w:szCs w:val="21"/>
                    </w:rPr>
                    <w:t>合计</w:t>
                  </w:r>
                </w:p>
              </w:tc>
              <w:tc>
                <w:tcPr>
                  <w:tcW w:w="950" w:type="pct"/>
                  <w:tcBorders>
                    <w:top w:val="single" w:color="auto" w:sz="4" w:space="0"/>
                    <w:left w:val="single" w:color="auto" w:sz="4" w:space="0"/>
                    <w:bottom w:val="single" w:color="auto" w:sz="12" w:space="0"/>
                  </w:tcBorders>
                  <w:shd w:val="clear" w:color="auto" w:fill="auto"/>
                  <w:noWrap/>
                  <w:vAlign w:val="center"/>
                </w:tcPr>
                <w:p w14:paraId="43AE5E64">
                  <w:pPr>
                    <w:widowControl/>
                    <w:jc w:val="center"/>
                    <w:rPr>
                      <w:kern w:val="0"/>
                      <w:sz w:val="21"/>
                      <w:szCs w:val="21"/>
                    </w:rPr>
                  </w:pPr>
                  <w:r>
                    <w:rPr>
                      <w:sz w:val="21"/>
                      <w:szCs w:val="21"/>
                    </w:rPr>
                    <w:t>192101</w:t>
                  </w:r>
                </w:p>
              </w:tc>
            </w:tr>
          </w:tbl>
          <w:p w14:paraId="19B752F9">
            <w:pPr>
              <w:spacing w:line="460" w:lineRule="exact"/>
              <w:ind w:firstLine="482" w:firstLineChars="200"/>
              <w:rPr>
                <w:b/>
                <w:bCs/>
              </w:rPr>
            </w:pPr>
            <w:r>
              <w:rPr>
                <w:b/>
                <w:bCs/>
              </w:rPr>
              <w:t>8、项目平面布置</w:t>
            </w:r>
          </w:p>
          <w:p w14:paraId="28F6DFB1">
            <w:pPr>
              <w:spacing w:line="460" w:lineRule="exact"/>
              <w:ind w:firstLine="480" w:firstLineChars="200"/>
            </w:pPr>
            <w:r>
              <w:t>本项目位于</w:t>
            </w:r>
            <w:r>
              <w:rPr>
                <w:rFonts w:hint="eastAsia"/>
              </w:rPr>
              <w:t>奇台县喇嘛湖梁工业园区</w:t>
            </w:r>
            <w:r>
              <w:t>，办公室、宿舍及实验室位于厂区</w:t>
            </w:r>
            <w:r>
              <w:rPr>
                <w:rFonts w:hint="eastAsia"/>
              </w:rPr>
              <w:t>大门口北侧（包括食堂、卫生间、实验室、宿舍等）；沥青混凝土站位于厂区南侧（包括1条沥青混凝土生产线，7间碎石储料仓，</w:t>
            </w:r>
            <w:r>
              <w:t>1</w:t>
            </w:r>
            <w:r>
              <w:rPr>
                <w:rFonts w:hint="eastAsia"/>
              </w:rPr>
              <w:t>个矿粉筒仓，1个沥青储备罐，4个沥青罐）；</w:t>
            </w:r>
            <w:r>
              <w:t>水泥稳定土</w:t>
            </w:r>
            <w:r>
              <w:rPr>
                <w:rFonts w:hint="eastAsia"/>
              </w:rPr>
              <w:t>站位于沥青混凝土生产线北侧</w:t>
            </w:r>
            <w:r>
              <w:t>（</w:t>
            </w:r>
            <w:r>
              <w:rPr>
                <w:rFonts w:hint="eastAsia"/>
              </w:rPr>
              <w:t>包括2条水泥稳定土生产线，</w:t>
            </w:r>
            <w:r>
              <w:t>2</w:t>
            </w:r>
            <w:r>
              <w:rPr>
                <w:rFonts w:hint="eastAsia"/>
              </w:rPr>
              <w:t>座蓄水池，3座沉淀池，4个水泥筒仓，4个粉煤灰筒仓，6间水稳料储料仓</w:t>
            </w:r>
            <w:r>
              <w:t>）</w:t>
            </w:r>
            <w:r>
              <w:rPr>
                <w:rFonts w:hint="eastAsia"/>
              </w:rPr>
              <w:t>；预制场位于生活办公区北侧（包括盖板存放区、立墙存放区、静置养生区、T梁存储区）；</w:t>
            </w:r>
            <w:r>
              <w:t>水泥混凝土</w:t>
            </w:r>
            <w:r>
              <w:rPr>
                <w:rFonts w:hint="eastAsia"/>
              </w:rPr>
              <w:t>站</w:t>
            </w:r>
            <w:r>
              <w:t>位于</w:t>
            </w:r>
            <w:r>
              <w:rPr>
                <w:rFonts w:hint="eastAsia"/>
              </w:rPr>
              <w:t>厂区</w:t>
            </w:r>
            <w:r>
              <w:t>北侧</w:t>
            </w:r>
            <w:r>
              <w:rPr>
                <w:rFonts w:hint="eastAsia"/>
              </w:rPr>
              <w:t>（包括1条水泥混凝土生产线，3个水泥筒仓，2个粉煤灰筒仓和</w:t>
            </w:r>
            <w:r>
              <w:t>4</w:t>
            </w:r>
            <w:r>
              <w:rPr>
                <w:rFonts w:hint="eastAsia"/>
              </w:rPr>
              <w:t>个添加剂储罐，5间料仓）</w:t>
            </w:r>
            <w:r>
              <w:t>，</w:t>
            </w:r>
            <w:r>
              <w:rPr>
                <w:rFonts w:hint="eastAsia"/>
              </w:rPr>
              <w:t>钢筋加工厂位于水泥混凝土生产线西侧</w:t>
            </w:r>
            <w:r>
              <w:t>。</w:t>
            </w:r>
          </w:p>
          <w:p w14:paraId="21F05CD9">
            <w:pPr>
              <w:spacing w:line="460" w:lineRule="exact"/>
              <w:ind w:firstLine="480" w:firstLineChars="200"/>
            </w:pPr>
            <w:r>
              <w:t>本项目总平面布置方案具有工艺流程顺畅，功能分区明确，厂内运输便捷。做到远近结合，功能分区合理，人流、货流分开，生活区单独设置，处于常年主导风向上风向，项目平面布局基本合理可行。</w:t>
            </w:r>
          </w:p>
          <w:p w14:paraId="1D26B89E">
            <w:pPr>
              <w:spacing w:line="460" w:lineRule="exact"/>
              <w:ind w:firstLine="480" w:firstLineChars="200"/>
            </w:pPr>
            <w:r>
              <w:t>项目平面布置图见图</w:t>
            </w:r>
            <w:r>
              <w:rPr>
                <w:rFonts w:hint="eastAsia"/>
              </w:rPr>
              <w:t>2</w:t>
            </w:r>
            <w:r>
              <w:t>-3。</w:t>
            </w:r>
          </w:p>
          <w:p w14:paraId="71853952">
            <w:pPr>
              <w:spacing w:line="460" w:lineRule="exact"/>
              <w:ind w:firstLine="482" w:firstLineChars="200"/>
              <w:rPr>
                <w:b/>
                <w:bCs/>
              </w:rPr>
            </w:pPr>
            <w:r>
              <w:rPr>
                <w:b/>
                <w:bCs/>
              </w:rPr>
              <w:t>9、劳动定员及工作制度</w:t>
            </w:r>
          </w:p>
          <w:p w14:paraId="1EF4FA46">
            <w:pPr>
              <w:spacing w:line="460" w:lineRule="exact"/>
              <w:ind w:firstLine="480" w:firstLineChars="200"/>
            </w:pPr>
            <w:r>
              <w:t>本项目建成后，工作人员为26人，在厂区食宿，年工作270天</w:t>
            </w:r>
            <w:r>
              <w:rPr>
                <w:rFonts w:hint="eastAsia"/>
              </w:rPr>
              <w:t>，</w:t>
            </w:r>
            <w:r>
              <w:t>冬季不生产，每天工作10小时。</w:t>
            </w:r>
          </w:p>
        </w:tc>
      </w:tr>
      <w:tr w14:paraId="03BA7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Align w:val="center"/>
          </w:tcPr>
          <w:p w14:paraId="16A03932">
            <w:pPr>
              <w:pStyle w:val="19"/>
              <w:adjustRightInd w:val="0"/>
              <w:snapToGrid w:val="0"/>
              <w:spacing w:before="0" w:beforeAutospacing="0" w:after="0" w:afterAutospacing="0" w:line="360" w:lineRule="auto"/>
              <w:jc w:val="center"/>
              <w:rPr>
                <w:rFonts w:ascii="Times New Roman" w:hAnsi="Times New Roman"/>
                <w:sz w:val="21"/>
                <w:szCs w:val="21"/>
              </w:rPr>
            </w:pPr>
            <w:r>
              <w:rPr>
                <w:rFonts w:ascii="Times New Roman" w:hAnsi="Times New Roman"/>
                <w:sz w:val="21"/>
                <w:szCs w:val="21"/>
              </w:rPr>
              <w:t>工艺流程和产排污环节</w:t>
            </w:r>
          </w:p>
        </w:tc>
        <w:tc>
          <w:tcPr>
            <w:tcW w:w="8385" w:type="dxa"/>
          </w:tcPr>
          <w:p w14:paraId="1BBEE9CA">
            <w:pPr>
              <w:adjustRightInd w:val="0"/>
              <w:snapToGrid w:val="0"/>
              <w:spacing w:line="460" w:lineRule="exact"/>
              <w:ind w:firstLine="482" w:firstLineChars="200"/>
              <w:jc w:val="left"/>
              <w:rPr>
                <w:b/>
                <w:bCs/>
              </w:rPr>
            </w:pPr>
            <w:r>
              <w:rPr>
                <w:b/>
                <w:bCs/>
              </w:rPr>
              <w:t>1、施工期工艺流程及产污环节分析</w:t>
            </w:r>
          </w:p>
          <w:p w14:paraId="061BADD2">
            <w:pPr>
              <w:spacing w:line="460" w:lineRule="exact"/>
              <w:ind w:firstLine="480" w:firstLineChars="200"/>
              <w:jc w:val="left"/>
            </w:pPr>
            <w:r>
              <w:t>本项目实施分为施工期和营运期两个阶段，施工期包括：场地平整施工、基础工程施工、主体工程及装饰施工和设备安装阶段</w:t>
            </w:r>
            <w:r>
              <w:rPr>
                <w:rFonts w:hint="eastAsia"/>
              </w:rPr>
              <w:t>及中建七局原有搅拌生产线拆除工序</w:t>
            </w:r>
            <w:r>
              <w:t>。施工期时，场地平整、基础工程、主体工程、装饰工程、设备安装、工程验收等建设工序产生了噪声、扬尘、固体废物、少量污水和废气等污染物，其排放量随工期和施工强度不同而有所变化其施工工艺流程及产污环节详见图2-4。</w:t>
            </w:r>
          </w:p>
          <w:p w14:paraId="08EB16E8">
            <w:pPr>
              <w:pStyle w:val="5"/>
              <w:ind w:firstLine="0" w:firstLineChars="0"/>
              <w:jc w:val="center"/>
              <w:rPr>
                <w:rFonts w:eastAsia="华文中宋"/>
                <w:color w:val="auto"/>
                <w:szCs w:val="20"/>
              </w:rPr>
            </w:pPr>
            <w:r>
              <w:rPr>
                <w:rFonts w:eastAsia="华文中宋"/>
                <w:color w:val="auto"/>
                <w:szCs w:val="20"/>
              </w:rPr>
              <w:object>
                <v:shape id="_x0000_i1026" o:spt="75" type="#_x0000_t75" style="height:182.5pt;width:392.3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r>
              <w:rPr>
                <w:rFonts w:eastAsia="华文中宋"/>
                <w:color w:val="auto"/>
                <w:szCs w:val="20"/>
              </w:rPr>
              <w:t xml:space="preserve">               </w:t>
            </w:r>
          </w:p>
          <w:p w14:paraId="4E38F638">
            <w:pPr>
              <w:pStyle w:val="5"/>
              <w:ind w:firstLine="0" w:firstLineChars="0"/>
              <w:jc w:val="center"/>
              <w:rPr>
                <w:rStyle w:val="78"/>
                <w:b w:val="0"/>
                <w:color w:val="auto"/>
              </w:rPr>
            </w:pPr>
            <w:r>
              <w:rPr>
                <w:color w:val="auto"/>
              </w:rPr>
              <w:object>
                <v:shape id="_x0000_i1027" o:spt="75" type="#_x0000_t75" style="height:48.4pt;width:86.9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14:paraId="6EE8170B">
            <w:pPr>
              <w:pStyle w:val="5"/>
              <w:ind w:firstLine="0" w:firstLineChars="0"/>
              <w:jc w:val="center"/>
              <w:rPr>
                <w:color w:val="auto"/>
              </w:rPr>
            </w:pPr>
            <w:r>
              <w:rPr>
                <w:rStyle w:val="78"/>
                <w:b w:val="0"/>
                <w:color w:val="auto"/>
              </w:rPr>
              <w:t>图2-4 施工期工艺流程及产污节点图</w:t>
            </w:r>
          </w:p>
          <w:p w14:paraId="58C90551">
            <w:pPr>
              <w:pStyle w:val="81"/>
            </w:pPr>
          </w:p>
          <w:p w14:paraId="32DDEC3D">
            <w:pPr>
              <w:pStyle w:val="5"/>
              <w:ind w:firstLine="482"/>
              <w:rPr>
                <w:color w:val="auto"/>
                <w:sz w:val="24"/>
                <w:szCs w:val="24"/>
              </w:rPr>
            </w:pPr>
            <w:r>
              <w:rPr>
                <w:color w:val="auto"/>
                <w:sz w:val="24"/>
                <w:szCs w:val="24"/>
              </w:rPr>
              <w:t>2、运营期工艺流程及产污环节分析</w:t>
            </w:r>
          </w:p>
          <w:p w14:paraId="06BCA4A6">
            <w:pPr>
              <w:spacing w:line="360" w:lineRule="auto"/>
              <w:ind w:firstLine="480" w:firstLineChars="200"/>
              <w:rPr>
                <w:sz w:val="21"/>
                <w:szCs w:val="21"/>
              </w:rPr>
            </w:pPr>
            <w:r>
              <w:t>本项目</w:t>
            </w:r>
            <w:r>
              <w:rPr>
                <w:rFonts w:hint="eastAsia"/>
              </w:rPr>
              <w:t>为S240线准东大井服务区至奇台公路改扩建项目临时厂区建设项目</w:t>
            </w:r>
            <w:r>
              <w:t>，为临时建筑设施</w:t>
            </w:r>
            <w:r>
              <w:rPr>
                <w:rFonts w:hint="eastAsia"/>
              </w:rPr>
              <w:t>。主要分为水稳站、沥青混凝土拌合站、水泥混凝土搅拌站、预制及钢筋加工场。</w:t>
            </w:r>
          </w:p>
          <w:p w14:paraId="0E052888">
            <w:pPr>
              <w:spacing w:line="360" w:lineRule="auto"/>
              <w:ind w:firstLine="482" w:firstLineChars="200"/>
              <w:rPr>
                <w:b/>
                <w:bCs/>
                <w:lang w:val="zh-CN"/>
              </w:rPr>
            </w:pPr>
            <w:r>
              <w:rPr>
                <w:b/>
                <w:bCs/>
                <w:lang w:val="zh-CN"/>
              </w:rPr>
              <w:t>（1）水稳站工艺流程</w:t>
            </w:r>
            <w:r>
              <w:rPr>
                <w:b/>
                <w:bCs/>
              </w:rPr>
              <w:t>及产污环节</w:t>
            </w:r>
          </w:p>
          <w:p w14:paraId="76F0B408">
            <w:pPr>
              <w:spacing w:line="360" w:lineRule="auto"/>
              <w:ind w:firstLine="480" w:firstLineChars="200"/>
              <w:rPr>
                <w:lang w:val="zh-CN"/>
              </w:rPr>
            </w:pPr>
            <w:r>
              <w:t>1</w:t>
            </w:r>
            <w:r>
              <w:rPr>
                <w:lang w:val="zh-CN"/>
              </w:rPr>
              <w:t>）原料准备：</w:t>
            </w:r>
            <w:r>
              <w:t>碎石</w:t>
            </w:r>
            <w:r>
              <w:rPr>
                <w:lang w:val="zh-CN"/>
              </w:rPr>
              <w:t>、</w:t>
            </w:r>
            <w:r>
              <w:t>水泥、粉煤灰</w:t>
            </w:r>
            <w:r>
              <w:rPr>
                <w:lang w:val="zh-CN"/>
              </w:rPr>
              <w:t>等经汽车从场区外运至场区料仓储存，此过程主要产生装卸粉尘；水泥</w:t>
            </w:r>
            <w:r>
              <w:rPr>
                <w:rFonts w:hint="eastAsia"/>
                <w:lang w:val="zh-CN"/>
              </w:rPr>
              <w:t>及粉煤灰</w:t>
            </w:r>
            <w:r>
              <w:rPr>
                <w:lang w:val="zh-CN"/>
              </w:rPr>
              <w:t>采用密闭罐车运至厂区，</w:t>
            </w:r>
            <w:r>
              <w:t>罐车通过气力输送的方式将物料送至筒仓，筒仓在通过气力输送泵将物料送往计量系统，因而进出料过程造成仓内上部空间气流扰动，仓顶产生平衡扩散风（呼吸风），排出的废气中含有少量粉尘，此过程产生</w:t>
            </w:r>
            <w:r>
              <w:rPr>
                <w:lang w:val="zh-CN"/>
              </w:rPr>
              <w:t>水泥</w:t>
            </w:r>
            <w:r>
              <w:rPr>
                <w:rFonts w:hint="eastAsia"/>
                <w:lang w:val="zh-CN"/>
              </w:rPr>
              <w:t>和粉煤灰</w:t>
            </w:r>
            <w:r>
              <w:rPr>
                <w:lang w:val="zh-CN"/>
              </w:rPr>
              <w:t>筒仓呼吸粉尘</w:t>
            </w:r>
            <w:r>
              <w:rPr>
                <w:rFonts w:hint="eastAsia"/>
                <w:lang w:val="zh-CN"/>
              </w:rPr>
              <w:t>，采</w:t>
            </w:r>
            <w:r>
              <w:t>用自带仓顶滤芯式除尘器处理后排放</w:t>
            </w:r>
            <w:r>
              <w:rPr>
                <w:lang w:val="zh-CN"/>
              </w:rPr>
              <w:t>。</w:t>
            </w:r>
          </w:p>
          <w:p w14:paraId="0B3793D1">
            <w:pPr>
              <w:spacing w:line="360" w:lineRule="auto"/>
              <w:ind w:firstLine="480" w:firstLineChars="200"/>
              <w:rPr>
                <w:lang w:val="zh-CN"/>
              </w:rPr>
            </w:pPr>
            <w:r>
              <w:t>2</w:t>
            </w:r>
            <w:r>
              <w:rPr>
                <w:lang w:val="zh-CN"/>
              </w:rPr>
              <w:t>）配料、皮带输送：利用装载车将采购的</w:t>
            </w:r>
            <w:r>
              <w:t>碎石</w:t>
            </w:r>
            <w:r>
              <w:rPr>
                <w:lang w:val="zh-CN"/>
              </w:rPr>
              <w:t>等运至配料机，根据选定的配合比进行配料计量配比。</w:t>
            </w:r>
            <w:r>
              <w:t>碎石</w:t>
            </w:r>
            <w:r>
              <w:rPr>
                <w:lang w:val="zh-CN"/>
              </w:rPr>
              <w:t>等通过</w:t>
            </w:r>
            <w:r>
              <w:rPr>
                <w:rFonts w:hint="eastAsia"/>
                <w:lang w:val="zh-CN"/>
              </w:rPr>
              <w:t>全封闭式物料输送廊道</w:t>
            </w:r>
            <w:r>
              <w:rPr>
                <w:lang w:val="zh-CN"/>
              </w:rPr>
              <w:t>运至搅拌机内，水泥</w:t>
            </w:r>
            <w:r>
              <w:rPr>
                <w:rFonts w:hint="eastAsia"/>
                <w:lang w:val="zh-CN"/>
              </w:rPr>
              <w:t>及粉煤灰</w:t>
            </w:r>
            <w:r>
              <w:rPr>
                <w:lang w:val="zh-CN"/>
              </w:rPr>
              <w:t>通过</w:t>
            </w:r>
            <w:r>
              <w:rPr>
                <w:rFonts w:hint="eastAsia"/>
                <w:lang w:val="zh-CN"/>
              </w:rPr>
              <w:t>全封闭式物料输送廊道</w:t>
            </w:r>
            <w:r>
              <w:rPr>
                <w:lang w:val="zh-CN"/>
              </w:rPr>
              <w:t>输送至搅拌机内</w:t>
            </w:r>
            <w:r>
              <w:rPr>
                <w:rFonts w:hint="eastAsia"/>
                <w:lang w:val="zh-CN"/>
              </w:rPr>
              <w:t>，</w:t>
            </w:r>
            <w:r>
              <w:rPr>
                <w:bCs/>
              </w:rPr>
              <w:t>全过程封闭输送，输送过程中粉尘的排放量较小，可以忽略。</w:t>
            </w:r>
          </w:p>
          <w:p w14:paraId="6E2E649B">
            <w:pPr>
              <w:spacing w:line="360" w:lineRule="auto"/>
              <w:ind w:firstLine="480" w:firstLineChars="200"/>
              <w:rPr>
                <w:lang w:val="zh-CN"/>
              </w:rPr>
            </w:pPr>
            <w:r>
              <w:t>3</w:t>
            </w:r>
            <w:r>
              <w:rPr>
                <w:lang w:val="zh-CN"/>
              </w:rPr>
              <w:t>）搅拌：水稳材料原料通过皮带输送进入密闭的搅拌机，</w:t>
            </w:r>
            <w:r>
              <w:t>在密闭搅拌机中加水，物料</w:t>
            </w:r>
            <w:r>
              <w:rPr>
                <w:lang w:val="zh-CN"/>
              </w:rPr>
              <w:t>在搅拌机内相互反转的两根搅拌轴上双道螺旋桨片的搅拌作用下，受到浆片周向、径向及轴向力的作用，使物料一边相互产生挤压、摩擦、剪切、对流从而进行拌合，一边向出料口推移，当物料到达出料口时，各物料均已得到均匀地拌合，</w:t>
            </w:r>
            <w:r>
              <w:t>并具有压实所需要的含水量</w:t>
            </w:r>
            <w:r>
              <w:rPr>
                <w:lang w:val="zh-CN"/>
              </w:rPr>
              <w:t>。该工序在搅拌机进出口会产生粉尘，</w:t>
            </w:r>
            <w:r>
              <w:t>搅拌机进、出料口均设置集气罩，粉尘收集至</w:t>
            </w:r>
            <w:r>
              <w:rPr>
                <w:rFonts w:hint="eastAsia"/>
              </w:rPr>
              <w:t>袋式除尘器</w:t>
            </w:r>
            <w:r>
              <w:t>处理后排放</w:t>
            </w:r>
            <w:r>
              <w:rPr>
                <w:lang w:val="zh-CN"/>
              </w:rPr>
              <w:t>。</w:t>
            </w:r>
          </w:p>
          <w:p w14:paraId="04D68A8B">
            <w:pPr>
              <w:spacing w:line="360" w:lineRule="auto"/>
              <w:ind w:firstLine="420" w:firstLineChars="200"/>
              <w:rPr>
                <w:lang w:val="zh-CN"/>
              </w:rPr>
            </w:pPr>
            <w:r>
              <w:rPr>
                <w:rStyle w:val="78"/>
                <w:color w:val="auto"/>
              </w:rPr>
              <w:pict>
                <v:shape id="Object 6" o:spid="_x0000_s1030" o:spt="75" type="#_x0000_t75" style="position:absolute;left:0pt;margin-left:42.65pt;margin-top:81.05pt;height:209.3pt;width:345.05pt;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Visio.Drawing.15" ShapeID="Object 6" DrawAspect="Content" ObjectID="_1468075728" r:id="rId12">
                  <o:LockedField>false</o:LockedField>
                </o:OLEObject>
              </w:pict>
            </w:r>
            <w:r>
              <w:t>4</w:t>
            </w:r>
            <w:r>
              <w:rPr>
                <w:lang w:val="zh-CN"/>
              </w:rPr>
              <w:t>）装车出厂：拌合好的物料通过输送带直接送至运输车，不在厂内暂存，成品装车后运至配套项目施工现场，装车过程皮带输送的产品含水量</w:t>
            </w:r>
            <w:r>
              <w:t>5%</w:t>
            </w:r>
            <w:r>
              <w:rPr>
                <w:lang w:val="zh-CN"/>
              </w:rPr>
              <w:t>，基本不产生粉尘。</w:t>
            </w:r>
          </w:p>
          <w:p w14:paraId="358DB044">
            <w:pPr>
              <w:spacing w:line="360" w:lineRule="auto"/>
              <w:ind w:firstLine="1680" w:firstLineChars="800"/>
              <w:rPr>
                <w:b/>
                <w:bCs/>
                <w:lang w:val="zh-CN"/>
              </w:rPr>
            </w:pPr>
            <w:r>
              <w:rPr>
                <w:rStyle w:val="78"/>
                <w:color w:val="auto"/>
              </w:rPr>
              <w:t>图2-5  水泥稳定土生产工艺及产</w:t>
            </w:r>
            <w:r>
              <w:rPr>
                <w:rStyle w:val="78"/>
                <w:rFonts w:hint="eastAsia"/>
                <w:color w:val="auto"/>
              </w:rPr>
              <w:t>污</w:t>
            </w:r>
            <w:r>
              <w:rPr>
                <w:rStyle w:val="78"/>
                <w:color w:val="auto"/>
              </w:rPr>
              <w:t>环节图</w:t>
            </w:r>
          </w:p>
          <w:p w14:paraId="17AFFC45">
            <w:pPr>
              <w:spacing w:line="360" w:lineRule="auto"/>
              <w:ind w:firstLine="482" w:firstLineChars="200"/>
              <w:rPr>
                <w:b/>
                <w:bCs/>
              </w:rPr>
            </w:pPr>
            <w:r>
              <w:rPr>
                <w:b/>
                <w:bCs/>
              </w:rPr>
              <w:t>（2）沥青混凝土生产线工艺流程及产污环节</w:t>
            </w:r>
          </w:p>
          <w:p w14:paraId="556D9531">
            <w:pPr>
              <w:pStyle w:val="77"/>
              <w:ind w:firstLine="480"/>
            </w:pPr>
            <w:r>
              <w:t>1）骨料预处理流程</w:t>
            </w:r>
          </w:p>
          <w:p w14:paraId="6801667E">
            <w:pPr>
              <w:pStyle w:val="77"/>
              <w:ind w:firstLine="480"/>
            </w:pPr>
            <w:r>
              <w:t>进料：根据沥青混合料的配合比设计要求，选择合适规格、质量的冷骨料，冷骨料到达拌合站后，卸入专门的骨料堆仓进行储存，堆仓为半封闭棚架式。铲车将石料运至冷料斗，通过集料皮带输送机、斜皮带输送机送进干燥滚筒进行烘干。</w:t>
            </w:r>
          </w:p>
          <w:p w14:paraId="18C5ECFB">
            <w:pPr>
              <w:pStyle w:val="77"/>
              <w:ind w:firstLine="480"/>
            </w:pPr>
            <w:r>
              <w:t>烘干：按照设计要求，沥青混凝土的骨料中要求不应该带水分，燃烧器使用醇醚等作为燃料，</w:t>
            </w:r>
            <w:r>
              <w:rPr>
                <w:kern w:val="0"/>
                <w:lang w:bidi="ar"/>
              </w:rPr>
              <w:t>其原理是冷</w:t>
            </w:r>
            <w:r>
              <w:t>骨料进入干燥筒后，干燥筒通过燃烧器加热，燃烧产生的热量传递给干燥筒内壁，再通过热传导的方式将热量传递给骨料，去除冷骨料中的水分。烘干的温度和时间需要根据骨料的含水量、颗粒大小等因素进行控制，一般来说，烘干温度在160℃-200℃之间，烘干时间根据具体情况而定，烘干滚筒采用逆料流加热方式，燃烧器火焰自烘干滚筒出料口一端喷入，热气流逆着料流方向穿过滚筒时被冷骨料吸走热量后，废气从排气筒排出。</w:t>
            </w:r>
          </w:p>
          <w:p w14:paraId="7C2120A9">
            <w:pPr>
              <w:pStyle w:val="77"/>
              <w:ind w:firstLine="480"/>
            </w:pPr>
            <w:r>
              <w:t>振动筛分：烘干后的热骨通过热骨料提升机送到振动筛，让符合产品要求的热骨料通过，经热骨料计量称量到搅拌缸进行搅拌，振动筛分器为全密闭式。少数不合规格的热骨料被分离后由专门出口排出，厂区暂存后由供应商拉走。</w:t>
            </w:r>
          </w:p>
          <w:p w14:paraId="1DEEFE8A">
            <w:pPr>
              <w:spacing w:line="360" w:lineRule="auto"/>
              <w:ind w:firstLine="480" w:firstLineChars="200"/>
              <w:rPr>
                <w:lang w:val="zh-CN"/>
              </w:rPr>
            </w:pPr>
            <w:r>
              <w:t>（2）粉料工艺过程：矿粉由专门的罐车运输至沥青拌合站。在运输过程中，矿粉处于密封状态，以防止泄漏和扬尘，到达拌合站后，通过罐车自带的泵组等装置，将矿粉输送到拌合站的矿粉仓中。</w:t>
            </w:r>
            <w:r>
              <w:rPr>
                <w:rFonts w:hint="eastAsia"/>
              </w:rPr>
              <w:t>矿粉呼吸粉尘采用</w:t>
            </w:r>
            <w:r>
              <w:t>自带仓顶滤芯式除尘器处理</w:t>
            </w:r>
            <w:r>
              <w:rPr>
                <w:lang w:val="zh-CN"/>
              </w:rPr>
              <w:t>。</w:t>
            </w:r>
          </w:p>
          <w:p w14:paraId="74A7B372">
            <w:pPr>
              <w:pStyle w:val="77"/>
              <w:ind w:firstLine="480"/>
            </w:pPr>
            <w:r>
              <w:t>出料时，启动空压机，利用压缩空气产生的气流将矿粉从矿粉仓中吹出，从矿粉仓出来的矿粉一般通过螺旋输送机进行输送及进行称量，待搅拌。</w:t>
            </w:r>
          </w:p>
          <w:p w14:paraId="609C08E9">
            <w:pPr>
              <w:pStyle w:val="77"/>
              <w:ind w:firstLine="480"/>
            </w:pPr>
            <w:r>
              <w:t>（3）沥青预处理流程：</w:t>
            </w:r>
          </w:p>
          <w:p w14:paraId="5D0EAD15">
            <w:pPr>
              <w:pStyle w:val="77"/>
              <w:ind w:firstLine="480"/>
            </w:pPr>
            <w:r>
              <w:t>进料：沥青是石油气工厂热解石油气原料时得到的副产品，沥青原料进厂时通常为散装沥青，由专用沥青运输车通过密闭管道将沥青输送至沥青拌合站的沥青储罐。在运输和接收过程中，要确保管道连接紧密，防止沥青泄漏。</w:t>
            </w:r>
          </w:p>
          <w:p w14:paraId="1712E1B0">
            <w:pPr>
              <w:pStyle w:val="77"/>
              <w:ind w:firstLine="480"/>
            </w:pPr>
            <w:r>
              <w:t>加热：生产时，根据生产需求从沥青储罐中抽取沥青。在将沥青输送到搅拌缸之前，需要对其进行进一步加热，使用导热炉的导热油将其加热，</w:t>
            </w:r>
            <w:r>
              <w:rPr>
                <w:rFonts w:hint="eastAsia"/>
              </w:rPr>
              <w:t>热源是导热油炉，导热油炉的燃料是醇醚燃料</w:t>
            </w:r>
            <w:r>
              <w:t>，沥青罐及其附属管道采用导热油炉加热热质来传热、保温，加热温度在120-180℃之间。导热油炉系统通过循环泵强制导热油进行闭路循环，对沥青罐、沥青管道等进行加热、保温，沥青罐正常生产过程加热温度一般为160℃，非生产时段保温温度为120℃，已加热好的沥青由沥青循环泵输送到沥青计量称，按一定的配比重量后通过专门管道送入搅拌缸待搅拌混合。</w:t>
            </w:r>
          </w:p>
          <w:p w14:paraId="4A68D55C">
            <w:pPr>
              <w:pStyle w:val="77"/>
              <w:ind w:firstLine="480"/>
            </w:pPr>
            <w:r>
              <w:t>（4）搅拌混合工序：进入搅拌缸的骨料、石粉及沥青储罐送来的热沥青搅拌后才成为成品，整个过程都在密闭系统中进行。厂区不设成品贮仓，成品从拌缸卸料后由汽车直接运出。生产出料过程为间歇式。另外，每天生产结束后为清除粘在搅拌缸内的沥青，采用</w:t>
            </w:r>
            <w:r>
              <w:rPr>
                <w:rFonts w:hint="eastAsia"/>
              </w:rPr>
              <w:t>碎石</w:t>
            </w:r>
            <w:r>
              <w:t>对搅拌缸内部进行洗锅。</w:t>
            </w:r>
          </w:p>
          <w:p w14:paraId="32CDFBA5">
            <w:pPr>
              <w:pStyle w:val="77"/>
            </w:pPr>
            <w:r>
              <w:rPr>
                <w:b/>
                <w:bCs/>
              </w:rPr>
              <w:pict>
                <v:shape id="Object 7" o:spid="_x0000_s1037" o:spt="75" type="#_x0000_t75" style="position:absolute;left:0pt;margin-left:36.65pt;margin-top:18.7pt;height:271.55pt;width:351.15pt;mso-wrap-distance-bottom:0pt;mso-wrap-distance-top:0pt;z-index:251661312;mso-width-relative:page;mso-height-relative:page;" o:ole="t" filled="f" o:preferrelative="t" stroked="f" coordsize="21600,21600">
                  <v:path/>
                  <v:fill on="f" focussize="0,0"/>
                  <v:stroke on="f" joinstyle="miter"/>
                  <v:imagedata r:id="rId15" o:title=""/>
                  <o:lock v:ext="edit" aspectratio="t"/>
                  <w10:wrap type="topAndBottom"/>
                </v:shape>
                <o:OLEObject Type="Embed" ProgID="Visio.Drawing.15" ShapeID="Object 7" DrawAspect="Content" ObjectID="_1468075729" r:id="rId14">
                  <o:LockedField>false</o:LockedField>
                </o:OLEObject>
              </w:pict>
            </w:r>
          </w:p>
          <w:p w14:paraId="233BBEE3">
            <w:pPr>
              <w:pStyle w:val="76"/>
              <w:ind w:firstLine="2100" w:firstLineChars="1000"/>
              <w:rPr>
                <w:color w:val="auto"/>
              </w:rPr>
            </w:pPr>
            <w:r>
              <w:rPr>
                <w:color w:val="auto"/>
              </w:rPr>
              <w:t>图2-6  沥青混凝土生产工艺流程及产污节点图</w:t>
            </w:r>
          </w:p>
          <w:p w14:paraId="4616CB0E">
            <w:pPr>
              <w:pStyle w:val="5"/>
              <w:spacing w:line="460" w:lineRule="exact"/>
              <w:ind w:firstLine="482"/>
              <w:rPr>
                <w:color w:val="auto"/>
                <w:sz w:val="24"/>
              </w:rPr>
            </w:pPr>
            <w:r>
              <w:rPr>
                <w:color w:val="auto"/>
                <w:sz w:val="24"/>
              </w:rPr>
              <w:t>（3）</w:t>
            </w:r>
            <w:r>
              <w:rPr>
                <w:rFonts w:hint="eastAsia"/>
                <w:color w:val="auto"/>
                <w:sz w:val="24"/>
              </w:rPr>
              <w:t>水泥</w:t>
            </w:r>
            <w:r>
              <w:rPr>
                <w:color w:val="auto"/>
                <w:sz w:val="24"/>
              </w:rPr>
              <w:t>混凝土生产线工艺流程及产污环节</w:t>
            </w:r>
          </w:p>
          <w:p w14:paraId="7378A196">
            <w:pPr>
              <w:spacing w:line="460" w:lineRule="exact"/>
              <w:ind w:firstLine="480" w:firstLineChars="200"/>
            </w:pPr>
            <w:r>
              <w:t>生产工艺流程简述：</w:t>
            </w:r>
          </w:p>
          <w:p w14:paraId="75DBFEF6">
            <w:pPr>
              <w:pStyle w:val="69"/>
              <w:spacing w:line="460" w:lineRule="exact"/>
              <w:ind w:firstLine="480" w:firstLineChars="200"/>
              <w:jc w:val="both"/>
              <w:rPr>
                <w:sz w:val="24"/>
                <w:szCs w:val="24"/>
              </w:rPr>
            </w:pPr>
            <w:r>
              <w:rPr>
                <w:sz w:val="24"/>
                <w:szCs w:val="24"/>
              </w:rPr>
              <w:t>1）骨料称重：储存在骨料堆仓里的骨料，用装载车装入骨料斗，开启料斗的闸门，通过计量后先后通过水平皮带输送机、斜皮带输送机输送至搅拌机内，待搅拌。</w:t>
            </w:r>
          </w:p>
          <w:p w14:paraId="13D10CCB">
            <w:pPr>
              <w:pStyle w:val="69"/>
              <w:spacing w:line="460" w:lineRule="exact"/>
              <w:ind w:firstLine="480" w:firstLineChars="200"/>
              <w:jc w:val="both"/>
              <w:rPr>
                <w:sz w:val="24"/>
                <w:szCs w:val="24"/>
              </w:rPr>
            </w:pPr>
            <w:r>
              <w:rPr>
                <w:sz w:val="24"/>
                <w:szCs w:val="24"/>
              </w:rPr>
              <w:t>2）粉料称重：工程所需的粉料分别为水泥和粉煤灰，用密闭罐车运输并储存到粉料仓中，粉料仓的水泥和粉煤灰进入搅拌机之前，需要通过粉料供给系统进行称量及输送，常用的设备是螺旋输送机。当需要向搅拌机输送粉料时，启动螺旋输送机，螺旋叶片在旋转过程中推动粉料向前移动，螺旋输送机输送过来的粉料进入螺旋电子</w:t>
            </w:r>
            <w:r>
              <w:rPr>
                <w:rFonts w:hint="eastAsia"/>
                <w:sz w:val="24"/>
                <w:szCs w:val="24"/>
              </w:rPr>
              <w:t>秤</w:t>
            </w:r>
            <w:r>
              <w:rPr>
                <w:sz w:val="24"/>
                <w:szCs w:val="24"/>
              </w:rPr>
              <w:t>进行称量，最终经过计量的粉料通过输送管道进入搅拌机。</w:t>
            </w:r>
          </w:p>
          <w:p w14:paraId="55E4911A">
            <w:pPr>
              <w:pStyle w:val="69"/>
              <w:spacing w:line="460" w:lineRule="exact"/>
              <w:ind w:firstLine="480" w:firstLineChars="200"/>
              <w:jc w:val="both"/>
              <w:rPr>
                <w:sz w:val="24"/>
                <w:szCs w:val="24"/>
              </w:rPr>
            </w:pPr>
            <w:r>
              <w:rPr>
                <w:sz w:val="24"/>
                <w:szCs w:val="24"/>
              </w:rPr>
              <w:t>3）水称量：采用水泵将水抽入称量箱进行称量，称好的水由增压泵抽出经喷水器喷入搅拌机。</w:t>
            </w:r>
          </w:p>
          <w:p w14:paraId="3C9F659E">
            <w:pPr>
              <w:pStyle w:val="69"/>
              <w:spacing w:line="460" w:lineRule="exact"/>
              <w:ind w:firstLine="480" w:firstLineChars="200"/>
              <w:jc w:val="both"/>
              <w:rPr>
                <w:sz w:val="24"/>
                <w:szCs w:val="24"/>
              </w:rPr>
            </w:pPr>
            <w:r>
              <w:rPr>
                <w:sz w:val="24"/>
                <w:szCs w:val="24"/>
              </w:rPr>
              <w:t>4）外加剂称量：外加剂通过外加剂桶，计量后进入水罐，混合后进入搅拌机。</w:t>
            </w:r>
          </w:p>
          <w:p w14:paraId="4A0A29B3">
            <w:pPr>
              <w:pStyle w:val="69"/>
              <w:spacing w:line="460" w:lineRule="exact"/>
              <w:ind w:firstLine="422" w:firstLineChars="200"/>
              <w:jc w:val="both"/>
              <w:rPr>
                <w:sz w:val="24"/>
                <w:szCs w:val="24"/>
              </w:rPr>
            </w:pPr>
            <w:r>
              <w:rPr>
                <w:b/>
              </w:rPr>
              <w:pict>
                <v:shape id="_x0000_s1038" o:spid="_x0000_s1038" o:spt="75" type="#_x0000_t75" style="position:absolute;left:0pt;margin-left:2.95pt;margin-top:107.35pt;height:259.55pt;width:384.05pt;mso-wrap-distance-bottom:0pt;mso-wrap-distance-top:0pt;z-index:251662336;mso-width-relative:page;mso-height-relative:page;" o:ole="t" filled="f" o:preferrelative="t" stroked="f" coordsize="21600,21600">
                  <v:path/>
                  <v:fill on="f" focussize="0,0"/>
                  <v:stroke on="f" joinstyle="miter"/>
                  <v:imagedata r:id="rId17" o:title=""/>
                  <o:lock v:ext="edit" aspectratio="t"/>
                  <w10:wrap type="topAndBottom"/>
                </v:shape>
                <o:OLEObject Type="Embed" ProgID="Visio.Drawing.15" ShapeID="_x0000_s1038" DrawAspect="Content" ObjectID="_1468075730" r:id="rId16">
                  <o:LockedField>false</o:LockedField>
                </o:OLEObject>
              </w:pict>
            </w:r>
            <w:r>
              <w:rPr>
                <w:sz w:val="24"/>
                <w:szCs w:val="24"/>
              </w:rPr>
              <w:t>5）搅拌：骨料、粉料、水及添加剂按照设定的时间投入搅拌机，物料搅拌下使物料产生挤压、打磨、剪切、对流，从而进行剧烈的强制掺和，由搅拌机开门装置的气缸将门打开，由叶片将已搅拌好的混凝土推至运输车运往施工现场。</w:t>
            </w:r>
          </w:p>
          <w:p w14:paraId="02EEA6ED">
            <w:pPr>
              <w:pStyle w:val="76"/>
              <w:ind w:firstLine="2100" w:firstLineChars="1000"/>
              <w:rPr>
                <w:color w:val="auto"/>
              </w:rPr>
            </w:pPr>
          </w:p>
          <w:p w14:paraId="18867EFC">
            <w:pPr>
              <w:pStyle w:val="76"/>
              <w:ind w:firstLine="420"/>
              <w:jc w:val="center"/>
              <w:rPr>
                <w:color w:val="auto"/>
              </w:rPr>
            </w:pPr>
            <w:r>
              <w:rPr>
                <w:color w:val="auto"/>
              </w:rPr>
              <w:t xml:space="preserve">图2-7    </w:t>
            </w:r>
            <w:r>
              <w:rPr>
                <w:rFonts w:hint="eastAsia"/>
                <w:color w:val="auto"/>
              </w:rPr>
              <w:t>水泥</w:t>
            </w:r>
            <w:r>
              <w:rPr>
                <w:color w:val="auto"/>
              </w:rPr>
              <w:t>混凝土生产工艺流程及产污节点图</w:t>
            </w:r>
          </w:p>
          <w:p w14:paraId="7AC23574">
            <w:pPr>
              <w:pStyle w:val="5"/>
              <w:spacing w:line="460" w:lineRule="exact"/>
              <w:ind w:firstLine="482"/>
              <w:rPr>
                <w:color w:val="auto"/>
                <w:sz w:val="24"/>
              </w:rPr>
            </w:pPr>
            <w:r>
              <w:rPr>
                <w:color w:val="auto"/>
                <w:sz w:val="24"/>
              </w:rPr>
              <w:t>（4）钢筋加工及预制梁生产线工艺流程及产污环节</w:t>
            </w:r>
          </w:p>
          <w:p w14:paraId="0789A4EC">
            <w:pPr>
              <w:pStyle w:val="69"/>
              <w:spacing w:line="460" w:lineRule="exact"/>
              <w:ind w:firstLine="480" w:firstLineChars="200"/>
              <w:jc w:val="both"/>
              <w:rPr>
                <w:sz w:val="24"/>
                <w:szCs w:val="24"/>
              </w:rPr>
            </w:pPr>
            <w:r>
              <w:rPr>
                <w:sz w:val="24"/>
                <w:szCs w:val="24"/>
              </w:rPr>
              <w:t>切断：利用钢筋切割机将钢筋切断。该工序会产生废钢筋。</w:t>
            </w:r>
          </w:p>
          <w:p w14:paraId="468895ED">
            <w:pPr>
              <w:pStyle w:val="69"/>
              <w:spacing w:line="460" w:lineRule="exact"/>
              <w:ind w:firstLine="480" w:firstLineChars="200"/>
              <w:jc w:val="both"/>
              <w:rPr>
                <w:sz w:val="24"/>
                <w:szCs w:val="24"/>
              </w:rPr>
            </w:pPr>
            <w:r>
              <w:rPr>
                <w:sz w:val="24"/>
                <w:szCs w:val="24"/>
              </w:rPr>
              <w:t>折弯：利用弯曲机将需要折弯的一部分钢筋进行折弯处理。</w:t>
            </w:r>
          </w:p>
          <w:p w14:paraId="00EC74AD">
            <w:pPr>
              <w:pStyle w:val="69"/>
              <w:spacing w:line="460" w:lineRule="exact"/>
              <w:ind w:firstLine="480" w:firstLineChars="200"/>
              <w:jc w:val="both"/>
              <w:rPr>
                <w:sz w:val="24"/>
                <w:szCs w:val="24"/>
              </w:rPr>
            </w:pPr>
            <w:r>
              <w:rPr>
                <w:sz w:val="24"/>
                <w:szCs w:val="24"/>
              </w:rPr>
              <w:t>焊接：利用焊机将需要焊接在一起的一部分钢筋进行焊接处理，经过自动滚焊机拼接制成钢筋骨架。</w:t>
            </w:r>
          </w:p>
          <w:p w14:paraId="0A44C095">
            <w:pPr>
              <w:pStyle w:val="69"/>
              <w:spacing w:line="460" w:lineRule="exact"/>
              <w:ind w:firstLine="480" w:firstLineChars="200"/>
              <w:jc w:val="both"/>
              <w:rPr>
                <w:sz w:val="24"/>
                <w:szCs w:val="24"/>
              </w:rPr>
            </w:pPr>
            <w:r>
              <w:rPr>
                <w:sz w:val="24"/>
                <w:szCs w:val="24"/>
              </w:rPr>
              <w:t>浇筑：将已经制好的钢筋骨架放入模具内，然后将混凝土浇筑进钢筋骨架中。</w:t>
            </w:r>
          </w:p>
          <w:p w14:paraId="0A9CBC4C">
            <w:pPr>
              <w:pStyle w:val="69"/>
              <w:spacing w:line="460" w:lineRule="exact"/>
              <w:ind w:firstLine="480" w:firstLineChars="200"/>
              <w:jc w:val="both"/>
              <w:rPr>
                <w:sz w:val="24"/>
                <w:szCs w:val="24"/>
              </w:rPr>
            </w:pPr>
            <w:r>
              <w:rPr>
                <w:sz w:val="24"/>
                <w:szCs w:val="24"/>
              </w:rPr>
              <w:t>脱模：人工将模具从浇筑成型的产品中脱落下来，不使用脱模剂。</w:t>
            </w:r>
          </w:p>
          <w:p w14:paraId="39F05603">
            <w:pPr>
              <w:pStyle w:val="69"/>
              <w:spacing w:line="460" w:lineRule="exact"/>
              <w:ind w:firstLine="480" w:firstLineChars="200"/>
              <w:jc w:val="both"/>
              <w:rPr>
                <w:sz w:val="24"/>
                <w:szCs w:val="24"/>
              </w:rPr>
            </w:pPr>
            <w:r>
              <w:rPr>
                <w:sz w:val="24"/>
                <w:szCs w:val="24"/>
              </w:rPr>
              <w:t>养护：放在露天自然养护，同时不定期喷水保持一定的湿度使混凝土能够凝固，经过养护，在晒场上晾干即得到成品。未进入产品的养护用水，以水蒸气的形式蒸发进入大气环境，不产生废水。</w:t>
            </w:r>
          </w:p>
          <w:p w14:paraId="54207B3B">
            <w:pPr>
              <w:pStyle w:val="69"/>
              <w:spacing w:line="460" w:lineRule="exact"/>
              <w:ind w:firstLine="480" w:firstLineChars="200"/>
              <w:jc w:val="both"/>
              <w:rPr>
                <w:sz w:val="24"/>
                <w:szCs w:val="24"/>
              </w:rPr>
            </w:pPr>
            <w:r>
              <w:rPr>
                <w:sz w:val="24"/>
                <w:szCs w:val="24"/>
              </w:rPr>
              <w:t>检测：对混凝土强度、钢筋保护层进行压力、硬度检测。</w:t>
            </w:r>
          </w:p>
          <w:p w14:paraId="7D246930">
            <w:pPr>
              <w:pStyle w:val="69"/>
              <w:spacing w:line="360" w:lineRule="auto"/>
              <w:ind w:firstLine="420" w:firstLineChars="200"/>
              <w:jc w:val="both"/>
              <w:rPr>
                <w:sz w:val="24"/>
                <w:szCs w:val="24"/>
              </w:rPr>
            </w:pPr>
            <w:r>
              <w:object>
                <v:shape id="_x0000_i1028" o:spt="75" type="#_x0000_t75" style="height:145.25pt;width:350.0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31" r:id="rId18">
                  <o:LockedField>false</o:LockedField>
                </o:OLEObject>
              </w:object>
            </w:r>
          </w:p>
          <w:p w14:paraId="78E43FB5">
            <w:pPr>
              <w:pStyle w:val="76"/>
              <w:ind w:firstLine="1680" w:firstLineChars="800"/>
              <w:rPr>
                <w:color w:val="auto"/>
                <w:sz w:val="24"/>
              </w:rPr>
            </w:pPr>
            <w:r>
              <w:rPr>
                <w:color w:val="auto"/>
              </w:rPr>
              <w:t xml:space="preserve">图2-8   </w:t>
            </w:r>
            <w:r>
              <w:rPr>
                <w:rFonts w:hint="eastAsia"/>
                <w:color w:val="auto"/>
              </w:rPr>
              <w:t>钢筋加工及预制场工艺流程及产污节点</w:t>
            </w:r>
            <w:r>
              <w:rPr>
                <w:color w:val="auto"/>
              </w:rPr>
              <w:t>图</w:t>
            </w:r>
          </w:p>
          <w:p w14:paraId="676D0AE6">
            <w:pPr>
              <w:pStyle w:val="69"/>
              <w:spacing w:line="460" w:lineRule="exact"/>
              <w:ind w:firstLine="480" w:firstLineChars="200"/>
              <w:jc w:val="both"/>
              <w:rPr>
                <w:sz w:val="24"/>
                <w:szCs w:val="24"/>
              </w:rPr>
            </w:pPr>
            <w:r>
              <w:rPr>
                <w:sz w:val="24"/>
                <w:szCs w:val="24"/>
              </w:rPr>
              <w:t>项目运营期</w:t>
            </w:r>
            <w:r>
              <w:rPr>
                <w:rFonts w:hint="eastAsia"/>
                <w:sz w:val="24"/>
                <w:szCs w:val="24"/>
              </w:rPr>
              <w:t>主要产污工序</w:t>
            </w:r>
            <w:r>
              <w:rPr>
                <w:sz w:val="24"/>
                <w:szCs w:val="24"/>
              </w:rPr>
              <w:t>见下表</w:t>
            </w:r>
            <w:r>
              <w:rPr>
                <w:rFonts w:hint="eastAsia"/>
                <w:sz w:val="24"/>
                <w:szCs w:val="24"/>
              </w:rPr>
              <w:t>2</w:t>
            </w:r>
            <w:r>
              <w:rPr>
                <w:sz w:val="24"/>
                <w:szCs w:val="24"/>
              </w:rPr>
              <w:t>-9</w:t>
            </w:r>
            <w:r>
              <w:rPr>
                <w:rFonts w:hint="eastAsia"/>
                <w:sz w:val="24"/>
                <w:szCs w:val="24"/>
              </w:rPr>
              <w:t>。</w:t>
            </w:r>
          </w:p>
          <w:p w14:paraId="5D47F50A">
            <w:pPr>
              <w:pStyle w:val="76"/>
              <w:ind w:firstLine="420"/>
              <w:rPr>
                <w:color w:val="auto"/>
              </w:rPr>
            </w:pPr>
            <w:r>
              <w:rPr>
                <w:color w:val="auto"/>
              </w:rPr>
              <w:t xml:space="preserve">表2-9                </w:t>
            </w:r>
            <w:r>
              <w:rPr>
                <w:rFonts w:hint="eastAsia"/>
                <w:color w:val="auto"/>
              </w:rPr>
              <w:t>运营期主要产污工序</w:t>
            </w:r>
            <w:r>
              <w:rPr>
                <w:color w:val="auto"/>
              </w:rPr>
              <w:t>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33"/>
              <w:gridCol w:w="2473"/>
              <w:gridCol w:w="1201"/>
              <w:gridCol w:w="2065"/>
            </w:tblGrid>
            <w:tr w14:paraId="5C2635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14:paraId="2C907885">
                  <w:pPr>
                    <w:pStyle w:val="63"/>
                  </w:pPr>
                  <w:r>
                    <w:t>类别</w:t>
                  </w:r>
                </w:p>
              </w:tc>
              <w:tc>
                <w:tcPr>
                  <w:tcW w:w="2570" w:type="pct"/>
                  <w:gridSpan w:val="2"/>
                  <w:vAlign w:val="center"/>
                </w:tcPr>
                <w:p w14:paraId="3D6C51C5">
                  <w:pPr>
                    <w:pStyle w:val="63"/>
                  </w:pPr>
                  <w:r>
                    <w:t>生产工序</w:t>
                  </w:r>
                </w:p>
              </w:tc>
              <w:tc>
                <w:tcPr>
                  <w:tcW w:w="734" w:type="pct"/>
                  <w:vAlign w:val="center"/>
                </w:tcPr>
                <w:p w14:paraId="7F89C908">
                  <w:pPr>
                    <w:pStyle w:val="63"/>
                  </w:pPr>
                  <w:r>
                    <w:t>主要污染因子</w:t>
                  </w:r>
                </w:p>
              </w:tc>
              <w:tc>
                <w:tcPr>
                  <w:tcW w:w="1262" w:type="pct"/>
                  <w:vAlign w:val="center"/>
                </w:tcPr>
                <w:p w14:paraId="63F22945">
                  <w:pPr>
                    <w:pStyle w:val="63"/>
                  </w:pPr>
                  <w:r>
                    <w:t>备注</w:t>
                  </w:r>
                </w:p>
              </w:tc>
            </w:tr>
            <w:tr w14:paraId="1FA14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restart"/>
                  <w:vAlign w:val="center"/>
                </w:tcPr>
                <w:p w14:paraId="40E04061">
                  <w:pPr>
                    <w:pStyle w:val="63"/>
                  </w:pPr>
                  <w:r>
                    <w:t>废气</w:t>
                  </w:r>
                </w:p>
              </w:tc>
              <w:tc>
                <w:tcPr>
                  <w:tcW w:w="1059" w:type="pct"/>
                  <w:vMerge w:val="restart"/>
                  <w:vAlign w:val="center"/>
                </w:tcPr>
                <w:p w14:paraId="761295E3">
                  <w:pPr>
                    <w:pStyle w:val="63"/>
                  </w:pPr>
                  <w:r>
                    <w:t>水泥稳定土生产线</w:t>
                  </w:r>
                </w:p>
              </w:tc>
              <w:tc>
                <w:tcPr>
                  <w:tcW w:w="1511" w:type="pct"/>
                  <w:vAlign w:val="center"/>
                </w:tcPr>
                <w:p w14:paraId="420D1EB3">
                  <w:pPr>
                    <w:pStyle w:val="63"/>
                  </w:pPr>
                  <w:r>
                    <w:t>粉煤灰筒仓粉尘</w:t>
                  </w:r>
                </w:p>
              </w:tc>
              <w:tc>
                <w:tcPr>
                  <w:tcW w:w="734" w:type="pct"/>
                  <w:vAlign w:val="center"/>
                </w:tcPr>
                <w:p w14:paraId="0C5F8EF9">
                  <w:pPr>
                    <w:pStyle w:val="63"/>
                  </w:pPr>
                  <w:r>
                    <w:t>颗粒物</w:t>
                  </w:r>
                </w:p>
              </w:tc>
              <w:tc>
                <w:tcPr>
                  <w:tcW w:w="1262" w:type="pct"/>
                  <w:vAlign w:val="center"/>
                </w:tcPr>
                <w:p w14:paraId="48FCA70C">
                  <w:pPr>
                    <w:pStyle w:val="63"/>
                  </w:pPr>
                  <w:r>
                    <w:rPr>
                      <w:rFonts w:hint="eastAsia"/>
                    </w:rPr>
                    <w:t>无组织排放</w:t>
                  </w:r>
                </w:p>
              </w:tc>
            </w:tr>
            <w:tr w14:paraId="34F07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8423F65">
                  <w:pPr>
                    <w:pStyle w:val="63"/>
                  </w:pPr>
                </w:p>
              </w:tc>
              <w:tc>
                <w:tcPr>
                  <w:tcW w:w="1059" w:type="pct"/>
                  <w:vMerge w:val="continue"/>
                  <w:vAlign w:val="center"/>
                </w:tcPr>
                <w:p w14:paraId="7086C8C0">
                  <w:pPr>
                    <w:pStyle w:val="63"/>
                  </w:pPr>
                </w:p>
              </w:tc>
              <w:tc>
                <w:tcPr>
                  <w:tcW w:w="1511" w:type="pct"/>
                  <w:vAlign w:val="center"/>
                </w:tcPr>
                <w:p w14:paraId="7DD05D64">
                  <w:pPr>
                    <w:pStyle w:val="63"/>
                  </w:pPr>
                  <w:r>
                    <w:t>水泥筒仓粉尘</w:t>
                  </w:r>
                </w:p>
              </w:tc>
              <w:tc>
                <w:tcPr>
                  <w:tcW w:w="734" w:type="pct"/>
                  <w:vAlign w:val="center"/>
                </w:tcPr>
                <w:p w14:paraId="3D9BB80B">
                  <w:pPr>
                    <w:pStyle w:val="63"/>
                  </w:pPr>
                  <w:r>
                    <w:t>颗粒物</w:t>
                  </w:r>
                </w:p>
              </w:tc>
              <w:tc>
                <w:tcPr>
                  <w:tcW w:w="1262" w:type="pct"/>
                  <w:vAlign w:val="center"/>
                </w:tcPr>
                <w:p w14:paraId="19F05B6F">
                  <w:pPr>
                    <w:pStyle w:val="63"/>
                  </w:pPr>
                  <w:r>
                    <w:rPr>
                      <w:rFonts w:hint="eastAsia"/>
                    </w:rPr>
                    <w:t>无组织排放</w:t>
                  </w:r>
                </w:p>
              </w:tc>
            </w:tr>
            <w:tr w14:paraId="69B2D8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8405CA7">
                  <w:pPr>
                    <w:pStyle w:val="63"/>
                  </w:pPr>
                </w:p>
              </w:tc>
              <w:tc>
                <w:tcPr>
                  <w:tcW w:w="1059" w:type="pct"/>
                  <w:vMerge w:val="continue"/>
                  <w:vAlign w:val="center"/>
                </w:tcPr>
                <w:p w14:paraId="282F2C84">
                  <w:pPr>
                    <w:pStyle w:val="63"/>
                  </w:pPr>
                </w:p>
              </w:tc>
              <w:tc>
                <w:tcPr>
                  <w:tcW w:w="1511" w:type="pct"/>
                  <w:vAlign w:val="center"/>
                </w:tcPr>
                <w:p w14:paraId="34CB801F">
                  <w:pPr>
                    <w:pStyle w:val="63"/>
                  </w:pPr>
                  <w:r>
                    <w:t>搅拌粉尘</w:t>
                  </w:r>
                </w:p>
              </w:tc>
              <w:tc>
                <w:tcPr>
                  <w:tcW w:w="734" w:type="pct"/>
                  <w:vAlign w:val="center"/>
                </w:tcPr>
                <w:p w14:paraId="7DFEF9A1">
                  <w:pPr>
                    <w:pStyle w:val="63"/>
                  </w:pPr>
                  <w:r>
                    <w:t>颗粒物</w:t>
                  </w:r>
                </w:p>
              </w:tc>
              <w:tc>
                <w:tcPr>
                  <w:tcW w:w="1262" w:type="pct"/>
                  <w:vAlign w:val="center"/>
                </w:tcPr>
                <w:p w14:paraId="39BB838F">
                  <w:pPr>
                    <w:pStyle w:val="63"/>
                  </w:pPr>
                  <w:r>
                    <w:rPr>
                      <w:rFonts w:hint="eastAsia"/>
                    </w:rPr>
                    <w:t>有组织排放和无组织排放</w:t>
                  </w:r>
                </w:p>
              </w:tc>
            </w:tr>
            <w:tr w14:paraId="330198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D22882E">
                  <w:pPr>
                    <w:pStyle w:val="63"/>
                  </w:pPr>
                </w:p>
              </w:tc>
              <w:tc>
                <w:tcPr>
                  <w:tcW w:w="1059" w:type="pct"/>
                  <w:vMerge w:val="restart"/>
                  <w:vAlign w:val="center"/>
                </w:tcPr>
                <w:p w14:paraId="00CF08E2">
                  <w:pPr>
                    <w:pStyle w:val="63"/>
                  </w:pPr>
                  <w:r>
                    <w:t>沥青混凝土生产线</w:t>
                  </w:r>
                </w:p>
              </w:tc>
              <w:tc>
                <w:tcPr>
                  <w:tcW w:w="1511" w:type="pct"/>
                  <w:vAlign w:val="center"/>
                </w:tcPr>
                <w:p w14:paraId="2194741C">
                  <w:pPr>
                    <w:pStyle w:val="63"/>
                  </w:pPr>
                  <w:r>
                    <w:rPr>
                      <w:rFonts w:hint="eastAsia"/>
                    </w:rPr>
                    <w:t>骨料烘干废气</w:t>
                  </w:r>
                </w:p>
              </w:tc>
              <w:tc>
                <w:tcPr>
                  <w:tcW w:w="734" w:type="pct"/>
                  <w:vAlign w:val="center"/>
                </w:tcPr>
                <w:p w14:paraId="57371DE1">
                  <w:pPr>
                    <w:pStyle w:val="63"/>
                  </w:pPr>
                  <w:r>
                    <w:rPr>
                      <w:rFonts w:hint="eastAsia"/>
                    </w:rPr>
                    <w:t>颗粒物、氮氧化物</w:t>
                  </w:r>
                </w:p>
              </w:tc>
              <w:tc>
                <w:tcPr>
                  <w:tcW w:w="1262" w:type="pct"/>
                  <w:vAlign w:val="center"/>
                </w:tcPr>
                <w:p w14:paraId="78821F8F">
                  <w:pPr>
                    <w:pStyle w:val="63"/>
                  </w:pPr>
                  <w:r>
                    <w:rPr>
                      <w:rFonts w:hint="eastAsia"/>
                    </w:rPr>
                    <w:t>有组织排放</w:t>
                  </w:r>
                </w:p>
              </w:tc>
            </w:tr>
            <w:tr w14:paraId="73A498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5F4FC105">
                  <w:pPr>
                    <w:pStyle w:val="63"/>
                  </w:pPr>
                </w:p>
              </w:tc>
              <w:tc>
                <w:tcPr>
                  <w:tcW w:w="1059" w:type="pct"/>
                  <w:vMerge w:val="continue"/>
                  <w:vAlign w:val="center"/>
                </w:tcPr>
                <w:p w14:paraId="11ACC0C6">
                  <w:pPr>
                    <w:pStyle w:val="63"/>
                  </w:pPr>
                </w:p>
              </w:tc>
              <w:tc>
                <w:tcPr>
                  <w:tcW w:w="1511" w:type="pct"/>
                  <w:vAlign w:val="center"/>
                </w:tcPr>
                <w:p w14:paraId="2B6C2B3F">
                  <w:pPr>
                    <w:pStyle w:val="63"/>
                  </w:pPr>
                  <w:r>
                    <w:t>矿粉筒仓粉尘</w:t>
                  </w:r>
                </w:p>
              </w:tc>
              <w:tc>
                <w:tcPr>
                  <w:tcW w:w="734" w:type="pct"/>
                  <w:vAlign w:val="center"/>
                </w:tcPr>
                <w:p w14:paraId="6FC3D604">
                  <w:pPr>
                    <w:pStyle w:val="63"/>
                  </w:pPr>
                  <w:r>
                    <w:t>颗粒物</w:t>
                  </w:r>
                </w:p>
              </w:tc>
              <w:tc>
                <w:tcPr>
                  <w:tcW w:w="1262" w:type="pct"/>
                  <w:vAlign w:val="center"/>
                </w:tcPr>
                <w:p w14:paraId="46F65841">
                  <w:pPr>
                    <w:pStyle w:val="63"/>
                  </w:pPr>
                  <w:r>
                    <w:rPr>
                      <w:rFonts w:hint="eastAsia"/>
                    </w:rPr>
                    <w:t>无组织排放</w:t>
                  </w:r>
                </w:p>
              </w:tc>
            </w:tr>
            <w:tr w14:paraId="4E08E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C8496C8">
                  <w:pPr>
                    <w:pStyle w:val="63"/>
                  </w:pPr>
                </w:p>
              </w:tc>
              <w:tc>
                <w:tcPr>
                  <w:tcW w:w="1059" w:type="pct"/>
                  <w:vMerge w:val="continue"/>
                  <w:vAlign w:val="center"/>
                </w:tcPr>
                <w:p w14:paraId="55991D8B">
                  <w:pPr>
                    <w:pStyle w:val="63"/>
                  </w:pPr>
                </w:p>
              </w:tc>
              <w:tc>
                <w:tcPr>
                  <w:tcW w:w="1511" w:type="pct"/>
                  <w:vAlign w:val="center"/>
                </w:tcPr>
                <w:p w14:paraId="6E0F41BF">
                  <w:pPr>
                    <w:pStyle w:val="63"/>
                  </w:pPr>
                  <w:r>
                    <w:rPr>
                      <w:rFonts w:hint="eastAsia"/>
                    </w:rPr>
                    <w:t>沥青加热废气及搅拌废气</w:t>
                  </w:r>
                </w:p>
              </w:tc>
              <w:tc>
                <w:tcPr>
                  <w:tcW w:w="734" w:type="pct"/>
                  <w:vAlign w:val="center"/>
                </w:tcPr>
                <w:p w14:paraId="5A5A3DF0">
                  <w:pPr>
                    <w:pStyle w:val="63"/>
                  </w:pPr>
                  <w:r>
                    <w:t>非甲烷总烃、沥青烟、</w:t>
                  </w:r>
                  <w:r>
                    <w:rPr>
                      <w:rFonts w:hint="eastAsia"/>
                    </w:rPr>
                    <w:t>苯并[a]芘</w:t>
                  </w:r>
                </w:p>
              </w:tc>
              <w:tc>
                <w:tcPr>
                  <w:tcW w:w="1262" w:type="pct"/>
                  <w:vAlign w:val="center"/>
                </w:tcPr>
                <w:p w14:paraId="5306FC46">
                  <w:pPr>
                    <w:pStyle w:val="63"/>
                  </w:pPr>
                  <w:r>
                    <w:rPr>
                      <w:rFonts w:hint="eastAsia"/>
                    </w:rPr>
                    <w:t>有组织排放和无组织排放</w:t>
                  </w:r>
                </w:p>
              </w:tc>
            </w:tr>
            <w:tr w14:paraId="3F011C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475F7017">
                  <w:pPr>
                    <w:pStyle w:val="63"/>
                  </w:pPr>
                </w:p>
              </w:tc>
              <w:tc>
                <w:tcPr>
                  <w:tcW w:w="1059" w:type="pct"/>
                  <w:vMerge w:val="continue"/>
                  <w:vAlign w:val="center"/>
                </w:tcPr>
                <w:p w14:paraId="335BFBD2">
                  <w:pPr>
                    <w:pStyle w:val="63"/>
                  </w:pPr>
                </w:p>
              </w:tc>
              <w:tc>
                <w:tcPr>
                  <w:tcW w:w="1511" w:type="pct"/>
                  <w:vAlign w:val="center"/>
                </w:tcPr>
                <w:p w14:paraId="6AD87C7B">
                  <w:pPr>
                    <w:pStyle w:val="63"/>
                  </w:pPr>
                  <w:r>
                    <w:rPr>
                      <w:rFonts w:hint="eastAsia"/>
                    </w:rPr>
                    <w:t>沥青混凝土生产线导热油加热醇醚燃烧废气</w:t>
                  </w:r>
                </w:p>
              </w:tc>
              <w:tc>
                <w:tcPr>
                  <w:tcW w:w="734" w:type="pct"/>
                  <w:vAlign w:val="center"/>
                </w:tcPr>
                <w:p w14:paraId="0E2C68AF">
                  <w:pPr>
                    <w:pStyle w:val="63"/>
                  </w:pPr>
                  <w:r>
                    <w:rPr>
                      <w:rFonts w:hint="eastAsia"/>
                    </w:rPr>
                    <w:t>颗粒物、氮氧化物</w:t>
                  </w:r>
                </w:p>
              </w:tc>
              <w:tc>
                <w:tcPr>
                  <w:tcW w:w="1262" w:type="pct"/>
                  <w:vAlign w:val="center"/>
                </w:tcPr>
                <w:p w14:paraId="58B8A790">
                  <w:pPr>
                    <w:pStyle w:val="63"/>
                  </w:pPr>
                  <w:r>
                    <w:rPr>
                      <w:rFonts w:hint="eastAsia"/>
                    </w:rPr>
                    <w:t>有组织排放</w:t>
                  </w:r>
                </w:p>
              </w:tc>
            </w:tr>
            <w:tr w14:paraId="75707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28B5D8C3">
                  <w:pPr>
                    <w:pStyle w:val="63"/>
                  </w:pPr>
                </w:p>
              </w:tc>
              <w:tc>
                <w:tcPr>
                  <w:tcW w:w="1059" w:type="pct"/>
                  <w:vMerge w:val="restart"/>
                  <w:vAlign w:val="center"/>
                </w:tcPr>
                <w:p w14:paraId="6349885B">
                  <w:pPr>
                    <w:pStyle w:val="63"/>
                  </w:pPr>
                  <w:r>
                    <w:rPr>
                      <w:rFonts w:hint="eastAsia"/>
                    </w:rPr>
                    <w:t>水泥混凝土生产线</w:t>
                  </w:r>
                </w:p>
              </w:tc>
              <w:tc>
                <w:tcPr>
                  <w:tcW w:w="1511" w:type="pct"/>
                  <w:vAlign w:val="center"/>
                </w:tcPr>
                <w:p w14:paraId="1700EAE5">
                  <w:pPr>
                    <w:jc w:val="center"/>
                    <w:rPr>
                      <w:sz w:val="21"/>
                      <w:szCs w:val="21"/>
                    </w:rPr>
                  </w:pPr>
                  <w:r>
                    <w:rPr>
                      <w:sz w:val="21"/>
                      <w:szCs w:val="21"/>
                    </w:rPr>
                    <w:t>粉煤灰筒仓呼吸粉尘</w:t>
                  </w:r>
                </w:p>
              </w:tc>
              <w:tc>
                <w:tcPr>
                  <w:tcW w:w="734" w:type="pct"/>
                  <w:vAlign w:val="center"/>
                </w:tcPr>
                <w:p w14:paraId="194012E2">
                  <w:pPr>
                    <w:jc w:val="center"/>
                    <w:rPr>
                      <w:sz w:val="21"/>
                      <w:szCs w:val="21"/>
                    </w:rPr>
                  </w:pPr>
                  <w:r>
                    <w:rPr>
                      <w:sz w:val="21"/>
                      <w:szCs w:val="21"/>
                    </w:rPr>
                    <w:t>颗粒物</w:t>
                  </w:r>
                </w:p>
              </w:tc>
              <w:tc>
                <w:tcPr>
                  <w:tcW w:w="1262" w:type="pct"/>
                  <w:vAlign w:val="center"/>
                </w:tcPr>
                <w:p w14:paraId="4A212AB6">
                  <w:pPr>
                    <w:pStyle w:val="63"/>
                  </w:pPr>
                  <w:r>
                    <w:rPr>
                      <w:rFonts w:hint="eastAsia"/>
                    </w:rPr>
                    <w:t>无组织排放</w:t>
                  </w:r>
                </w:p>
              </w:tc>
            </w:tr>
            <w:tr w14:paraId="56BC2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762B05FD">
                  <w:pPr>
                    <w:pStyle w:val="63"/>
                  </w:pPr>
                </w:p>
              </w:tc>
              <w:tc>
                <w:tcPr>
                  <w:tcW w:w="1059" w:type="pct"/>
                  <w:vMerge w:val="continue"/>
                  <w:vAlign w:val="center"/>
                </w:tcPr>
                <w:p w14:paraId="6B91AE86">
                  <w:pPr>
                    <w:pStyle w:val="63"/>
                  </w:pPr>
                </w:p>
              </w:tc>
              <w:tc>
                <w:tcPr>
                  <w:tcW w:w="1511" w:type="pct"/>
                  <w:vAlign w:val="center"/>
                </w:tcPr>
                <w:p w14:paraId="4EE12F02">
                  <w:pPr>
                    <w:jc w:val="center"/>
                    <w:rPr>
                      <w:sz w:val="21"/>
                      <w:szCs w:val="21"/>
                    </w:rPr>
                  </w:pPr>
                  <w:r>
                    <w:rPr>
                      <w:sz w:val="21"/>
                      <w:szCs w:val="21"/>
                    </w:rPr>
                    <w:t>水泥筒仓呼吸粉尘</w:t>
                  </w:r>
                </w:p>
              </w:tc>
              <w:tc>
                <w:tcPr>
                  <w:tcW w:w="734" w:type="pct"/>
                  <w:vAlign w:val="center"/>
                </w:tcPr>
                <w:p w14:paraId="2FD541F5">
                  <w:pPr>
                    <w:jc w:val="center"/>
                    <w:rPr>
                      <w:sz w:val="21"/>
                      <w:szCs w:val="21"/>
                    </w:rPr>
                  </w:pPr>
                  <w:r>
                    <w:rPr>
                      <w:sz w:val="21"/>
                      <w:szCs w:val="21"/>
                    </w:rPr>
                    <w:t>颗粒物</w:t>
                  </w:r>
                </w:p>
              </w:tc>
              <w:tc>
                <w:tcPr>
                  <w:tcW w:w="1262" w:type="pct"/>
                  <w:vAlign w:val="center"/>
                </w:tcPr>
                <w:p w14:paraId="235032DD">
                  <w:pPr>
                    <w:pStyle w:val="63"/>
                  </w:pPr>
                  <w:r>
                    <w:rPr>
                      <w:rFonts w:hint="eastAsia"/>
                    </w:rPr>
                    <w:t>无组织排放</w:t>
                  </w:r>
                </w:p>
              </w:tc>
            </w:tr>
            <w:tr w14:paraId="0350AD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A36BA25">
                  <w:pPr>
                    <w:pStyle w:val="63"/>
                  </w:pPr>
                </w:p>
              </w:tc>
              <w:tc>
                <w:tcPr>
                  <w:tcW w:w="1059" w:type="pct"/>
                  <w:vMerge w:val="continue"/>
                  <w:vAlign w:val="center"/>
                </w:tcPr>
                <w:p w14:paraId="708FDE67">
                  <w:pPr>
                    <w:pStyle w:val="63"/>
                  </w:pPr>
                </w:p>
              </w:tc>
              <w:tc>
                <w:tcPr>
                  <w:tcW w:w="1511" w:type="pct"/>
                  <w:vAlign w:val="center"/>
                </w:tcPr>
                <w:p w14:paraId="5A5401C3">
                  <w:pPr>
                    <w:jc w:val="center"/>
                    <w:rPr>
                      <w:sz w:val="21"/>
                      <w:szCs w:val="21"/>
                    </w:rPr>
                  </w:pPr>
                  <w:r>
                    <w:rPr>
                      <w:sz w:val="21"/>
                      <w:szCs w:val="21"/>
                    </w:rPr>
                    <w:t>搅拌粉尘</w:t>
                  </w:r>
                </w:p>
              </w:tc>
              <w:tc>
                <w:tcPr>
                  <w:tcW w:w="734" w:type="pct"/>
                  <w:vAlign w:val="center"/>
                </w:tcPr>
                <w:p w14:paraId="63D488DA">
                  <w:pPr>
                    <w:jc w:val="center"/>
                    <w:rPr>
                      <w:sz w:val="21"/>
                      <w:szCs w:val="21"/>
                    </w:rPr>
                  </w:pPr>
                  <w:r>
                    <w:rPr>
                      <w:sz w:val="21"/>
                      <w:szCs w:val="21"/>
                    </w:rPr>
                    <w:t>颗粒物</w:t>
                  </w:r>
                </w:p>
              </w:tc>
              <w:tc>
                <w:tcPr>
                  <w:tcW w:w="1262" w:type="pct"/>
                  <w:vAlign w:val="center"/>
                </w:tcPr>
                <w:p w14:paraId="6B930C6D">
                  <w:pPr>
                    <w:pStyle w:val="63"/>
                  </w:pPr>
                  <w:r>
                    <w:rPr>
                      <w:rFonts w:hint="eastAsia"/>
                    </w:rPr>
                    <w:t>有组织排放和无组织排放</w:t>
                  </w:r>
                </w:p>
              </w:tc>
            </w:tr>
            <w:tr w14:paraId="1778D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49269E34">
                  <w:pPr>
                    <w:pStyle w:val="63"/>
                  </w:pPr>
                </w:p>
              </w:tc>
              <w:tc>
                <w:tcPr>
                  <w:tcW w:w="2570" w:type="pct"/>
                  <w:gridSpan w:val="2"/>
                  <w:vAlign w:val="center"/>
                </w:tcPr>
                <w:p w14:paraId="6990099B">
                  <w:pPr>
                    <w:pStyle w:val="63"/>
                  </w:pPr>
                  <w:r>
                    <w:rPr>
                      <w:rFonts w:hint="eastAsia"/>
                    </w:rPr>
                    <w:t>物料</w:t>
                  </w:r>
                  <w:r>
                    <w:t>输送粉尘</w:t>
                  </w:r>
                </w:p>
              </w:tc>
              <w:tc>
                <w:tcPr>
                  <w:tcW w:w="734" w:type="pct"/>
                  <w:vAlign w:val="center"/>
                </w:tcPr>
                <w:p w14:paraId="55CD728C">
                  <w:pPr>
                    <w:pStyle w:val="63"/>
                  </w:pPr>
                  <w:r>
                    <w:t>颗粒物</w:t>
                  </w:r>
                </w:p>
              </w:tc>
              <w:tc>
                <w:tcPr>
                  <w:tcW w:w="1262" w:type="pct"/>
                  <w:vMerge w:val="restart"/>
                  <w:vAlign w:val="center"/>
                </w:tcPr>
                <w:p w14:paraId="45B04CA3">
                  <w:pPr>
                    <w:pStyle w:val="63"/>
                  </w:pPr>
                  <w:r>
                    <w:rPr>
                      <w:rFonts w:hint="eastAsia"/>
                    </w:rPr>
                    <w:t>无组织排放</w:t>
                  </w:r>
                </w:p>
              </w:tc>
            </w:tr>
            <w:tr w14:paraId="510D3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1135DE15">
                  <w:pPr>
                    <w:pStyle w:val="63"/>
                  </w:pPr>
                </w:p>
              </w:tc>
              <w:tc>
                <w:tcPr>
                  <w:tcW w:w="2570" w:type="pct"/>
                  <w:gridSpan w:val="2"/>
                  <w:vAlign w:val="center"/>
                </w:tcPr>
                <w:p w14:paraId="5A9592CF">
                  <w:pPr>
                    <w:pStyle w:val="63"/>
                  </w:pPr>
                  <w:r>
                    <w:rPr>
                      <w:rFonts w:hint="eastAsia"/>
                    </w:rPr>
                    <w:t>切割废气</w:t>
                  </w:r>
                </w:p>
              </w:tc>
              <w:tc>
                <w:tcPr>
                  <w:tcW w:w="734" w:type="pct"/>
                  <w:vAlign w:val="center"/>
                </w:tcPr>
                <w:p w14:paraId="372DFE78">
                  <w:pPr>
                    <w:pStyle w:val="63"/>
                  </w:pPr>
                  <w:r>
                    <w:rPr>
                      <w:rFonts w:hint="eastAsia"/>
                    </w:rPr>
                    <w:t>颗粒物</w:t>
                  </w:r>
                </w:p>
              </w:tc>
              <w:tc>
                <w:tcPr>
                  <w:tcW w:w="1262" w:type="pct"/>
                  <w:vMerge w:val="continue"/>
                  <w:vAlign w:val="center"/>
                </w:tcPr>
                <w:p w14:paraId="7A881150">
                  <w:pPr>
                    <w:pStyle w:val="63"/>
                  </w:pPr>
                </w:p>
              </w:tc>
            </w:tr>
            <w:tr w14:paraId="1034E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02A232DE">
                  <w:pPr>
                    <w:pStyle w:val="63"/>
                  </w:pPr>
                </w:p>
              </w:tc>
              <w:tc>
                <w:tcPr>
                  <w:tcW w:w="2570" w:type="pct"/>
                  <w:gridSpan w:val="2"/>
                  <w:vAlign w:val="center"/>
                </w:tcPr>
                <w:p w14:paraId="23861144">
                  <w:pPr>
                    <w:pStyle w:val="63"/>
                  </w:pPr>
                  <w:r>
                    <w:rPr>
                      <w:rFonts w:hint="eastAsia"/>
                    </w:rPr>
                    <w:t>焊接烟尘</w:t>
                  </w:r>
                </w:p>
              </w:tc>
              <w:tc>
                <w:tcPr>
                  <w:tcW w:w="734" w:type="pct"/>
                  <w:vAlign w:val="center"/>
                </w:tcPr>
                <w:p w14:paraId="69513465">
                  <w:pPr>
                    <w:pStyle w:val="63"/>
                  </w:pPr>
                  <w:r>
                    <w:rPr>
                      <w:rFonts w:hint="eastAsia"/>
                    </w:rPr>
                    <w:t>颗粒物</w:t>
                  </w:r>
                </w:p>
              </w:tc>
              <w:tc>
                <w:tcPr>
                  <w:tcW w:w="1262" w:type="pct"/>
                  <w:vMerge w:val="continue"/>
                  <w:vAlign w:val="center"/>
                </w:tcPr>
                <w:p w14:paraId="6B53FD9A">
                  <w:pPr>
                    <w:pStyle w:val="63"/>
                  </w:pPr>
                </w:p>
              </w:tc>
            </w:tr>
            <w:tr w14:paraId="6CCF60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57A4BD62">
                  <w:pPr>
                    <w:pStyle w:val="63"/>
                  </w:pPr>
                </w:p>
              </w:tc>
              <w:tc>
                <w:tcPr>
                  <w:tcW w:w="2570" w:type="pct"/>
                  <w:gridSpan w:val="2"/>
                  <w:vAlign w:val="center"/>
                </w:tcPr>
                <w:p w14:paraId="66022CAB">
                  <w:pPr>
                    <w:pStyle w:val="63"/>
                  </w:pPr>
                  <w:r>
                    <w:rPr>
                      <w:rFonts w:hint="eastAsia"/>
                    </w:rPr>
                    <w:t>堆场及装卸扬尘</w:t>
                  </w:r>
                </w:p>
              </w:tc>
              <w:tc>
                <w:tcPr>
                  <w:tcW w:w="734" w:type="pct"/>
                  <w:vAlign w:val="center"/>
                </w:tcPr>
                <w:p w14:paraId="7C7894AD">
                  <w:pPr>
                    <w:pStyle w:val="63"/>
                  </w:pPr>
                  <w:r>
                    <w:rPr>
                      <w:rFonts w:hint="eastAsia"/>
                    </w:rPr>
                    <w:t>颗粒物</w:t>
                  </w:r>
                </w:p>
              </w:tc>
              <w:tc>
                <w:tcPr>
                  <w:tcW w:w="1262" w:type="pct"/>
                  <w:vMerge w:val="continue"/>
                  <w:vAlign w:val="center"/>
                </w:tcPr>
                <w:p w14:paraId="38ECBB04">
                  <w:pPr>
                    <w:pStyle w:val="63"/>
                  </w:pPr>
                </w:p>
              </w:tc>
            </w:tr>
            <w:tr w14:paraId="5AEC57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4" w:type="pct"/>
                  <w:vMerge w:val="continue"/>
                  <w:vAlign w:val="center"/>
                </w:tcPr>
                <w:p w14:paraId="6AAA2C89">
                  <w:pPr>
                    <w:pStyle w:val="63"/>
                  </w:pPr>
                </w:p>
              </w:tc>
              <w:tc>
                <w:tcPr>
                  <w:tcW w:w="2570" w:type="pct"/>
                  <w:gridSpan w:val="2"/>
                  <w:vAlign w:val="center"/>
                </w:tcPr>
                <w:p w14:paraId="1D7B83F9">
                  <w:pPr>
                    <w:pStyle w:val="63"/>
                  </w:pPr>
                  <w:r>
                    <w:t>厂区道路运输粉尘</w:t>
                  </w:r>
                </w:p>
              </w:tc>
              <w:tc>
                <w:tcPr>
                  <w:tcW w:w="734" w:type="pct"/>
                  <w:vAlign w:val="center"/>
                </w:tcPr>
                <w:p w14:paraId="2682B921">
                  <w:pPr>
                    <w:pStyle w:val="63"/>
                  </w:pPr>
                  <w:r>
                    <w:rPr>
                      <w:rFonts w:hint="eastAsia"/>
                    </w:rPr>
                    <w:t>颗粒物</w:t>
                  </w:r>
                </w:p>
              </w:tc>
              <w:tc>
                <w:tcPr>
                  <w:tcW w:w="1262" w:type="pct"/>
                  <w:vMerge w:val="continue"/>
                  <w:vAlign w:val="center"/>
                </w:tcPr>
                <w:p w14:paraId="00050062">
                  <w:pPr>
                    <w:pStyle w:val="63"/>
                  </w:pPr>
                </w:p>
              </w:tc>
            </w:tr>
            <w:tr w14:paraId="1AC9D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4" w:type="pct"/>
                  <w:vMerge w:val="restart"/>
                  <w:vAlign w:val="center"/>
                </w:tcPr>
                <w:p w14:paraId="37E43BFC">
                  <w:pPr>
                    <w:pStyle w:val="63"/>
                  </w:pPr>
                  <w:r>
                    <w:t>废水</w:t>
                  </w:r>
                </w:p>
              </w:tc>
              <w:tc>
                <w:tcPr>
                  <w:tcW w:w="2570" w:type="pct"/>
                  <w:gridSpan w:val="2"/>
                  <w:vAlign w:val="center"/>
                </w:tcPr>
                <w:p w14:paraId="49DE0C63">
                  <w:pPr>
                    <w:pStyle w:val="63"/>
                  </w:pPr>
                  <w:r>
                    <w:t>冲洗废水</w:t>
                  </w:r>
                </w:p>
              </w:tc>
              <w:tc>
                <w:tcPr>
                  <w:tcW w:w="734" w:type="pct"/>
                  <w:vAlign w:val="center"/>
                </w:tcPr>
                <w:p w14:paraId="668E03A2">
                  <w:pPr>
                    <w:pStyle w:val="63"/>
                  </w:pPr>
                  <w:r>
                    <w:t>COD、SS</w:t>
                  </w:r>
                </w:p>
              </w:tc>
              <w:tc>
                <w:tcPr>
                  <w:tcW w:w="1262" w:type="pct"/>
                  <w:vAlign w:val="center"/>
                </w:tcPr>
                <w:p w14:paraId="712E5D9A">
                  <w:pPr>
                    <w:pStyle w:val="63"/>
                  </w:pPr>
                </w:p>
              </w:tc>
            </w:tr>
            <w:tr w14:paraId="088F16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4B784086">
                  <w:pPr>
                    <w:pStyle w:val="63"/>
                  </w:pPr>
                </w:p>
              </w:tc>
              <w:tc>
                <w:tcPr>
                  <w:tcW w:w="2570" w:type="pct"/>
                  <w:gridSpan w:val="2"/>
                  <w:vAlign w:val="center"/>
                </w:tcPr>
                <w:p w14:paraId="5F5020A8">
                  <w:pPr>
                    <w:pStyle w:val="63"/>
                  </w:pPr>
                  <w:r>
                    <w:t>职工生活</w:t>
                  </w:r>
                </w:p>
              </w:tc>
              <w:tc>
                <w:tcPr>
                  <w:tcW w:w="734" w:type="pct"/>
                  <w:vAlign w:val="center"/>
                </w:tcPr>
                <w:p w14:paraId="2001ADEA">
                  <w:pPr>
                    <w:pStyle w:val="63"/>
                  </w:pPr>
                  <w:r>
                    <w:t>COD、氨氮、SS、</w:t>
                  </w:r>
                  <w:r>
                    <w:rPr>
                      <w:rFonts w:hint="eastAsia"/>
                    </w:rPr>
                    <w:t>B</w:t>
                  </w:r>
                  <w:r>
                    <w:t>OD</w:t>
                  </w:r>
                </w:p>
              </w:tc>
              <w:tc>
                <w:tcPr>
                  <w:tcW w:w="1262" w:type="pct"/>
                  <w:vAlign w:val="center"/>
                </w:tcPr>
                <w:p w14:paraId="7B79BE86">
                  <w:pPr>
                    <w:pStyle w:val="63"/>
                  </w:pPr>
                </w:p>
              </w:tc>
            </w:tr>
            <w:tr w14:paraId="1600D8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4" w:type="pct"/>
                  <w:vAlign w:val="center"/>
                </w:tcPr>
                <w:p w14:paraId="74662916">
                  <w:pPr>
                    <w:pStyle w:val="63"/>
                  </w:pPr>
                  <w:r>
                    <w:t>噪声</w:t>
                  </w:r>
                </w:p>
              </w:tc>
              <w:tc>
                <w:tcPr>
                  <w:tcW w:w="2570" w:type="pct"/>
                  <w:gridSpan w:val="2"/>
                  <w:vAlign w:val="center"/>
                </w:tcPr>
                <w:p w14:paraId="0E433851">
                  <w:pPr>
                    <w:pStyle w:val="63"/>
                  </w:pPr>
                  <w:r>
                    <w:t>生产过程</w:t>
                  </w:r>
                </w:p>
              </w:tc>
              <w:tc>
                <w:tcPr>
                  <w:tcW w:w="734" w:type="pct"/>
                  <w:vAlign w:val="center"/>
                </w:tcPr>
                <w:p w14:paraId="43D430B3">
                  <w:pPr>
                    <w:pStyle w:val="63"/>
                  </w:pPr>
                  <w:r>
                    <w:t>设备噪声</w:t>
                  </w:r>
                </w:p>
              </w:tc>
              <w:tc>
                <w:tcPr>
                  <w:tcW w:w="1262" w:type="pct"/>
                  <w:vAlign w:val="center"/>
                </w:tcPr>
                <w:p w14:paraId="3E5D227D">
                  <w:pPr>
                    <w:pStyle w:val="63"/>
                  </w:pPr>
                </w:p>
              </w:tc>
            </w:tr>
            <w:tr w14:paraId="2D9C50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restart"/>
                  <w:vAlign w:val="center"/>
                </w:tcPr>
                <w:p w14:paraId="398322FB">
                  <w:pPr>
                    <w:pStyle w:val="63"/>
                  </w:pPr>
                  <w:r>
                    <w:t>固废</w:t>
                  </w:r>
                </w:p>
              </w:tc>
              <w:tc>
                <w:tcPr>
                  <w:tcW w:w="3304" w:type="pct"/>
                  <w:gridSpan w:val="3"/>
                  <w:vAlign w:val="center"/>
                </w:tcPr>
                <w:p w14:paraId="76E1BB24">
                  <w:pPr>
                    <w:pStyle w:val="63"/>
                  </w:pPr>
                  <w:r>
                    <w:t>不合格骨料</w:t>
                  </w:r>
                </w:p>
              </w:tc>
              <w:tc>
                <w:tcPr>
                  <w:tcW w:w="1262" w:type="pct"/>
                  <w:vAlign w:val="center"/>
                </w:tcPr>
                <w:p w14:paraId="4CD54A9D">
                  <w:pPr>
                    <w:pStyle w:val="63"/>
                  </w:pPr>
                  <w:r>
                    <w:t>由供应商拉走</w:t>
                  </w:r>
                </w:p>
              </w:tc>
            </w:tr>
            <w:tr w14:paraId="4B69D3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60CF4540">
                  <w:pPr>
                    <w:pStyle w:val="63"/>
                  </w:pPr>
                </w:p>
              </w:tc>
              <w:tc>
                <w:tcPr>
                  <w:tcW w:w="3304" w:type="pct"/>
                  <w:gridSpan w:val="3"/>
                  <w:vAlign w:val="center"/>
                </w:tcPr>
                <w:p w14:paraId="0AA08AA2">
                  <w:pPr>
                    <w:pStyle w:val="63"/>
                  </w:pPr>
                  <w:r>
                    <w:rPr>
                      <w:rFonts w:hint="eastAsia"/>
                    </w:rPr>
                    <w:t>钢筋加工废钢筋</w:t>
                  </w:r>
                </w:p>
              </w:tc>
              <w:tc>
                <w:tcPr>
                  <w:tcW w:w="1262" w:type="pct"/>
                  <w:vAlign w:val="center"/>
                </w:tcPr>
                <w:p w14:paraId="4BF32F49">
                  <w:pPr>
                    <w:pStyle w:val="63"/>
                  </w:pPr>
                  <w:r>
                    <w:t>收集后外售物资回收单位</w:t>
                  </w:r>
                </w:p>
              </w:tc>
            </w:tr>
            <w:tr w14:paraId="5862FE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4" w:type="pct"/>
                  <w:vMerge w:val="continue"/>
                  <w:vAlign w:val="center"/>
                </w:tcPr>
                <w:p w14:paraId="35E2752A">
                  <w:pPr>
                    <w:pStyle w:val="63"/>
                  </w:pPr>
                </w:p>
              </w:tc>
              <w:tc>
                <w:tcPr>
                  <w:tcW w:w="3304" w:type="pct"/>
                  <w:gridSpan w:val="3"/>
                  <w:vAlign w:val="center"/>
                </w:tcPr>
                <w:p w14:paraId="4BB5AC8A">
                  <w:pPr>
                    <w:pStyle w:val="63"/>
                  </w:pPr>
                  <w:r>
                    <w:rPr>
                      <w:rFonts w:hint="eastAsia"/>
                    </w:rPr>
                    <w:t>除尘器收集粉尘</w:t>
                  </w:r>
                </w:p>
              </w:tc>
              <w:tc>
                <w:tcPr>
                  <w:tcW w:w="1262" w:type="pct"/>
                  <w:vAlign w:val="center"/>
                </w:tcPr>
                <w:p w14:paraId="13A913A3">
                  <w:pPr>
                    <w:pStyle w:val="63"/>
                  </w:pPr>
                  <w:r>
                    <w:t>回用</w:t>
                  </w:r>
                  <w:r>
                    <w:rPr>
                      <w:rFonts w:hint="eastAsia"/>
                    </w:rPr>
                    <w:t>于生产</w:t>
                  </w:r>
                </w:p>
              </w:tc>
            </w:tr>
            <w:tr w14:paraId="377A1D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68BAF386">
                  <w:pPr>
                    <w:pStyle w:val="63"/>
                  </w:pPr>
                </w:p>
              </w:tc>
              <w:tc>
                <w:tcPr>
                  <w:tcW w:w="3304" w:type="pct"/>
                  <w:gridSpan w:val="3"/>
                  <w:vAlign w:val="center"/>
                </w:tcPr>
                <w:p w14:paraId="671D51D7">
                  <w:pPr>
                    <w:pStyle w:val="63"/>
                  </w:pPr>
                  <w:r>
                    <w:t>滴漏沥青及拌合残渣</w:t>
                  </w:r>
                </w:p>
              </w:tc>
              <w:tc>
                <w:tcPr>
                  <w:tcW w:w="1262" w:type="pct"/>
                  <w:vAlign w:val="center"/>
                </w:tcPr>
                <w:p w14:paraId="6AD9901A">
                  <w:pPr>
                    <w:pStyle w:val="63"/>
                  </w:pPr>
                  <w:r>
                    <w:t>回用</w:t>
                  </w:r>
                  <w:r>
                    <w:rPr>
                      <w:rFonts w:hint="eastAsia"/>
                    </w:rPr>
                    <w:t>于生产</w:t>
                  </w:r>
                </w:p>
              </w:tc>
            </w:tr>
            <w:tr w14:paraId="03325C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62DC9BEB">
                  <w:pPr>
                    <w:pStyle w:val="63"/>
                  </w:pPr>
                </w:p>
              </w:tc>
              <w:tc>
                <w:tcPr>
                  <w:tcW w:w="3304" w:type="pct"/>
                  <w:gridSpan w:val="3"/>
                  <w:vAlign w:val="center"/>
                </w:tcPr>
                <w:p w14:paraId="445664A2">
                  <w:pPr>
                    <w:pStyle w:val="63"/>
                  </w:pPr>
                  <w:r>
                    <w:t>废活性炭</w:t>
                  </w:r>
                </w:p>
              </w:tc>
              <w:tc>
                <w:tcPr>
                  <w:tcW w:w="1262" w:type="pct"/>
                  <w:vAlign w:val="center"/>
                </w:tcPr>
                <w:p w14:paraId="415F61A9">
                  <w:pPr>
                    <w:pStyle w:val="63"/>
                  </w:pPr>
                  <w:r>
                    <w:rPr>
                      <w:rFonts w:hint="eastAsia"/>
                    </w:rPr>
                    <w:t>定期交由有危废处置资质单位处理</w:t>
                  </w:r>
                </w:p>
              </w:tc>
            </w:tr>
            <w:tr w14:paraId="6BB70E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34" w:type="pct"/>
                  <w:vMerge w:val="continue"/>
                  <w:vAlign w:val="center"/>
                </w:tcPr>
                <w:p w14:paraId="3E1FC89E">
                  <w:pPr>
                    <w:pStyle w:val="63"/>
                  </w:pPr>
                </w:p>
              </w:tc>
              <w:tc>
                <w:tcPr>
                  <w:tcW w:w="3304" w:type="pct"/>
                  <w:gridSpan w:val="3"/>
                  <w:vAlign w:val="center"/>
                </w:tcPr>
                <w:p w14:paraId="6460378E">
                  <w:pPr>
                    <w:pStyle w:val="63"/>
                  </w:pPr>
                  <w:r>
                    <w:t>废导热油</w:t>
                  </w:r>
                </w:p>
              </w:tc>
              <w:tc>
                <w:tcPr>
                  <w:tcW w:w="1262" w:type="pct"/>
                  <w:vAlign w:val="center"/>
                </w:tcPr>
                <w:p w14:paraId="5A40317B">
                  <w:pPr>
                    <w:pStyle w:val="63"/>
                  </w:pPr>
                  <w:r>
                    <w:rPr>
                      <w:rFonts w:hint="eastAsia"/>
                    </w:rPr>
                    <w:t>定期交由有危废处置资质单位处理</w:t>
                  </w:r>
                </w:p>
              </w:tc>
            </w:tr>
            <w:tr w14:paraId="53789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68C492BB">
                  <w:pPr>
                    <w:pStyle w:val="63"/>
                  </w:pPr>
                </w:p>
              </w:tc>
              <w:tc>
                <w:tcPr>
                  <w:tcW w:w="3304" w:type="pct"/>
                  <w:gridSpan w:val="3"/>
                  <w:vAlign w:val="center"/>
                </w:tcPr>
                <w:p w14:paraId="583DFADB">
                  <w:pPr>
                    <w:pStyle w:val="63"/>
                  </w:pPr>
                  <w:r>
                    <w:t>废机油</w:t>
                  </w:r>
                </w:p>
              </w:tc>
              <w:tc>
                <w:tcPr>
                  <w:tcW w:w="1262" w:type="pct"/>
                  <w:vAlign w:val="center"/>
                </w:tcPr>
                <w:p w14:paraId="5CCD851D">
                  <w:pPr>
                    <w:pStyle w:val="63"/>
                  </w:pPr>
                  <w:r>
                    <w:rPr>
                      <w:rFonts w:hint="eastAsia"/>
                    </w:rPr>
                    <w:t>定期交由有危废处置资质单位处理</w:t>
                  </w:r>
                </w:p>
              </w:tc>
            </w:tr>
            <w:tr w14:paraId="7228DF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542EEAB2">
                  <w:pPr>
                    <w:pStyle w:val="63"/>
                  </w:pPr>
                </w:p>
              </w:tc>
              <w:tc>
                <w:tcPr>
                  <w:tcW w:w="3304" w:type="pct"/>
                  <w:gridSpan w:val="3"/>
                  <w:vAlign w:val="center"/>
                </w:tcPr>
                <w:p w14:paraId="26EEA37B">
                  <w:pPr>
                    <w:pStyle w:val="63"/>
                  </w:pPr>
                  <w:r>
                    <w:t>废含油手套、抹布</w:t>
                  </w:r>
                </w:p>
              </w:tc>
              <w:tc>
                <w:tcPr>
                  <w:tcW w:w="1262" w:type="pct"/>
                  <w:vAlign w:val="center"/>
                </w:tcPr>
                <w:p w14:paraId="2C025FFB">
                  <w:pPr>
                    <w:pStyle w:val="63"/>
                  </w:pPr>
                  <w:r>
                    <w:rPr>
                      <w:rFonts w:hint="eastAsia"/>
                    </w:rPr>
                    <w:t>定期交由有危废处置资质单位处理</w:t>
                  </w:r>
                </w:p>
              </w:tc>
            </w:tr>
            <w:tr w14:paraId="143A64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Merge w:val="continue"/>
                  <w:vAlign w:val="center"/>
                </w:tcPr>
                <w:p w14:paraId="251E771E">
                  <w:pPr>
                    <w:pStyle w:val="63"/>
                  </w:pPr>
                </w:p>
              </w:tc>
              <w:tc>
                <w:tcPr>
                  <w:tcW w:w="3304" w:type="pct"/>
                  <w:gridSpan w:val="3"/>
                  <w:vAlign w:val="center"/>
                </w:tcPr>
                <w:p w14:paraId="1CCC83DB">
                  <w:pPr>
                    <w:pStyle w:val="63"/>
                  </w:pPr>
                  <w:r>
                    <w:t>生活垃圾</w:t>
                  </w:r>
                </w:p>
              </w:tc>
              <w:tc>
                <w:tcPr>
                  <w:tcW w:w="1262" w:type="pct"/>
                  <w:vAlign w:val="center"/>
                </w:tcPr>
                <w:p w14:paraId="6CEB26BF">
                  <w:pPr>
                    <w:pStyle w:val="63"/>
                  </w:pPr>
                  <w:r>
                    <w:t>委托环卫部门清运</w:t>
                  </w:r>
                </w:p>
              </w:tc>
            </w:tr>
          </w:tbl>
          <w:p w14:paraId="1F2C5B62">
            <w:pPr>
              <w:pStyle w:val="18"/>
              <w:spacing w:line="360" w:lineRule="auto"/>
              <w:rPr>
                <w:bCs/>
                <w:lang w:eastAsia="zh-CN"/>
              </w:rPr>
            </w:pPr>
          </w:p>
        </w:tc>
      </w:tr>
      <w:tr w14:paraId="59754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675" w:type="dxa"/>
            <w:vAlign w:val="center"/>
          </w:tcPr>
          <w:p w14:paraId="244C88B4">
            <w:pPr>
              <w:pStyle w:val="19"/>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t>与项目有关的原有环境污染问题</w:t>
            </w:r>
          </w:p>
        </w:tc>
        <w:tc>
          <w:tcPr>
            <w:tcW w:w="8385" w:type="dxa"/>
            <w:vAlign w:val="center"/>
          </w:tcPr>
          <w:p w14:paraId="2725352A">
            <w:pPr>
              <w:spacing w:line="460" w:lineRule="exact"/>
              <w:ind w:firstLine="480" w:firstLineChars="200"/>
              <w:rPr>
                <w:snapToGrid w:val="0"/>
              </w:rPr>
            </w:pPr>
            <w:r>
              <w:rPr>
                <w:snapToGrid w:val="0"/>
              </w:rPr>
              <w:t>经现场勘查</w:t>
            </w:r>
            <w:r>
              <w:rPr>
                <w:rFonts w:hint="eastAsia"/>
                <w:snapToGrid w:val="0"/>
              </w:rPr>
              <w:t>，项目区位于S240线K72+000处东侧有中建七局原废弃水泥稳定场站一处，用地类型属于建设用地和草地，依托场站原有的料仓、生活宿舍区及地面硬化，搅拌生产线不再利用，已全部拆除。</w:t>
            </w:r>
          </w:p>
        </w:tc>
      </w:tr>
    </w:tbl>
    <w:p w14:paraId="02881C0F">
      <w:pPr>
        <w:tabs>
          <w:tab w:val="left" w:pos="1242"/>
        </w:tabs>
        <w:jc w:val="left"/>
        <w:sectPr>
          <w:pgSz w:w="11906" w:h="16838"/>
          <w:pgMar w:top="1701" w:right="1531" w:bottom="1701" w:left="1531" w:header="851" w:footer="851" w:gutter="0"/>
          <w:cols w:space="720" w:num="1"/>
          <w:docGrid w:linePitch="312" w:charSpace="0"/>
        </w:sectPr>
      </w:pPr>
    </w:p>
    <w:p w14:paraId="3AA91B54">
      <w:pPr>
        <w:pStyle w:val="19"/>
        <w:adjustRightInd w:val="0"/>
        <w:snapToGrid w:val="0"/>
        <w:spacing w:before="0" w:beforeAutospacing="0" w:after="0" w:afterAutospacing="0" w:line="14" w:lineRule="auto"/>
        <w:jc w:val="center"/>
        <w:rPr>
          <w:rFonts w:ascii="Times New Roman" w:hAnsi="Times New Roman" w:eastAsia="黑体"/>
          <w:snapToGrid w:val="0"/>
          <w:sz w:val="30"/>
          <w:szCs w:val="30"/>
        </w:rPr>
      </w:pPr>
    </w:p>
    <w:p w14:paraId="048A41FC">
      <w:pPr>
        <w:pStyle w:val="19"/>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3AC0C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47120A35">
            <w:pPr>
              <w:adjustRightInd w:val="0"/>
              <w:snapToGrid w:val="0"/>
              <w:jc w:val="center"/>
              <w:rPr>
                <w:kern w:val="0"/>
                <w:szCs w:val="21"/>
              </w:rPr>
            </w:pPr>
            <w:r>
              <w:rPr>
                <w:kern w:val="0"/>
                <w:szCs w:val="21"/>
              </w:rPr>
              <w:t>区域</w:t>
            </w:r>
          </w:p>
          <w:p w14:paraId="1A1E6CCC">
            <w:pPr>
              <w:adjustRightInd w:val="0"/>
              <w:snapToGrid w:val="0"/>
              <w:jc w:val="center"/>
              <w:rPr>
                <w:kern w:val="0"/>
                <w:szCs w:val="21"/>
              </w:rPr>
            </w:pPr>
            <w:r>
              <w:rPr>
                <w:kern w:val="0"/>
                <w:szCs w:val="21"/>
              </w:rPr>
              <w:t>环境</w:t>
            </w:r>
          </w:p>
          <w:p w14:paraId="1C4083E9">
            <w:pPr>
              <w:adjustRightInd w:val="0"/>
              <w:snapToGrid w:val="0"/>
              <w:jc w:val="center"/>
              <w:rPr>
                <w:kern w:val="0"/>
                <w:szCs w:val="21"/>
              </w:rPr>
            </w:pPr>
            <w:r>
              <w:rPr>
                <w:kern w:val="0"/>
                <w:szCs w:val="21"/>
              </w:rPr>
              <w:t>质量</w:t>
            </w:r>
          </w:p>
          <w:p w14:paraId="72114527">
            <w:pPr>
              <w:adjustRightInd w:val="0"/>
              <w:snapToGrid w:val="0"/>
              <w:jc w:val="center"/>
              <w:rPr>
                <w:kern w:val="0"/>
                <w:szCs w:val="21"/>
              </w:rPr>
            </w:pPr>
            <w:r>
              <w:rPr>
                <w:kern w:val="0"/>
                <w:szCs w:val="21"/>
              </w:rPr>
              <w:t>现状</w:t>
            </w:r>
          </w:p>
        </w:tc>
        <w:tc>
          <w:tcPr>
            <w:tcW w:w="8190" w:type="dxa"/>
            <w:vAlign w:val="center"/>
          </w:tcPr>
          <w:p w14:paraId="1B96DC43">
            <w:pPr>
              <w:spacing w:line="360" w:lineRule="auto"/>
              <w:ind w:firstLine="482" w:firstLineChars="200"/>
              <w:rPr>
                <w:b/>
              </w:rPr>
            </w:pPr>
            <w:r>
              <w:rPr>
                <w:b/>
              </w:rPr>
              <w:t>一、大气环境</w:t>
            </w:r>
          </w:p>
          <w:p w14:paraId="058CA9D2">
            <w:pPr>
              <w:adjustRightInd w:val="0"/>
              <w:snapToGrid w:val="0"/>
              <w:spacing w:line="360" w:lineRule="auto"/>
              <w:ind w:firstLine="480" w:firstLineChars="200"/>
            </w:pPr>
            <w:r>
              <w:t>1、达标区判定</w:t>
            </w:r>
          </w:p>
          <w:p w14:paraId="005B889A">
            <w:pPr>
              <w:spacing w:line="360" w:lineRule="auto"/>
              <w:ind w:firstLine="480" w:firstLineChars="200"/>
            </w:pPr>
            <w:r>
              <w:t>（1）数据来源</w:t>
            </w:r>
          </w:p>
          <w:p w14:paraId="52942EF8">
            <w:pPr>
              <w:spacing w:line="360" w:lineRule="auto"/>
              <w:ind w:firstLine="480" w:firstLineChars="200"/>
              <w:rPr>
                <w:kern w:val="0"/>
              </w:rPr>
            </w:pPr>
            <w:bookmarkStart w:id="13" w:name="_Hlk147942900"/>
            <w:r>
              <w:rPr>
                <w:kern w:val="0"/>
              </w:rPr>
              <w:t>根据《环境影响评价技术导则-大气环境》（HJ2.2-2018）</w:t>
            </w:r>
            <w:bookmarkEnd w:id="13"/>
            <w:r>
              <w:rPr>
                <w:kern w:val="0"/>
              </w:rPr>
              <w:t>中6.2.1.2：采用评价范围内国家或地方环境空气质量监测网中评价基准年连续1年的监测数据，或采用生态环境主管部门公开发布的环境空气质量现状数据。本次评价选择距离项目最近的奇台县环境监测站2023年的监测数据，作为本项目环境空气现状评价基本污染物SO</w:t>
            </w:r>
            <w:r>
              <w:rPr>
                <w:kern w:val="0"/>
                <w:vertAlign w:val="subscript"/>
              </w:rPr>
              <w:t>2</w:t>
            </w:r>
            <w:r>
              <w:rPr>
                <w:kern w:val="0"/>
              </w:rPr>
              <w:t>、NO</w:t>
            </w:r>
            <w:r>
              <w:rPr>
                <w:kern w:val="0"/>
                <w:vertAlign w:val="subscript"/>
              </w:rPr>
              <w:t>2</w:t>
            </w:r>
            <w:r>
              <w:rPr>
                <w:kern w:val="0"/>
              </w:rPr>
              <w:t>、PM</w:t>
            </w:r>
            <w:r>
              <w:rPr>
                <w:kern w:val="0"/>
                <w:vertAlign w:val="subscript"/>
              </w:rPr>
              <w:t>10</w:t>
            </w:r>
            <w:r>
              <w:rPr>
                <w:kern w:val="0"/>
              </w:rPr>
              <w:t>、PM</w:t>
            </w:r>
            <w:r>
              <w:rPr>
                <w:kern w:val="0"/>
                <w:vertAlign w:val="subscript"/>
              </w:rPr>
              <w:t>2.5</w:t>
            </w:r>
            <w:r>
              <w:rPr>
                <w:kern w:val="0"/>
              </w:rPr>
              <w:t>、CO和O</w:t>
            </w:r>
            <w:r>
              <w:rPr>
                <w:kern w:val="0"/>
                <w:vertAlign w:val="subscript"/>
              </w:rPr>
              <w:t>3</w:t>
            </w:r>
            <w:r>
              <w:rPr>
                <w:kern w:val="0"/>
              </w:rPr>
              <w:t>的数据来源。</w:t>
            </w:r>
          </w:p>
          <w:p w14:paraId="19DAD4B0">
            <w:pPr>
              <w:spacing w:line="360" w:lineRule="auto"/>
              <w:ind w:firstLine="480" w:firstLineChars="200"/>
            </w:pPr>
            <w:r>
              <w:t>（2）评价标准</w:t>
            </w:r>
          </w:p>
          <w:p w14:paraId="7B1E17B6">
            <w:pPr>
              <w:spacing w:line="360" w:lineRule="auto"/>
              <w:ind w:firstLine="480" w:firstLineChars="200"/>
            </w:pPr>
            <w:r>
              <w:t>本次评价基本污染物执行《环境空气质量标准》（GB3095-2012）中的二级标准。</w:t>
            </w:r>
          </w:p>
          <w:p w14:paraId="4C808EA9">
            <w:pPr>
              <w:spacing w:line="360" w:lineRule="auto"/>
              <w:ind w:firstLine="480" w:firstLineChars="200"/>
              <w:rPr>
                <w:kern w:val="0"/>
              </w:rPr>
            </w:pPr>
            <w:r>
              <w:t>（3）空气质量达标区判定</w:t>
            </w:r>
          </w:p>
          <w:p w14:paraId="7AEDD8CF">
            <w:pPr>
              <w:pStyle w:val="76"/>
              <w:ind w:firstLine="420"/>
              <w:rPr>
                <w:color w:val="auto"/>
              </w:rPr>
            </w:pPr>
            <w:r>
              <w:rPr>
                <w:color w:val="auto"/>
              </w:rPr>
              <w:t>表3-1               区域环境质量现状评价表</w:t>
            </w:r>
          </w:p>
          <w:tbl>
            <w:tblPr>
              <w:tblStyle w:val="24"/>
              <w:tblpPr w:leftFromText="180" w:rightFromText="180" w:vertAnchor="text" w:horzAnchor="page" w:tblpXSpec="center" w:tblpY="17"/>
              <w:tblOverlap w:val="never"/>
              <w:tblW w:w="493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245"/>
              <w:gridCol w:w="1412"/>
              <w:gridCol w:w="1334"/>
              <w:gridCol w:w="1093"/>
              <w:gridCol w:w="1092"/>
            </w:tblGrid>
            <w:tr w14:paraId="00BC83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11A3813A">
                  <w:pPr>
                    <w:pStyle w:val="69"/>
                    <w:spacing w:line="240" w:lineRule="auto"/>
                  </w:pPr>
                  <w:r>
                    <w:t>评价因子</w:t>
                  </w:r>
                </w:p>
              </w:tc>
              <w:tc>
                <w:tcPr>
                  <w:tcW w:w="1425" w:type="pct"/>
                  <w:vAlign w:val="center"/>
                </w:tcPr>
                <w:p w14:paraId="48A143A5">
                  <w:pPr>
                    <w:pStyle w:val="69"/>
                    <w:spacing w:line="240" w:lineRule="auto"/>
                  </w:pPr>
                  <w:r>
                    <w:t>平均时段</w:t>
                  </w:r>
                </w:p>
              </w:tc>
              <w:tc>
                <w:tcPr>
                  <w:tcW w:w="896" w:type="pct"/>
                  <w:vAlign w:val="center"/>
                </w:tcPr>
                <w:p w14:paraId="6DACE5E8">
                  <w:pPr>
                    <w:pStyle w:val="69"/>
                    <w:spacing w:line="240" w:lineRule="auto"/>
                  </w:pPr>
                  <w:r>
                    <w:t>评价标准</w:t>
                  </w:r>
                </w:p>
                <w:p w14:paraId="1CFCF4BD">
                  <w:pPr>
                    <w:pStyle w:val="69"/>
                    <w:spacing w:line="240" w:lineRule="auto"/>
                  </w:pPr>
                  <w:r>
                    <w:t>（ug/m</w:t>
                  </w:r>
                  <w:r>
                    <w:rPr>
                      <w:vertAlign w:val="superscript"/>
                    </w:rPr>
                    <w:t>3</w:t>
                  </w:r>
                  <w:r>
                    <w:t>）</w:t>
                  </w:r>
                </w:p>
              </w:tc>
              <w:tc>
                <w:tcPr>
                  <w:tcW w:w="847" w:type="pct"/>
                  <w:vAlign w:val="center"/>
                </w:tcPr>
                <w:p w14:paraId="2F45A917">
                  <w:pPr>
                    <w:pStyle w:val="69"/>
                    <w:spacing w:line="240" w:lineRule="auto"/>
                  </w:pPr>
                  <w:r>
                    <w:t>现状浓度</w:t>
                  </w:r>
                </w:p>
                <w:p w14:paraId="1E749433">
                  <w:pPr>
                    <w:pStyle w:val="69"/>
                    <w:spacing w:line="240" w:lineRule="auto"/>
                  </w:pPr>
                  <w:r>
                    <w:t>（ug/m</w:t>
                  </w:r>
                  <w:r>
                    <w:rPr>
                      <w:vertAlign w:val="superscript"/>
                    </w:rPr>
                    <w:t>3</w:t>
                  </w:r>
                  <w:r>
                    <w:t>）</w:t>
                  </w:r>
                </w:p>
              </w:tc>
              <w:tc>
                <w:tcPr>
                  <w:tcW w:w="694" w:type="pct"/>
                  <w:vAlign w:val="center"/>
                </w:tcPr>
                <w:p w14:paraId="79662EE2">
                  <w:pPr>
                    <w:pStyle w:val="69"/>
                    <w:spacing w:line="240" w:lineRule="auto"/>
                  </w:pPr>
                  <w:r>
                    <w:rPr>
                      <w:rFonts w:hint="eastAsia"/>
                    </w:rPr>
                    <w:t>占标率（%）</w:t>
                  </w:r>
                </w:p>
              </w:tc>
              <w:tc>
                <w:tcPr>
                  <w:tcW w:w="693" w:type="pct"/>
                  <w:vAlign w:val="center"/>
                </w:tcPr>
                <w:p w14:paraId="60218372">
                  <w:pPr>
                    <w:pStyle w:val="69"/>
                    <w:spacing w:line="240" w:lineRule="auto"/>
                  </w:pPr>
                  <w:r>
                    <w:t>达标情况</w:t>
                  </w:r>
                </w:p>
              </w:tc>
            </w:tr>
            <w:tr w14:paraId="5C02F2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5B044275">
                  <w:pPr>
                    <w:pStyle w:val="69"/>
                    <w:spacing w:line="240" w:lineRule="auto"/>
                  </w:pPr>
                  <w:r>
                    <w:t>SO</w:t>
                  </w:r>
                  <w:r>
                    <w:rPr>
                      <w:vertAlign w:val="subscript"/>
                    </w:rPr>
                    <w:t>2</w:t>
                  </w:r>
                </w:p>
              </w:tc>
              <w:tc>
                <w:tcPr>
                  <w:tcW w:w="1425" w:type="pct"/>
                  <w:vAlign w:val="center"/>
                </w:tcPr>
                <w:p w14:paraId="4D766748">
                  <w:pPr>
                    <w:pStyle w:val="69"/>
                    <w:spacing w:line="240" w:lineRule="auto"/>
                  </w:pPr>
                  <w:r>
                    <w:t>年平均浓度</w:t>
                  </w:r>
                </w:p>
              </w:tc>
              <w:tc>
                <w:tcPr>
                  <w:tcW w:w="896" w:type="pct"/>
                  <w:vAlign w:val="center"/>
                </w:tcPr>
                <w:p w14:paraId="52652639">
                  <w:pPr>
                    <w:pStyle w:val="69"/>
                    <w:spacing w:line="240" w:lineRule="auto"/>
                  </w:pPr>
                  <w:r>
                    <w:t>60</w:t>
                  </w:r>
                </w:p>
              </w:tc>
              <w:tc>
                <w:tcPr>
                  <w:tcW w:w="847" w:type="pct"/>
                  <w:vAlign w:val="center"/>
                </w:tcPr>
                <w:p w14:paraId="0D783639">
                  <w:pPr>
                    <w:pStyle w:val="69"/>
                    <w:spacing w:line="240" w:lineRule="auto"/>
                  </w:pPr>
                  <w:r>
                    <w:t>9</w:t>
                  </w:r>
                </w:p>
              </w:tc>
              <w:tc>
                <w:tcPr>
                  <w:tcW w:w="694" w:type="pct"/>
                  <w:vAlign w:val="center"/>
                </w:tcPr>
                <w:p w14:paraId="57C4D031">
                  <w:pPr>
                    <w:pStyle w:val="69"/>
                    <w:spacing w:line="240" w:lineRule="auto"/>
                  </w:pPr>
                  <w:r>
                    <w:rPr>
                      <w:rFonts w:hint="eastAsia"/>
                    </w:rPr>
                    <w:t>1</w:t>
                  </w:r>
                  <w:r>
                    <w:t>5</w:t>
                  </w:r>
                </w:p>
              </w:tc>
              <w:tc>
                <w:tcPr>
                  <w:tcW w:w="693" w:type="pct"/>
                  <w:vAlign w:val="center"/>
                </w:tcPr>
                <w:p w14:paraId="3473DD70">
                  <w:pPr>
                    <w:pStyle w:val="69"/>
                    <w:spacing w:line="240" w:lineRule="auto"/>
                  </w:pPr>
                  <w:r>
                    <w:t>达标</w:t>
                  </w:r>
                </w:p>
              </w:tc>
            </w:tr>
            <w:tr w14:paraId="197FCA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78152013">
                  <w:pPr>
                    <w:pStyle w:val="69"/>
                    <w:spacing w:line="240" w:lineRule="auto"/>
                  </w:pPr>
                  <w:r>
                    <w:t>NO</w:t>
                  </w:r>
                  <w:r>
                    <w:rPr>
                      <w:vertAlign w:val="subscript"/>
                    </w:rPr>
                    <w:t>2</w:t>
                  </w:r>
                </w:p>
              </w:tc>
              <w:tc>
                <w:tcPr>
                  <w:tcW w:w="1425" w:type="pct"/>
                  <w:vAlign w:val="center"/>
                </w:tcPr>
                <w:p w14:paraId="5D7C5F07">
                  <w:pPr>
                    <w:pStyle w:val="69"/>
                    <w:spacing w:line="240" w:lineRule="auto"/>
                  </w:pPr>
                  <w:r>
                    <w:t>年平均浓度</w:t>
                  </w:r>
                </w:p>
              </w:tc>
              <w:tc>
                <w:tcPr>
                  <w:tcW w:w="896" w:type="pct"/>
                  <w:vAlign w:val="center"/>
                </w:tcPr>
                <w:p w14:paraId="07567F91">
                  <w:pPr>
                    <w:pStyle w:val="69"/>
                    <w:spacing w:line="240" w:lineRule="auto"/>
                  </w:pPr>
                  <w:r>
                    <w:t>40</w:t>
                  </w:r>
                </w:p>
              </w:tc>
              <w:tc>
                <w:tcPr>
                  <w:tcW w:w="847" w:type="pct"/>
                  <w:vAlign w:val="center"/>
                </w:tcPr>
                <w:p w14:paraId="1C687FFF">
                  <w:pPr>
                    <w:pStyle w:val="69"/>
                    <w:spacing w:line="240" w:lineRule="auto"/>
                  </w:pPr>
                  <w:r>
                    <w:t>21</w:t>
                  </w:r>
                </w:p>
              </w:tc>
              <w:tc>
                <w:tcPr>
                  <w:tcW w:w="694" w:type="pct"/>
                  <w:vAlign w:val="center"/>
                </w:tcPr>
                <w:p w14:paraId="70031474">
                  <w:pPr>
                    <w:pStyle w:val="69"/>
                    <w:spacing w:line="240" w:lineRule="auto"/>
                  </w:pPr>
                  <w:r>
                    <w:rPr>
                      <w:rFonts w:hint="eastAsia"/>
                    </w:rPr>
                    <w:t>5</w:t>
                  </w:r>
                  <w:r>
                    <w:t>2.5</w:t>
                  </w:r>
                </w:p>
              </w:tc>
              <w:tc>
                <w:tcPr>
                  <w:tcW w:w="693" w:type="pct"/>
                  <w:vAlign w:val="center"/>
                </w:tcPr>
                <w:p w14:paraId="41349689">
                  <w:pPr>
                    <w:pStyle w:val="69"/>
                    <w:spacing w:line="240" w:lineRule="auto"/>
                  </w:pPr>
                  <w:r>
                    <w:t>达标</w:t>
                  </w:r>
                </w:p>
              </w:tc>
            </w:tr>
            <w:tr w14:paraId="44883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5698D909">
                  <w:pPr>
                    <w:pStyle w:val="69"/>
                    <w:spacing w:line="240" w:lineRule="auto"/>
                  </w:pPr>
                  <w:r>
                    <w:t>PM</w:t>
                  </w:r>
                  <w:r>
                    <w:rPr>
                      <w:vertAlign w:val="subscript"/>
                    </w:rPr>
                    <w:t>10</w:t>
                  </w:r>
                </w:p>
              </w:tc>
              <w:tc>
                <w:tcPr>
                  <w:tcW w:w="1425" w:type="pct"/>
                  <w:vAlign w:val="center"/>
                </w:tcPr>
                <w:p w14:paraId="40CB2089">
                  <w:pPr>
                    <w:pStyle w:val="69"/>
                    <w:spacing w:line="240" w:lineRule="auto"/>
                  </w:pPr>
                  <w:r>
                    <w:t>年平均浓度</w:t>
                  </w:r>
                </w:p>
              </w:tc>
              <w:tc>
                <w:tcPr>
                  <w:tcW w:w="896" w:type="pct"/>
                  <w:vAlign w:val="center"/>
                </w:tcPr>
                <w:p w14:paraId="4BAC01AF">
                  <w:pPr>
                    <w:pStyle w:val="69"/>
                    <w:spacing w:line="240" w:lineRule="auto"/>
                  </w:pPr>
                  <w:r>
                    <w:t>70</w:t>
                  </w:r>
                </w:p>
              </w:tc>
              <w:tc>
                <w:tcPr>
                  <w:tcW w:w="847" w:type="pct"/>
                  <w:vAlign w:val="center"/>
                </w:tcPr>
                <w:p w14:paraId="20C96F37">
                  <w:pPr>
                    <w:pStyle w:val="69"/>
                    <w:spacing w:line="240" w:lineRule="auto"/>
                  </w:pPr>
                  <w:r>
                    <w:t>60</w:t>
                  </w:r>
                </w:p>
              </w:tc>
              <w:tc>
                <w:tcPr>
                  <w:tcW w:w="694" w:type="pct"/>
                  <w:vAlign w:val="center"/>
                </w:tcPr>
                <w:p w14:paraId="6ABC663F">
                  <w:pPr>
                    <w:pStyle w:val="69"/>
                    <w:spacing w:line="240" w:lineRule="auto"/>
                  </w:pPr>
                  <w:r>
                    <w:rPr>
                      <w:rFonts w:hint="eastAsia"/>
                    </w:rPr>
                    <w:t>8</w:t>
                  </w:r>
                  <w:r>
                    <w:t>5.7</w:t>
                  </w:r>
                </w:p>
              </w:tc>
              <w:tc>
                <w:tcPr>
                  <w:tcW w:w="693" w:type="pct"/>
                  <w:vAlign w:val="center"/>
                </w:tcPr>
                <w:p w14:paraId="58AB73D9">
                  <w:pPr>
                    <w:pStyle w:val="69"/>
                    <w:spacing w:line="240" w:lineRule="auto"/>
                  </w:pPr>
                  <w:r>
                    <w:t>达标</w:t>
                  </w:r>
                </w:p>
              </w:tc>
            </w:tr>
            <w:tr w14:paraId="19FDC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39364555">
                  <w:pPr>
                    <w:pStyle w:val="69"/>
                    <w:spacing w:line="240" w:lineRule="auto"/>
                  </w:pPr>
                  <w:r>
                    <w:t>PM</w:t>
                  </w:r>
                  <w:r>
                    <w:rPr>
                      <w:vertAlign w:val="subscript"/>
                    </w:rPr>
                    <w:t>2.5</w:t>
                  </w:r>
                </w:p>
              </w:tc>
              <w:tc>
                <w:tcPr>
                  <w:tcW w:w="1425" w:type="pct"/>
                  <w:vAlign w:val="center"/>
                </w:tcPr>
                <w:p w14:paraId="720EB0A2">
                  <w:pPr>
                    <w:pStyle w:val="69"/>
                    <w:spacing w:line="240" w:lineRule="auto"/>
                  </w:pPr>
                  <w:r>
                    <w:t>年平均浓度</w:t>
                  </w:r>
                </w:p>
              </w:tc>
              <w:tc>
                <w:tcPr>
                  <w:tcW w:w="896" w:type="pct"/>
                  <w:vAlign w:val="center"/>
                </w:tcPr>
                <w:p w14:paraId="389B2020">
                  <w:pPr>
                    <w:pStyle w:val="69"/>
                    <w:spacing w:line="240" w:lineRule="auto"/>
                  </w:pPr>
                  <w:r>
                    <w:t>35</w:t>
                  </w:r>
                </w:p>
              </w:tc>
              <w:tc>
                <w:tcPr>
                  <w:tcW w:w="847" w:type="pct"/>
                  <w:vAlign w:val="center"/>
                </w:tcPr>
                <w:p w14:paraId="322C4D68">
                  <w:pPr>
                    <w:pStyle w:val="69"/>
                    <w:spacing w:line="240" w:lineRule="auto"/>
                  </w:pPr>
                  <w:r>
                    <w:t>29</w:t>
                  </w:r>
                </w:p>
              </w:tc>
              <w:tc>
                <w:tcPr>
                  <w:tcW w:w="694" w:type="pct"/>
                  <w:vAlign w:val="center"/>
                </w:tcPr>
                <w:p w14:paraId="68A26A31">
                  <w:pPr>
                    <w:pStyle w:val="69"/>
                    <w:spacing w:line="240" w:lineRule="auto"/>
                  </w:pPr>
                  <w:r>
                    <w:rPr>
                      <w:rFonts w:hint="eastAsia"/>
                    </w:rPr>
                    <w:t>8</w:t>
                  </w:r>
                  <w:r>
                    <w:t>2.9</w:t>
                  </w:r>
                </w:p>
              </w:tc>
              <w:tc>
                <w:tcPr>
                  <w:tcW w:w="693" w:type="pct"/>
                  <w:vAlign w:val="center"/>
                </w:tcPr>
                <w:p w14:paraId="39D0CAB8">
                  <w:pPr>
                    <w:pStyle w:val="69"/>
                    <w:spacing w:line="240" w:lineRule="auto"/>
                  </w:pPr>
                  <w:r>
                    <w:t>达标</w:t>
                  </w:r>
                </w:p>
              </w:tc>
            </w:tr>
            <w:tr w14:paraId="5E364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376512F7">
                  <w:pPr>
                    <w:pStyle w:val="69"/>
                    <w:spacing w:line="240" w:lineRule="auto"/>
                  </w:pPr>
                  <w:r>
                    <w:t>CO</w:t>
                  </w:r>
                </w:p>
              </w:tc>
              <w:tc>
                <w:tcPr>
                  <w:tcW w:w="1425" w:type="pct"/>
                  <w:vAlign w:val="center"/>
                </w:tcPr>
                <w:p w14:paraId="3B955C42">
                  <w:pPr>
                    <w:pStyle w:val="69"/>
                    <w:spacing w:line="240" w:lineRule="auto"/>
                  </w:pPr>
                  <w:r>
                    <w:t>24h平均第95百分位数</w:t>
                  </w:r>
                </w:p>
              </w:tc>
              <w:tc>
                <w:tcPr>
                  <w:tcW w:w="896" w:type="pct"/>
                  <w:vAlign w:val="center"/>
                </w:tcPr>
                <w:p w14:paraId="6C01113D">
                  <w:pPr>
                    <w:pStyle w:val="69"/>
                    <w:spacing w:line="240" w:lineRule="auto"/>
                  </w:pPr>
                  <w:r>
                    <w:t>4mg/m</w:t>
                  </w:r>
                  <w:r>
                    <w:rPr>
                      <w:vertAlign w:val="superscript"/>
                    </w:rPr>
                    <w:t>3</w:t>
                  </w:r>
                </w:p>
              </w:tc>
              <w:tc>
                <w:tcPr>
                  <w:tcW w:w="847" w:type="pct"/>
                  <w:vAlign w:val="center"/>
                </w:tcPr>
                <w:p w14:paraId="7FFF3303">
                  <w:pPr>
                    <w:pStyle w:val="69"/>
                    <w:spacing w:line="240" w:lineRule="auto"/>
                  </w:pPr>
                  <w:r>
                    <w:t>1.6mg/m</w:t>
                  </w:r>
                  <w:r>
                    <w:rPr>
                      <w:vertAlign w:val="superscript"/>
                    </w:rPr>
                    <w:t>3</w:t>
                  </w:r>
                </w:p>
              </w:tc>
              <w:tc>
                <w:tcPr>
                  <w:tcW w:w="694" w:type="pct"/>
                  <w:vAlign w:val="center"/>
                </w:tcPr>
                <w:p w14:paraId="7C5502FB">
                  <w:pPr>
                    <w:pStyle w:val="69"/>
                    <w:spacing w:line="240" w:lineRule="auto"/>
                  </w:pPr>
                  <w:r>
                    <w:rPr>
                      <w:rFonts w:hint="eastAsia"/>
                    </w:rPr>
                    <w:t>4</w:t>
                  </w:r>
                  <w:r>
                    <w:t>0.0</w:t>
                  </w:r>
                </w:p>
              </w:tc>
              <w:tc>
                <w:tcPr>
                  <w:tcW w:w="693" w:type="pct"/>
                  <w:vAlign w:val="center"/>
                </w:tcPr>
                <w:p w14:paraId="646051FD">
                  <w:pPr>
                    <w:pStyle w:val="69"/>
                    <w:spacing w:line="240" w:lineRule="auto"/>
                  </w:pPr>
                  <w:r>
                    <w:t>达标</w:t>
                  </w:r>
                </w:p>
              </w:tc>
            </w:tr>
            <w:tr w14:paraId="27B74D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640F5858">
                  <w:pPr>
                    <w:pStyle w:val="69"/>
                    <w:spacing w:line="240" w:lineRule="auto"/>
                  </w:pPr>
                  <w:r>
                    <w:t>O</w:t>
                  </w:r>
                  <w:r>
                    <w:rPr>
                      <w:vertAlign w:val="subscript"/>
                    </w:rPr>
                    <w:t>3</w:t>
                  </w:r>
                </w:p>
              </w:tc>
              <w:tc>
                <w:tcPr>
                  <w:tcW w:w="1425" w:type="pct"/>
                  <w:vAlign w:val="center"/>
                </w:tcPr>
                <w:p w14:paraId="3BBD23D3">
                  <w:pPr>
                    <w:pStyle w:val="69"/>
                    <w:spacing w:line="240" w:lineRule="auto"/>
                  </w:pPr>
                  <w:r>
                    <w:t>日最大8h滑动平均值的第90百分位数</w:t>
                  </w:r>
                </w:p>
              </w:tc>
              <w:tc>
                <w:tcPr>
                  <w:tcW w:w="896" w:type="pct"/>
                  <w:vAlign w:val="center"/>
                </w:tcPr>
                <w:p w14:paraId="62143928">
                  <w:pPr>
                    <w:pStyle w:val="69"/>
                    <w:spacing w:line="240" w:lineRule="auto"/>
                  </w:pPr>
                  <w:r>
                    <w:t>160</w:t>
                  </w:r>
                </w:p>
              </w:tc>
              <w:tc>
                <w:tcPr>
                  <w:tcW w:w="847" w:type="pct"/>
                  <w:vAlign w:val="center"/>
                </w:tcPr>
                <w:p w14:paraId="3CE195C3">
                  <w:pPr>
                    <w:pStyle w:val="69"/>
                    <w:spacing w:line="240" w:lineRule="auto"/>
                  </w:pPr>
                  <w:r>
                    <w:t>123</w:t>
                  </w:r>
                </w:p>
              </w:tc>
              <w:tc>
                <w:tcPr>
                  <w:tcW w:w="694" w:type="pct"/>
                  <w:vAlign w:val="center"/>
                </w:tcPr>
                <w:p w14:paraId="353B38B3">
                  <w:pPr>
                    <w:pStyle w:val="69"/>
                    <w:spacing w:line="240" w:lineRule="auto"/>
                  </w:pPr>
                  <w:r>
                    <w:rPr>
                      <w:rFonts w:hint="eastAsia"/>
                    </w:rPr>
                    <w:t>7</w:t>
                  </w:r>
                  <w:r>
                    <w:t>6.9</w:t>
                  </w:r>
                </w:p>
              </w:tc>
              <w:tc>
                <w:tcPr>
                  <w:tcW w:w="693" w:type="pct"/>
                  <w:vAlign w:val="center"/>
                </w:tcPr>
                <w:p w14:paraId="3BFB0338">
                  <w:pPr>
                    <w:pStyle w:val="69"/>
                    <w:spacing w:line="240" w:lineRule="auto"/>
                  </w:pPr>
                  <w:r>
                    <w:t>达标</w:t>
                  </w:r>
                </w:p>
              </w:tc>
            </w:tr>
          </w:tbl>
          <w:p w14:paraId="3E182B96">
            <w:pPr>
              <w:spacing w:line="460" w:lineRule="exact"/>
              <w:ind w:firstLine="480" w:firstLineChars="200"/>
            </w:pPr>
            <w:r>
              <w:t>根据表3-1可知，本项目所在区域SO</w:t>
            </w:r>
            <w:r>
              <w:rPr>
                <w:vertAlign w:val="subscript"/>
              </w:rPr>
              <w:t>2</w:t>
            </w:r>
            <w:r>
              <w:rPr>
                <w:rFonts w:hint="eastAsia"/>
              </w:rPr>
              <w:t>年平均浓度、</w:t>
            </w:r>
            <w:r>
              <w:t>NO</w:t>
            </w:r>
            <w:r>
              <w:rPr>
                <w:vertAlign w:val="subscript"/>
              </w:rPr>
              <w:t>2</w:t>
            </w:r>
            <w:r>
              <w:rPr>
                <w:rFonts w:hint="eastAsia"/>
              </w:rPr>
              <w:t>年平均浓度</w:t>
            </w:r>
            <w:r>
              <w:t>、PM</w:t>
            </w:r>
            <w:r>
              <w:rPr>
                <w:vertAlign w:val="subscript"/>
              </w:rPr>
              <w:t>10</w:t>
            </w:r>
            <w:r>
              <w:rPr>
                <w:rFonts w:hint="eastAsia"/>
              </w:rPr>
              <w:t>年均浓度和</w:t>
            </w:r>
            <w:r>
              <w:t>PM</w:t>
            </w:r>
            <w:r>
              <w:rPr>
                <w:vertAlign w:val="subscript"/>
              </w:rPr>
              <w:t>2.5</w:t>
            </w:r>
            <w:r>
              <w:rPr>
                <w:rFonts w:hint="eastAsia"/>
              </w:rPr>
              <w:t>年均浓度、</w:t>
            </w:r>
            <w:r>
              <w:t>CO24小时平均第95百分位数</w:t>
            </w:r>
            <w:r>
              <w:rPr>
                <w:rFonts w:hint="eastAsia"/>
              </w:rPr>
              <w:t>浓度</w:t>
            </w:r>
            <w:r>
              <w:t>、O</w:t>
            </w:r>
            <w:r>
              <w:rPr>
                <w:vertAlign w:val="subscript"/>
              </w:rPr>
              <w:t>3</w:t>
            </w:r>
            <w:r>
              <w:t>日最大8小时平均第90百分位数</w:t>
            </w:r>
            <w:r>
              <w:rPr>
                <w:rFonts w:hint="eastAsia"/>
              </w:rPr>
              <w:t>浓度</w:t>
            </w:r>
            <w:r>
              <w:t>均满足《环境空气质量标准》（GB3095-2012）中二级标准限值，因此判定项目区为环境空气质量</w:t>
            </w:r>
            <w:r>
              <w:rPr>
                <w:rFonts w:hint="eastAsia"/>
              </w:rPr>
              <w:t>达标</w:t>
            </w:r>
            <w:r>
              <w:t>区。</w:t>
            </w:r>
          </w:p>
          <w:p w14:paraId="404CDF7A">
            <w:pPr>
              <w:spacing w:line="460" w:lineRule="exact"/>
              <w:ind w:firstLine="480" w:firstLineChars="200"/>
            </w:pPr>
            <w:r>
              <w:t>2、其他污染物环境质量现状监测结果评价</w:t>
            </w:r>
          </w:p>
          <w:p w14:paraId="602617D2">
            <w:pPr>
              <w:spacing w:line="460" w:lineRule="exact"/>
              <w:ind w:firstLine="480" w:firstLineChars="200"/>
            </w:pPr>
            <w:r>
              <w:t xml:space="preserve">（1）监测布点 </w:t>
            </w:r>
          </w:p>
          <w:p w14:paraId="306CBE96">
            <w:pPr>
              <w:spacing w:line="460" w:lineRule="exact"/>
              <w:ind w:firstLine="480" w:firstLineChars="200"/>
            </w:pPr>
            <w:r>
              <w:t>本项目涉及的大气污染物评价因子为</w:t>
            </w:r>
            <w:r>
              <w:rPr>
                <w:rFonts w:hint="eastAsia"/>
              </w:rPr>
              <w:t>T</w:t>
            </w:r>
            <w:r>
              <w:t>SP、苯并[a]芘</w:t>
            </w:r>
            <w:r>
              <w:rPr>
                <w:rFonts w:hint="eastAsia"/>
              </w:rPr>
              <w:t>、非甲烷总烃</w:t>
            </w:r>
            <w:r>
              <w:t>。</w:t>
            </w:r>
          </w:p>
          <w:p w14:paraId="56D85E87">
            <w:pPr>
              <w:spacing w:line="460" w:lineRule="exact"/>
              <w:ind w:firstLine="480" w:firstLineChars="200"/>
            </w:pPr>
            <w:r>
              <w:t>本次环评TSP</w:t>
            </w:r>
            <w:r>
              <w:rPr>
                <w:rFonts w:hint="eastAsia"/>
              </w:rPr>
              <w:t>、非甲烷总烃和</w:t>
            </w:r>
            <w:r>
              <w:t>苯并[a]芘引用</w:t>
            </w:r>
            <w:r>
              <w:rPr>
                <w:rFonts w:ascii="宋体" w:hAnsi="宋体"/>
              </w:rPr>
              <w:t>“</w:t>
            </w:r>
            <w:r>
              <w:t>奇台县喇嘛湖梁新型工业产品加工园区总体规划（2011年-2030年）环境影响跟踪评价</w:t>
            </w:r>
            <w:r>
              <w:rPr>
                <w:rFonts w:ascii="宋体" w:hAnsi="宋体"/>
              </w:rPr>
              <w:t>”</w:t>
            </w:r>
            <w:r>
              <w:t>监测数据，监测单位为新疆锡水金山环境科技有限公司，监测时间为2022年12月23日-12月29日，监测点</w:t>
            </w:r>
            <w:r>
              <w:rPr>
                <w:rFonts w:hint="eastAsia"/>
              </w:rPr>
              <w:t>位为</w:t>
            </w:r>
            <w:r>
              <w:t>八户地牧场村</w:t>
            </w:r>
            <w:r>
              <w:rPr>
                <w:rFonts w:hint="eastAsia"/>
              </w:rPr>
              <w:t>，坐标</w:t>
            </w:r>
            <w:r>
              <w:t>89°37′45.88″E，44°9′23.03″N，距离本项目</w:t>
            </w:r>
            <w:r>
              <w:rPr>
                <w:rFonts w:hint="eastAsia"/>
              </w:rPr>
              <w:t>北侧</w:t>
            </w:r>
            <w:r>
              <w:t>约2km</w:t>
            </w:r>
            <w:r>
              <w:rPr>
                <w:rFonts w:hint="eastAsia"/>
              </w:rPr>
              <w:t>，监测点位图见图3</w:t>
            </w:r>
            <w:r>
              <w:t>-1</w:t>
            </w:r>
            <w:r>
              <w:rPr>
                <w:rFonts w:hint="eastAsia"/>
              </w:rPr>
              <w:t>。</w:t>
            </w:r>
          </w:p>
          <w:p w14:paraId="45AF394F">
            <w:pPr>
              <w:snapToGrid w:val="0"/>
              <w:spacing w:line="460" w:lineRule="exact"/>
              <w:ind w:firstLine="480" w:firstLineChars="200"/>
            </w:pPr>
            <w:r>
              <w:t>（2）监测结果及分析</w:t>
            </w:r>
          </w:p>
          <w:p w14:paraId="6E36647D">
            <w:pPr>
              <w:snapToGrid w:val="0"/>
              <w:spacing w:line="460" w:lineRule="exact"/>
              <w:ind w:firstLine="480" w:firstLineChars="200"/>
            </w:pPr>
            <w:r>
              <w:t>本次</w:t>
            </w:r>
            <w:r>
              <w:rPr>
                <w:rFonts w:hint="eastAsia"/>
              </w:rPr>
              <w:t>监测</w:t>
            </w:r>
            <w:r>
              <w:t>结果见表3-2。</w:t>
            </w:r>
          </w:p>
          <w:p w14:paraId="37B9F29E">
            <w:pPr>
              <w:pStyle w:val="76"/>
              <w:ind w:firstLine="420"/>
              <w:rPr>
                <w:color w:val="auto"/>
              </w:rPr>
            </w:pPr>
            <w:r>
              <w:rPr>
                <w:color w:val="auto"/>
              </w:rPr>
              <w:t>表3-2                  现状监测结果            单位：mg/m</w:t>
            </w:r>
            <w:r>
              <w:rPr>
                <w:color w:val="auto"/>
                <w:vertAlign w:val="superscript"/>
              </w:rPr>
              <w:t>3</w:t>
            </w:r>
          </w:p>
          <w:tbl>
            <w:tblPr>
              <w:tblStyle w:val="24"/>
              <w:tblW w:w="493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16"/>
              <w:gridCol w:w="1539"/>
              <w:gridCol w:w="1298"/>
              <w:gridCol w:w="1229"/>
              <w:gridCol w:w="869"/>
              <w:gridCol w:w="898"/>
            </w:tblGrid>
            <w:tr w14:paraId="31E4DDDD">
              <w:tblPrEx>
                <w:tblCellMar>
                  <w:top w:w="0" w:type="dxa"/>
                  <w:left w:w="108" w:type="dxa"/>
                  <w:bottom w:w="0" w:type="dxa"/>
                  <w:right w:w="108" w:type="dxa"/>
                </w:tblCellMar>
              </w:tblPrEx>
              <w:trPr>
                <w:trHeight w:val="340" w:hRule="atLeast"/>
                <w:jc w:val="center"/>
              </w:trPr>
              <w:tc>
                <w:tcPr>
                  <w:tcW w:w="1008" w:type="dxa"/>
                  <w:tcBorders>
                    <w:top w:val="single" w:color="auto" w:sz="12" w:space="0"/>
                  </w:tcBorders>
                  <w:shd w:val="clear" w:color="auto" w:fill="auto"/>
                  <w:vAlign w:val="center"/>
                </w:tcPr>
                <w:p w14:paraId="739D5DC1">
                  <w:pPr>
                    <w:pStyle w:val="69"/>
                    <w:spacing w:line="240" w:lineRule="auto"/>
                  </w:pPr>
                  <w:r>
                    <w:t>检测项目</w:t>
                  </w:r>
                </w:p>
              </w:tc>
              <w:tc>
                <w:tcPr>
                  <w:tcW w:w="998" w:type="dxa"/>
                  <w:tcBorders>
                    <w:top w:val="single" w:color="auto" w:sz="12" w:space="0"/>
                  </w:tcBorders>
                  <w:shd w:val="clear" w:color="auto" w:fill="auto"/>
                  <w:vAlign w:val="center"/>
                </w:tcPr>
                <w:p w14:paraId="7722A474">
                  <w:pPr>
                    <w:pStyle w:val="69"/>
                    <w:spacing w:line="240" w:lineRule="auto"/>
                  </w:pPr>
                  <w:r>
                    <w:t>监测点位</w:t>
                  </w:r>
                </w:p>
              </w:tc>
              <w:tc>
                <w:tcPr>
                  <w:tcW w:w="1512" w:type="dxa"/>
                  <w:tcBorders>
                    <w:top w:val="single" w:color="auto" w:sz="12" w:space="0"/>
                  </w:tcBorders>
                  <w:shd w:val="clear" w:color="auto" w:fill="auto"/>
                  <w:vAlign w:val="center"/>
                </w:tcPr>
                <w:p w14:paraId="070BF359">
                  <w:pPr>
                    <w:pStyle w:val="69"/>
                    <w:spacing w:line="240" w:lineRule="auto"/>
                  </w:pPr>
                  <w:r>
                    <w:t>检测时间</w:t>
                  </w:r>
                </w:p>
              </w:tc>
              <w:tc>
                <w:tcPr>
                  <w:tcW w:w="1275" w:type="dxa"/>
                  <w:tcBorders>
                    <w:top w:val="single" w:color="auto" w:sz="12" w:space="0"/>
                  </w:tcBorders>
                  <w:shd w:val="clear" w:color="auto" w:fill="auto"/>
                  <w:vAlign w:val="center"/>
                </w:tcPr>
                <w:p w14:paraId="708364E3">
                  <w:pPr>
                    <w:pStyle w:val="69"/>
                    <w:spacing w:line="240" w:lineRule="auto"/>
                  </w:pPr>
                  <w:r>
                    <w:rPr>
                      <w:rFonts w:hint="eastAsia"/>
                    </w:rPr>
                    <w:t>浓度范围</w:t>
                  </w:r>
                </w:p>
                <w:p w14:paraId="7BC24435">
                  <w:pPr>
                    <w:pStyle w:val="69"/>
                    <w:spacing w:line="240" w:lineRule="auto"/>
                  </w:pPr>
                  <w:r>
                    <w:t>（mg/m</w:t>
                  </w:r>
                  <w:r>
                    <w:rPr>
                      <w:vertAlign w:val="superscript"/>
                    </w:rPr>
                    <w:t>3</w:t>
                  </w:r>
                  <w:r>
                    <w:t>）</w:t>
                  </w:r>
                </w:p>
              </w:tc>
              <w:tc>
                <w:tcPr>
                  <w:tcW w:w="1207" w:type="dxa"/>
                  <w:tcBorders>
                    <w:top w:val="single" w:color="auto" w:sz="12" w:space="0"/>
                  </w:tcBorders>
                  <w:shd w:val="clear" w:color="auto" w:fill="auto"/>
                  <w:vAlign w:val="center"/>
                </w:tcPr>
                <w:p w14:paraId="66BFAD3F">
                  <w:pPr>
                    <w:pStyle w:val="69"/>
                    <w:spacing w:line="240" w:lineRule="auto"/>
                  </w:pPr>
                  <w:r>
                    <w:t>评价标准</w:t>
                  </w:r>
                </w:p>
                <w:p w14:paraId="62663DCD">
                  <w:pPr>
                    <w:pStyle w:val="69"/>
                    <w:spacing w:line="240" w:lineRule="auto"/>
                  </w:pPr>
                  <w:r>
                    <w:t>（mg/m</w:t>
                  </w:r>
                  <w:r>
                    <w:rPr>
                      <w:vertAlign w:val="superscript"/>
                    </w:rPr>
                    <w:t>3</w:t>
                  </w:r>
                  <w:r>
                    <w:t>）</w:t>
                  </w:r>
                </w:p>
              </w:tc>
              <w:tc>
                <w:tcPr>
                  <w:tcW w:w="854" w:type="dxa"/>
                  <w:tcBorders>
                    <w:top w:val="single" w:color="auto" w:sz="12" w:space="0"/>
                  </w:tcBorders>
                  <w:vAlign w:val="center"/>
                </w:tcPr>
                <w:p w14:paraId="1BFABD42">
                  <w:pPr>
                    <w:pStyle w:val="69"/>
                    <w:spacing w:line="240" w:lineRule="auto"/>
                  </w:pPr>
                  <w:r>
                    <w:rPr>
                      <w:rFonts w:hint="eastAsia"/>
                    </w:rPr>
                    <w:t>占标率（%）</w:t>
                  </w:r>
                </w:p>
              </w:tc>
              <w:tc>
                <w:tcPr>
                  <w:tcW w:w="881" w:type="dxa"/>
                  <w:tcBorders>
                    <w:top w:val="single" w:color="auto" w:sz="12" w:space="0"/>
                  </w:tcBorders>
                  <w:shd w:val="clear" w:color="auto" w:fill="auto"/>
                  <w:vAlign w:val="center"/>
                </w:tcPr>
                <w:p w14:paraId="075DBB3E">
                  <w:pPr>
                    <w:pStyle w:val="69"/>
                    <w:spacing w:line="240" w:lineRule="auto"/>
                  </w:pPr>
                  <w:r>
                    <w:t>达标</w:t>
                  </w:r>
                  <w:r>
                    <w:rPr>
                      <w:rFonts w:hint="eastAsia"/>
                    </w:rPr>
                    <w:t>情况</w:t>
                  </w:r>
                </w:p>
              </w:tc>
            </w:tr>
            <w:tr w14:paraId="5C7C2B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restart"/>
                  <w:shd w:val="clear" w:color="auto" w:fill="auto"/>
                  <w:vAlign w:val="center"/>
                </w:tcPr>
                <w:p w14:paraId="342044CC">
                  <w:pPr>
                    <w:pStyle w:val="69"/>
                    <w:spacing w:line="240" w:lineRule="auto"/>
                  </w:pPr>
                  <w:r>
                    <w:t>TSP</w:t>
                  </w:r>
                </w:p>
              </w:tc>
              <w:tc>
                <w:tcPr>
                  <w:tcW w:w="998" w:type="dxa"/>
                  <w:vMerge w:val="restart"/>
                  <w:shd w:val="clear" w:color="auto" w:fill="auto"/>
                  <w:vAlign w:val="center"/>
                </w:tcPr>
                <w:p w14:paraId="54FC13F5">
                  <w:pPr>
                    <w:pStyle w:val="69"/>
                    <w:spacing w:line="240" w:lineRule="auto"/>
                  </w:pPr>
                  <w:r>
                    <w:t>八户地牧场村</w:t>
                  </w:r>
                </w:p>
              </w:tc>
              <w:tc>
                <w:tcPr>
                  <w:tcW w:w="1512" w:type="dxa"/>
                  <w:shd w:val="clear" w:color="auto" w:fill="auto"/>
                  <w:vAlign w:val="center"/>
                </w:tcPr>
                <w:p w14:paraId="659693A4">
                  <w:pPr>
                    <w:pStyle w:val="69"/>
                    <w:spacing w:line="240" w:lineRule="auto"/>
                  </w:pPr>
                  <w:r>
                    <w:t>2022.12.23</w:t>
                  </w:r>
                </w:p>
              </w:tc>
              <w:tc>
                <w:tcPr>
                  <w:tcW w:w="1275" w:type="dxa"/>
                  <w:shd w:val="clear" w:color="auto" w:fill="auto"/>
                  <w:vAlign w:val="center"/>
                </w:tcPr>
                <w:p w14:paraId="5CAADB29">
                  <w:pPr>
                    <w:pStyle w:val="69"/>
                    <w:spacing w:line="240" w:lineRule="auto"/>
                  </w:pPr>
                  <w:r>
                    <w:t>0.173</w:t>
                  </w:r>
                </w:p>
              </w:tc>
              <w:tc>
                <w:tcPr>
                  <w:tcW w:w="1207" w:type="dxa"/>
                  <w:vMerge w:val="restart"/>
                  <w:shd w:val="clear" w:color="auto" w:fill="auto"/>
                  <w:vAlign w:val="center"/>
                </w:tcPr>
                <w:p w14:paraId="21A692E8">
                  <w:pPr>
                    <w:pStyle w:val="69"/>
                    <w:spacing w:line="240" w:lineRule="auto"/>
                  </w:pPr>
                  <w:r>
                    <w:t>0.3</w:t>
                  </w:r>
                </w:p>
              </w:tc>
              <w:tc>
                <w:tcPr>
                  <w:tcW w:w="854" w:type="dxa"/>
                  <w:tcBorders>
                    <w:top w:val="nil"/>
                    <w:left w:val="nil"/>
                    <w:bottom w:val="single" w:color="auto" w:sz="8" w:space="0"/>
                    <w:right w:val="single" w:color="auto" w:sz="8" w:space="0"/>
                  </w:tcBorders>
                  <w:shd w:val="clear" w:color="auto" w:fill="auto"/>
                  <w:vAlign w:val="center"/>
                </w:tcPr>
                <w:p w14:paraId="66E4DFA3">
                  <w:pPr>
                    <w:pStyle w:val="69"/>
                    <w:spacing w:line="240" w:lineRule="auto"/>
                  </w:pPr>
                  <w:r>
                    <w:t>0.58</w:t>
                  </w:r>
                </w:p>
              </w:tc>
              <w:tc>
                <w:tcPr>
                  <w:tcW w:w="881" w:type="dxa"/>
                  <w:shd w:val="clear" w:color="auto" w:fill="auto"/>
                  <w:vAlign w:val="center"/>
                </w:tcPr>
                <w:p w14:paraId="0E5E8E0C">
                  <w:pPr>
                    <w:pStyle w:val="69"/>
                    <w:spacing w:line="240" w:lineRule="auto"/>
                  </w:pPr>
                  <w:r>
                    <w:t>达标</w:t>
                  </w:r>
                </w:p>
              </w:tc>
            </w:tr>
            <w:tr w14:paraId="00103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6354027A">
                  <w:pPr>
                    <w:pStyle w:val="69"/>
                    <w:spacing w:line="240" w:lineRule="auto"/>
                  </w:pPr>
                </w:p>
              </w:tc>
              <w:tc>
                <w:tcPr>
                  <w:tcW w:w="998" w:type="dxa"/>
                  <w:vMerge w:val="continue"/>
                  <w:shd w:val="clear" w:color="auto" w:fill="auto"/>
                  <w:vAlign w:val="center"/>
                </w:tcPr>
                <w:p w14:paraId="28EFE467">
                  <w:pPr>
                    <w:pStyle w:val="69"/>
                    <w:spacing w:line="240" w:lineRule="auto"/>
                  </w:pPr>
                </w:p>
              </w:tc>
              <w:tc>
                <w:tcPr>
                  <w:tcW w:w="1512" w:type="dxa"/>
                  <w:shd w:val="clear" w:color="auto" w:fill="auto"/>
                  <w:vAlign w:val="center"/>
                </w:tcPr>
                <w:p w14:paraId="161A1458">
                  <w:pPr>
                    <w:pStyle w:val="69"/>
                    <w:spacing w:line="240" w:lineRule="auto"/>
                  </w:pPr>
                  <w:r>
                    <w:t>2022.12.24</w:t>
                  </w:r>
                </w:p>
              </w:tc>
              <w:tc>
                <w:tcPr>
                  <w:tcW w:w="1275" w:type="dxa"/>
                  <w:shd w:val="clear" w:color="auto" w:fill="auto"/>
                  <w:vAlign w:val="center"/>
                </w:tcPr>
                <w:p w14:paraId="018B2E0B">
                  <w:pPr>
                    <w:pStyle w:val="69"/>
                    <w:spacing w:line="240" w:lineRule="auto"/>
                  </w:pPr>
                  <w:r>
                    <w:rPr>
                      <w:rFonts w:hint="eastAsia"/>
                    </w:rPr>
                    <w:t>0</w:t>
                  </w:r>
                  <w:r>
                    <w:t>.176</w:t>
                  </w:r>
                </w:p>
              </w:tc>
              <w:tc>
                <w:tcPr>
                  <w:tcW w:w="1207" w:type="dxa"/>
                  <w:vMerge w:val="continue"/>
                  <w:shd w:val="clear" w:color="auto" w:fill="auto"/>
                  <w:vAlign w:val="center"/>
                </w:tcPr>
                <w:p w14:paraId="537206B4">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587815C3">
                  <w:pPr>
                    <w:pStyle w:val="69"/>
                    <w:spacing w:line="240" w:lineRule="auto"/>
                  </w:pPr>
                  <w:r>
                    <w:t>0.59</w:t>
                  </w:r>
                </w:p>
              </w:tc>
              <w:tc>
                <w:tcPr>
                  <w:tcW w:w="881" w:type="dxa"/>
                  <w:shd w:val="clear" w:color="auto" w:fill="auto"/>
                  <w:vAlign w:val="center"/>
                </w:tcPr>
                <w:p w14:paraId="11E7AE23">
                  <w:pPr>
                    <w:pStyle w:val="69"/>
                    <w:spacing w:line="240" w:lineRule="auto"/>
                  </w:pPr>
                  <w:r>
                    <w:t>达标</w:t>
                  </w:r>
                </w:p>
              </w:tc>
            </w:tr>
            <w:tr w14:paraId="2E32E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4BE1AF3D">
                  <w:pPr>
                    <w:pStyle w:val="69"/>
                    <w:spacing w:line="240" w:lineRule="auto"/>
                  </w:pPr>
                </w:p>
              </w:tc>
              <w:tc>
                <w:tcPr>
                  <w:tcW w:w="998" w:type="dxa"/>
                  <w:vMerge w:val="continue"/>
                  <w:shd w:val="clear" w:color="auto" w:fill="auto"/>
                  <w:vAlign w:val="center"/>
                </w:tcPr>
                <w:p w14:paraId="2C0C847D">
                  <w:pPr>
                    <w:pStyle w:val="69"/>
                    <w:spacing w:line="240" w:lineRule="auto"/>
                  </w:pPr>
                </w:p>
              </w:tc>
              <w:tc>
                <w:tcPr>
                  <w:tcW w:w="1512" w:type="dxa"/>
                  <w:shd w:val="clear" w:color="auto" w:fill="auto"/>
                  <w:vAlign w:val="center"/>
                </w:tcPr>
                <w:p w14:paraId="77437444">
                  <w:pPr>
                    <w:pStyle w:val="69"/>
                    <w:spacing w:line="240" w:lineRule="auto"/>
                  </w:pPr>
                  <w:r>
                    <w:t>2022.12.25</w:t>
                  </w:r>
                </w:p>
              </w:tc>
              <w:tc>
                <w:tcPr>
                  <w:tcW w:w="1275" w:type="dxa"/>
                  <w:shd w:val="clear" w:color="auto" w:fill="auto"/>
                  <w:vAlign w:val="center"/>
                </w:tcPr>
                <w:p w14:paraId="71D05221">
                  <w:pPr>
                    <w:pStyle w:val="69"/>
                    <w:spacing w:line="240" w:lineRule="auto"/>
                  </w:pPr>
                  <w:r>
                    <w:rPr>
                      <w:rFonts w:hint="eastAsia"/>
                    </w:rPr>
                    <w:t>0</w:t>
                  </w:r>
                  <w:r>
                    <w:t>.171</w:t>
                  </w:r>
                </w:p>
              </w:tc>
              <w:tc>
                <w:tcPr>
                  <w:tcW w:w="1207" w:type="dxa"/>
                  <w:vMerge w:val="continue"/>
                  <w:shd w:val="clear" w:color="auto" w:fill="auto"/>
                  <w:vAlign w:val="center"/>
                </w:tcPr>
                <w:p w14:paraId="5FEBBEE3">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7206F0E4">
                  <w:pPr>
                    <w:pStyle w:val="69"/>
                    <w:spacing w:line="240" w:lineRule="auto"/>
                  </w:pPr>
                  <w:r>
                    <w:t>0.57</w:t>
                  </w:r>
                </w:p>
              </w:tc>
              <w:tc>
                <w:tcPr>
                  <w:tcW w:w="881" w:type="dxa"/>
                  <w:shd w:val="clear" w:color="auto" w:fill="auto"/>
                  <w:vAlign w:val="center"/>
                </w:tcPr>
                <w:p w14:paraId="0F544049">
                  <w:pPr>
                    <w:pStyle w:val="69"/>
                    <w:spacing w:line="240" w:lineRule="auto"/>
                  </w:pPr>
                  <w:r>
                    <w:t>达标</w:t>
                  </w:r>
                </w:p>
              </w:tc>
            </w:tr>
            <w:tr w14:paraId="5189F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32D088D0">
                  <w:pPr>
                    <w:pStyle w:val="69"/>
                    <w:spacing w:line="240" w:lineRule="auto"/>
                  </w:pPr>
                </w:p>
              </w:tc>
              <w:tc>
                <w:tcPr>
                  <w:tcW w:w="998" w:type="dxa"/>
                  <w:vMerge w:val="continue"/>
                  <w:shd w:val="clear" w:color="auto" w:fill="auto"/>
                  <w:vAlign w:val="center"/>
                </w:tcPr>
                <w:p w14:paraId="051D56B4">
                  <w:pPr>
                    <w:pStyle w:val="69"/>
                    <w:spacing w:line="240" w:lineRule="auto"/>
                  </w:pPr>
                </w:p>
              </w:tc>
              <w:tc>
                <w:tcPr>
                  <w:tcW w:w="1512" w:type="dxa"/>
                  <w:shd w:val="clear" w:color="auto" w:fill="auto"/>
                  <w:vAlign w:val="center"/>
                </w:tcPr>
                <w:p w14:paraId="5193E146">
                  <w:pPr>
                    <w:pStyle w:val="69"/>
                    <w:spacing w:line="240" w:lineRule="auto"/>
                  </w:pPr>
                  <w:r>
                    <w:t>2022.12.26</w:t>
                  </w:r>
                </w:p>
              </w:tc>
              <w:tc>
                <w:tcPr>
                  <w:tcW w:w="1275" w:type="dxa"/>
                  <w:shd w:val="clear" w:color="auto" w:fill="auto"/>
                  <w:vAlign w:val="center"/>
                </w:tcPr>
                <w:p w14:paraId="313628E0">
                  <w:pPr>
                    <w:pStyle w:val="69"/>
                    <w:spacing w:line="240" w:lineRule="auto"/>
                  </w:pPr>
                  <w:r>
                    <w:rPr>
                      <w:rFonts w:hint="eastAsia"/>
                    </w:rPr>
                    <w:t>0</w:t>
                  </w:r>
                  <w:r>
                    <w:t>.174</w:t>
                  </w:r>
                </w:p>
              </w:tc>
              <w:tc>
                <w:tcPr>
                  <w:tcW w:w="1207" w:type="dxa"/>
                  <w:vMerge w:val="continue"/>
                  <w:shd w:val="clear" w:color="auto" w:fill="auto"/>
                  <w:vAlign w:val="center"/>
                </w:tcPr>
                <w:p w14:paraId="05CAE92D">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546027FB">
                  <w:pPr>
                    <w:pStyle w:val="69"/>
                    <w:spacing w:line="240" w:lineRule="auto"/>
                  </w:pPr>
                  <w:r>
                    <w:t>0.58</w:t>
                  </w:r>
                </w:p>
              </w:tc>
              <w:tc>
                <w:tcPr>
                  <w:tcW w:w="881" w:type="dxa"/>
                  <w:shd w:val="clear" w:color="auto" w:fill="auto"/>
                  <w:vAlign w:val="center"/>
                </w:tcPr>
                <w:p w14:paraId="07EAB0B6">
                  <w:pPr>
                    <w:pStyle w:val="69"/>
                    <w:spacing w:line="240" w:lineRule="auto"/>
                  </w:pPr>
                  <w:r>
                    <w:t>达标</w:t>
                  </w:r>
                </w:p>
              </w:tc>
            </w:tr>
            <w:tr w14:paraId="17B3EA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41B410C8">
                  <w:pPr>
                    <w:pStyle w:val="69"/>
                    <w:spacing w:line="240" w:lineRule="auto"/>
                  </w:pPr>
                </w:p>
              </w:tc>
              <w:tc>
                <w:tcPr>
                  <w:tcW w:w="998" w:type="dxa"/>
                  <w:vMerge w:val="continue"/>
                  <w:shd w:val="clear" w:color="auto" w:fill="auto"/>
                  <w:vAlign w:val="center"/>
                </w:tcPr>
                <w:p w14:paraId="33F48D37">
                  <w:pPr>
                    <w:pStyle w:val="69"/>
                    <w:spacing w:line="240" w:lineRule="auto"/>
                  </w:pPr>
                </w:p>
              </w:tc>
              <w:tc>
                <w:tcPr>
                  <w:tcW w:w="1512" w:type="dxa"/>
                  <w:shd w:val="clear" w:color="auto" w:fill="auto"/>
                  <w:vAlign w:val="center"/>
                </w:tcPr>
                <w:p w14:paraId="47DA5889">
                  <w:pPr>
                    <w:pStyle w:val="69"/>
                    <w:spacing w:line="240" w:lineRule="auto"/>
                  </w:pPr>
                  <w:r>
                    <w:t>2022.12.27</w:t>
                  </w:r>
                </w:p>
              </w:tc>
              <w:tc>
                <w:tcPr>
                  <w:tcW w:w="1275" w:type="dxa"/>
                  <w:shd w:val="clear" w:color="auto" w:fill="auto"/>
                  <w:vAlign w:val="center"/>
                </w:tcPr>
                <w:p w14:paraId="1E836CA5">
                  <w:pPr>
                    <w:pStyle w:val="69"/>
                    <w:spacing w:line="240" w:lineRule="auto"/>
                  </w:pPr>
                  <w:r>
                    <w:rPr>
                      <w:rFonts w:hint="eastAsia"/>
                    </w:rPr>
                    <w:t>0</w:t>
                  </w:r>
                  <w:r>
                    <w:t>.167</w:t>
                  </w:r>
                </w:p>
              </w:tc>
              <w:tc>
                <w:tcPr>
                  <w:tcW w:w="1207" w:type="dxa"/>
                  <w:vMerge w:val="continue"/>
                  <w:shd w:val="clear" w:color="auto" w:fill="auto"/>
                  <w:vAlign w:val="center"/>
                </w:tcPr>
                <w:p w14:paraId="32EBA67F">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155F2497">
                  <w:pPr>
                    <w:pStyle w:val="69"/>
                    <w:spacing w:line="240" w:lineRule="auto"/>
                  </w:pPr>
                  <w:r>
                    <w:t>0.56</w:t>
                  </w:r>
                </w:p>
              </w:tc>
              <w:tc>
                <w:tcPr>
                  <w:tcW w:w="881" w:type="dxa"/>
                  <w:shd w:val="clear" w:color="auto" w:fill="auto"/>
                  <w:vAlign w:val="center"/>
                </w:tcPr>
                <w:p w14:paraId="7E0B6F25">
                  <w:pPr>
                    <w:pStyle w:val="69"/>
                    <w:spacing w:line="240" w:lineRule="auto"/>
                  </w:pPr>
                  <w:r>
                    <w:t>达标</w:t>
                  </w:r>
                </w:p>
              </w:tc>
            </w:tr>
            <w:tr w14:paraId="25E75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1D9F10AA">
                  <w:pPr>
                    <w:pStyle w:val="69"/>
                    <w:spacing w:line="240" w:lineRule="auto"/>
                  </w:pPr>
                </w:p>
              </w:tc>
              <w:tc>
                <w:tcPr>
                  <w:tcW w:w="998" w:type="dxa"/>
                  <w:vMerge w:val="continue"/>
                  <w:shd w:val="clear" w:color="auto" w:fill="auto"/>
                  <w:vAlign w:val="center"/>
                </w:tcPr>
                <w:p w14:paraId="7A4F0D1D">
                  <w:pPr>
                    <w:pStyle w:val="69"/>
                    <w:spacing w:line="240" w:lineRule="auto"/>
                  </w:pPr>
                </w:p>
              </w:tc>
              <w:tc>
                <w:tcPr>
                  <w:tcW w:w="1512" w:type="dxa"/>
                  <w:shd w:val="clear" w:color="auto" w:fill="auto"/>
                  <w:vAlign w:val="center"/>
                </w:tcPr>
                <w:p w14:paraId="45B71D0D">
                  <w:pPr>
                    <w:pStyle w:val="69"/>
                    <w:spacing w:line="240" w:lineRule="auto"/>
                  </w:pPr>
                  <w:r>
                    <w:t>2022.12.28</w:t>
                  </w:r>
                </w:p>
              </w:tc>
              <w:tc>
                <w:tcPr>
                  <w:tcW w:w="1275" w:type="dxa"/>
                  <w:shd w:val="clear" w:color="auto" w:fill="auto"/>
                  <w:vAlign w:val="center"/>
                </w:tcPr>
                <w:p w14:paraId="1CE25DF5">
                  <w:pPr>
                    <w:pStyle w:val="69"/>
                    <w:spacing w:line="240" w:lineRule="auto"/>
                  </w:pPr>
                  <w:r>
                    <w:rPr>
                      <w:rFonts w:hint="eastAsia"/>
                    </w:rPr>
                    <w:t>0</w:t>
                  </w:r>
                  <w:r>
                    <w:t>.168</w:t>
                  </w:r>
                </w:p>
              </w:tc>
              <w:tc>
                <w:tcPr>
                  <w:tcW w:w="1207" w:type="dxa"/>
                  <w:vMerge w:val="continue"/>
                  <w:shd w:val="clear" w:color="auto" w:fill="auto"/>
                  <w:vAlign w:val="center"/>
                </w:tcPr>
                <w:p w14:paraId="333B3880">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01F35EB2">
                  <w:pPr>
                    <w:pStyle w:val="69"/>
                    <w:spacing w:line="240" w:lineRule="auto"/>
                  </w:pPr>
                  <w:r>
                    <w:t>0.56</w:t>
                  </w:r>
                </w:p>
              </w:tc>
              <w:tc>
                <w:tcPr>
                  <w:tcW w:w="881" w:type="dxa"/>
                  <w:shd w:val="clear" w:color="auto" w:fill="auto"/>
                  <w:vAlign w:val="center"/>
                </w:tcPr>
                <w:p w14:paraId="70847E1F">
                  <w:pPr>
                    <w:pStyle w:val="69"/>
                    <w:spacing w:line="240" w:lineRule="auto"/>
                  </w:pPr>
                  <w:r>
                    <w:t>达标</w:t>
                  </w:r>
                </w:p>
              </w:tc>
            </w:tr>
            <w:tr w14:paraId="15B1CB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63C7CB16">
                  <w:pPr>
                    <w:pStyle w:val="69"/>
                    <w:spacing w:line="240" w:lineRule="auto"/>
                  </w:pPr>
                </w:p>
              </w:tc>
              <w:tc>
                <w:tcPr>
                  <w:tcW w:w="998" w:type="dxa"/>
                  <w:vMerge w:val="continue"/>
                  <w:shd w:val="clear" w:color="auto" w:fill="auto"/>
                  <w:vAlign w:val="center"/>
                </w:tcPr>
                <w:p w14:paraId="02C6FA6A">
                  <w:pPr>
                    <w:pStyle w:val="69"/>
                    <w:spacing w:line="240" w:lineRule="auto"/>
                  </w:pPr>
                </w:p>
              </w:tc>
              <w:tc>
                <w:tcPr>
                  <w:tcW w:w="1512" w:type="dxa"/>
                  <w:shd w:val="clear" w:color="auto" w:fill="auto"/>
                  <w:vAlign w:val="center"/>
                </w:tcPr>
                <w:p w14:paraId="26816BCF">
                  <w:pPr>
                    <w:pStyle w:val="69"/>
                    <w:spacing w:line="240" w:lineRule="auto"/>
                  </w:pPr>
                  <w:r>
                    <w:t>2022.12.29</w:t>
                  </w:r>
                </w:p>
              </w:tc>
              <w:tc>
                <w:tcPr>
                  <w:tcW w:w="1275" w:type="dxa"/>
                  <w:shd w:val="clear" w:color="auto" w:fill="auto"/>
                  <w:vAlign w:val="center"/>
                </w:tcPr>
                <w:p w14:paraId="4E1199A0">
                  <w:pPr>
                    <w:pStyle w:val="69"/>
                    <w:spacing w:line="240" w:lineRule="auto"/>
                  </w:pPr>
                  <w:r>
                    <w:rPr>
                      <w:rFonts w:hint="eastAsia"/>
                    </w:rPr>
                    <w:t>0</w:t>
                  </w:r>
                  <w:r>
                    <w:t>.170</w:t>
                  </w:r>
                </w:p>
              </w:tc>
              <w:tc>
                <w:tcPr>
                  <w:tcW w:w="1207" w:type="dxa"/>
                  <w:vMerge w:val="continue"/>
                  <w:shd w:val="clear" w:color="auto" w:fill="auto"/>
                  <w:vAlign w:val="center"/>
                </w:tcPr>
                <w:p w14:paraId="143F6D2A">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604B9629">
                  <w:pPr>
                    <w:pStyle w:val="69"/>
                    <w:spacing w:line="240" w:lineRule="auto"/>
                  </w:pPr>
                  <w:r>
                    <w:t>0.57</w:t>
                  </w:r>
                </w:p>
              </w:tc>
              <w:tc>
                <w:tcPr>
                  <w:tcW w:w="881" w:type="dxa"/>
                  <w:shd w:val="clear" w:color="auto" w:fill="auto"/>
                  <w:vAlign w:val="center"/>
                </w:tcPr>
                <w:p w14:paraId="4ECC7BAF">
                  <w:pPr>
                    <w:pStyle w:val="69"/>
                    <w:spacing w:line="240" w:lineRule="auto"/>
                  </w:pPr>
                  <w:r>
                    <w:t>达标</w:t>
                  </w:r>
                </w:p>
              </w:tc>
            </w:tr>
            <w:tr w14:paraId="6AEB46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restart"/>
                  <w:shd w:val="clear" w:color="auto" w:fill="auto"/>
                  <w:vAlign w:val="center"/>
                </w:tcPr>
                <w:p w14:paraId="22AE7E44">
                  <w:pPr>
                    <w:pStyle w:val="69"/>
                    <w:spacing w:line="240" w:lineRule="auto"/>
                  </w:pPr>
                  <w:r>
                    <w:t>苯并[a]芘</w:t>
                  </w:r>
                </w:p>
              </w:tc>
              <w:tc>
                <w:tcPr>
                  <w:tcW w:w="998" w:type="dxa"/>
                  <w:vMerge w:val="continue"/>
                  <w:shd w:val="clear" w:color="auto" w:fill="auto"/>
                  <w:vAlign w:val="center"/>
                </w:tcPr>
                <w:p w14:paraId="1B2EB5A5">
                  <w:pPr>
                    <w:pStyle w:val="69"/>
                    <w:spacing w:line="240" w:lineRule="auto"/>
                  </w:pPr>
                </w:p>
              </w:tc>
              <w:tc>
                <w:tcPr>
                  <w:tcW w:w="1512" w:type="dxa"/>
                  <w:shd w:val="clear" w:color="auto" w:fill="auto"/>
                  <w:vAlign w:val="center"/>
                </w:tcPr>
                <w:p w14:paraId="69FB4498">
                  <w:pPr>
                    <w:pStyle w:val="69"/>
                    <w:spacing w:line="240" w:lineRule="auto"/>
                  </w:pPr>
                  <w:r>
                    <w:t>2022.12.23</w:t>
                  </w:r>
                </w:p>
              </w:tc>
              <w:tc>
                <w:tcPr>
                  <w:tcW w:w="1275" w:type="dxa"/>
                  <w:shd w:val="clear" w:color="auto" w:fill="auto"/>
                  <w:vAlign w:val="center"/>
                </w:tcPr>
                <w:p w14:paraId="67836A43">
                  <w:pPr>
                    <w:pStyle w:val="69"/>
                    <w:spacing w:line="240" w:lineRule="auto"/>
                  </w:pPr>
                  <w:r>
                    <w:t>＜0.1×10</w:t>
                  </w:r>
                  <w:r>
                    <w:rPr>
                      <w:vertAlign w:val="superscript"/>
                    </w:rPr>
                    <w:t>-6</w:t>
                  </w:r>
                </w:p>
              </w:tc>
              <w:tc>
                <w:tcPr>
                  <w:tcW w:w="1207" w:type="dxa"/>
                  <w:vMerge w:val="restart"/>
                  <w:shd w:val="clear" w:color="auto" w:fill="auto"/>
                  <w:vAlign w:val="center"/>
                </w:tcPr>
                <w:p w14:paraId="37906D86">
                  <w:pPr>
                    <w:pStyle w:val="69"/>
                    <w:spacing w:line="240" w:lineRule="auto"/>
                  </w:pPr>
                  <w:r>
                    <w:t>2.5×10</w:t>
                  </w:r>
                  <w:r>
                    <w:rPr>
                      <w:vertAlign w:val="superscript"/>
                    </w:rPr>
                    <w:t>-6</w:t>
                  </w:r>
                </w:p>
              </w:tc>
              <w:tc>
                <w:tcPr>
                  <w:tcW w:w="854" w:type="dxa"/>
                  <w:vAlign w:val="center"/>
                </w:tcPr>
                <w:p w14:paraId="24D2BD3E">
                  <w:pPr>
                    <w:pStyle w:val="69"/>
                    <w:spacing w:line="240" w:lineRule="auto"/>
                  </w:pPr>
                  <w:r>
                    <w:rPr>
                      <w:rFonts w:hint="eastAsia"/>
                    </w:rPr>
                    <w:t>/</w:t>
                  </w:r>
                </w:p>
              </w:tc>
              <w:tc>
                <w:tcPr>
                  <w:tcW w:w="881" w:type="dxa"/>
                  <w:shd w:val="clear" w:color="auto" w:fill="auto"/>
                  <w:vAlign w:val="center"/>
                </w:tcPr>
                <w:p w14:paraId="3AC677B6">
                  <w:pPr>
                    <w:pStyle w:val="69"/>
                    <w:spacing w:line="240" w:lineRule="auto"/>
                  </w:pPr>
                  <w:r>
                    <w:t>达标</w:t>
                  </w:r>
                </w:p>
              </w:tc>
            </w:tr>
            <w:tr w14:paraId="196649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6BF37F8B">
                  <w:pPr>
                    <w:pStyle w:val="69"/>
                    <w:spacing w:line="240" w:lineRule="auto"/>
                  </w:pPr>
                </w:p>
              </w:tc>
              <w:tc>
                <w:tcPr>
                  <w:tcW w:w="998" w:type="dxa"/>
                  <w:vMerge w:val="continue"/>
                  <w:shd w:val="clear" w:color="auto" w:fill="auto"/>
                  <w:vAlign w:val="center"/>
                </w:tcPr>
                <w:p w14:paraId="7770F96B">
                  <w:pPr>
                    <w:pStyle w:val="69"/>
                    <w:spacing w:line="240" w:lineRule="auto"/>
                  </w:pPr>
                </w:p>
              </w:tc>
              <w:tc>
                <w:tcPr>
                  <w:tcW w:w="1512" w:type="dxa"/>
                  <w:shd w:val="clear" w:color="auto" w:fill="auto"/>
                  <w:vAlign w:val="center"/>
                </w:tcPr>
                <w:p w14:paraId="441D7CE0">
                  <w:pPr>
                    <w:pStyle w:val="69"/>
                    <w:spacing w:line="240" w:lineRule="auto"/>
                  </w:pPr>
                  <w:r>
                    <w:t>2022.12.24</w:t>
                  </w:r>
                </w:p>
              </w:tc>
              <w:tc>
                <w:tcPr>
                  <w:tcW w:w="1275" w:type="dxa"/>
                  <w:shd w:val="clear" w:color="auto" w:fill="auto"/>
                  <w:vAlign w:val="center"/>
                </w:tcPr>
                <w:p w14:paraId="3A4C72B8">
                  <w:pPr>
                    <w:pStyle w:val="69"/>
                    <w:spacing w:line="240" w:lineRule="auto"/>
                  </w:pPr>
                  <w:r>
                    <w:t>＜0.1×10</w:t>
                  </w:r>
                  <w:r>
                    <w:rPr>
                      <w:vertAlign w:val="superscript"/>
                    </w:rPr>
                    <w:t>-6</w:t>
                  </w:r>
                </w:p>
              </w:tc>
              <w:tc>
                <w:tcPr>
                  <w:tcW w:w="1207" w:type="dxa"/>
                  <w:vMerge w:val="continue"/>
                  <w:shd w:val="clear" w:color="auto" w:fill="auto"/>
                  <w:vAlign w:val="center"/>
                </w:tcPr>
                <w:p w14:paraId="21D9D26A">
                  <w:pPr>
                    <w:pStyle w:val="69"/>
                    <w:spacing w:line="240" w:lineRule="auto"/>
                  </w:pPr>
                </w:p>
              </w:tc>
              <w:tc>
                <w:tcPr>
                  <w:tcW w:w="854" w:type="dxa"/>
                  <w:vAlign w:val="center"/>
                </w:tcPr>
                <w:p w14:paraId="3C69F09E">
                  <w:pPr>
                    <w:pStyle w:val="69"/>
                    <w:spacing w:line="240" w:lineRule="auto"/>
                  </w:pPr>
                  <w:r>
                    <w:rPr>
                      <w:rFonts w:hint="eastAsia"/>
                    </w:rPr>
                    <w:t>/</w:t>
                  </w:r>
                </w:p>
              </w:tc>
              <w:tc>
                <w:tcPr>
                  <w:tcW w:w="881" w:type="dxa"/>
                  <w:shd w:val="clear" w:color="auto" w:fill="auto"/>
                  <w:vAlign w:val="center"/>
                </w:tcPr>
                <w:p w14:paraId="4740BB82">
                  <w:pPr>
                    <w:pStyle w:val="69"/>
                    <w:spacing w:line="240" w:lineRule="auto"/>
                  </w:pPr>
                  <w:r>
                    <w:t>达标</w:t>
                  </w:r>
                </w:p>
              </w:tc>
            </w:tr>
            <w:tr w14:paraId="5E2FE6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16AF984C">
                  <w:pPr>
                    <w:pStyle w:val="69"/>
                    <w:spacing w:line="240" w:lineRule="auto"/>
                  </w:pPr>
                </w:p>
              </w:tc>
              <w:tc>
                <w:tcPr>
                  <w:tcW w:w="998" w:type="dxa"/>
                  <w:vMerge w:val="continue"/>
                  <w:shd w:val="clear" w:color="auto" w:fill="auto"/>
                  <w:vAlign w:val="center"/>
                </w:tcPr>
                <w:p w14:paraId="69725168">
                  <w:pPr>
                    <w:pStyle w:val="69"/>
                    <w:spacing w:line="240" w:lineRule="auto"/>
                  </w:pPr>
                </w:p>
              </w:tc>
              <w:tc>
                <w:tcPr>
                  <w:tcW w:w="1512" w:type="dxa"/>
                  <w:shd w:val="clear" w:color="auto" w:fill="auto"/>
                  <w:vAlign w:val="center"/>
                </w:tcPr>
                <w:p w14:paraId="61A9ECA7">
                  <w:pPr>
                    <w:pStyle w:val="69"/>
                    <w:spacing w:line="240" w:lineRule="auto"/>
                  </w:pPr>
                  <w:r>
                    <w:t>2022.12.25</w:t>
                  </w:r>
                </w:p>
              </w:tc>
              <w:tc>
                <w:tcPr>
                  <w:tcW w:w="1275" w:type="dxa"/>
                  <w:shd w:val="clear" w:color="auto" w:fill="auto"/>
                  <w:vAlign w:val="center"/>
                </w:tcPr>
                <w:p w14:paraId="4EE8B5C2">
                  <w:pPr>
                    <w:pStyle w:val="69"/>
                    <w:spacing w:line="240" w:lineRule="auto"/>
                  </w:pPr>
                  <w:r>
                    <w:t>＜0.1×10</w:t>
                  </w:r>
                  <w:r>
                    <w:rPr>
                      <w:vertAlign w:val="superscript"/>
                    </w:rPr>
                    <w:t>-6</w:t>
                  </w:r>
                </w:p>
              </w:tc>
              <w:tc>
                <w:tcPr>
                  <w:tcW w:w="1207" w:type="dxa"/>
                  <w:vMerge w:val="continue"/>
                  <w:shd w:val="clear" w:color="auto" w:fill="auto"/>
                  <w:vAlign w:val="center"/>
                </w:tcPr>
                <w:p w14:paraId="5091AD51">
                  <w:pPr>
                    <w:pStyle w:val="69"/>
                    <w:spacing w:line="240" w:lineRule="auto"/>
                  </w:pPr>
                </w:p>
              </w:tc>
              <w:tc>
                <w:tcPr>
                  <w:tcW w:w="854" w:type="dxa"/>
                  <w:vAlign w:val="center"/>
                </w:tcPr>
                <w:p w14:paraId="7FB2CE18">
                  <w:pPr>
                    <w:pStyle w:val="69"/>
                    <w:spacing w:line="240" w:lineRule="auto"/>
                  </w:pPr>
                  <w:r>
                    <w:rPr>
                      <w:rFonts w:hint="eastAsia"/>
                    </w:rPr>
                    <w:t>/</w:t>
                  </w:r>
                </w:p>
              </w:tc>
              <w:tc>
                <w:tcPr>
                  <w:tcW w:w="881" w:type="dxa"/>
                  <w:shd w:val="clear" w:color="auto" w:fill="auto"/>
                  <w:vAlign w:val="center"/>
                </w:tcPr>
                <w:p w14:paraId="09996E7A">
                  <w:pPr>
                    <w:pStyle w:val="69"/>
                    <w:spacing w:line="240" w:lineRule="auto"/>
                  </w:pPr>
                  <w:r>
                    <w:t>达标</w:t>
                  </w:r>
                </w:p>
              </w:tc>
            </w:tr>
            <w:tr w14:paraId="637ABE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6C14EC0B">
                  <w:pPr>
                    <w:pStyle w:val="69"/>
                    <w:spacing w:line="240" w:lineRule="auto"/>
                  </w:pPr>
                </w:p>
              </w:tc>
              <w:tc>
                <w:tcPr>
                  <w:tcW w:w="998" w:type="dxa"/>
                  <w:vMerge w:val="continue"/>
                  <w:shd w:val="clear" w:color="auto" w:fill="auto"/>
                  <w:vAlign w:val="center"/>
                </w:tcPr>
                <w:p w14:paraId="79B05036">
                  <w:pPr>
                    <w:pStyle w:val="69"/>
                    <w:spacing w:line="240" w:lineRule="auto"/>
                  </w:pPr>
                </w:p>
              </w:tc>
              <w:tc>
                <w:tcPr>
                  <w:tcW w:w="1512" w:type="dxa"/>
                  <w:shd w:val="clear" w:color="auto" w:fill="auto"/>
                  <w:vAlign w:val="center"/>
                </w:tcPr>
                <w:p w14:paraId="7C022F4F">
                  <w:pPr>
                    <w:pStyle w:val="69"/>
                    <w:spacing w:line="240" w:lineRule="auto"/>
                  </w:pPr>
                  <w:r>
                    <w:t>2022.12.26</w:t>
                  </w:r>
                </w:p>
              </w:tc>
              <w:tc>
                <w:tcPr>
                  <w:tcW w:w="1275" w:type="dxa"/>
                  <w:shd w:val="clear" w:color="auto" w:fill="auto"/>
                  <w:vAlign w:val="center"/>
                </w:tcPr>
                <w:p w14:paraId="7ADDE81A">
                  <w:pPr>
                    <w:pStyle w:val="69"/>
                    <w:spacing w:line="240" w:lineRule="auto"/>
                  </w:pPr>
                  <w:r>
                    <w:t>＜0.1×10</w:t>
                  </w:r>
                  <w:r>
                    <w:rPr>
                      <w:vertAlign w:val="superscript"/>
                    </w:rPr>
                    <w:t>-6</w:t>
                  </w:r>
                </w:p>
              </w:tc>
              <w:tc>
                <w:tcPr>
                  <w:tcW w:w="1207" w:type="dxa"/>
                  <w:vMerge w:val="continue"/>
                  <w:shd w:val="clear" w:color="auto" w:fill="auto"/>
                  <w:vAlign w:val="center"/>
                </w:tcPr>
                <w:p w14:paraId="2E1E17C5">
                  <w:pPr>
                    <w:pStyle w:val="69"/>
                    <w:spacing w:line="240" w:lineRule="auto"/>
                  </w:pPr>
                </w:p>
              </w:tc>
              <w:tc>
                <w:tcPr>
                  <w:tcW w:w="854" w:type="dxa"/>
                  <w:vAlign w:val="center"/>
                </w:tcPr>
                <w:p w14:paraId="5382B0D0">
                  <w:pPr>
                    <w:pStyle w:val="69"/>
                    <w:spacing w:line="240" w:lineRule="auto"/>
                  </w:pPr>
                  <w:r>
                    <w:rPr>
                      <w:rFonts w:hint="eastAsia"/>
                    </w:rPr>
                    <w:t>/</w:t>
                  </w:r>
                </w:p>
              </w:tc>
              <w:tc>
                <w:tcPr>
                  <w:tcW w:w="881" w:type="dxa"/>
                  <w:shd w:val="clear" w:color="auto" w:fill="auto"/>
                  <w:vAlign w:val="center"/>
                </w:tcPr>
                <w:p w14:paraId="57C60A01">
                  <w:pPr>
                    <w:pStyle w:val="69"/>
                    <w:spacing w:line="240" w:lineRule="auto"/>
                  </w:pPr>
                  <w:r>
                    <w:t>达标</w:t>
                  </w:r>
                </w:p>
              </w:tc>
            </w:tr>
            <w:tr w14:paraId="70405E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181AA952">
                  <w:pPr>
                    <w:pStyle w:val="69"/>
                    <w:spacing w:line="240" w:lineRule="auto"/>
                  </w:pPr>
                </w:p>
              </w:tc>
              <w:tc>
                <w:tcPr>
                  <w:tcW w:w="998" w:type="dxa"/>
                  <w:vMerge w:val="continue"/>
                  <w:shd w:val="clear" w:color="auto" w:fill="auto"/>
                  <w:vAlign w:val="center"/>
                </w:tcPr>
                <w:p w14:paraId="51DE60EA">
                  <w:pPr>
                    <w:pStyle w:val="69"/>
                    <w:spacing w:line="240" w:lineRule="auto"/>
                  </w:pPr>
                </w:p>
              </w:tc>
              <w:tc>
                <w:tcPr>
                  <w:tcW w:w="1512" w:type="dxa"/>
                  <w:shd w:val="clear" w:color="auto" w:fill="auto"/>
                  <w:vAlign w:val="center"/>
                </w:tcPr>
                <w:p w14:paraId="5B38DEB4">
                  <w:pPr>
                    <w:pStyle w:val="69"/>
                    <w:spacing w:line="240" w:lineRule="auto"/>
                  </w:pPr>
                  <w:r>
                    <w:t>2022.12.27</w:t>
                  </w:r>
                </w:p>
              </w:tc>
              <w:tc>
                <w:tcPr>
                  <w:tcW w:w="1275" w:type="dxa"/>
                  <w:shd w:val="clear" w:color="auto" w:fill="auto"/>
                  <w:vAlign w:val="center"/>
                </w:tcPr>
                <w:p w14:paraId="2FC4763C">
                  <w:pPr>
                    <w:pStyle w:val="69"/>
                    <w:spacing w:line="240" w:lineRule="auto"/>
                  </w:pPr>
                  <w:r>
                    <w:t>＜0.1×10</w:t>
                  </w:r>
                  <w:r>
                    <w:rPr>
                      <w:vertAlign w:val="superscript"/>
                    </w:rPr>
                    <w:t>-6</w:t>
                  </w:r>
                </w:p>
              </w:tc>
              <w:tc>
                <w:tcPr>
                  <w:tcW w:w="1207" w:type="dxa"/>
                  <w:vMerge w:val="continue"/>
                  <w:shd w:val="clear" w:color="auto" w:fill="auto"/>
                  <w:vAlign w:val="center"/>
                </w:tcPr>
                <w:p w14:paraId="1EF8A348">
                  <w:pPr>
                    <w:pStyle w:val="69"/>
                    <w:spacing w:line="240" w:lineRule="auto"/>
                  </w:pPr>
                </w:p>
              </w:tc>
              <w:tc>
                <w:tcPr>
                  <w:tcW w:w="854" w:type="dxa"/>
                  <w:vAlign w:val="center"/>
                </w:tcPr>
                <w:p w14:paraId="439CBF92">
                  <w:pPr>
                    <w:pStyle w:val="69"/>
                    <w:spacing w:line="240" w:lineRule="auto"/>
                  </w:pPr>
                  <w:r>
                    <w:rPr>
                      <w:rFonts w:hint="eastAsia"/>
                    </w:rPr>
                    <w:t>/</w:t>
                  </w:r>
                </w:p>
              </w:tc>
              <w:tc>
                <w:tcPr>
                  <w:tcW w:w="881" w:type="dxa"/>
                  <w:shd w:val="clear" w:color="auto" w:fill="auto"/>
                  <w:vAlign w:val="center"/>
                </w:tcPr>
                <w:p w14:paraId="6F6E29A4">
                  <w:pPr>
                    <w:pStyle w:val="69"/>
                    <w:spacing w:line="240" w:lineRule="auto"/>
                  </w:pPr>
                  <w:r>
                    <w:t>达标</w:t>
                  </w:r>
                </w:p>
              </w:tc>
            </w:tr>
            <w:tr w14:paraId="4AF539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525CA29C">
                  <w:pPr>
                    <w:pStyle w:val="69"/>
                    <w:spacing w:line="240" w:lineRule="auto"/>
                  </w:pPr>
                </w:p>
              </w:tc>
              <w:tc>
                <w:tcPr>
                  <w:tcW w:w="998" w:type="dxa"/>
                  <w:vMerge w:val="continue"/>
                  <w:shd w:val="clear" w:color="auto" w:fill="auto"/>
                  <w:vAlign w:val="center"/>
                </w:tcPr>
                <w:p w14:paraId="46D714E3">
                  <w:pPr>
                    <w:pStyle w:val="69"/>
                    <w:spacing w:line="240" w:lineRule="auto"/>
                  </w:pPr>
                </w:p>
              </w:tc>
              <w:tc>
                <w:tcPr>
                  <w:tcW w:w="1512" w:type="dxa"/>
                  <w:shd w:val="clear" w:color="auto" w:fill="auto"/>
                  <w:vAlign w:val="center"/>
                </w:tcPr>
                <w:p w14:paraId="4449169D">
                  <w:pPr>
                    <w:pStyle w:val="69"/>
                    <w:spacing w:line="240" w:lineRule="auto"/>
                  </w:pPr>
                  <w:r>
                    <w:t>2022.12.28</w:t>
                  </w:r>
                </w:p>
              </w:tc>
              <w:tc>
                <w:tcPr>
                  <w:tcW w:w="1275" w:type="dxa"/>
                  <w:shd w:val="clear" w:color="auto" w:fill="auto"/>
                  <w:vAlign w:val="center"/>
                </w:tcPr>
                <w:p w14:paraId="42F5702F">
                  <w:pPr>
                    <w:pStyle w:val="69"/>
                    <w:spacing w:line="240" w:lineRule="auto"/>
                  </w:pPr>
                  <w:r>
                    <w:t>＜0.1×10</w:t>
                  </w:r>
                  <w:r>
                    <w:rPr>
                      <w:vertAlign w:val="superscript"/>
                    </w:rPr>
                    <w:t>-6</w:t>
                  </w:r>
                </w:p>
              </w:tc>
              <w:tc>
                <w:tcPr>
                  <w:tcW w:w="1207" w:type="dxa"/>
                  <w:vMerge w:val="continue"/>
                  <w:shd w:val="clear" w:color="auto" w:fill="auto"/>
                  <w:vAlign w:val="center"/>
                </w:tcPr>
                <w:p w14:paraId="5CDD8B2C">
                  <w:pPr>
                    <w:pStyle w:val="69"/>
                    <w:spacing w:line="240" w:lineRule="auto"/>
                  </w:pPr>
                </w:p>
              </w:tc>
              <w:tc>
                <w:tcPr>
                  <w:tcW w:w="854" w:type="dxa"/>
                  <w:vAlign w:val="center"/>
                </w:tcPr>
                <w:p w14:paraId="3A30F77E">
                  <w:pPr>
                    <w:pStyle w:val="69"/>
                    <w:spacing w:line="240" w:lineRule="auto"/>
                  </w:pPr>
                  <w:r>
                    <w:rPr>
                      <w:rFonts w:hint="eastAsia"/>
                    </w:rPr>
                    <w:t>/</w:t>
                  </w:r>
                </w:p>
              </w:tc>
              <w:tc>
                <w:tcPr>
                  <w:tcW w:w="881" w:type="dxa"/>
                  <w:shd w:val="clear" w:color="auto" w:fill="auto"/>
                  <w:vAlign w:val="center"/>
                </w:tcPr>
                <w:p w14:paraId="039374D1">
                  <w:pPr>
                    <w:pStyle w:val="69"/>
                    <w:spacing w:line="240" w:lineRule="auto"/>
                  </w:pPr>
                  <w:r>
                    <w:t>达标</w:t>
                  </w:r>
                </w:p>
              </w:tc>
            </w:tr>
            <w:tr w14:paraId="4733D4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3BF83CBA">
                  <w:pPr>
                    <w:pStyle w:val="69"/>
                    <w:spacing w:line="240" w:lineRule="auto"/>
                  </w:pPr>
                </w:p>
              </w:tc>
              <w:tc>
                <w:tcPr>
                  <w:tcW w:w="998" w:type="dxa"/>
                  <w:vMerge w:val="continue"/>
                  <w:shd w:val="clear" w:color="auto" w:fill="auto"/>
                  <w:vAlign w:val="center"/>
                </w:tcPr>
                <w:p w14:paraId="3D3E802A">
                  <w:pPr>
                    <w:pStyle w:val="69"/>
                    <w:spacing w:line="240" w:lineRule="auto"/>
                  </w:pPr>
                </w:p>
              </w:tc>
              <w:tc>
                <w:tcPr>
                  <w:tcW w:w="1512" w:type="dxa"/>
                  <w:shd w:val="clear" w:color="auto" w:fill="auto"/>
                  <w:vAlign w:val="center"/>
                </w:tcPr>
                <w:p w14:paraId="21C7A7DF">
                  <w:pPr>
                    <w:pStyle w:val="69"/>
                    <w:spacing w:line="240" w:lineRule="auto"/>
                  </w:pPr>
                  <w:r>
                    <w:t>2022.12.29</w:t>
                  </w:r>
                </w:p>
              </w:tc>
              <w:tc>
                <w:tcPr>
                  <w:tcW w:w="1275" w:type="dxa"/>
                  <w:shd w:val="clear" w:color="auto" w:fill="auto"/>
                  <w:vAlign w:val="center"/>
                </w:tcPr>
                <w:p w14:paraId="037FDCF9">
                  <w:pPr>
                    <w:pStyle w:val="69"/>
                    <w:spacing w:line="240" w:lineRule="auto"/>
                  </w:pPr>
                  <w:r>
                    <w:t>＜0.1×10</w:t>
                  </w:r>
                  <w:r>
                    <w:rPr>
                      <w:vertAlign w:val="superscript"/>
                    </w:rPr>
                    <w:t>-6</w:t>
                  </w:r>
                </w:p>
              </w:tc>
              <w:tc>
                <w:tcPr>
                  <w:tcW w:w="1207" w:type="dxa"/>
                  <w:vMerge w:val="continue"/>
                  <w:shd w:val="clear" w:color="auto" w:fill="auto"/>
                  <w:vAlign w:val="center"/>
                </w:tcPr>
                <w:p w14:paraId="5B4CF075">
                  <w:pPr>
                    <w:pStyle w:val="69"/>
                    <w:spacing w:line="240" w:lineRule="auto"/>
                  </w:pPr>
                </w:p>
              </w:tc>
              <w:tc>
                <w:tcPr>
                  <w:tcW w:w="854" w:type="dxa"/>
                  <w:vAlign w:val="center"/>
                </w:tcPr>
                <w:p w14:paraId="31B19498">
                  <w:pPr>
                    <w:pStyle w:val="69"/>
                    <w:spacing w:line="240" w:lineRule="auto"/>
                  </w:pPr>
                  <w:r>
                    <w:rPr>
                      <w:rFonts w:hint="eastAsia"/>
                    </w:rPr>
                    <w:t>/</w:t>
                  </w:r>
                </w:p>
              </w:tc>
              <w:tc>
                <w:tcPr>
                  <w:tcW w:w="881" w:type="dxa"/>
                  <w:shd w:val="clear" w:color="auto" w:fill="auto"/>
                  <w:vAlign w:val="center"/>
                </w:tcPr>
                <w:p w14:paraId="049E47C4">
                  <w:pPr>
                    <w:pStyle w:val="69"/>
                    <w:spacing w:line="240" w:lineRule="auto"/>
                  </w:pPr>
                  <w:r>
                    <w:t>达标</w:t>
                  </w:r>
                </w:p>
              </w:tc>
            </w:tr>
            <w:tr w14:paraId="5D64C6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restart"/>
                  <w:shd w:val="clear" w:color="auto" w:fill="auto"/>
                  <w:vAlign w:val="center"/>
                </w:tcPr>
                <w:p w14:paraId="0DB57586">
                  <w:pPr>
                    <w:pStyle w:val="69"/>
                    <w:spacing w:line="240" w:lineRule="auto"/>
                  </w:pPr>
                  <w:r>
                    <w:rPr>
                      <w:rFonts w:hint="eastAsia"/>
                    </w:rPr>
                    <w:t>非甲烷总烃</w:t>
                  </w:r>
                </w:p>
              </w:tc>
              <w:tc>
                <w:tcPr>
                  <w:tcW w:w="998" w:type="dxa"/>
                  <w:vMerge w:val="continue"/>
                  <w:shd w:val="clear" w:color="auto" w:fill="auto"/>
                  <w:vAlign w:val="center"/>
                </w:tcPr>
                <w:p w14:paraId="056A5526">
                  <w:pPr>
                    <w:pStyle w:val="69"/>
                    <w:spacing w:line="240" w:lineRule="auto"/>
                  </w:pPr>
                </w:p>
              </w:tc>
              <w:tc>
                <w:tcPr>
                  <w:tcW w:w="1512" w:type="dxa"/>
                  <w:shd w:val="clear" w:color="auto" w:fill="auto"/>
                  <w:vAlign w:val="center"/>
                </w:tcPr>
                <w:p w14:paraId="5B514082">
                  <w:pPr>
                    <w:pStyle w:val="69"/>
                    <w:spacing w:line="240" w:lineRule="auto"/>
                  </w:pPr>
                  <w:r>
                    <w:t>2022.12.23</w:t>
                  </w:r>
                </w:p>
              </w:tc>
              <w:tc>
                <w:tcPr>
                  <w:tcW w:w="1275" w:type="dxa"/>
                  <w:shd w:val="clear" w:color="auto" w:fill="auto"/>
                  <w:vAlign w:val="center"/>
                </w:tcPr>
                <w:p w14:paraId="5724B3C9">
                  <w:pPr>
                    <w:pStyle w:val="69"/>
                    <w:spacing w:line="240" w:lineRule="auto"/>
                  </w:pPr>
                  <w:r>
                    <w:t>0.62~</w:t>
                  </w:r>
                  <w:r>
                    <w:rPr>
                      <w:rFonts w:hint="eastAsia"/>
                    </w:rPr>
                    <w:t>0</w:t>
                  </w:r>
                  <w:r>
                    <w:t>.68</w:t>
                  </w:r>
                </w:p>
              </w:tc>
              <w:tc>
                <w:tcPr>
                  <w:tcW w:w="1207" w:type="dxa"/>
                  <w:vMerge w:val="restart"/>
                  <w:shd w:val="clear" w:color="auto" w:fill="auto"/>
                  <w:vAlign w:val="center"/>
                </w:tcPr>
                <w:p w14:paraId="361209D3">
                  <w:pPr>
                    <w:pStyle w:val="69"/>
                    <w:spacing w:line="240" w:lineRule="auto"/>
                  </w:pPr>
                  <w:r>
                    <w:rPr>
                      <w:rFonts w:hint="eastAsia"/>
                    </w:rPr>
                    <w:t>2</w:t>
                  </w:r>
                  <w:r>
                    <w:t>.0</w:t>
                  </w:r>
                </w:p>
              </w:tc>
              <w:tc>
                <w:tcPr>
                  <w:tcW w:w="854" w:type="dxa"/>
                  <w:tcBorders>
                    <w:top w:val="nil"/>
                    <w:left w:val="nil"/>
                    <w:bottom w:val="single" w:color="auto" w:sz="8" w:space="0"/>
                    <w:right w:val="single" w:color="auto" w:sz="8" w:space="0"/>
                  </w:tcBorders>
                  <w:shd w:val="clear" w:color="auto" w:fill="auto"/>
                  <w:vAlign w:val="center"/>
                </w:tcPr>
                <w:p w14:paraId="6D0FBB64">
                  <w:pPr>
                    <w:pStyle w:val="69"/>
                    <w:spacing w:line="240" w:lineRule="auto"/>
                  </w:pPr>
                  <w:r>
                    <w:t>0.34</w:t>
                  </w:r>
                </w:p>
              </w:tc>
              <w:tc>
                <w:tcPr>
                  <w:tcW w:w="881" w:type="dxa"/>
                  <w:shd w:val="clear" w:color="auto" w:fill="auto"/>
                  <w:vAlign w:val="center"/>
                </w:tcPr>
                <w:p w14:paraId="0F94E012">
                  <w:pPr>
                    <w:pStyle w:val="69"/>
                    <w:spacing w:line="240" w:lineRule="auto"/>
                  </w:pPr>
                  <w:r>
                    <w:t>达标</w:t>
                  </w:r>
                </w:p>
              </w:tc>
            </w:tr>
            <w:tr w14:paraId="2374AA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3D276209">
                  <w:pPr>
                    <w:pStyle w:val="69"/>
                    <w:spacing w:line="240" w:lineRule="auto"/>
                  </w:pPr>
                </w:p>
              </w:tc>
              <w:tc>
                <w:tcPr>
                  <w:tcW w:w="998" w:type="dxa"/>
                  <w:vMerge w:val="continue"/>
                  <w:shd w:val="clear" w:color="auto" w:fill="auto"/>
                  <w:vAlign w:val="center"/>
                </w:tcPr>
                <w:p w14:paraId="2AE8D9C6">
                  <w:pPr>
                    <w:pStyle w:val="69"/>
                    <w:spacing w:line="240" w:lineRule="auto"/>
                  </w:pPr>
                </w:p>
              </w:tc>
              <w:tc>
                <w:tcPr>
                  <w:tcW w:w="1512" w:type="dxa"/>
                  <w:shd w:val="clear" w:color="auto" w:fill="auto"/>
                  <w:vAlign w:val="center"/>
                </w:tcPr>
                <w:p w14:paraId="41F746FD">
                  <w:pPr>
                    <w:pStyle w:val="69"/>
                    <w:spacing w:line="240" w:lineRule="auto"/>
                  </w:pPr>
                  <w:r>
                    <w:t>2022.12.24</w:t>
                  </w:r>
                </w:p>
              </w:tc>
              <w:tc>
                <w:tcPr>
                  <w:tcW w:w="1275" w:type="dxa"/>
                  <w:shd w:val="clear" w:color="auto" w:fill="auto"/>
                  <w:vAlign w:val="center"/>
                </w:tcPr>
                <w:p w14:paraId="466B2B61">
                  <w:pPr>
                    <w:pStyle w:val="69"/>
                    <w:spacing w:line="240" w:lineRule="auto"/>
                  </w:pPr>
                  <w:r>
                    <w:t>0.53~</w:t>
                  </w:r>
                  <w:r>
                    <w:rPr>
                      <w:rFonts w:hint="eastAsia"/>
                    </w:rPr>
                    <w:t>0</w:t>
                  </w:r>
                  <w:r>
                    <w:t>.69</w:t>
                  </w:r>
                </w:p>
              </w:tc>
              <w:tc>
                <w:tcPr>
                  <w:tcW w:w="1207" w:type="dxa"/>
                  <w:vMerge w:val="continue"/>
                  <w:shd w:val="clear" w:color="auto" w:fill="auto"/>
                  <w:vAlign w:val="center"/>
                </w:tcPr>
                <w:p w14:paraId="186C0F6B">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049833EC">
                  <w:pPr>
                    <w:pStyle w:val="69"/>
                    <w:spacing w:line="240" w:lineRule="auto"/>
                    <w:rPr>
                      <w:rStyle w:val="30"/>
                      <w:snapToGrid/>
                      <w:kern w:val="0"/>
                      <w:szCs w:val="20"/>
                    </w:rPr>
                  </w:pPr>
                  <w:r>
                    <w:t>0.35</w:t>
                  </w:r>
                </w:p>
              </w:tc>
              <w:tc>
                <w:tcPr>
                  <w:tcW w:w="881" w:type="dxa"/>
                  <w:shd w:val="clear" w:color="auto" w:fill="auto"/>
                  <w:vAlign w:val="center"/>
                </w:tcPr>
                <w:p w14:paraId="5E0C931D">
                  <w:pPr>
                    <w:pStyle w:val="69"/>
                    <w:spacing w:line="240" w:lineRule="auto"/>
                  </w:pPr>
                  <w:r>
                    <w:t>达标</w:t>
                  </w:r>
                </w:p>
              </w:tc>
            </w:tr>
            <w:tr w14:paraId="13510B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2D343515">
                  <w:pPr>
                    <w:pStyle w:val="69"/>
                    <w:spacing w:line="240" w:lineRule="auto"/>
                  </w:pPr>
                </w:p>
              </w:tc>
              <w:tc>
                <w:tcPr>
                  <w:tcW w:w="998" w:type="dxa"/>
                  <w:vMerge w:val="continue"/>
                  <w:shd w:val="clear" w:color="auto" w:fill="auto"/>
                  <w:vAlign w:val="center"/>
                </w:tcPr>
                <w:p w14:paraId="46E53C32">
                  <w:pPr>
                    <w:pStyle w:val="69"/>
                    <w:spacing w:line="240" w:lineRule="auto"/>
                  </w:pPr>
                </w:p>
              </w:tc>
              <w:tc>
                <w:tcPr>
                  <w:tcW w:w="1512" w:type="dxa"/>
                  <w:shd w:val="clear" w:color="auto" w:fill="auto"/>
                  <w:vAlign w:val="center"/>
                </w:tcPr>
                <w:p w14:paraId="634334A3">
                  <w:pPr>
                    <w:pStyle w:val="69"/>
                    <w:spacing w:line="240" w:lineRule="auto"/>
                  </w:pPr>
                  <w:r>
                    <w:t>2022.12.25</w:t>
                  </w:r>
                </w:p>
              </w:tc>
              <w:tc>
                <w:tcPr>
                  <w:tcW w:w="1275" w:type="dxa"/>
                  <w:shd w:val="clear" w:color="auto" w:fill="auto"/>
                  <w:vAlign w:val="center"/>
                </w:tcPr>
                <w:p w14:paraId="24472F54">
                  <w:pPr>
                    <w:pStyle w:val="69"/>
                    <w:spacing w:line="240" w:lineRule="auto"/>
                  </w:pPr>
                  <w:r>
                    <w:rPr>
                      <w:rFonts w:hint="eastAsia"/>
                    </w:rPr>
                    <w:t>0</w:t>
                  </w:r>
                  <w:r>
                    <w:t>.64~0.70</w:t>
                  </w:r>
                </w:p>
              </w:tc>
              <w:tc>
                <w:tcPr>
                  <w:tcW w:w="1207" w:type="dxa"/>
                  <w:vMerge w:val="continue"/>
                  <w:shd w:val="clear" w:color="auto" w:fill="auto"/>
                  <w:vAlign w:val="center"/>
                </w:tcPr>
                <w:p w14:paraId="59EF6263">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4F9E44A2">
                  <w:pPr>
                    <w:pStyle w:val="69"/>
                    <w:spacing w:line="240" w:lineRule="auto"/>
                    <w:rPr>
                      <w:rStyle w:val="30"/>
                      <w:snapToGrid/>
                      <w:kern w:val="0"/>
                      <w:szCs w:val="20"/>
                    </w:rPr>
                  </w:pPr>
                  <w:r>
                    <w:t>0.35</w:t>
                  </w:r>
                </w:p>
              </w:tc>
              <w:tc>
                <w:tcPr>
                  <w:tcW w:w="881" w:type="dxa"/>
                  <w:shd w:val="clear" w:color="auto" w:fill="auto"/>
                  <w:vAlign w:val="center"/>
                </w:tcPr>
                <w:p w14:paraId="05BBDE6F">
                  <w:pPr>
                    <w:pStyle w:val="69"/>
                    <w:spacing w:line="240" w:lineRule="auto"/>
                  </w:pPr>
                  <w:r>
                    <w:t>达标</w:t>
                  </w:r>
                </w:p>
              </w:tc>
            </w:tr>
            <w:tr w14:paraId="70514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11F17A07">
                  <w:pPr>
                    <w:pStyle w:val="69"/>
                    <w:spacing w:line="240" w:lineRule="auto"/>
                  </w:pPr>
                </w:p>
              </w:tc>
              <w:tc>
                <w:tcPr>
                  <w:tcW w:w="998" w:type="dxa"/>
                  <w:vMerge w:val="continue"/>
                  <w:shd w:val="clear" w:color="auto" w:fill="auto"/>
                  <w:vAlign w:val="center"/>
                </w:tcPr>
                <w:p w14:paraId="77E30906">
                  <w:pPr>
                    <w:pStyle w:val="69"/>
                    <w:spacing w:line="240" w:lineRule="auto"/>
                  </w:pPr>
                </w:p>
              </w:tc>
              <w:tc>
                <w:tcPr>
                  <w:tcW w:w="1512" w:type="dxa"/>
                  <w:shd w:val="clear" w:color="auto" w:fill="auto"/>
                  <w:vAlign w:val="center"/>
                </w:tcPr>
                <w:p w14:paraId="5BDE2B02">
                  <w:pPr>
                    <w:pStyle w:val="69"/>
                    <w:spacing w:line="240" w:lineRule="auto"/>
                  </w:pPr>
                  <w:r>
                    <w:t>2022.12.26</w:t>
                  </w:r>
                </w:p>
              </w:tc>
              <w:tc>
                <w:tcPr>
                  <w:tcW w:w="1275" w:type="dxa"/>
                  <w:shd w:val="clear" w:color="auto" w:fill="auto"/>
                  <w:vAlign w:val="center"/>
                </w:tcPr>
                <w:p w14:paraId="7524C111">
                  <w:pPr>
                    <w:pStyle w:val="69"/>
                    <w:spacing w:line="240" w:lineRule="auto"/>
                  </w:pPr>
                  <w:r>
                    <w:rPr>
                      <w:rFonts w:hint="eastAsia"/>
                    </w:rPr>
                    <w:t>0</w:t>
                  </w:r>
                  <w:r>
                    <w:t>.70~0.76</w:t>
                  </w:r>
                </w:p>
              </w:tc>
              <w:tc>
                <w:tcPr>
                  <w:tcW w:w="1207" w:type="dxa"/>
                  <w:vMerge w:val="continue"/>
                  <w:shd w:val="clear" w:color="auto" w:fill="auto"/>
                  <w:vAlign w:val="center"/>
                </w:tcPr>
                <w:p w14:paraId="1E0FA51C">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593DE76E">
                  <w:pPr>
                    <w:pStyle w:val="69"/>
                    <w:spacing w:line="240" w:lineRule="auto"/>
                    <w:rPr>
                      <w:rStyle w:val="30"/>
                      <w:snapToGrid/>
                      <w:kern w:val="0"/>
                      <w:szCs w:val="20"/>
                    </w:rPr>
                  </w:pPr>
                  <w:r>
                    <w:t>0.38</w:t>
                  </w:r>
                </w:p>
              </w:tc>
              <w:tc>
                <w:tcPr>
                  <w:tcW w:w="881" w:type="dxa"/>
                  <w:shd w:val="clear" w:color="auto" w:fill="auto"/>
                  <w:vAlign w:val="center"/>
                </w:tcPr>
                <w:p w14:paraId="36E45302">
                  <w:pPr>
                    <w:pStyle w:val="69"/>
                    <w:spacing w:line="240" w:lineRule="auto"/>
                  </w:pPr>
                  <w:r>
                    <w:t>达标</w:t>
                  </w:r>
                </w:p>
              </w:tc>
            </w:tr>
            <w:tr w14:paraId="62AF7B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79D4FFA9">
                  <w:pPr>
                    <w:pStyle w:val="69"/>
                    <w:spacing w:line="240" w:lineRule="auto"/>
                  </w:pPr>
                </w:p>
              </w:tc>
              <w:tc>
                <w:tcPr>
                  <w:tcW w:w="998" w:type="dxa"/>
                  <w:vMerge w:val="continue"/>
                  <w:shd w:val="clear" w:color="auto" w:fill="auto"/>
                  <w:vAlign w:val="center"/>
                </w:tcPr>
                <w:p w14:paraId="7B60F099">
                  <w:pPr>
                    <w:pStyle w:val="69"/>
                    <w:spacing w:line="240" w:lineRule="auto"/>
                  </w:pPr>
                </w:p>
              </w:tc>
              <w:tc>
                <w:tcPr>
                  <w:tcW w:w="1512" w:type="dxa"/>
                  <w:shd w:val="clear" w:color="auto" w:fill="auto"/>
                  <w:vAlign w:val="center"/>
                </w:tcPr>
                <w:p w14:paraId="50FB27AD">
                  <w:pPr>
                    <w:pStyle w:val="69"/>
                    <w:spacing w:line="240" w:lineRule="auto"/>
                  </w:pPr>
                  <w:r>
                    <w:t>2022.12.27</w:t>
                  </w:r>
                </w:p>
              </w:tc>
              <w:tc>
                <w:tcPr>
                  <w:tcW w:w="1275" w:type="dxa"/>
                  <w:shd w:val="clear" w:color="auto" w:fill="auto"/>
                  <w:vAlign w:val="center"/>
                </w:tcPr>
                <w:p w14:paraId="4E2DE8B2">
                  <w:pPr>
                    <w:pStyle w:val="69"/>
                    <w:spacing w:line="240" w:lineRule="auto"/>
                  </w:pPr>
                  <w:r>
                    <w:rPr>
                      <w:rFonts w:hint="eastAsia"/>
                    </w:rPr>
                    <w:t>0</w:t>
                  </w:r>
                  <w:r>
                    <w:t>.79~0.98</w:t>
                  </w:r>
                </w:p>
              </w:tc>
              <w:tc>
                <w:tcPr>
                  <w:tcW w:w="1207" w:type="dxa"/>
                  <w:vMerge w:val="continue"/>
                  <w:shd w:val="clear" w:color="auto" w:fill="auto"/>
                  <w:vAlign w:val="center"/>
                </w:tcPr>
                <w:p w14:paraId="5244CE21">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34A49D2F">
                  <w:pPr>
                    <w:pStyle w:val="69"/>
                    <w:spacing w:line="240" w:lineRule="auto"/>
                    <w:rPr>
                      <w:rStyle w:val="30"/>
                      <w:snapToGrid/>
                      <w:kern w:val="0"/>
                      <w:szCs w:val="20"/>
                    </w:rPr>
                  </w:pPr>
                  <w:r>
                    <w:t>0.49</w:t>
                  </w:r>
                </w:p>
              </w:tc>
              <w:tc>
                <w:tcPr>
                  <w:tcW w:w="881" w:type="dxa"/>
                  <w:shd w:val="clear" w:color="auto" w:fill="auto"/>
                  <w:vAlign w:val="center"/>
                </w:tcPr>
                <w:p w14:paraId="2A2EDBB5">
                  <w:pPr>
                    <w:pStyle w:val="69"/>
                    <w:spacing w:line="240" w:lineRule="auto"/>
                  </w:pPr>
                  <w:r>
                    <w:t>达标</w:t>
                  </w:r>
                </w:p>
              </w:tc>
            </w:tr>
            <w:tr w14:paraId="3A125F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Merge w:val="continue"/>
                  <w:shd w:val="clear" w:color="auto" w:fill="auto"/>
                  <w:vAlign w:val="center"/>
                </w:tcPr>
                <w:p w14:paraId="07CBB7C5">
                  <w:pPr>
                    <w:pStyle w:val="69"/>
                    <w:spacing w:line="240" w:lineRule="auto"/>
                  </w:pPr>
                </w:p>
              </w:tc>
              <w:tc>
                <w:tcPr>
                  <w:tcW w:w="998" w:type="dxa"/>
                  <w:vMerge w:val="continue"/>
                  <w:shd w:val="clear" w:color="auto" w:fill="auto"/>
                  <w:vAlign w:val="center"/>
                </w:tcPr>
                <w:p w14:paraId="2D55AD73">
                  <w:pPr>
                    <w:pStyle w:val="69"/>
                    <w:spacing w:line="240" w:lineRule="auto"/>
                  </w:pPr>
                </w:p>
              </w:tc>
              <w:tc>
                <w:tcPr>
                  <w:tcW w:w="1512" w:type="dxa"/>
                  <w:shd w:val="clear" w:color="auto" w:fill="auto"/>
                  <w:vAlign w:val="center"/>
                </w:tcPr>
                <w:p w14:paraId="4AEBE70C">
                  <w:pPr>
                    <w:pStyle w:val="69"/>
                    <w:spacing w:line="240" w:lineRule="auto"/>
                  </w:pPr>
                  <w:r>
                    <w:t>2022.12.28</w:t>
                  </w:r>
                </w:p>
              </w:tc>
              <w:tc>
                <w:tcPr>
                  <w:tcW w:w="1275" w:type="dxa"/>
                  <w:shd w:val="clear" w:color="auto" w:fill="auto"/>
                  <w:vAlign w:val="center"/>
                </w:tcPr>
                <w:p w14:paraId="570BA222">
                  <w:pPr>
                    <w:pStyle w:val="69"/>
                    <w:spacing w:line="240" w:lineRule="auto"/>
                  </w:pPr>
                  <w:r>
                    <w:rPr>
                      <w:rFonts w:hint="eastAsia"/>
                    </w:rPr>
                    <w:t>0</w:t>
                  </w:r>
                  <w:r>
                    <w:t>.53~0.60</w:t>
                  </w:r>
                </w:p>
              </w:tc>
              <w:tc>
                <w:tcPr>
                  <w:tcW w:w="1207" w:type="dxa"/>
                  <w:vMerge w:val="continue"/>
                  <w:shd w:val="clear" w:color="auto" w:fill="auto"/>
                  <w:vAlign w:val="center"/>
                </w:tcPr>
                <w:p w14:paraId="7457C5F8">
                  <w:pPr>
                    <w:pStyle w:val="69"/>
                    <w:spacing w:line="240" w:lineRule="auto"/>
                  </w:pPr>
                </w:p>
              </w:tc>
              <w:tc>
                <w:tcPr>
                  <w:tcW w:w="854" w:type="dxa"/>
                  <w:tcBorders>
                    <w:top w:val="nil"/>
                    <w:left w:val="nil"/>
                    <w:bottom w:val="single" w:color="auto" w:sz="8" w:space="0"/>
                    <w:right w:val="single" w:color="auto" w:sz="8" w:space="0"/>
                  </w:tcBorders>
                  <w:shd w:val="clear" w:color="auto" w:fill="auto"/>
                  <w:vAlign w:val="center"/>
                </w:tcPr>
                <w:p w14:paraId="6652B034">
                  <w:pPr>
                    <w:pStyle w:val="69"/>
                    <w:spacing w:line="240" w:lineRule="auto"/>
                    <w:rPr>
                      <w:rStyle w:val="30"/>
                      <w:snapToGrid/>
                      <w:kern w:val="0"/>
                      <w:szCs w:val="20"/>
                    </w:rPr>
                  </w:pPr>
                  <w:r>
                    <w:t>0.30</w:t>
                  </w:r>
                </w:p>
              </w:tc>
              <w:tc>
                <w:tcPr>
                  <w:tcW w:w="881" w:type="dxa"/>
                  <w:shd w:val="clear" w:color="auto" w:fill="auto"/>
                  <w:vAlign w:val="center"/>
                </w:tcPr>
                <w:p w14:paraId="0D3EB780">
                  <w:pPr>
                    <w:pStyle w:val="69"/>
                    <w:spacing w:line="240" w:lineRule="auto"/>
                  </w:pPr>
                  <w:r>
                    <w:t>达标</w:t>
                  </w:r>
                </w:p>
              </w:tc>
            </w:tr>
            <w:tr w14:paraId="5C3861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008" w:type="dxa"/>
                  <w:vMerge w:val="continue"/>
                  <w:tcBorders>
                    <w:bottom w:val="single" w:color="auto" w:sz="12" w:space="0"/>
                  </w:tcBorders>
                  <w:shd w:val="clear" w:color="auto" w:fill="auto"/>
                  <w:vAlign w:val="center"/>
                </w:tcPr>
                <w:p w14:paraId="65653EEC">
                  <w:pPr>
                    <w:pStyle w:val="69"/>
                    <w:spacing w:line="240" w:lineRule="auto"/>
                  </w:pPr>
                </w:p>
              </w:tc>
              <w:tc>
                <w:tcPr>
                  <w:tcW w:w="998" w:type="dxa"/>
                  <w:vMerge w:val="continue"/>
                  <w:tcBorders>
                    <w:bottom w:val="single" w:color="auto" w:sz="12" w:space="0"/>
                  </w:tcBorders>
                  <w:shd w:val="clear" w:color="auto" w:fill="auto"/>
                  <w:vAlign w:val="center"/>
                </w:tcPr>
                <w:p w14:paraId="782BE38F">
                  <w:pPr>
                    <w:pStyle w:val="69"/>
                    <w:spacing w:line="240" w:lineRule="auto"/>
                  </w:pPr>
                </w:p>
              </w:tc>
              <w:tc>
                <w:tcPr>
                  <w:tcW w:w="1512" w:type="dxa"/>
                  <w:tcBorders>
                    <w:bottom w:val="single" w:color="auto" w:sz="12" w:space="0"/>
                  </w:tcBorders>
                  <w:shd w:val="clear" w:color="auto" w:fill="auto"/>
                  <w:vAlign w:val="center"/>
                </w:tcPr>
                <w:p w14:paraId="46C5E082">
                  <w:pPr>
                    <w:pStyle w:val="69"/>
                    <w:spacing w:line="240" w:lineRule="auto"/>
                  </w:pPr>
                  <w:r>
                    <w:t>2022.12.29</w:t>
                  </w:r>
                </w:p>
              </w:tc>
              <w:tc>
                <w:tcPr>
                  <w:tcW w:w="1275" w:type="dxa"/>
                  <w:tcBorders>
                    <w:bottom w:val="single" w:color="auto" w:sz="12" w:space="0"/>
                  </w:tcBorders>
                  <w:shd w:val="clear" w:color="auto" w:fill="auto"/>
                  <w:vAlign w:val="center"/>
                </w:tcPr>
                <w:p w14:paraId="3042A2EF">
                  <w:pPr>
                    <w:pStyle w:val="69"/>
                    <w:spacing w:line="240" w:lineRule="auto"/>
                  </w:pPr>
                  <w:r>
                    <w:rPr>
                      <w:rFonts w:hint="eastAsia"/>
                    </w:rPr>
                    <w:t>0</w:t>
                  </w:r>
                  <w:r>
                    <w:t>.55~0.61</w:t>
                  </w:r>
                </w:p>
              </w:tc>
              <w:tc>
                <w:tcPr>
                  <w:tcW w:w="1207" w:type="dxa"/>
                  <w:vMerge w:val="continue"/>
                  <w:tcBorders>
                    <w:bottom w:val="single" w:color="auto" w:sz="12" w:space="0"/>
                  </w:tcBorders>
                  <w:shd w:val="clear" w:color="auto" w:fill="auto"/>
                  <w:vAlign w:val="center"/>
                </w:tcPr>
                <w:p w14:paraId="07717E26">
                  <w:pPr>
                    <w:pStyle w:val="69"/>
                    <w:spacing w:line="240" w:lineRule="auto"/>
                  </w:pPr>
                </w:p>
              </w:tc>
              <w:tc>
                <w:tcPr>
                  <w:tcW w:w="854" w:type="dxa"/>
                  <w:tcBorders>
                    <w:top w:val="nil"/>
                    <w:left w:val="nil"/>
                    <w:bottom w:val="single" w:color="auto" w:sz="12" w:space="0"/>
                    <w:right w:val="single" w:color="auto" w:sz="8" w:space="0"/>
                  </w:tcBorders>
                  <w:shd w:val="clear" w:color="auto" w:fill="auto"/>
                  <w:vAlign w:val="center"/>
                </w:tcPr>
                <w:p w14:paraId="28012AAF">
                  <w:pPr>
                    <w:pStyle w:val="69"/>
                    <w:spacing w:line="240" w:lineRule="auto"/>
                    <w:rPr>
                      <w:rStyle w:val="30"/>
                      <w:snapToGrid/>
                      <w:kern w:val="0"/>
                      <w:szCs w:val="20"/>
                    </w:rPr>
                  </w:pPr>
                  <w:r>
                    <w:t>0.31</w:t>
                  </w:r>
                </w:p>
              </w:tc>
              <w:tc>
                <w:tcPr>
                  <w:tcW w:w="881" w:type="dxa"/>
                  <w:tcBorders>
                    <w:bottom w:val="single" w:color="auto" w:sz="12" w:space="0"/>
                  </w:tcBorders>
                  <w:shd w:val="clear" w:color="auto" w:fill="auto"/>
                  <w:vAlign w:val="center"/>
                </w:tcPr>
                <w:p w14:paraId="4FCF3BDD">
                  <w:pPr>
                    <w:pStyle w:val="69"/>
                    <w:spacing w:line="240" w:lineRule="auto"/>
                  </w:pPr>
                  <w:r>
                    <w:t>达标</w:t>
                  </w:r>
                </w:p>
              </w:tc>
            </w:tr>
          </w:tbl>
          <w:p w14:paraId="1E453EE3">
            <w:pPr>
              <w:pStyle w:val="69"/>
              <w:spacing w:line="460" w:lineRule="exact"/>
              <w:ind w:firstLine="480" w:firstLineChars="200"/>
              <w:jc w:val="both"/>
              <w:rPr>
                <w:snapToGrid/>
                <w:sz w:val="24"/>
                <w:szCs w:val="24"/>
              </w:rPr>
            </w:pPr>
            <w:r>
              <w:rPr>
                <w:sz w:val="24"/>
                <w:szCs w:val="24"/>
              </w:rPr>
              <w:t>由监测结果可知，TSP</w:t>
            </w:r>
            <w:r>
              <w:rPr>
                <w:rFonts w:hint="eastAsia"/>
                <w:sz w:val="24"/>
                <w:szCs w:val="24"/>
              </w:rPr>
              <w:t>和</w:t>
            </w:r>
            <w:r>
              <w:rPr>
                <w:sz w:val="24"/>
                <w:szCs w:val="24"/>
              </w:rPr>
              <w:t>苯并[a]芘</w:t>
            </w:r>
            <w:r>
              <w:rPr>
                <w:rFonts w:hint="eastAsia"/>
                <w:sz w:val="24"/>
                <w:szCs w:val="24"/>
              </w:rPr>
              <w:t>日均浓度</w:t>
            </w:r>
            <w:r>
              <w:rPr>
                <w:sz w:val="24"/>
                <w:szCs w:val="24"/>
              </w:rPr>
              <w:t>符合《环境空气质量标准》（GB3095-2012）中</w:t>
            </w:r>
            <w:r>
              <w:rPr>
                <w:rFonts w:hint="eastAsia"/>
                <w:sz w:val="24"/>
                <w:szCs w:val="24"/>
              </w:rPr>
              <w:t>表</w:t>
            </w:r>
            <w:r>
              <w:rPr>
                <w:sz w:val="24"/>
                <w:szCs w:val="24"/>
              </w:rPr>
              <w:t>2二级标准</w:t>
            </w:r>
            <w:r>
              <w:rPr>
                <w:rFonts w:hint="eastAsia"/>
                <w:sz w:val="24"/>
                <w:szCs w:val="24"/>
              </w:rPr>
              <w:t>浓度限值要求</w:t>
            </w:r>
            <w:r>
              <w:rPr>
                <w:sz w:val="24"/>
                <w:szCs w:val="24"/>
              </w:rPr>
              <w:t>。</w:t>
            </w:r>
            <w:r>
              <w:rPr>
                <w:rFonts w:hint="eastAsia"/>
                <w:sz w:val="24"/>
                <w:szCs w:val="24"/>
              </w:rPr>
              <w:t>非甲烷总烃</w:t>
            </w:r>
            <w:r>
              <w:rPr>
                <w:rFonts w:hint="eastAsia"/>
                <w:snapToGrid/>
                <w:sz w:val="24"/>
                <w:szCs w:val="24"/>
              </w:rPr>
              <w:t>1小时浓度值满足《大气污染物综合排放标准详解》中的环境管理推荐限值。</w:t>
            </w:r>
          </w:p>
          <w:p w14:paraId="4CA6AE90">
            <w:pPr>
              <w:pStyle w:val="69"/>
              <w:spacing w:line="460" w:lineRule="exact"/>
              <w:ind w:firstLine="482" w:firstLineChars="200"/>
              <w:jc w:val="both"/>
              <w:rPr>
                <w:b/>
                <w:bCs/>
                <w:sz w:val="24"/>
                <w:szCs w:val="24"/>
              </w:rPr>
            </w:pPr>
            <w:r>
              <w:rPr>
                <w:b/>
                <w:bCs/>
                <w:sz w:val="24"/>
                <w:szCs w:val="24"/>
              </w:rPr>
              <w:t>2、地表水环境质量现状</w:t>
            </w:r>
          </w:p>
          <w:p w14:paraId="3183B22A">
            <w:pPr>
              <w:pStyle w:val="69"/>
              <w:spacing w:line="460" w:lineRule="exact"/>
              <w:ind w:firstLine="480" w:firstLineChars="200"/>
              <w:jc w:val="both"/>
              <w:rPr>
                <w:sz w:val="24"/>
                <w:szCs w:val="24"/>
              </w:rPr>
            </w:pPr>
            <w:r>
              <w:rPr>
                <w:sz w:val="24"/>
                <w:szCs w:val="24"/>
              </w:rPr>
              <w:t>本项目生产废水经沉淀后循环利用，不外排；生活污水排入下水管网，最终进入奇台县喇嘛湖梁工业园区污水处理厂处理，与本项目周边的地表水不发生直接的水力关系，且本项目附近没有地表水体分布，根据《环境影响评价技术导则地表水环境》（HJ2.3-2018）中相关要求，判定本项目地表水环境影响评价等级为三级B。因此，本项目可不开展地表水环境质量现状调查。</w:t>
            </w:r>
          </w:p>
          <w:p w14:paraId="2456C5A8">
            <w:pPr>
              <w:pStyle w:val="69"/>
              <w:spacing w:line="460" w:lineRule="exact"/>
              <w:ind w:firstLine="482" w:firstLineChars="200"/>
              <w:jc w:val="both"/>
              <w:rPr>
                <w:b/>
                <w:bCs/>
                <w:sz w:val="24"/>
                <w:szCs w:val="24"/>
              </w:rPr>
            </w:pPr>
            <w:r>
              <w:rPr>
                <w:b/>
                <w:bCs/>
                <w:sz w:val="24"/>
                <w:szCs w:val="24"/>
              </w:rPr>
              <w:t>3、声环境质量现状</w:t>
            </w:r>
          </w:p>
          <w:p w14:paraId="2FE9940D">
            <w:pPr>
              <w:pStyle w:val="69"/>
              <w:spacing w:line="460" w:lineRule="exact"/>
              <w:ind w:firstLine="480" w:firstLineChars="200"/>
              <w:jc w:val="both"/>
              <w:rPr>
                <w:sz w:val="24"/>
                <w:szCs w:val="24"/>
              </w:rPr>
            </w:pPr>
            <w:r>
              <w:rPr>
                <w:sz w:val="24"/>
                <w:szCs w:val="24"/>
              </w:rPr>
              <w:t>根据《建设项目环境影响报告表编制技术指南（污染影响类）</w:t>
            </w:r>
            <w:r>
              <w:rPr>
                <w:rFonts w:hint="eastAsia"/>
                <w:sz w:val="24"/>
                <w:szCs w:val="24"/>
              </w:rPr>
              <w:t>（试行）</w:t>
            </w:r>
            <w:r>
              <w:rPr>
                <w:sz w:val="24"/>
                <w:szCs w:val="24"/>
              </w:rPr>
              <w:t>》中区域环境质量现状评价要求：厂界外周边50m范围内存在声环境保护目标的建设项目，应监测保护目标声环境质量现状并评价达标情况。根据现场勘查，项目厂界外周边50m范围内无声环境保护目标，因此本项目可不开展声环境现状调查与评价。</w:t>
            </w:r>
          </w:p>
          <w:p w14:paraId="2EE17E48">
            <w:pPr>
              <w:pStyle w:val="69"/>
              <w:spacing w:line="460" w:lineRule="exact"/>
              <w:ind w:firstLine="482" w:firstLineChars="200"/>
              <w:jc w:val="both"/>
              <w:rPr>
                <w:b/>
                <w:bCs/>
                <w:sz w:val="24"/>
                <w:szCs w:val="24"/>
              </w:rPr>
            </w:pPr>
            <w:r>
              <w:rPr>
                <w:b/>
                <w:bCs/>
                <w:sz w:val="24"/>
                <w:szCs w:val="24"/>
              </w:rPr>
              <w:t>4、生态环境质量现状</w:t>
            </w:r>
          </w:p>
          <w:p w14:paraId="0F123965">
            <w:pPr>
              <w:pStyle w:val="69"/>
              <w:spacing w:line="460" w:lineRule="exact"/>
              <w:ind w:firstLine="480" w:firstLineChars="200"/>
              <w:jc w:val="both"/>
              <w:rPr>
                <w:sz w:val="24"/>
                <w:szCs w:val="24"/>
              </w:rPr>
            </w:pPr>
            <w:r>
              <w:rPr>
                <w:rFonts w:hint="eastAsia"/>
                <w:sz w:val="24"/>
                <w:szCs w:val="24"/>
              </w:rPr>
              <w:t>根据《建设项目环境影响报告表编制技术指南（污染影响类）（试行）》：产业园区外建设项目新增用地且用地范围内含有生态环境保护目标时，应进行生态现状调查。本项目位于园区内，用地范围内无生态环境保护目标，本次评价不进行生态环境质量现状调查。</w:t>
            </w:r>
          </w:p>
          <w:p w14:paraId="3CFC709D">
            <w:pPr>
              <w:pStyle w:val="69"/>
              <w:spacing w:line="460" w:lineRule="exact"/>
              <w:ind w:firstLine="482" w:firstLineChars="200"/>
              <w:jc w:val="both"/>
              <w:rPr>
                <w:b/>
                <w:bCs/>
                <w:sz w:val="24"/>
                <w:szCs w:val="24"/>
              </w:rPr>
            </w:pPr>
            <w:r>
              <w:rPr>
                <w:b/>
                <w:bCs/>
                <w:sz w:val="24"/>
                <w:szCs w:val="24"/>
              </w:rPr>
              <w:t>5、地下水、土壤环境质量现状</w:t>
            </w:r>
          </w:p>
          <w:p w14:paraId="3B791CF0">
            <w:pPr>
              <w:pStyle w:val="69"/>
              <w:spacing w:line="460" w:lineRule="exact"/>
              <w:ind w:firstLine="480" w:firstLineChars="200"/>
              <w:jc w:val="both"/>
              <w:rPr>
                <w:sz w:val="24"/>
                <w:szCs w:val="24"/>
              </w:rPr>
            </w:pPr>
            <w:r>
              <w:rPr>
                <w:sz w:val="24"/>
                <w:szCs w:val="24"/>
              </w:rPr>
              <w:t>根据《建设项目环境影响报告表编制技术指南（污染影响类）（试行）》中相关要求：原则上不开展环境质量现状调查。建设项目存在地下水环境污染途径的，应结合污染源、保护目标分布情况开展现状调查。</w:t>
            </w:r>
          </w:p>
          <w:p w14:paraId="3057FE3A">
            <w:pPr>
              <w:pStyle w:val="69"/>
              <w:spacing w:line="460" w:lineRule="exact"/>
              <w:ind w:firstLine="480" w:firstLineChars="200"/>
              <w:jc w:val="both"/>
              <w:rPr>
                <w:sz w:val="24"/>
                <w:szCs w:val="24"/>
              </w:rPr>
            </w:pPr>
            <w:r>
              <w:rPr>
                <w:sz w:val="24"/>
                <w:szCs w:val="24"/>
              </w:rPr>
              <w:t>本项目运营期不存在地下水和土壤环境污染途径，不开展地下水和土壤环境影响评价工作。</w:t>
            </w:r>
          </w:p>
        </w:tc>
      </w:tr>
      <w:tr w14:paraId="4FDB0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105800A0">
            <w:pPr>
              <w:adjustRightInd w:val="0"/>
              <w:snapToGrid w:val="0"/>
              <w:jc w:val="center"/>
              <w:rPr>
                <w:kern w:val="0"/>
                <w:szCs w:val="21"/>
              </w:rPr>
            </w:pPr>
            <w:r>
              <w:rPr>
                <w:kern w:val="0"/>
                <w:szCs w:val="21"/>
              </w:rPr>
              <w:t>环境</w:t>
            </w:r>
          </w:p>
          <w:p w14:paraId="1B1CA7FC">
            <w:pPr>
              <w:adjustRightInd w:val="0"/>
              <w:snapToGrid w:val="0"/>
              <w:jc w:val="center"/>
              <w:rPr>
                <w:kern w:val="0"/>
                <w:szCs w:val="21"/>
              </w:rPr>
            </w:pPr>
            <w:r>
              <w:rPr>
                <w:kern w:val="0"/>
                <w:szCs w:val="21"/>
              </w:rPr>
              <w:t>保护</w:t>
            </w:r>
          </w:p>
          <w:p w14:paraId="35652851">
            <w:pPr>
              <w:adjustRightInd w:val="0"/>
              <w:snapToGrid w:val="0"/>
              <w:jc w:val="center"/>
              <w:rPr>
                <w:kern w:val="0"/>
                <w:szCs w:val="21"/>
              </w:rPr>
            </w:pPr>
            <w:r>
              <w:rPr>
                <w:kern w:val="0"/>
                <w:szCs w:val="21"/>
              </w:rPr>
              <w:t>目标</w:t>
            </w:r>
          </w:p>
        </w:tc>
        <w:tc>
          <w:tcPr>
            <w:tcW w:w="8190" w:type="dxa"/>
            <w:vAlign w:val="center"/>
          </w:tcPr>
          <w:p w14:paraId="04C886FE">
            <w:pPr>
              <w:pStyle w:val="69"/>
              <w:spacing w:line="460" w:lineRule="exact"/>
              <w:ind w:left="482"/>
              <w:jc w:val="both"/>
              <w:rPr>
                <w:b/>
                <w:bCs/>
                <w:sz w:val="24"/>
                <w:szCs w:val="24"/>
              </w:rPr>
            </w:pPr>
            <w:r>
              <w:rPr>
                <w:b/>
                <w:bCs/>
                <w:sz w:val="24"/>
                <w:szCs w:val="24"/>
              </w:rPr>
              <w:t>1、大气环境</w:t>
            </w:r>
          </w:p>
          <w:p w14:paraId="1BEF7067">
            <w:pPr>
              <w:pStyle w:val="69"/>
              <w:spacing w:line="460" w:lineRule="exact"/>
              <w:ind w:firstLine="480" w:firstLineChars="200"/>
              <w:jc w:val="both"/>
              <w:rPr>
                <w:sz w:val="24"/>
                <w:szCs w:val="24"/>
              </w:rPr>
            </w:pPr>
            <w:r>
              <w:rPr>
                <w:sz w:val="24"/>
                <w:szCs w:val="24"/>
              </w:rPr>
              <w:t>本项目厂界外500</w:t>
            </w:r>
            <w:r>
              <w:rPr>
                <w:rFonts w:hint="eastAsia"/>
                <w:sz w:val="24"/>
                <w:szCs w:val="24"/>
              </w:rPr>
              <w:t>m</w:t>
            </w:r>
            <w:r>
              <w:rPr>
                <w:sz w:val="24"/>
                <w:szCs w:val="24"/>
              </w:rPr>
              <w:t>范围内无自然保护区、风景名胜区、居住区、文化区和农村地区中人群较集中的区域等保护目标。</w:t>
            </w:r>
          </w:p>
          <w:p w14:paraId="4BB7E6C0">
            <w:pPr>
              <w:pStyle w:val="69"/>
              <w:spacing w:line="460" w:lineRule="exact"/>
              <w:ind w:firstLine="482" w:firstLineChars="200"/>
              <w:jc w:val="both"/>
              <w:rPr>
                <w:sz w:val="24"/>
                <w:szCs w:val="24"/>
              </w:rPr>
            </w:pPr>
            <w:r>
              <w:rPr>
                <w:b/>
                <w:bCs/>
                <w:sz w:val="24"/>
                <w:szCs w:val="24"/>
              </w:rPr>
              <w:t>2、声环境</w:t>
            </w:r>
          </w:p>
          <w:p w14:paraId="691C2A97">
            <w:pPr>
              <w:pStyle w:val="69"/>
              <w:spacing w:line="460" w:lineRule="exact"/>
              <w:ind w:firstLine="480" w:firstLineChars="200"/>
              <w:jc w:val="both"/>
              <w:rPr>
                <w:sz w:val="24"/>
                <w:szCs w:val="24"/>
              </w:rPr>
            </w:pPr>
            <w:r>
              <w:rPr>
                <w:sz w:val="24"/>
                <w:szCs w:val="24"/>
              </w:rPr>
              <w:t>本项目厂界外50m范围内无声环境保护目标。</w:t>
            </w:r>
          </w:p>
          <w:p w14:paraId="789AD0B2">
            <w:pPr>
              <w:pStyle w:val="69"/>
              <w:spacing w:line="460" w:lineRule="exact"/>
              <w:ind w:left="482"/>
              <w:jc w:val="both"/>
              <w:rPr>
                <w:b/>
                <w:bCs/>
                <w:sz w:val="24"/>
                <w:szCs w:val="24"/>
              </w:rPr>
            </w:pPr>
            <w:r>
              <w:rPr>
                <w:b/>
                <w:bCs/>
                <w:sz w:val="24"/>
                <w:szCs w:val="24"/>
              </w:rPr>
              <w:t>3、地下水环境</w:t>
            </w:r>
          </w:p>
          <w:p w14:paraId="664547CE">
            <w:pPr>
              <w:pStyle w:val="69"/>
              <w:spacing w:line="460" w:lineRule="exact"/>
              <w:ind w:firstLine="480" w:firstLineChars="200"/>
              <w:jc w:val="both"/>
              <w:rPr>
                <w:sz w:val="24"/>
                <w:szCs w:val="24"/>
              </w:rPr>
            </w:pPr>
            <w:r>
              <w:rPr>
                <w:sz w:val="24"/>
                <w:szCs w:val="24"/>
              </w:rPr>
              <w:t>本项目厂界外500</w:t>
            </w:r>
            <w:r>
              <w:rPr>
                <w:rFonts w:hint="eastAsia"/>
                <w:sz w:val="24"/>
                <w:szCs w:val="24"/>
              </w:rPr>
              <w:t>m</w:t>
            </w:r>
            <w:r>
              <w:rPr>
                <w:sz w:val="24"/>
                <w:szCs w:val="24"/>
              </w:rPr>
              <w:t>范围内无地下水集中式饮用水水源地和热水、矿泉水、温泉等特殊地下水资源。</w:t>
            </w:r>
          </w:p>
          <w:p w14:paraId="0AE08F84">
            <w:pPr>
              <w:pStyle w:val="69"/>
              <w:spacing w:line="460" w:lineRule="exact"/>
              <w:ind w:left="482"/>
              <w:jc w:val="both"/>
              <w:rPr>
                <w:b/>
                <w:bCs/>
                <w:sz w:val="24"/>
                <w:szCs w:val="24"/>
              </w:rPr>
            </w:pPr>
            <w:r>
              <w:rPr>
                <w:b/>
                <w:bCs/>
                <w:sz w:val="24"/>
                <w:szCs w:val="24"/>
              </w:rPr>
              <w:t>4、生态环境</w:t>
            </w:r>
          </w:p>
          <w:p w14:paraId="63EE8116">
            <w:pPr>
              <w:pStyle w:val="69"/>
              <w:spacing w:line="460" w:lineRule="exact"/>
              <w:ind w:firstLine="480" w:firstLineChars="200"/>
              <w:jc w:val="both"/>
              <w:rPr>
                <w:kern w:val="0"/>
              </w:rPr>
            </w:pPr>
            <w:r>
              <w:rPr>
                <w:sz w:val="24"/>
                <w:szCs w:val="24"/>
              </w:rPr>
              <w:t>本项目位于</w:t>
            </w:r>
            <w:bookmarkStart w:id="14" w:name="OLE_LINK15"/>
            <w:r>
              <w:rPr>
                <w:rFonts w:hint="eastAsia"/>
                <w:sz w:val="24"/>
                <w:szCs w:val="24"/>
              </w:rPr>
              <w:t>新疆维吾尔自治区昌吉回族自治州奇台县喇嘛湖梁工业园区</w:t>
            </w:r>
            <w:bookmarkEnd w:id="14"/>
            <w:r>
              <w:rPr>
                <w:sz w:val="24"/>
                <w:szCs w:val="24"/>
              </w:rPr>
              <w:t>，不涉及生态环境保护目标。</w:t>
            </w:r>
          </w:p>
        </w:tc>
      </w:tr>
      <w:tr w14:paraId="73676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201F7605">
            <w:pPr>
              <w:adjustRightInd w:val="0"/>
              <w:snapToGrid w:val="0"/>
              <w:jc w:val="center"/>
              <w:rPr>
                <w:kern w:val="0"/>
                <w:szCs w:val="21"/>
              </w:rPr>
            </w:pPr>
            <w:r>
              <w:rPr>
                <w:kern w:val="0"/>
                <w:szCs w:val="21"/>
              </w:rPr>
              <w:t>污染</w:t>
            </w:r>
          </w:p>
          <w:p w14:paraId="71FF563C">
            <w:pPr>
              <w:adjustRightInd w:val="0"/>
              <w:snapToGrid w:val="0"/>
              <w:jc w:val="center"/>
              <w:rPr>
                <w:kern w:val="0"/>
                <w:szCs w:val="21"/>
              </w:rPr>
            </w:pPr>
            <w:r>
              <w:rPr>
                <w:kern w:val="0"/>
                <w:szCs w:val="21"/>
              </w:rPr>
              <w:t>物排</w:t>
            </w:r>
          </w:p>
          <w:p w14:paraId="6B9C3361">
            <w:pPr>
              <w:adjustRightInd w:val="0"/>
              <w:snapToGrid w:val="0"/>
              <w:jc w:val="center"/>
              <w:rPr>
                <w:kern w:val="0"/>
                <w:szCs w:val="21"/>
              </w:rPr>
            </w:pPr>
            <w:r>
              <w:rPr>
                <w:kern w:val="0"/>
                <w:szCs w:val="21"/>
              </w:rPr>
              <w:t>放控</w:t>
            </w:r>
          </w:p>
          <w:p w14:paraId="626C0C8B">
            <w:pPr>
              <w:adjustRightInd w:val="0"/>
              <w:snapToGrid w:val="0"/>
              <w:jc w:val="center"/>
              <w:rPr>
                <w:kern w:val="0"/>
                <w:szCs w:val="21"/>
              </w:rPr>
            </w:pPr>
            <w:r>
              <w:rPr>
                <w:kern w:val="0"/>
                <w:szCs w:val="21"/>
              </w:rPr>
              <w:t>制标</w:t>
            </w:r>
          </w:p>
          <w:p w14:paraId="662A1785">
            <w:pPr>
              <w:adjustRightInd w:val="0"/>
              <w:snapToGrid w:val="0"/>
              <w:jc w:val="center"/>
              <w:rPr>
                <w:kern w:val="0"/>
                <w:szCs w:val="21"/>
              </w:rPr>
            </w:pPr>
            <w:r>
              <w:rPr>
                <w:kern w:val="0"/>
                <w:szCs w:val="21"/>
              </w:rPr>
              <w:t>准</w:t>
            </w:r>
          </w:p>
        </w:tc>
        <w:tc>
          <w:tcPr>
            <w:tcW w:w="8190" w:type="dxa"/>
            <w:vAlign w:val="center"/>
          </w:tcPr>
          <w:p w14:paraId="77D54026">
            <w:pPr>
              <w:spacing w:line="460" w:lineRule="exact"/>
              <w:ind w:firstLine="482" w:firstLineChars="200"/>
              <w:rPr>
                <w:b/>
              </w:rPr>
            </w:pPr>
            <w:r>
              <w:rPr>
                <w:b/>
              </w:rPr>
              <w:t>1、废气</w:t>
            </w:r>
          </w:p>
          <w:p w14:paraId="4B0AF527">
            <w:pPr>
              <w:pStyle w:val="76"/>
              <w:ind w:firstLine="420"/>
              <w:rPr>
                <w:color w:val="auto"/>
                <w:kern w:val="0"/>
                <w:lang w:bidi="ar"/>
              </w:rPr>
            </w:pPr>
            <w:r>
              <w:rPr>
                <w:color w:val="auto"/>
              </w:rPr>
              <w:t>表3-3                    项目废气排放标准</w:t>
            </w:r>
          </w:p>
          <w:tbl>
            <w:tblPr>
              <w:tblStyle w:val="24"/>
              <w:tblW w:w="4861"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autofit"/>
              <w:tblCellMar>
                <w:top w:w="0" w:type="dxa"/>
                <w:left w:w="108" w:type="dxa"/>
                <w:bottom w:w="0" w:type="dxa"/>
                <w:right w:w="108" w:type="dxa"/>
              </w:tblCellMar>
            </w:tblPr>
            <w:tblGrid>
              <w:gridCol w:w="894"/>
              <w:gridCol w:w="751"/>
              <w:gridCol w:w="815"/>
              <w:gridCol w:w="1104"/>
              <w:gridCol w:w="2604"/>
              <w:gridCol w:w="1584"/>
            </w:tblGrid>
            <w:tr w14:paraId="315E13D6">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064" w:type="pct"/>
                  <w:gridSpan w:val="2"/>
                  <w:vAlign w:val="center"/>
                </w:tcPr>
                <w:p w14:paraId="7E6BC30A">
                  <w:pPr>
                    <w:pStyle w:val="63"/>
                  </w:pPr>
                  <w:r>
                    <w:t>环节</w:t>
                  </w:r>
                </w:p>
              </w:tc>
              <w:tc>
                <w:tcPr>
                  <w:tcW w:w="526" w:type="pct"/>
                  <w:vAlign w:val="center"/>
                </w:tcPr>
                <w:p w14:paraId="072649BA">
                  <w:pPr>
                    <w:pStyle w:val="63"/>
                  </w:pPr>
                  <w:r>
                    <w:t>排放方式</w:t>
                  </w:r>
                </w:p>
              </w:tc>
              <w:tc>
                <w:tcPr>
                  <w:tcW w:w="713" w:type="pct"/>
                  <w:vAlign w:val="center"/>
                </w:tcPr>
                <w:p w14:paraId="62E7180B">
                  <w:pPr>
                    <w:pStyle w:val="63"/>
                  </w:pPr>
                  <w:r>
                    <w:t>污染物</w:t>
                  </w:r>
                </w:p>
              </w:tc>
              <w:tc>
                <w:tcPr>
                  <w:tcW w:w="1680" w:type="pct"/>
                  <w:vAlign w:val="center"/>
                </w:tcPr>
                <w:p w14:paraId="56925608">
                  <w:pPr>
                    <w:pStyle w:val="63"/>
                  </w:pPr>
                  <w:r>
                    <w:t>执行标准</w:t>
                  </w:r>
                </w:p>
              </w:tc>
              <w:tc>
                <w:tcPr>
                  <w:tcW w:w="1017" w:type="pct"/>
                  <w:vAlign w:val="center"/>
                </w:tcPr>
                <w:p w14:paraId="46FB4A4C">
                  <w:pPr>
                    <w:pStyle w:val="63"/>
                  </w:pPr>
                  <w:r>
                    <w:t>标准限值（浓度、速率）</w:t>
                  </w:r>
                </w:p>
              </w:tc>
            </w:tr>
            <w:tr w14:paraId="0BF8B0CB">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064" w:type="pct"/>
                  <w:gridSpan w:val="2"/>
                  <w:vAlign w:val="center"/>
                </w:tcPr>
                <w:p w14:paraId="012BC480">
                  <w:pPr>
                    <w:pStyle w:val="63"/>
                  </w:pPr>
                  <w:r>
                    <w:t>施工环节</w:t>
                  </w:r>
                </w:p>
              </w:tc>
              <w:tc>
                <w:tcPr>
                  <w:tcW w:w="526" w:type="pct"/>
                  <w:vAlign w:val="center"/>
                </w:tcPr>
                <w:p w14:paraId="071E081E">
                  <w:pPr>
                    <w:pStyle w:val="63"/>
                  </w:pPr>
                  <w:r>
                    <w:t>无组织</w:t>
                  </w:r>
                </w:p>
              </w:tc>
              <w:tc>
                <w:tcPr>
                  <w:tcW w:w="713" w:type="pct"/>
                  <w:vAlign w:val="center"/>
                </w:tcPr>
                <w:p w14:paraId="262A216C">
                  <w:pPr>
                    <w:pStyle w:val="63"/>
                  </w:pPr>
                  <w:r>
                    <w:t>颗粒物</w:t>
                  </w:r>
                </w:p>
              </w:tc>
              <w:tc>
                <w:tcPr>
                  <w:tcW w:w="1680" w:type="pct"/>
                  <w:vAlign w:val="center"/>
                </w:tcPr>
                <w:p w14:paraId="3950E5E4">
                  <w:pPr>
                    <w:pStyle w:val="63"/>
                  </w:pPr>
                  <w:r>
                    <w:t>《大气污染物综合排放标准》（GB16297-1996）</w:t>
                  </w:r>
                </w:p>
              </w:tc>
              <w:tc>
                <w:tcPr>
                  <w:tcW w:w="1017" w:type="pct"/>
                  <w:vAlign w:val="center"/>
                </w:tcPr>
                <w:p w14:paraId="6F90401E">
                  <w:pPr>
                    <w:pStyle w:val="63"/>
                  </w:pPr>
                  <w:r>
                    <w:t>1.0mg/m</w:t>
                  </w:r>
                  <w:r>
                    <w:rPr>
                      <w:vertAlign w:val="superscript"/>
                    </w:rPr>
                    <w:t>3</w:t>
                  </w:r>
                </w:p>
              </w:tc>
            </w:tr>
            <w:tr w14:paraId="3F737064">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Align w:val="center"/>
                </w:tcPr>
                <w:p w14:paraId="5EA312D1">
                  <w:pPr>
                    <w:pStyle w:val="63"/>
                  </w:pPr>
                  <w:r>
                    <w:t>水泥稳定土</w:t>
                  </w:r>
                  <w:r>
                    <w:rPr>
                      <w:rFonts w:hint="eastAsia"/>
                    </w:rPr>
                    <w:t>和水泥混凝土</w:t>
                  </w:r>
                  <w:r>
                    <w:t>生产线</w:t>
                  </w:r>
                </w:p>
              </w:tc>
              <w:tc>
                <w:tcPr>
                  <w:tcW w:w="486" w:type="pct"/>
                  <w:vAlign w:val="center"/>
                </w:tcPr>
                <w:p w14:paraId="3115C92C">
                  <w:pPr>
                    <w:pStyle w:val="63"/>
                  </w:pPr>
                  <w:r>
                    <w:rPr>
                      <w:bCs/>
                      <w:spacing w:val="-10"/>
                    </w:rPr>
                    <w:t>搅拌粉尘</w:t>
                  </w:r>
                </w:p>
              </w:tc>
              <w:tc>
                <w:tcPr>
                  <w:tcW w:w="526" w:type="pct"/>
                  <w:vAlign w:val="center"/>
                </w:tcPr>
                <w:p w14:paraId="2BD37062">
                  <w:pPr>
                    <w:pStyle w:val="63"/>
                  </w:pPr>
                  <w:r>
                    <w:t>有组织</w:t>
                  </w:r>
                </w:p>
              </w:tc>
              <w:tc>
                <w:tcPr>
                  <w:tcW w:w="713" w:type="pct"/>
                  <w:vAlign w:val="center"/>
                </w:tcPr>
                <w:p w14:paraId="698B1972">
                  <w:pPr>
                    <w:pStyle w:val="63"/>
                  </w:pPr>
                  <w:r>
                    <w:t>颗粒物</w:t>
                  </w:r>
                </w:p>
              </w:tc>
              <w:tc>
                <w:tcPr>
                  <w:tcW w:w="1680" w:type="pct"/>
                  <w:vAlign w:val="center"/>
                </w:tcPr>
                <w:p w14:paraId="185C0CF3">
                  <w:pPr>
                    <w:pStyle w:val="63"/>
                  </w:pPr>
                  <w:r>
                    <w:t>《水泥工业大气污染物排放标准》</w:t>
                  </w:r>
                </w:p>
                <w:p w14:paraId="1E697449">
                  <w:pPr>
                    <w:pStyle w:val="63"/>
                  </w:pPr>
                  <w:r>
                    <w:t>（GB4915-2013</w:t>
                  </w:r>
                  <w:r>
                    <w:rPr>
                      <w:rFonts w:hint="eastAsia"/>
                    </w:rPr>
                    <w:t>）表1大气污染物</w:t>
                  </w:r>
                  <w:r>
                    <w:t>排放限值</w:t>
                  </w:r>
                </w:p>
              </w:tc>
              <w:tc>
                <w:tcPr>
                  <w:tcW w:w="1017" w:type="pct"/>
                  <w:vAlign w:val="center"/>
                </w:tcPr>
                <w:p w14:paraId="4E9EDC3A">
                  <w:pPr>
                    <w:pStyle w:val="63"/>
                  </w:pPr>
                  <w:r>
                    <w:t>20mg/m</w:t>
                  </w:r>
                  <w:r>
                    <w:rPr>
                      <w:vertAlign w:val="superscript"/>
                    </w:rPr>
                    <w:t>3</w:t>
                  </w:r>
                </w:p>
              </w:tc>
            </w:tr>
            <w:tr w14:paraId="73471135">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restart"/>
                  <w:vAlign w:val="center"/>
                </w:tcPr>
                <w:p w14:paraId="4AAB8591">
                  <w:pPr>
                    <w:pStyle w:val="63"/>
                  </w:pPr>
                  <w:r>
                    <w:t>沥青混凝土生产线</w:t>
                  </w:r>
                </w:p>
              </w:tc>
              <w:tc>
                <w:tcPr>
                  <w:tcW w:w="486" w:type="pct"/>
                  <w:vMerge w:val="restart"/>
                  <w:vAlign w:val="center"/>
                </w:tcPr>
                <w:p w14:paraId="312FF254">
                  <w:pPr>
                    <w:pStyle w:val="63"/>
                  </w:pPr>
                  <w:r>
                    <w:t>搅拌及沥青加热</w:t>
                  </w:r>
                </w:p>
              </w:tc>
              <w:tc>
                <w:tcPr>
                  <w:tcW w:w="526" w:type="pct"/>
                  <w:vMerge w:val="restart"/>
                  <w:vAlign w:val="center"/>
                </w:tcPr>
                <w:p w14:paraId="17705483">
                  <w:pPr>
                    <w:pStyle w:val="63"/>
                  </w:pPr>
                  <w:r>
                    <w:t>有组织</w:t>
                  </w:r>
                  <w:r>
                    <w:rPr>
                      <w:rFonts w:hint="eastAsia"/>
                    </w:rPr>
                    <w:t>（排气筒高1</w:t>
                  </w:r>
                  <w:r>
                    <w:t>5</w:t>
                  </w:r>
                  <w:r>
                    <w:rPr>
                      <w:rFonts w:hint="eastAsia"/>
                    </w:rPr>
                    <w:t>m）</w:t>
                  </w:r>
                </w:p>
              </w:tc>
              <w:tc>
                <w:tcPr>
                  <w:tcW w:w="713" w:type="pct"/>
                  <w:vMerge w:val="restart"/>
                  <w:vAlign w:val="center"/>
                </w:tcPr>
                <w:p w14:paraId="4B66F0D1">
                  <w:pPr>
                    <w:pStyle w:val="63"/>
                  </w:pPr>
                  <w:r>
                    <w:t>沥青烟</w:t>
                  </w:r>
                </w:p>
              </w:tc>
              <w:tc>
                <w:tcPr>
                  <w:tcW w:w="1680" w:type="pct"/>
                  <w:vMerge w:val="restart"/>
                  <w:vAlign w:val="center"/>
                </w:tcPr>
                <w:p w14:paraId="473169DA">
                  <w:pPr>
                    <w:pStyle w:val="63"/>
                  </w:pPr>
                  <w:r>
                    <w:t>《大气污染物综合排放标准》（GB16297-1996）</w:t>
                  </w:r>
                  <w:r>
                    <w:rPr>
                      <w:rFonts w:hint="eastAsia"/>
                    </w:rPr>
                    <w:t>表2新污染大气污染物排放限值中二级标准要求</w:t>
                  </w:r>
                </w:p>
              </w:tc>
              <w:tc>
                <w:tcPr>
                  <w:tcW w:w="1017" w:type="pct"/>
                  <w:vAlign w:val="center"/>
                </w:tcPr>
                <w:p w14:paraId="4DB6A790">
                  <w:pPr>
                    <w:pStyle w:val="63"/>
                  </w:pPr>
                  <w:r>
                    <w:t>75mg/m</w:t>
                  </w:r>
                  <w:r>
                    <w:rPr>
                      <w:vertAlign w:val="superscript"/>
                    </w:rPr>
                    <w:t>3</w:t>
                  </w:r>
                </w:p>
              </w:tc>
            </w:tr>
            <w:tr w14:paraId="7D8AACC1">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086C0C8D">
                  <w:pPr>
                    <w:pStyle w:val="63"/>
                  </w:pPr>
                </w:p>
              </w:tc>
              <w:tc>
                <w:tcPr>
                  <w:tcW w:w="486" w:type="pct"/>
                  <w:vMerge w:val="continue"/>
                  <w:vAlign w:val="center"/>
                </w:tcPr>
                <w:p w14:paraId="342A3F16">
                  <w:pPr>
                    <w:pStyle w:val="63"/>
                  </w:pPr>
                </w:p>
              </w:tc>
              <w:tc>
                <w:tcPr>
                  <w:tcW w:w="526" w:type="pct"/>
                  <w:vMerge w:val="continue"/>
                  <w:vAlign w:val="center"/>
                </w:tcPr>
                <w:p w14:paraId="53C2FBDE">
                  <w:pPr>
                    <w:pStyle w:val="63"/>
                  </w:pPr>
                </w:p>
              </w:tc>
              <w:tc>
                <w:tcPr>
                  <w:tcW w:w="713" w:type="pct"/>
                  <w:vMerge w:val="continue"/>
                  <w:vAlign w:val="center"/>
                </w:tcPr>
                <w:p w14:paraId="7A455B6C">
                  <w:pPr>
                    <w:pStyle w:val="63"/>
                  </w:pPr>
                </w:p>
              </w:tc>
              <w:tc>
                <w:tcPr>
                  <w:tcW w:w="1680" w:type="pct"/>
                  <w:vMerge w:val="continue"/>
                  <w:vAlign w:val="center"/>
                </w:tcPr>
                <w:p w14:paraId="51D12E07">
                  <w:pPr>
                    <w:pStyle w:val="63"/>
                  </w:pPr>
                </w:p>
              </w:tc>
              <w:tc>
                <w:tcPr>
                  <w:tcW w:w="1017" w:type="pct"/>
                  <w:vAlign w:val="center"/>
                </w:tcPr>
                <w:p w14:paraId="60DF9CAE">
                  <w:pPr>
                    <w:pStyle w:val="63"/>
                  </w:pPr>
                  <w:r>
                    <w:rPr>
                      <w:rFonts w:hint="eastAsia"/>
                    </w:rPr>
                    <w:t>0</w:t>
                  </w:r>
                  <w:r>
                    <w:t>.18kg/h</w:t>
                  </w:r>
                </w:p>
              </w:tc>
            </w:tr>
            <w:tr w14:paraId="6C9067E5">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4C125762">
                  <w:pPr>
                    <w:pStyle w:val="63"/>
                  </w:pPr>
                </w:p>
              </w:tc>
              <w:tc>
                <w:tcPr>
                  <w:tcW w:w="486" w:type="pct"/>
                  <w:vMerge w:val="continue"/>
                  <w:vAlign w:val="center"/>
                </w:tcPr>
                <w:p w14:paraId="76AF1A66">
                  <w:pPr>
                    <w:pStyle w:val="63"/>
                  </w:pPr>
                </w:p>
              </w:tc>
              <w:tc>
                <w:tcPr>
                  <w:tcW w:w="526" w:type="pct"/>
                  <w:vMerge w:val="continue"/>
                  <w:vAlign w:val="center"/>
                </w:tcPr>
                <w:p w14:paraId="3694A60E">
                  <w:pPr>
                    <w:pStyle w:val="63"/>
                  </w:pPr>
                </w:p>
              </w:tc>
              <w:tc>
                <w:tcPr>
                  <w:tcW w:w="713" w:type="pct"/>
                  <w:vMerge w:val="restart"/>
                  <w:vAlign w:val="center"/>
                </w:tcPr>
                <w:p w14:paraId="7FB3293E">
                  <w:pPr>
                    <w:pStyle w:val="63"/>
                  </w:pPr>
                  <w:r>
                    <w:t>苯并[a]芘</w:t>
                  </w:r>
                </w:p>
              </w:tc>
              <w:tc>
                <w:tcPr>
                  <w:tcW w:w="1680" w:type="pct"/>
                  <w:vMerge w:val="continue"/>
                  <w:vAlign w:val="center"/>
                </w:tcPr>
                <w:p w14:paraId="17423EA4">
                  <w:pPr>
                    <w:pStyle w:val="63"/>
                  </w:pPr>
                </w:p>
              </w:tc>
              <w:tc>
                <w:tcPr>
                  <w:tcW w:w="1017" w:type="pct"/>
                  <w:vAlign w:val="center"/>
                </w:tcPr>
                <w:p w14:paraId="6369CAA8">
                  <w:pPr>
                    <w:pStyle w:val="63"/>
                  </w:pPr>
                  <w:r>
                    <w:t>0.30×10</w:t>
                  </w:r>
                  <w:r>
                    <w:rPr>
                      <w:vertAlign w:val="superscript"/>
                    </w:rPr>
                    <w:t>-3</w:t>
                  </w:r>
                  <w:r>
                    <w:t>mg/m</w:t>
                  </w:r>
                  <w:r>
                    <w:rPr>
                      <w:vertAlign w:val="superscript"/>
                    </w:rPr>
                    <w:t>3</w:t>
                  </w:r>
                </w:p>
              </w:tc>
            </w:tr>
            <w:tr w14:paraId="77E0EAF9">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7AEEA65D">
                  <w:pPr>
                    <w:pStyle w:val="63"/>
                  </w:pPr>
                </w:p>
              </w:tc>
              <w:tc>
                <w:tcPr>
                  <w:tcW w:w="486" w:type="pct"/>
                  <w:vMerge w:val="continue"/>
                  <w:vAlign w:val="center"/>
                </w:tcPr>
                <w:p w14:paraId="30712676">
                  <w:pPr>
                    <w:pStyle w:val="63"/>
                  </w:pPr>
                </w:p>
              </w:tc>
              <w:tc>
                <w:tcPr>
                  <w:tcW w:w="526" w:type="pct"/>
                  <w:vMerge w:val="continue"/>
                  <w:vAlign w:val="center"/>
                </w:tcPr>
                <w:p w14:paraId="7FDD4D43">
                  <w:pPr>
                    <w:pStyle w:val="63"/>
                  </w:pPr>
                </w:p>
              </w:tc>
              <w:tc>
                <w:tcPr>
                  <w:tcW w:w="713" w:type="pct"/>
                  <w:vMerge w:val="continue"/>
                  <w:vAlign w:val="center"/>
                </w:tcPr>
                <w:p w14:paraId="67E9FFB8">
                  <w:pPr>
                    <w:pStyle w:val="63"/>
                  </w:pPr>
                </w:p>
              </w:tc>
              <w:tc>
                <w:tcPr>
                  <w:tcW w:w="1680" w:type="pct"/>
                  <w:vMerge w:val="continue"/>
                  <w:vAlign w:val="center"/>
                </w:tcPr>
                <w:p w14:paraId="170423C4">
                  <w:pPr>
                    <w:pStyle w:val="63"/>
                  </w:pPr>
                </w:p>
              </w:tc>
              <w:tc>
                <w:tcPr>
                  <w:tcW w:w="1017" w:type="pct"/>
                  <w:vAlign w:val="center"/>
                </w:tcPr>
                <w:p w14:paraId="14DCDB97">
                  <w:pPr>
                    <w:pStyle w:val="63"/>
                  </w:pPr>
                  <w:r>
                    <w:t>0.050×10</w:t>
                  </w:r>
                  <w:r>
                    <w:rPr>
                      <w:vertAlign w:val="superscript"/>
                    </w:rPr>
                    <w:t>-3</w:t>
                  </w:r>
                  <w:r>
                    <w:t>kg/h</w:t>
                  </w:r>
                </w:p>
              </w:tc>
            </w:tr>
            <w:tr w14:paraId="4548F49C">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0AA3385D">
                  <w:pPr>
                    <w:pStyle w:val="63"/>
                  </w:pPr>
                </w:p>
              </w:tc>
              <w:tc>
                <w:tcPr>
                  <w:tcW w:w="486" w:type="pct"/>
                  <w:vMerge w:val="continue"/>
                  <w:vAlign w:val="center"/>
                </w:tcPr>
                <w:p w14:paraId="32B5FC76">
                  <w:pPr>
                    <w:pStyle w:val="63"/>
                  </w:pPr>
                </w:p>
              </w:tc>
              <w:tc>
                <w:tcPr>
                  <w:tcW w:w="526" w:type="pct"/>
                  <w:vMerge w:val="continue"/>
                  <w:vAlign w:val="center"/>
                </w:tcPr>
                <w:p w14:paraId="0AA308F2">
                  <w:pPr>
                    <w:pStyle w:val="63"/>
                  </w:pPr>
                </w:p>
              </w:tc>
              <w:tc>
                <w:tcPr>
                  <w:tcW w:w="713" w:type="pct"/>
                  <w:vMerge w:val="restart"/>
                  <w:vAlign w:val="center"/>
                </w:tcPr>
                <w:p w14:paraId="2B9AE9BB">
                  <w:pPr>
                    <w:pStyle w:val="63"/>
                  </w:pPr>
                  <w:r>
                    <w:rPr>
                      <w:rFonts w:hint="eastAsia"/>
                    </w:rPr>
                    <w:t>非甲烷总烃</w:t>
                  </w:r>
                </w:p>
              </w:tc>
              <w:tc>
                <w:tcPr>
                  <w:tcW w:w="1680" w:type="pct"/>
                  <w:vMerge w:val="continue"/>
                  <w:vAlign w:val="center"/>
                </w:tcPr>
                <w:p w14:paraId="71057F26">
                  <w:pPr>
                    <w:pStyle w:val="63"/>
                  </w:pPr>
                </w:p>
              </w:tc>
              <w:tc>
                <w:tcPr>
                  <w:tcW w:w="1017" w:type="pct"/>
                  <w:vAlign w:val="center"/>
                </w:tcPr>
                <w:p w14:paraId="7AEBDB4C">
                  <w:pPr>
                    <w:pStyle w:val="63"/>
                  </w:pPr>
                  <w:r>
                    <w:t>120mg/m</w:t>
                  </w:r>
                  <w:r>
                    <w:rPr>
                      <w:vertAlign w:val="superscript"/>
                    </w:rPr>
                    <w:t>3</w:t>
                  </w:r>
                </w:p>
              </w:tc>
            </w:tr>
            <w:tr w14:paraId="486A1EA6">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1ADCE435">
                  <w:pPr>
                    <w:pStyle w:val="63"/>
                  </w:pPr>
                </w:p>
              </w:tc>
              <w:tc>
                <w:tcPr>
                  <w:tcW w:w="486" w:type="pct"/>
                  <w:vMerge w:val="continue"/>
                  <w:vAlign w:val="center"/>
                </w:tcPr>
                <w:p w14:paraId="272B8F6F">
                  <w:pPr>
                    <w:pStyle w:val="63"/>
                  </w:pPr>
                </w:p>
              </w:tc>
              <w:tc>
                <w:tcPr>
                  <w:tcW w:w="526" w:type="pct"/>
                  <w:vMerge w:val="continue"/>
                  <w:vAlign w:val="center"/>
                </w:tcPr>
                <w:p w14:paraId="4D2A686B">
                  <w:pPr>
                    <w:pStyle w:val="63"/>
                  </w:pPr>
                </w:p>
              </w:tc>
              <w:tc>
                <w:tcPr>
                  <w:tcW w:w="713" w:type="pct"/>
                  <w:vMerge w:val="continue"/>
                  <w:vAlign w:val="center"/>
                </w:tcPr>
                <w:p w14:paraId="6EF4BB91">
                  <w:pPr>
                    <w:pStyle w:val="63"/>
                  </w:pPr>
                </w:p>
              </w:tc>
              <w:tc>
                <w:tcPr>
                  <w:tcW w:w="1680" w:type="pct"/>
                  <w:vMerge w:val="continue"/>
                  <w:vAlign w:val="center"/>
                </w:tcPr>
                <w:p w14:paraId="3DCC9CB1">
                  <w:pPr>
                    <w:pStyle w:val="63"/>
                  </w:pPr>
                </w:p>
              </w:tc>
              <w:tc>
                <w:tcPr>
                  <w:tcW w:w="1017" w:type="pct"/>
                  <w:vAlign w:val="center"/>
                </w:tcPr>
                <w:p w14:paraId="6DA4053E">
                  <w:pPr>
                    <w:pStyle w:val="63"/>
                  </w:pPr>
                  <w:r>
                    <w:rPr>
                      <w:rFonts w:hint="eastAsia"/>
                    </w:rPr>
                    <w:t>1</w:t>
                  </w:r>
                  <w:r>
                    <w:t>0kg/h</w:t>
                  </w:r>
                </w:p>
              </w:tc>
            </w:tr>
            <w:tr w14:paraId="2EC5E27E">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465" w:hRule="atLeast"/>
                <w:jc w:val="center"/>
              </w:trPr>
              <w:tc>
                <w:tcPr>
                  <w:tcW w:w="578" w:type="pct"/>
                  <w:vMerge w:val="continue"/>
                  <w:vAlign w:val="center"/>
                </w:tcPr>
                <w:p w14:paraId="53775C69">
                  <w:pPr>
                    <w:pStyle w:val="63"/>
                  </w:pPr>
                </w:p>
              </w:tc>
              <w:tc>
                <w:tcPr>
                  <w:tcW w:w="486" w:type="pct"/>
                  <w:vMerge w:val="restart"/>
                  <w:vAlign w:val="center"/>
                </w:tcPr>
                <w:p w14:paraId="2520FC24">
                  <w:pPr>
                    <w:pStyle w:val="63"/>
                  </w:pPr>
                  <w:r>
                    <w:rPr>
                      <w:rFonts w:hint="eastAsia"/>
                    </w:rPr>
                    <w:t>导热油加热醇醚燃烧废气</w:t>
                  </w:r>
                </w:p>
              </w:tc>
              <w:tc>
                <w:tcPr>
                  <w:tcW w:w="526" w:type="pct"/>
                  <w:vMerge w:val="restart"/>
                  <w:vAlign w:val="center"/>
                </w:tcPr>
                <w:p w14:paraId="7D75BC4D">
                  <w:pPr>
                    <w:pStyle w:val="63"/>
                  </w:pPr>
                  <w:r>
                    <w:rPr>
                      <w:rFonts w:hint="eastAsia"/>
                    </w:rPr>
                    <w:t>有组织</w:t>
                  </w:r>
                </w:p>
              </w:tc>
              <w:tc>
                <w:tcPr>
                  <w:tcW w:w="713" w:type="pct"/>
                  <w:vAlign w:val="center"/>
                </w:tcPr>
                <w:p w14:paraId="28C5E443">
                  <w:pPr>
                    <w:pStyle w:val="63"/>
                  </w:pPr>
                  <w:r>
                    <w:rPr>
                      <w:rFonts w:hint="eastAsia"/>
                    </w:rPr>
                    <w:t>颗粒物</w:t>
                  </w:r>
                </w:p>
              </w:tc>
              <w:tc>
                <w:tcPr>
                  <w:tcW w:w="1680" w:type="pct"/>
                  <w:vMerge w:val="restart"/>
                  <w:vAlign w:val="center"/>
                </w:tcPr>
                <w:p w14:paraId="4AD2B5C8">
                  <w:pPr>
                    <w:pStyle w:val="63"/>
                  </w:pPr>
                  <w:r>
                    <w:rPr>
                      <w:rFonts w:hint="eastAsia"/>
                    </w:rPr>
                    <w:t>《锅炉大气污染物排放标准》（G</w:t>
                  </w:r>
                  <w:r>
                    <w:t>B13271-2014</w:t>
                  </w:r>
                  <w:r>
                    <w:rPr>
                      <w:rFonts w:hint="eastAsia"/>
                    </w:rPr>
                    <w:t>）中表</w:t>
                  </w:r>
                  <w:r>
                    <w:t xml:space="preserve">2 </w:t>
                  </w:r>
                  <w:r>
                    <w:rPr>
                      <w:rFonts w:hint="eastAsia"/>
                    </w:rPr>
                    <w:t>大气污染物排放限值中燃油锅炉要求</w:t>
                  </w:r>
                </w:p>
              </w:tc>
              <w:tc>
                <w:tcPr>
                  <w:tcW w:w="1017" w:type="pct"/>
                  <w:vAlign w:val="center"/>
                </w:tcPr>
                <w:p w14:paraId="10949286">
                  <w:pPr>
                    <w:pStyle w:val="63"/>
                  </w:pPr>
                  <w:r>
                    <w:rPr>
                      <w:rFonts w:hint="eastAsia"/>
                    </w:rPr>
                    <w:t>3</w:t>
                  </w:r>
                  <w:r>
                    <w:t>0mg/m</w:t>
                  </w:r>
                  <w:r>
                    <w:rPr>
                      <w:vertAlign w:val="superscript"/>
                    </w:rPr>
                    <w:t>3</w:t>
                  </w:r>
                </w:p>
              </w:tc>
            </w:tr>
            <w:tr w14:paraId="29FEDB4B">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788EBE02">
                  <w:pPr>
                    <w:pStyle w:val="63"/>
                  </w:pPr>
                </w:p>
              </w:tc>
              <w:tc>
                <w:tcPr>
                  <w:tcW w:w="486" w:type="pct"/>
                  <w:vMerge w:val="continue"/>
                  <w:vAlign w:val="center"/>
                </w:tcPr>
                <w:p w14:paraId="171C4273">
                  <w:pPr>
                    <w:pStyle w:val="63"/>
                  </w:pPr>
                </w:p>
              </w:tc>
              <w:tc>
                <w:tcPr>
                  <w:tcW w:w="526" w:type="pct"/>
                  <w:vMerge w:val="continue"/>
                  <w:vAlign w:val="center"/>
                </w:tcPr>
                <w:p w14:paraId="322DE2A9">
                  <w:pPr>
                    <w:pStyle w:val="63"/>
                  </w:pPr>
                </w:p>
              </w:tc>
              <w:tc>
                <w:tcPr>
                  <w:tcW w:w="713" w:type="pct"/>
                  <w:vAlign w:val="center"/>
                </w:tcPr>
                <w:p w14:paraId="255D3FAB">
                  <w:pPr>
                    <w:pStyle w:val="63"/>
                  </w:pPr>
                  <w:r>
                    <w:rPr>
                      <w:rFonts w:hint="eastAsia"/>
                    </w:rPr>
                    <w:t>氮氧化物</w:t>
                  </w:r>
                </w:p>
              </w:tc>
              <w:tc>
                <w:tcPr>
                  <w:tcW w:w="1680" w:type="pct"/>
                  <w:vMerge w:val="continue"/>
                  <w:vAlign w:val="center"/>
                </w:tcPr>
                <w:p w14:paraId="05604789">
                  <w:pPr>
                    <w:pStyle w:val="63"/>
                  </w:pPr>
                </w:p>
              </w:tc>
              <w:tc>
                <w:tcPr>
                  <w:tcW w:w="1017" w:type="pct"/>
                  <w:vAlign w:val="center"/>
                </w:tcPr>
                <w:p w14:paraId="59A50006">
                  <w:pPr>
                    <w:pStyle w:val="63"/>
                  </w:pPr>
                  <w:r>
                    <w:t>250mg/m</w:t>
                  </w:r>
                  <w:r>
                    <w:rPr>
                      <w:vertAlign w:val="superscript"/>
                    </w:rPr>
                    <w:t>3</w:t>
                  </w:r>
                </w:p>
              </w:tc>
            </w:tr>
            <w:tr w14:paraId="1A173B45">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939" w:hRule="atLeast"/>
                <w:jc w:val="center"/>
              </w:trPr>
              <w:tc>
                <w:tcPr>
                  <w:tcW w:w="578" w:type="pct"/>
                  <w:vMerge w:val="continue"/>
                  <w:vAlign w:val="center"/>
                </w:tcPr>
                <w:p w14:paraId="24812A41">
                  <w:pPr>
                    <w:pStyle w:val="63"/>
                  </w:pPr>
                </w:p>
              </w:tc>
              <w:tc>
                <w:tcPr>
                  <w:tcW w:w="486" w:type="pct"/>
                  <w:vMerge w:val="restart"/>
                  <w:vAlign w:val="center"/>
                </w:tcPr>
                <w:p w14:paraId="0A3ED7F5">
                  <w:pPr>
                    <w:pStyle w:val="63"/>
                  </w:pPr>
                  <w:r>
                    <w:rPr>
                      <w:rFonts w:hint="eastAsia"/>
                    </w:rPr>
                    <w:t>骨料烘干废气</w:t>
                  </w:r>
                </w:p>
              </w:tc>
              <w:tc>
                <w:tcPr>
                  <w:tcW w:w="526" w:type="pct"/>
                  <w:vMerge w:val="restart"/>
                  <w:vAlign w:val="center"/>
                </w:tcPr>
                <w:p w14:paraId="27EF8B67">
                  <w:pPr>
                    <w:pStyle w:val="63"/>
                  </w:pPr>
                  <w:r>
                    <w:rPr>
                      <w:rFonts w:hint="eastAsia"/>
                    </w:rPr>
                    <w:t>有组织</w:t>
                  </w:r>
                </w:p>
              </w:tc>
              <w:tc>
                <w:tcPr>
                  <w:tcW w:w="713" w:type="pct"/>
                  <w:vAlign w:val="center"/>
                </w:tcPr>
                <w:p w14:paraId="2BC3A724">
                  <w:pPr>
                    <w:pStyle w:val="63"/>
                  </w:pPr>
                  <w:r>
                    <w:rPr>
                      <w:rFonts w:hint="eastAsia"/>
                    </w:rPr>
                    <w:t>颗粒物</w:t>
                  </w:r>
                </w:p>
              </w:tc>
              <w:tc>
                <w:tcPr>
                  <w:tcW w:w="1680" w:type="pct"/>
                  <w:vMerge w:val="restart"/>
                  <w:vAlign w:val="center"/>
                </w:tcPr>
                <w:p w14:paraId="0BEFD6D0">
                  <w:pPr>
                    <w:pStyle w:val="63"/>
                  </w:pPr>
                  <w:r>
                    <w:rPr>
                      <w:rFonts w:hint="eastAsia"/>
                    </w:rPr>
                    <w:t>《新疆维吾尔自治区工业炉窑大气污染综合治理实施方案》</w:t>
                  </w:r>
                </w:p>
              </w:tc>
              <w:tc>
                <w:tcPr>
                  <w:tcW w:w="1017" w:type="pct"/>
                  <w:vAlign w:val="center"/>
                </w:tcPr>
                <w:p w14:paraId="0B10AF06">
                  <w:pPr>
                    <w:pStyle w:val="63"/>
                  </w:pPr>
                  <w:r>
                    <w:rPr>
                      <w:rFonts w:hint="eastAsia"/>
                    </w:rPr>
                    <w:t>3</w:t>
                  </w:r>
                  <w:r>
                    <w:t>0mg/m</w:t>
                  </w:r>
                  <w:r>
                    <w:rPr>
                      <w:vertAlign w:val="superscript"/>
                    </w:rPr>
                    <w:t>3</w:t>
                  </w:r>
                </w:p>
              </w:tc>
            </w:tr>
            <w:tr w14:paraId="07073CF1">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578" w:type="pct"/>
                  <w:vMerge w:val="continue"/>
                  <w:vAlign w:val="center"/>
                </w:tcPr>
                <w:p w14:paraId="5897124E">
                  <w:pPr>
                    <w:pStyle w:val="63"/>
                  </w:pPr>
                </w:p>
              </w:tc>
              <w:tc>
                <w:tcPr>
                  <w:tcW w:w="486" w:type="pct"/>
                  <w:vMerge w:val="continue"/>
                  <w:vAlign w:val="center"/>
                </w:tcPr>
                <w:p w14:paraId="36A62017">
                  <w:pPr>
                    <w:pStyle w:val="63"/>
                  </w:pPr>
                </w:p>
              </w:tc>
              <w:tc>
                <w:tcPr>
                  <w:tcW w:w="526" w:type="pct"/>
                  <w:vMerge w:val="continue"/>
                  <w:vAlign w:val="center"/>
                </w:tcPr>
                <w:p w14:paraId="1E29DF76">
                  <w:pPr>
                    <w:pStyle w:val="63"/>
                  </w:pPr>
                </w:p>
              </w:tc>
              <w:tc>
                <w:tcPr>
                  <w:tcW w:w="713" w:type="pct"/>
                  <w:vAlign w:val="center"/>
                </w:tcPr>
                <w:p w14:paraId="476E61D2">
                  <w:pPr>
                    <w:pStyle w:val="63"/>
                  </w:pPr>
                  <w:r>
                    <w:rPr>
                      <w:rFonts w:hint="eastAsia"/>
                    </w:rPr>
                    <w:t>氮氧化物</w:t>
                  </w:r>
                </w:p>
              </w:tc>
              <w:tc>
                <w:tcPr>
                  <w:tcW w:w="1680" w:type="pct"/>
                  <w:vMerge w:val="continue"/>
                  <w:vAlign w:val="center"/>
                </w:tcPr>
                <w:p w14:paraId="70AB98B7">
                  <w:pPr>
                    <w:pStyle w:val="63"/>
                  </w:pPr>
                </w:p>
              </w:tc>
              <w:tc>
                <w:tcPr>
                  <w:tcW w:w="1017" w:type="pct"/>
                  <w:vAlign w:val="center"/>
                </w:tcPr>
                <w:p w14:paraId="020EA61C">
                  <w:pPr>
                    <w:pStyle w:val="63"/>
                  </w:pPr>
                  <w:r>
                    <w:t>300mg/m</w:t>
                  </w:r>
                  <w:r>
                    <w:rPr>
                      <w:vertAlign w:val="superscript"/>
                    </w:rPr>
                    <w:t>3</w:t>
                  </w:r>
                </w:p>
              </w:tc>
            </w:tr>
            <w:tr w14:paraId="0D048795">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restart"/>
                  <w:vAlign w:val="center"/>
                </w:tcPr>
                <w:p w14:paraId="312FA26A">
                  <w:pPr>
                    <w:pStyle w:val="63"/>
                  </w:pPr>
                  <w:r>
                    <w:t>厂内挥发性有机气体控制</w:t>
                  </w:r>
                </w:p>
              </w:tc>
              <w:tc>
                <w:tcPr>
                  <w:tcW w:w="713" w:type="pct"/>
                  <w:vMerge w:val="restart"/>
                  <w:shd w:val="clear" w:color="auto" w:fill="auto"/>
                  <w:vAlign w:val="center"/>
                </w:tcPr>
                <w:p w14:paraId="0B769201">
                  <w:pPr>
                    <w:pStyle w:val="63"/>
                  </w:pPr>
                  <w:r>
                    <w:t>非甲烷总烃</w:t>
                  </w:r>
                </w:p>
              </w:tc>
              <w:tc>
                <w:tcPr>
                  <w:tcW w:w="1680" w:type="pct"/>
                  <w:vMerge w:val="restart"/>
                  <w:shd w:val="clear" w:color="auto" w:fill="auto"/>
                  <w:vAlign w:val="center"/>
                </w:tcPr>
                <w:p w14:paraId="5ECBED81">
                  <w:pPr>
                    <w:pStyle w:val="63"/>
                  </w:pPr>
                  <w:r>
                    <w:t>《</w:t>
                  </w:r>
                  <w:bookmarkStart w:id="15" w:name="OLE_LINK3"/>
                  <w:bookmarkStart w:id="16" w:name="OLE_LINK4"/>
                  <w:r>
                    <w:t>挥发性有机物无组织排放控制标准</w:t>
                  </w:r>
                  <w:bookmarkEnd w:id="15"/>
                  <w:bookmarkEnd w:id="16"/>
                  <w:r>
                    <w:t>》（GB37822-2019）</w:t>
                  </w:r>
                </w:p>
              </w:tc>
              <w:tc>
                <w:tcPr>
                  <w:tcW w:w="1017" w:type="pct"/>
                  <w:shd w:val="clear" w:color="auto" w:fill="auto"/>
                  <w:vAlign w:val="center"/>
                </w:tcPr>
                <w:p w14:paraId="50635018">
                  <w:pPr>
                    <w:jc w:val="center"/>
                    <w:rPr>
                      <w:sz w:val="21"/>
                      <w:szCs w:val="21"/>
                    </w:rPr>
                  </w:pPr>
                  <w:r>
                    <w:rPr>
                      <w:sz w:val="21"/>
                      <w:szCs w:val="21"/>
                    </w:rPr>
                    <w:t>10mg/m</w:t>
                  </w:r>
                  <w:r>
                    <w:rPr>
                      <w:sz w:val="21"/>
                      <w:szCs w:val="21"/>
                      <w:vertAlign w:val="superscript"/>
                    </w:rPr>
                    <w:t>3</w:t>
                  </w:r>
                  <w:r>
                    <w:rPr>
                      <w:sz w:val="21"/>
                      <w:szCs w:val="21"/>
                    </w:rPr>
                    <w:t>（1h）</w:t>
                  </w:r>
                </w:p>
              </w:tc>
            </w:tr>
            <w:tr w14:paraId="3CD1D26C">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continue"/>
                  <w:vAlign w:val="center"/>
                </w:tcPr>
                <w:p w14:paraId="01D210F6">
                  <w:pPr>
                    <w:pStyle w:val="63"/>
                  </w:pPr>
                </w:p>
              </w:tc>
              <w:tc>
                <w:tcPr>
                  <w:tcW w:w="713" w:type="pct"/>
                  <w:vMerge w:val="continue"/>
                  <w:vAlign w:val="center"/>
                </w:tcPr>
                <w:p w14:paraId="72E158D3">
                  <w:pPr>
                    <w:pStyle w:val="63"/>
                  </w:pPr>
                </w:p>
              </w:tc>
              <w:tc>
                <w:tcPr>
                  <w:tcW w:w="1680" w:type="pct"/>
                  <w:vMerge w:val="continue"/>
                  <w:vAlign w:val="center"/>
                </w:tcPr>
                <w:p w14:paraId="4A197DFB">
                  <w:pPr>
                    <w:pStyle w:val="63"/>
                  </w:pPr>
                </w:p>
              </w:tc>
              <w:tc>
                <w:tcPr>
                  <w:tcW w:w="1017" w:type="pct"/>
                  <w:vAlign w:val="center"/>
                </w:tcPr>
                <w:p w14:paraId="4F02E32B">
                  <w:pPr>
                    <w:pStyle w:val="63"/>
                  </w:pPr>
                  <w:r>
                    <w:t>30mg/m</w:t>
                  </w:r>
                  <w:r>
                    <w:rPr>
                      <w:vertAlign w:val="superscript"/>
                    </w:rPr>
                    <w:t>3</w:t>
                  </w:r>
                  <w:r>
                    <w:t>（任意一次）</w:t>
                  </w:r>
                </w:p>
              </w:tc>
            </w:tr>
            <w:tr w14:paraId="15A54F52">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restart"/>
                  <w:vAlign w:val="center"/>
                </w:tcPr>
                <w:p w14:paraId="58823EFE">
                  <w:pPr>
                    <w:pStyle w:val="63"/>
                  </w:pPr>
                  <w:r>
                    <w:t>厂界无组织</w:t>
                  </w:r>
                </w:p>
              </w:tc>
              <w:tc>
                <w:tcPr>
                  <w:tcW w:w="713" w:type="pct"/>
                  <w:vAlign w:val="center"/>
                </w:tcPr>
                <w:p w14:paraId="17B7743C">
                  <w:pPr>
                    <w:pStyle w:val="63"/>
                  </w:pPr>
                  <w:r>
                    <w:rPr>
                      <w:rFonts w:hint="eastAsia"/>
                    </w:rPr>
                    <w:t>颗粒物</w:t>
                  </w:r>
                </w:p>
              </w:tc>
              <w:tc>
                <w:tcPr>
                  <w:tcW w:w="1680" w:type="pct"/>
                  <w:vAlign w:val="center"/>
                </w:tcPr>
                <w:p w14:paraId="73F2F317">
                  <w:pPr>
                    <w:pStyle w:val="63"/>
                  </w:pPr>
                  <w:r>
                    <w:t>《水泥工业大气污染物排放标准》</w:t>
                  </w:r>
                  <w:r>
                    <w:rPr>
                      <w:rFonts w:hint="eastAsia"/>
                    </w:rPr>
                    <w:t>（</w:t>
                  </w:r>
                  <w:r>
                    <w:t>GB4915-2013</w:t>
                  </w:r>
                  <w:r>
                    <w:rPr>
                      <w:rFonts w:hint="eastAsia"/>
                    </w:rPr>
                    <w:t>）表3</w:t>
                  </w:r>
                  <w:r>
                    <w:t xml:space="preserve"> </w:t>
                  </w:r>
                  <w:r>
                    <w:rPr>
                      <w:rFonts w:hint="eastAsia"/>
                    </w:rPr>
                    <w:t>大气污染物无组织排放限值要求</w:t>
                  </w:r>
                </w:p>
              </w:tc>
              <w:tc>
                <w:tcPr>
                  <w:tcW w:w="1017" w:type="pct"/>
                  <w:vAlign w:val="center"/>
                </w:tcPr>
                <w:p w14:paraId="4A64BCA1">
                  <w:pPr>
                    <w:pStyle w:val="63"/>
                  </w:pPr>
                  <w:r>
                    <w:t>0.5mg/m</w:t>
                  </w:r>
                  <w:r>
                    <w:rPr>
                      <w:vertAlign w:val="superscript"/>
                    </w:rPr>
                    <w:t>3</w:t>
                  </w:r>
                  <w:r>
                    <w:rPr>
                      <w:rFonts w:hint="eastAsia"/>
                    </w:rPr>
                    <w:t>（监控点与参照点总悬浮颗粒物（TSP）1小时浓度值的差值）</w:t>
                  </w:r>
                </w:p>
              </w:tc>
            </w:tr>
            <w:tr w14:paraId="5B7D95D7">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continue"/>
                  <w:vAlign w:val="center"/>
                </w:tcPr>
                <w:p w14:paraId="01E0C6AC">
                  <w:pPr>
                    <w:pStyle w:val="63"/>
                  </w:pPr>
                </w:p>
              </w:tc>
              <w:tc>
                <w:tcPr>
                  <w:tcW w:w="713" w:type="pct"/>
                  <w:vAlign w:val="center"/>
                </w:tcPr>
                <w:p w14:paraId="27326BB5">
                  <w:pPr>
                    <w:pStyle w:val="63"/>
                  </w:pPr>
                  <w:r>
                    <w:t>沥青烟</w:t>
                  </w:r>
                </w:p>
              </w:tc>
              <w:tc>
                <w:tcPr>
                  <w:tcW w:w="1680" w:type="pct"/>
                  <w:vMerge w:val="restart"/>
                  <w:vAlign w:val="center"/>
                </w:tcPr>
                <w:p w14:paraId="545AD393">
                  <w:pPr>
                    <w:pStyle w:val="63"/>
                  </w:pPr>
                  <w:r>
                    <w:t>《大气污染物综合排放标准》（GB16297-1996）</w:t>
                  </w:r>
                  <w:r>
                    <w:rPr>
                      <w:rFonts w:hint="eastAsia"/>
                    </w:rPr>
                    <w:t>表2新污染大气污染物排放限值中要求</w:t>
                  </w:r>
                </w:p>
              </w:tc>
              <w:tc>
                <w:tcPr>
                  <w:tcW w:w="1017" w:type="pct"/>
                  <w:vAlign w:val="center"/>
                </w:tcPr>
                <w:p w14:paraId="3B73908F">
                  <w:pPr>
                    <w:pStyle w:val="63"/>
                  </w:pPr>
                  <w:r>
                    <w:t>生产设备不得有明显的无组织排放存在</w:t>
                  </w:r>
                </w:p>
              </w:tc>
            </w:tr>
            <w:tr w14:paraId="5549717C">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continue"/>
                  <w:vAlign w:val="center"/>
                </w:tcPr>
                <w:p w14:paraId="7BEA356A">
                  <w:pPr>
                    <w:pStyle w:val="63"/>
                  </w:pPr>
                </w:p>
              </w:tc>
              <w:tc>
                <w:tcPr>
                  <w:tcW w:w="713" w:type="pct"/>
                  <w:vAlign w:val="center"/>
                </w:tcPr>
                <w:p w14:paraId="63101B51">
                  <w:pPr>
                    <w:pStyle w:val="63"/>
                  </w:pPr>
                  <w:r>
                    <w:t>苯并[a]芘</w:t>
                  </w:r>
                </w:p>
              </w:tc>
              <w:tc>
                <w:tcPr>
                  <w:tcW w:w="1680" w:type="pct"/>
                  <w:vMerge w:val="continue"/>
                  <w:vAlign w:val="center"/>
                </w:tcPr>
                <w:p w14:paraId="7BF4DD58">
                  <w:pPr>
                    <w:pStyle w:val="63"/>
                  </w:pPr>
                </w:p>
              </w:tc>
              <w:tc>
                <w:tcPr>
                  <w:tcW w:w="1017" w:type="pct"/>
                  <w:vAlign w:val="center"/>
                </w:tcPr>
                <w:p w14:paraId="7BDC80E3">
                  <w:pPr>
                    <w:pStyle w:val="63"/>
                  </w:pPr>
                  <w:r>
                    <w:t>0.008μg/m³</w:t>
                  </w:r>
                </w:p>
              </w:tc>
            </w:tr>
            <w:tr w14:paraId="63FE1E90">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Merge w:val="continue"/>
                  <w:vAlign w:val="center"/>
                </w:tcPr>
                <w:p w14:paraId="7D9386F9">
                  <w:pPr>
                    <w:pStyle w:val="63"/>
                  </w:pPr>
                </w:p>
              </w:tc>
              <w:tc>
                <w:tcPr>
                  <w:tcW w:w="713" w:type="pct"/>
                  <w:vAlign w:val="center"/>
                </w:tcPr>
                <w:p w14:paraId="1FADF200">
                  <w:pPr>
                    <w:pStyle w:val="63"/>
                  </w:pPr>
                  <w:r>
                    <w:t>非甲烷总烃</w:t>
                  </w:r>
                </w:p>
              </w:tc>
              <w:tc>
                <w:tcPr>
                  <w:tcW w:w="1680" w:type="pct"/>
                  <w:vMerge w:val="continue"/>
                  <w:vAlign w:val="center"/>
                </w:tcPr>
                <w:p w14:paraId="6F29A112">
                  <w:pPr>
                    <w:pStyle w:val="63"/>
                  </w:pPr>
                </w:p>
              </w:tc>
              <w:tc>
                <w:tcPr>
                  <w:tcW w:w="1017" w:type="pct"/>
                  <w:vAlign w:val="center"/>
                </w:tcPr>
                <w:p w14:paraId="2B151CC9">
                  <w:pPr>
                    <w:pStyle w:val="63"/>
                  </w:pPr>
                  <w:r>
                    <w:t>4.0mg/m</w:t>
                  </w:r>
                  <w:r>
                    <w:rPr>
                      <w:vertAlign w:val="superscript"/>
                    </w:rPr>
                    <w:t>3</w:t>
                  </w:r>
                </w:p>
              </w:tc>
            </w:tr>
            <w:tr w14:paraId="3AAFB09C">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340" w:hRule="atLeast"/>
                <w:jc w:val="center"/>
              </w:trPr>
              <w:tc>
                <w:tcPr>
                  <w:tcW w:w="1590" w:type="pct"/>
                  <w:gridSpan w:val="3"/>
                  <w:vAlign w:val="center"/>
                </w:tcPr>
                <w:p w14:paraId="26E76875">
                  <w:pPr>
                    <w:pStyle w:val="63"/>
                  </w:pPr>
                  <w:r>
                    <w:t>食堂油烟</w:t>
                  </w:r>
                </w:p>
              </w:tc>
              <w:tc>
                <w:tcPr>
                  <w:tcW w:w="713" w:type="pct"/>
                  <w:vAlign w:val="center"/>
                </w:tcPr>
                <w:p w14:paraId="169F2ACC">
                  <w:pPr>
                    <w:pStyle w:val="63"/>
                  </w:pPr>
                  <w:r>
                    <w:t>油烟</w:t>
                  </w:r>
                </w:p>
              </w:tc>
              <w:tc>
                <w:tcPr>
                  <w:tcW w:w="1680" w:type="pct"/>
                  <w:vAlign w:val="center"/>
                </w:tcPr>
                <w:p w14:paraId="733982DD">
                  <w:pPr>
                    <w:pStyle w:val="63"/>
                  </w:pPr>
                  <w:r>
                    <w:rPr>
                      <w:rFonts w:hint="eastAsia"/>
                    </w:rPr>
                    <w:t>食堂油烟执行《饮食业油烟排放标准（试行）》（GB18483-2001）中表</w:t>
                  </w:r>
                  <w:r>
                    <w:t>2</w:t>
                  </w:r>
                  <w:r>
                    <w:rPr>
                      <w:rFonts w:hint="eastAsia"/>
                    </w:rPr>
                    <w:t>中型的要求</w:t>
                  </w:r>
                </w:p>
              </w:tc>
              <w:tc>
                <w:tcPr>
                  <w:tcW w:w="1017" w:type="pct"/>
                  <w:vAlign w:val="center"/>
                </w:tcPr>
                <w:p w14:paraId="005E3F51">
                  <w:pPr>
                    <w:pStyle w:val="63"/>
                  </w:pPr>
                  <w:r>
                    <w:t>2.0 mg/m</w:t>
                  </w:r>
                  <w:r>
                    <w:rPr>
                      <w:vertAlign w:val="superscript"/>
                    </w:rPr>
                    <w:t>3</w:t>
                  </w:r>
                </w:p>
              </w:tc>
            </w:tr>
          </w:tbl>
          <w:p w14:paraId="011734A2">
            <w:pPr>
              <w:adjustRightInd w:val="0"/>
              <w:snapToGrid w:val="0"/>
              <w:spacing w:line="460" w:lineRule="exact"/>
              <w:ind w:firstLine="482" w:firstLineChars="200"/>
              <w:jc w:val="left"/>
              <w:rPr>
                <w:b/>
                <w:bCs/>
              </w:rPr>
            </w:pPr>
            <w:r>
              <w:rPr>
                <w:b/>
                <w:bCs/>
              </w:rPr>
              <w:t>2、噪声</w:t>
            </w:r>
          </w:p>
          <w:p w14:paraId="724AD230">
            <w:pPr>
              <w:adjustRightInd w:val="0"/>
              <w:snapToGrid w:val="0"/>
              <w:spacing w:line="460" w:lineRule="exact"/>
              <w:ind w:firstLine="480" w:firstLineChars="200"/>
              <w:jc w:val="left"/>
            </w:pPr>
            <w:r>
              <w:t>施工期噪声执行《建筑施工场界环境噪声排放标准》（GB12523-2011）中相关标准限值；</w:t>
            </w:r>
          </w:p>
          <w:p w14:paraId="3B6E6324">
            <w:pPr>
              <w:spacing w:line="460" w:lineRule="exact"/>
              <w:ind w:firstLine="480" w:firstLineChars="200"/>
            </w:pPr>
            <w:r>
              <w:t>运营期</w:t>
            </w:r>
            <w:r>
              <w:rPr>
                <w:rFonts w:hint="eastAsia"/>
              </w:rPr>
              <w:t>厂</w:t>
            </w:r>
            <w:r>
              <w:t>界噪声执行《工业企业厂界环境噪声排放标准》（GB12348-2008）中3类标准。具体标准值见表3-4。</w:t>
            </w:r>
          </w:p>
          <w:p w14:paraId="14DE2A15">
            <w:pPr>
              <w:pStyle w:val="76"/>
              <w:ind w:firstLine="420"/>
              <w:rPr>
                <w:color w:val="auto"/>
              </w:rPr>
            </w:pPr>
            <w:r>
              <w:rPr>
                <w:color w:val="auto"/>
              </w:rPr>
              <w:t>表3-4                   工业企业厂界环境噪声排放标准</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546"/>
              <w:gridCol w:w="1409"/>
              <w:gridCol w:w="3982"/>
            </w:tblGrid>
            <w:tr w14:paraId="004928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vAlign w:val="center"/>
                </w:tcPr>
                <w:p w14:paraId="2A011E7A">
                  <w:pPr>
                    <w:jc w:val="center"/>
                    <w:rPr>
                      <w:sz w:val="21"/>
                      <w:szCs w:val="21"/>
                    </w:rPr>
                  </w:pPr>
                  <w:r>
                    <w:rPr>
                      <w:sz w:val="21"/>
                      <w:szCs w:val="21"/>
                    </w:rPr>
                    <w:t>时期</w:t>
                  </w:r>
                </w:p>
              </w:tc>
              <w:tc>
                <w:tcPr>
                  <w:tcW w:w="1592" w:type="dxa"/>
                  <w:vAlign w:val="center"/>
                </w:tcPr>
                <w:p w14:paraId="07FB06AA">
                  <w:pPr>
                    <w:jc w:val="center"/>
                    <w:rPr>
                      <w:sz w:val="21"/>
                      <w:szCs w:val="21"/>
                    </w:rPr>
                  </w:pPr>
                  <w:r>
                    <w:rPr>
                      <w:bCs/>
                      <w:kern w:val="0"/>
                      <w:sz w:val="21"/>
                      <w:szCs w:val="21"/>
                    </w:rPr>
                    <w:t>昼间/dB（A）</w:t>
                  </w:r>
                </w:p>
              </w:tc>
              <w:tc>
                <w:tcPr>
                  <w:tcW w:w="1447" w:type="dxa"/>
                  <w:vAlign w:val="center"/>
                </w:tcPr>
                <w:p w14:paraId="443B6127">
                  <w:pPr>
                    <w:jc w:val="center"/>
                    <w:rPr>
                      <w:sz w:val="21"/>
                      <w:szCs w:val="21"/>
                    </w:rPr>
                  </w:pPr>
                  <w:r>
                    <w:rPr>
                      <w:bCs/>
                      <w:kern w:val="0"/>
                      <w:sz w:val="21"/>
                      <w:szCs w:val="21"/>
                    </w:rPr>
                    <w:t>夜间/dB（A）</w:t>
                  </w:r>
                </w:p>
              </w:tc>
              <w:tc>
                <w:tcPr>
                  <w:tcW w:w="4105" w:type="dxa"/>
                  <w:vAlign w:val="center"/>
                </w:tcPr>
                <w:p w14:paraId="350AF441">
                  <w:pPr>
                    <w:jc w:val="center"/>
                    <w:rPr>
                      <w:bCs/>
                      <w:kern w:val="0"/>
                      <w:sz w:val="21"/>
                      <w:szCs w:val="21"/>
                    </w:rPr>
                  </w:pPr>
                  <w:r>
                    <w:rPr>
                      <w:bCs/>
                      <w:kern w:val="0"/>
                      <w:sz w:val="21"/>
                      <w:szCs w:val="21"/>
                    </w:rPr>
                    <w:t>标准</w:t>
                  </w:r>
                </w:p>
              </w:tc>
            </w:tr>
            <w:tr w14:paraId="410B12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vAlign w:val="center"/>
                </w:tcPr>
                <w:p w14:paraId="119DA3CB">
                  <w:pPr>
                    <w:jc w:val="center"/>
                    <w:rPr>
                      <w:sz w:val="21"/>
                      <w:szCs w:val="21"/>
                    </w:rPr>
                  </w:pPr>
                  <w:r>
                    <w:rPr>
                      <w:sz w:val="21"/>
                      <w:szCs w:val="21"/>
                    </w:rPr>
                    <w:t>施工期</w:t>
                  </w:r>
                </w:p>
              </w:tc>
              <w:tc>
                <w:tcPr>
                  <w:tcW w:w="1592" w:type="dxa"/>
                  <w:vAlign w:val="center"/>
                </w:tcPr>
                <w:p w14:paraId="67A164D5">
                  <w:pPr>
                    <w:jc w:val="center"/>
                    <w:rPr>
                      <w:sz w:val="21"/>
                      <w:szCs w:val="21"/>
                    </w:rPr>
                  </w:pPr>
                  <w:r>
                    <w:rPr>
                      <w:sz w:val="21"/>
                      <w:szCs w:val="21"/>
                    </w:rPr>
                    <w:t>70</w:t>
                  </w:r>
                </w:p>
              </w:tc>
              <w:tc>
                <w:tcPr>
                  <w:tcW w:w="1447" w:type="dxa"/>
                  <w:vAlign w:val="center"/>
                </w:tcPr>
                <w:p w14:paraId="35A62F87">
                  <w:pPr>
                    <w:jc w:val="center"/>
                    <w:rPr>
                      <w:sz w:val="21"/>
                      <w:szCs w:val="21"/>
                    </w:rPr>
                  </w:pPr>
                  <w:r>
                    <w:rPr>
                      <w:sz w:val="21"/>
                      <w:szCs w:val="21"/>
                    </w:rPr>
                    <w:t>55</w:t>
                  </w:r>
                </w:p>
              </w:tc>
              <w:tc>
                <w:tcPr>
                  <w:tcW w:w="4105" w:type="dxa"/>
                  <w:vAlign w:val="center"/>
                </w:tcPr>
                <w:p w14:paraId="437A2C87">
                  <w:pPr>
                    <w:jc w:val="center"/>
                    <w:rPr>
                      <w:sz w:val="21"/>
                      <w:szCs w:val="21"/>
                    </w:rPr>
                  </w:pPr>
                  <w:r>
                    <w:rPr>
                      <w:sz w:val="21"/>
                      <w:szCs w:val="21"/>
                    </w:rPr>
                    <w:t>《建筑施工场界环境噪声排放标准》（GB12523-2011）中相关标准限值</w:t>
                  </w:r>
                </w:p>
              </w:tc>
            </w:tr>
            <w:tr w14:paraId="229916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vAlign w:val="center"/>
                </w:tcPr>
                <w:p w14:paraId="60DB5C8A">
                  <w:pPr>
                    <w:jc w:val="center"/>
                    <w:rPr>
                      <w:sz w:val="21"/>
                      <w:szCs w:val="21"/>
                    </w:rPr>
                  </w:pPr>
                  <w:r>
                    <w:rPr>
                      <w:sz w:val="21"/>
                      <w:szCs w:val="21"/>
                    </w:rPr>
                    <w:t>运营期</w:t>
                  </w:r>
                </w:p>
              </w:tc>
              <w:tc>
                <w:tcPr>
                  <w:tcW w:w="1592" w:type="dxa"/>
                  <w:vAlign w:val="center"/>
                </w:tcPr>
                <w:p w14:paraId="5A79FF96">
                  <w:pPr>
                    <w:jc w:val="center"/>
                    <w:rPr>
                      <w:sz w:val="21"/>
                      <w:szCs w:val="21"/>
                    </w:rPr>
                  </w:pPr>
                  <w:r>
                    <w:rPr>
                      <w:sz w:val="21"/>
                      <w:szCs w:val="21"/>
                    </w:rPr>
                    <w:t>65</w:t>
                  </w:r>
                </w:p>
              </w:tc>
              <w:tc>
                <w:tcPr>
                  <w:tcW w:w="1447" w:type="dxa"/>
                  <w:vAlign w:val="center"/>
                </w:tcPr>
                <w:p w14:paraId="154EF516">
                  <w:pPr>
                    <w:jc w:val="center"/>
                    <w:rPr>
                      <w:sz w:val="21"/>
                      <w:szCs w:val="21"/>
                    </w:rPr>
                  </w:pPr>
                  <w:r>
                    <w:rPr>
                      <w:sz w:val="21"/>
                      <w:szCs w:val="21"/>
                    </w:rPr>
                    <w:t>55</w:t>
                  </w:r>
                </w:p>
              </w:tc>
              <w:tc>
                <w:tcPr>
                  <w:tcW w:w="4105" w:type="dxa"/>
                  <w:vAlign w:val="center"/>
                </w:tcPr>
                <w:p w14:paraId="111D0D6F">
                  <w:pPr>
                    <w:jc w:val="center"/>
                    <w:rPr>
                      <w:sz w:val="21"/>
                      <w:szCs w:val="21"/>
                    </w:rPr>
                  </w:pPr>
                  <w:r>
                    <w:rPr>
                      <w:sz w:val="21"/>
                      <w:szCs w:val="21"/>
                    </w:rPr>
                    <w:t>《工业企业厂界环境噪声排放标准》（GB12348-2008）中3类标准</w:t>
                  </w:r>
                </w:p>
              </w:tc>
            </w:tr>
          </w:tbl>
          <w:p w14:paraId="6610122D">
            <w:pPr>
              <w:pStyle w:val="51"/>
              <w:spacing w:line="460" w:lineRule="exact"/>
              <w:ind w:left="120" w:firstLine="482"/>
              <w:rPr>
                <w:b/>
                <w:bCs/>
                <w:color w:val="auto"/>
              </w:rPr>
            </w:pPr>
            <w:r>
              <w:rPr>
                <w:b/>
                <w:bCs/>
                <w:color w:val="auto"/>
              </w:rPr>
              <w:t>3、废水</w:t>
            </w:r>
          </w:p>
          <w:p w14:paraId="11963107">
            <w:pPr>
              <w:pStyle w:val="51"/>
              <w:spacing w:line="460" w:lineRule="exact"/>
              <w:rPr>
                <w:color w:val="auto"/>
              </w:rPr>
            </w:pPr>
            <w:r>
              <w:rPr>
                <w:color w:val="auto"/>
              </w:rPr>
              <w:t>生产废水经沉淀处置后回用，生活污水排入下水管网，</w:t>
            </w:r>
            <w:r>
              <w:rPr>
                <w:rFonts w:hint="eastAsia"/>
                <w:color w:val="auto"/>
              </w:rPr>
              <w:t>满足《污水综合排放标准》（GB8978-1996）表4 中三级标准限值要求，</w:t>
            </w:r>
            <w:r>
              <w:rPr>
                <w:color w:val="auto"/>
              </w:rPr>
              <w:t>最终进入奇台县喇嘛湖梁工业园区污水处理厂处理。</w:t>
            </w:r>
          </w:p>
          <w:p w14:paraId="49E38381">
            <w:pPr>
              <w:pStyle w:val="51"/>
              <w:spacing w:line="460" w:lineRule="exact"/>
              <w:ind w:firstLine="482"/>
              <w:rPr>
                <w:b/>
                <w:bCs/>
                <w:color w:val="auto"/>
              </w:rPr>
            </w:pPr>
            <w:r>
              <w:rPr>
                <w:b/>
                <w:bCs/>
                <w:color w:val="auto"/>
              </w:rPr>
              <w:t>4、固废</w:t>
            </w:r>
          </w:p>
          <w:p w14:paraId="3838BAEA">
            <w:pPr>
              <w:pStyle w:val="51"/>
              <w:spacing w:line="460" w:lineRule="exact"/>
              <w:rPr>
                <w:color w:val="auto"/>
                <w:kern w:val="0"/>
              </w:rPr>
            </w:pPr>
            <w:r>
              <w:rPr>
                <w:color w:val="auto"/>
              </w:rPr>
              <w:t>一般工业固体废物执行《一般工业固体废物贮存和填埋污染控制标准》（GB18599-2020）中有关规定；危险废物执行《危险废物贮存污染控制标准》（GB18597-2023）中相关要求执行。</w:t>
            </w:r>
          </w:p>
        </w:tc>
      </w:tr>
      <w:tr w14:paraId="2F53D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620E1AF2">
            <w:pPr>
              <w:adjustRightInd w:val="0"/>
              <w:snapToGrid w:val="0"/>
              <w:jc w:val="center"/>
              <w:rPr>
                <w:kern w:val="0"/>
                <w:szCs w:val="21"/>
              </w:rPr>
            </w:pPr>
            <w:r>
              <w:rPr>
                <w:kern w:val="0"/>
                <w:szCs w:val="21"/>
              </w:rPr>
              <w:t>总量</w:t>
            </w:r>
          </w:p>
          <w:p w14:paraId="522C9AFE">
            <w:pPr>
              <w:adjustRightInd w:val="0"/>
              <w:snapToGrid w:val="0"/>
              <w:jc w:val="center"/>
              <w:rPr>
                <w:kern w:val="0"/>
                <w:szCs w:val="21"/>
              </w:rPr>
            </w:pPr>
            <w:r>
              <w:rPr>
                <w:kern w:val="0"/>
                <w:szCs w:val="21"/>
              </w:rPr>
              <w:t>控制</w:t>
            </w:r>
          </w:p>
          <w:p w14:paraId="1442DD64">
            <w:pPr>
              <w:adjustRightInd w:val="0"/>
              <w:snapToGrid w:val="0"/>
              <w:jc w:val="center"/>
              <w:rPr>
                <w:kern w:val="0"/>
                <w:szCs w:val="21"/>
              </w:rPr>
            </w:pPr>
            <w:r>
              <w:rPr>
                <w:kern w:val="0"/>
                <w:szCs w:val="21"/>
              </w:rPr>
              <w:t>指标</w:t>
            </w:r>
          </w:p>
        </w:tc>
        <w:tc>
          <w:tcPr>
            <w:tcW w:w="8190" w:type="dxa"/>
            <w:shd w:val="clear" w:color="auto" w:fill="auto"/>
            <w:vAlign w:val="center"/>
          </w:tcPr>
          <w:p w14:paraId="6433F402">
            <w:pPr>
              <w:adjustRightInd w:val="0"/>
              <w:snapToGrid w:val="0"/>
              <w:spacing w:line="460" w:lineRule="exact"/>
              <w:ind w:firstLine="480" w:firstLineChars="200"/>
              <w:jc w:val="left"/>
              <w:rPr>
                <w:bCs/>
                <w:lang w:bidi="ar"/>
              </w:rPr>
            </w:pPr>
            <w:r>
              <w:rPr>
                <w:rFonts w:hint="eastAsia"/>
                <w:bCs/>
                <w:lang w:bidi="ar"/>
              </w:rPr>
              <w:t>本项目属于新建项目，有组织颗粒物排放量为</w:t>
            </w:r>
            <w:r>
              <w:rPr>
                <w:bCs/>
                <w:lang w:bidi="ar"/>
              </w:rPr>
              <w:t>1.308</w:t>
            </w:r>
            <w:r>
              <w:rPr>
                <w:rFonts w:hint="eastAsia"/>
                <w:bCs/>
                <w:lang w:bidi="ar"/>
              </w:rPr>
              <w:t>t/a，有组织氮氧化物排放量为</w:t>
            </w:r>
            <w:r>
              <w:rPr>
                <w:bCs/>
                <w:lang w:bidi="ar"/>
              </w:rPr>
              <w:t>3.44</w:t>
            </w:r>
            <w:r>
              <w:rPr>
                <w:rFonts w:hint="eastAsia"/>
                <w:bCs/>
                <w:lang w:bidi="ar"/>
              </w:rPr>
              <w:t>t/a，有组织非甲烷总烃排放量为0.03</w:t>
            </w:r>
            <w:r>
              <w:rPr>
                <w:bCs/>
                <w:lang w:bidi="ar"/>
              </w:rPr>
              <w:t>0</w:t>
            </w:r>
            <w:r>
              <w:rPr>
                <w:rFonts w:hint="eastAsia"/>
                <w:bCs/>
                <w:lang w:bidi="ar"/>
              </w:rPr>
              <w:t>t/a。</w:t>
            </w:r>
          </w:p>
          <w:p w14:paraId="776A839C">
            <w:pPr>
              <w:adjustRightInd w:val="0"/>
              <w:snapToGrid w:val="0"/>
              <w:spacing w:line="460" w:lineRule="exact"/>
              <w:ind w:firstLine="480" w:firstLineChars="200"/>
              <w:jc w:val="left"/>
              <w:rPr>
                <w:bCs/>
                <w:lang w:bidi="ar"/>
              </w:rPr>
            </w:pPr>
            <w:r>
              <w:rPr>
                <w:rFonts w:hint="eastAsia"/>
                <w:bCs/>
                <w:lang w:bidi="ar"/>
              </w:rPr>
              <w:t>因此本项目总量控制指标为：颗粒物：</w:t>
            </w:r>
            <w:r>
              <w:rPr>
                <w:bCs/>
                <w:lang w:bidi="ar"/>
              </w:rPr>
              <w:t>1.308</w:t>
            </w:r>
            <w:r>
              <w:rPr>
                <w:rFonts w:hint="eastAsia"/>
                <w:bCs/>
                <w:lang w:bidi="ar"/>
              </w:rPr>
              <w:t>t/a、氮氧化物：</w:t>
            </w:r>
            <w:r>
              <w:rPr>
                <w:bCs/>
                <w:lang w:bidi="ar"/>
              </w:rPr>
              <w:t>3.44t</w:t>
            </w:r>
            <w:r>
              <w:rPr>
                <w:rFonts w:hint="eastAsia"/>
                <w:bCs/>
                <w:lang w:bidi="ar"/>
              </w:rPr>
              <w:t>/a</w:t>
            </w:r>
            <w:r>
              <w:rPr>
                <w:bCs/>
                <w:lang w:bidi="ar"/>
              </w:rPr>
              <w:t>、</w:t>
            </w:r>
            <w:r>
              <w:rPr>
                <w:rFonts w:hint="eastAsia"/>
                <w:bCs/>
                <w:lang w:bidi="ar"/>
              </w:rPr>
              <w:t>V</w:t>
            </w:r>
            <w:r>
              <w:rPr>
                <w:bCs/>
                <w:lang w:bidi="ar"/>
              </w:rPr>
              <w:t>OC</w:t>
            </w:r>
            <w:r>
              <w:rPr>
                <w:bCs/>
                <w:vertAlign w:val="subscript"/>
                <w:lang w:bidi="ar"/>
              </w:rPr>
              <w:t>S</w:t>
            </w:r>
            <w:r>
              <w:rPr>
                <w:rFonts w:hint="eastAsia"/>
                <w:bCs/>
                <w:lang w:bidi="ar"/>
              </w:rPr>
              <w:t>：0</w:t>
            </w:r>
            <w:r>
              <w:rPr>
                <w:bCs/>
                <w:lang w:bidi="ar"/>
              </w:rPr>
              <w:t>.030</w:t>
            </w:r>
            <w:r>
              <w:rPr>
                <w:rFonts w:hint="eastAsia"/>
                <w:bCs/>
                <w:lang w:bidi="ar"/>
              </w:rPr>
              <w:t>t/a。</w:t>
            </w:r>
          </w:p>
          <w:p w14:paraId="73D5C7DD">
            <w:pPr>
              <w:adjustRightInd w:val="0"/>
              <w:snapToGrid w:val="0"/>
              <w:spacing w:line="460" w:lineRule="exact"/>
              <w:ind w:firstLine="480" w:firstLineChars="200"/>
              <w:jc w:val="left"/>
              <w:rPr>
                <w:bCs/>
                <w:lang w:bidi="ar"/>
              </w:rPr>
            </w:pPr>
          </w:p>
          <w:p w14:paraId="6B6165AA">
            <w:pPr>
              <w:adjustRightInd w:val="0"/>
              <w:snapToGrid w:val="0"/>
              <w:spacing w:line="460" w:lineRule="exact"/>
              <w:ind w:firstLine="480" w:firstLineChars="200"/>
              <w:jc w:val="left"/>
              <w:rPr>
                <w:bCs/>
                <w:lang w:bidi="ar"/>
              </w:rPr>
            </w:pPr>
          </w:p>
          <w:p w14:paraId="128618AE">
            <w:pPr>
              <w:adjustRightInd w:val="0"/>
              <w:snapToGrid w:val="0"/>
              <w:spacing w:line="460" w:lineRule="exact"/>
              <w:ind w:firstLine="480" w:firstLineChars="200"/>
              <w:jc w:val="left"/>
              <w:rPr>
                <w:bCs/>
                <w:lang w:bidi="ar"/>
              </w:rPr>
            </w:pPr>
          </w:p>
          <w:p w14:paraId="3D6D90AC">
            <w:pPr>
              <w:adjustRightInd w:val="0"/>
              <w:snapToGrid w:val="0"/>
              <w:spacing w:line="460" w:lineRule="exact"/>
              <w:ind w:firstLine="480" w:firstLineChars="200"/>
              <w:jc w:val="left"/>
              <w:rPr>
                <w:bCs/>
                <w:lang w:bidi="ar"/>
              </w:rPr>
            </w:pPr>
          </w:p>
        </w:tc>
      </w:tr>
    </w:tbl>
    <w:p w14:paraId="3EA83AD2">
      <w:pPr>
        <w:pStyle w:val="19"/>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201"/>
      </w:tblGrid>
      <w:tr w14:paraId="5E977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6" w:type="dxa"/>
            <w:tcMar>
              <w:left w:w="28" w:type="dxa"/>
              <w:right w:w="28" w:type="dxa"/>
            </w:tcMar>
            <w:vAlign w:val="center"/>
          </w:tcPr>
          <w:p w14:paraId="56E565B3">
            <w:pPr>
              <w:pStyle w:val="1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14:paraId="397B74F2">
            <w:pPr>
              <w:pStyle w:val="1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14:paraId="5042377D">
            <w:pPr>
              <w:pStyle w:val="1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14:paraId="17578C81">
            <w:pPr>
              <w:pStyle w:val="1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14:paraId="14B5FF64">
            <w:pPr>
              <w:pStyle w:val="19"/>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162" w:type="dxa"/>
            <w:vAlign w:val="center"/>
          </w:tcPr>
          <w:p w14:paraId="25136098">
            <w:pPr>
              <w:pStyle w:val="86"/>
              <w:adjustRightInd w:val="0"/>
              <w:snapToGrid w:val="0"/>
              <w:spacing w:line="460" w:lineRule="exact"/>
              <w:ind w:firstLine="480" w:firstLineChars="200"/>
              <w:jc w:val="both"/>
              <w:rPr>
                <w:rFonts w:ascii="Times New Roman" w:hAnsi="Times New Roman"/>
                <w:bCs w:val="0"/>
                <w:color w:val="auto"/>
                <w:szCs w:val="24"/>
              </w:rPr>
            </w:pPr>
            <w:r>
              <w:rPr>
                <w:rFonts w:hint="eastAsia" w:ascii="Times New Roman" w:hAnsi="Times New Roman"/>
                <w:bCs w:val="0"/>
                <w:color w:val="auto"/>
                <w:szCs w:val="24"/>
              </w:rPr>
              <w:t>项目主要为</w:t>
            </w:r>
            <w:r>
              <w:rPr>
                <w:rFonts w:ascii="Times New Roman" w:hAnsi="Times New Roman"/>
                <w:bCs w:val="0"/>
                <w:color w:val="auto"/>
                <w:szCs w:val="24"/>
              </w:rPr>
              <w:t>水泥稳定土生产线</w:t>
            </w:r>
            <w:r>
              <w:rPr>
                <w:rFonts w:hint="eastAsia" w:ascii="Times New Roman" w:hAnsi="Times New Roman"/>
                <w:bCs w:val="0"/>
                <w:color w:val="auto"/>
                <w:szCs w:val="24"/>
              </w:rPr>
              <w:t>、</w:t>
            </w:r>
            <w:r>
              <w:rPr>
                <w:rFonts w:ascii="Times New Roman" w:hAnsi="Times New Roman"/>
                <w:bCs w:val="0"/>
                <w:color w:val="auto"/>
                <w:szCs w:val="24"/>
              </w:rPr>
              <w:t>沥青混凝土生产线</w:t>
            </w:r>
            <w:r>
              <w:rPr>
                <w:rFonts w:hint="eastAsia" w:ascii="Times New Roman" w:hAnsi="Times New Roman"/>
                <w:bCs w:val="0"/>
                <w:color w:val="auto"/>
                <w:szCs w:val="24"/>
              </w:rPr>
              <w:t>、</w:t>
            </w:r>
            <w:r>
              <w:rPr>
                <w:rFonts w:ascii="Times New Roman" w:hAnsi="Times New Roman"/>
                <w:bCs w:val="0"/>
                <w:color w:val="auto"/>
                <w:szCs w:val="24"/>
              </w:rPr>
              <w:t>水泥混凝土生产线、预制场及钢筋加工场生产线的建设。施工过程中可能产生的环境影响，本次环境影响评价</w:t>
            </w:r>
            <w:r>
              <w:rPr>
                <w:rFonts w:ascii="Times New Roman" w:hAnsi="Times New Roman"/>
                <w:color w:val="auto"/>
              </w:rPr>
              <w:t>根据《建筑工程绿色环保施工管理规范》（DB65/T4060-2017）和《建筑工程绿色施工规范》（GB/T 50905-2014）</w:t>
            </w:r>
            <w:r>
              <w:rPr>
                <w:rFonts w:ascii="Times New Roman" w:hAnsi="Times New Roman"/>
                <w:bCs w:val="0"/>
                <w:color w:val="auto"/>
                <w:szCs w:val="24"/>
              </w:rPr>
              <w:t>提出如下要求及相应措施</w:t>
            </w:r>
            <w:r>
              <w:rPr>
                <w:rFonts w:hint="eastAsia" w:ascii="Times New Roman" w:hAnsi="Times New Roman"/>
                <w:bCs w:val="0"/>
                <w:color w:val="auto"/>
                <w:szCs w:val="24"/>
              </w:rPr>
              <w:t>：</w:t>
            </w:r>
          </w:p>
          <w:p w14:paraId="736D62B6">
            <w:pPr>
              <w:spacing w:line="460" w:lineRule="exact"/>
              <w:ind w:firstLine="482" w:firstLineChars="200"/>
              <w:rPr>
                <w:b/>
                <w:bCs/>
              </w:rPr>
            </w:pPr>
            <w:r>
              <w:rPr>
                <w:b/>
                <w:bCs/>
              </w:rPr>
              <w:t>1、施工期环保措施</w:t>
            </w:r>
          </w:p>
          <w:p w14:paraId="4670C27F">
            <w:pPr>
              <w:spacing w:line="460" w:lineRule="exact"/>
              <w:ind w:firstLine="480" w:firstLineChars="200"/>
            </w:pPr>
            <w:r>
              <w:t>本项目施工期主要为施工过程产生的粉尘影响，根据分析，本项目施工粉尘在采取下述措施后，对周围环境影响不大。</w:t>
            </w:r>
          </w:p>
          <w:p w14:paraId="6EE26F01">
            <w:pPr>
              <w:spacing w:line="460" w:lineRule="exact"/>
              <w:ind w:firstLine="480" w:firstLineChars="200"/>
            </w:pPr>
            <w:r>
              <w:t>（1）施工工地周边百分百围挡。施工工地周边</w:t>
            </w:r>
            <w:r>
              <w:rPr>
                <w:rFonts w:hint="eastAsia"/>
              </w:rPr>
              <w:t>设置高度不得小于2m</w:t>
            </w:r>
            <w:r>
              <w:t>硬质围墙或围挡，严禁敞开式作业</w:t>
            </w:r>
            <w:r>
              <w:rPr>
                <w:rFonts w:hint="eastAsia"/>
              </w:rPr>
              <w:t>，阻挡建筑工程现场的尘土、强光、噪声和污水向场外溢出</w:t>
            </w:r>
            <w:r>
              <w:t>。围挡地段应设置防溢座，围挡之间以及围挡与防溢座之间无缝隙。对围挡落尘应当定期进行清洗，保证施工工地周围环境整洁；围挡宜采用连续封闭的可重复利用围挡，同时应安全、整洁、 美观与环境保持协调。</w:t>
            </w:r>
          </w:p>
          <w:p w14:paraId="7FC976A4">
            <w:pPr>
              <w:spacing w:line="460" w:lineRule="exact"/>
              <w:ind w:firstLine="480" w:firstLineChars="200"/>
            </w:pPr>
            <w:r>
              <w:t>（2）物料堆放百分百覆盖。施工工地内堆放易产生扬尘污染物料的，必须密闭存放或覆盖；工程主体施工阶段必须使用密目式安全网进行封闭；项目施工过程挖方临时堆存期间采取篷布苫盖，待基地工程完工后及时回填；建筑垃圾在施工区堆存期间进行苫盖处置，需要外运的及时清运，清运过程采取车辆篷布苫盖措施，控制装载量，防止运输过程洒落；</w:t>
            </w:r>
          </w:p>
          <w:p w14:paraId="6ED96664">
            <w:pPr>
              <w:spacing w:line="460" w:lineRule="exact"/>
              <w:ind w:firstLine="480" w:firstLineChars="200"/>
            </w:pPr>
            <w:r>
              <w:t>（3）出入车辆百分之百冲洗。施工工地现场出入口地面必须硬化处理并设置车辆冲洗台以及配套的排水、泥浆沉淀设施，冲洗设施到位；车辆在驶出工地前，应将车轮、车身冲洗干净，不得带泥上路；</w:t>
            </w:r>
          </w:p>
          <w:p w14:paraId="2539EB10">
            <w:pPr>
              <w:spacing w:line="460" w:lineRule="exact"/>
              <w:ind w:firstLine="480" w:firstLineChars="200"/>
            </w:pPr>
            <w:r>
              <w:t>（4）施工现场地面百分之百硬化。施工现场的主要道路应铺设混凝土或沥青路面，场地内的其它地面应进行绿化或硬化处理。土方开挖阶段，应对施工现场的车行道路进行简易硬化，并辅以洒水等降尘措施；</w:t>
            </w:r>
          </w:p>
          <w:p w14:paraId="39FB8B78">
            <w:pPr>
              <w:spacing w:line="460" w:lineRule="exact"/>
              <w:ind w:firstLine="480" w:firstLineChars="200"/>
            </w:pPr>
            <w:r>
              <w:t>（5）施工期间，工地内从建筑上层将具有粉尘逸散形的物料、渣土或废弃物输送至地面或底下楼层时，应采用密闭方式输送，不得凌空抛撒；</w:t>
            </w:r>
          </w:p>
          <w:p w14:paraId="02225F74">
            <w:pPr>
              <w:spacing w:line="460" w:lineRule="exact"/>
              <w:ind w:firstLine="480" w:firstLineChars="200"/>
            </w:pPr>
            <w:r>
              <w:t>（6）工程项目竣工后30日内，施工单位必须平整施工工地，并清除积土、堆物；</w:t>
            </w:r>
          </w:p>
          <w:p w14:paraId="7BB484FB">
            <w:pPr>
              <w:spacing w:line="460" w:lineRule="exact"/>
              <w:ind w:firstLine="480" w:firstLineChars="200"/>
            </w:pPr>
            <w:r>
              <w:t>（7）</w:t>
            </w:r>
            <w:r>
              <w:rPr>
                <w:rFonts w:hint="eastAsia"/>
              </w:rPr>
              <w:t>遇到四级以上大风天气，不应进行土方回填、转运以及其它可能产生扬尘污染的施工；五级及以上大风天气，施工现场应停止工地室外作业及室内喷涂粉刷作业，并对作业面进行覆盖。</w:t>
            </w:r>
          </w:p>
          <w:p w14:paraId="575E98F4">
            <w:pPr>
              <w:spacing w:line="460" w:lineRule="exact"/>
              <w:ind w:firstLine="480" w:firstLineChars="200"/>
            </w:pPr>
            <w:r>
              <w:t>（8）从事散装货物运输的车辆，特别是运输渣土、建筑垃圾、建筑材料等易产生扬尘物料的车辆，必须严密覆盖，严禁撒漏。</w:t>
            </w:r>
            <w:r>
              <w:rPr>
                <w:rFonts w:hint="eastAsia"/>
              </w:rPr>
              <w:t>运送土方、垃圾、设备及建筑材料等不得污损场外道路，施工现场大门口必须设置冲洗车辆设施，运输车辆必须采取防护措施，保证物料不得散落、飞扬和遗漏。</w:t>
            </w:r>
          </w:p>
          <w:p w14:paraId="2E1AE8C5">
            <w:pPr>
              <w:spacing w:line="460" w:lineRule="exact"/>
              <w:ind w:firstLine="480" w:firstLineChars="200"/>
            </w:pPr>
            <w:r>
              <w:rPr>
                <w:rFonts w:hint="eastAsia"/>
              </w:rPr>
              <w:t>（9）</w:t>
            </w:r>
            <w:r>
              <w:t>拆除工程施工前，应设置围挡；拆除工程时应采取有效的降尘措施，并应在一周时间内将废弃物 清理完毕。</w:t>
            </w:r>
          </w:p>
          <w:p w14:paraId="631EBEA7">
            <w:pPr>
              <w:spacing w:line="460" w:lineRule="exact"/>
              <w:ind w:firstLine="480" w:firstLineChars="200"/>
            </w:pPr>
            <w:r>
              <w:t>综上所述，在采取以上措施并严执行的前提下，施工期产生的大气污染物会控制在较小范围内，施工期对大气环境产生的影响会随施工的结束而消失。</w:t>
            </w:r>
          </w:p>
          <w:p w14:paraId="2D84E9BB">
            <w:pPr>
              <w:spacing w:line="460" w:lineRule="exact"/>
              <w:ind w:firstLine="482" w:firstLineChars="200"/>
              <w:rPr>
                <w:b/>
                <w:bCs/>
              </w:rPr>
            </w:pPr>
            <w:r>
              <w:rPr>
                <w:b/>
                <w:bCs/>
              </w:rPr>
              <w:t>2、施工噪声防治措施</w:t>
            </w:r>
          </w:p>
          <w:p w14:paraId="5F077556">
            <w:pPr>
              <w:spacing w:line="460" w:lineRule="exact"/>
              <w:ind w:firstLine="480" w:firstLineChars="200"/>
            </w:pPr>
            <w:r>
              <w:t>本项目施工期产污环节主要为设备安装产生的噪声。施工噪声是暂时的，但它对环境影响较大。</w:t>
            </w:r>
          </w:p>
          <w:p w14:paraId="3C2D4C3E">
            <w:pPr>
              <w:spacing w:line="460" w:lineRule="exact"/>
              <w:ind w:firstLine="480" w:firstLineChars="200"/>
            </w:pPr>
            <w:r>
              <w:t>根据《中华人民共和国噪声污染防治法》</w:t>
            </w:r>
            <w:r>
              <w:rPr>
                <w:rFonts w:hint="eastAsia"/>
              </w:rPr>
              <w:t>（中华人民共和国主席令第一〇四号）</w:t>
            </w:r>
            <w:r>
              <w:t>相关规定，结合本工程实际情况，对施工期噪声环境影响提出以下措施：</w:t>
            </w:r>
          </w:p>
          <w:p w14:paraId="30D2C4DC">
            <w:pPr>
              <w:spacing w:line="460" w:lineRule="exact"/>
              <w:ind w:firstLine="480" w:firstLineChars="200"/>
            </w:pPr>
            <w:r>
              <w:t>（1）根据流程，向环保监管部门申请，写明施工时间地点以及减缓措施等。</w:t>
            </w:r>
          </w:p>
          <w:p w14:paraId="20D6F9B3">
            <w:pPr>
              <w:spacing w:line="460" w:lineRule="exact"/>
              <w:ind w:firstLine="480" w:firstLineChars="200"/>
            </w:pPr>
            <w:r>
              <w:t>（2）合理安排施工时间，应尽量安排在白天施工，避开午休时间动用高噪声设备，严禁夜间进行产生环境噪声污染的建筑施工作业。严格控制施工时间。</w:t>
            </w:r>
          </w:p>
          <w:p w14:paraId="72361055">
            <w:pPr>
              <w:spacing w:line="460" w:lineRule="exact"/>
              <w:ind w:firstLine="480" w:firstLineChars="200"/>
            </w:pPr>
            <w:r>
              <w:t>（3）严格操作规程，加强施工机械管理，降低人为噪声影响。不合理施工作业是产生人为噪声的主要原因，因此要杜绝人为敲打、野蛮装卸现象，规范建筑物料、土石方清运车辆进出工地高速行驶和鸣笛等。</w:t>
            </w:r>
          </w:p>
          <w:p w14:paraId="1F1D7196">
            <w:pPr>
              <w:spacing w:line="460" w:lineRule="exact"/>
              <w:ind w:firstLine="480" w:firstLineChars="200"/>
            </w:pPr>
            <w:r>
              <w:t>（4）采取有效的隔音、减振、消声措施，降低噪声级。对位置相对固定的施工机械，如切割机、电锯等，应将其设在专门工棚内，同时选用低噪声设备，采取必要的吸音、隔声降噪措施。</w:t>
            </w:r>
          </w:p>
          <w:p w14:paraId="479B3FC3">
            <w:pPr>
              <w:spacing w:line="460" w:lineRule="exact"/>
              <w:ind w:firstLine="480" w:firstLineChars="200"/>
            </w:pPr>
            <w:r>
              <w:t>（5）合理安排施工工序，避免高噪声设备集中施工</w:t>
            </w:r>
            <w:r>
              <w:rPr>
                <w:rFonts w:hint="eastAsia"/>
              </w:rPr>
              <w:t>。</w:t>
            </w:r>
          </w:p>
          <w:p w14:paraId="29EA057E">
            <w:pPr>
              <w:spacing w:line="460" w:lineRule="exact"/>
              <w:ind w:firstLine="480" w:firstLineChars="200"/>
            </w:pPr>
            <w:r>
              <w:t>采取以上措施后，本项目设备噪声满足《建筑施工场界环境噪声排放标准》（GB12523-2011）（昼间≤70dB</w:t>
            </w:r>
            <w:r>
              <w:rPr>
                <w:rFonts w:hint="eastAsia"/>
              </w:rPr>
              <w:t>（A）</w:t>
            </w:r>
            <w:r>
              <w:t>，夜间≤55 dB（</w:t>
            </w:r>
            <w:r>
              <w:rPr>
                <w:rFonts w:hint="eastAsia"/>
              </w:rPr>
              <w:t>A</w:t>
            </w:r>
            <w:r>
              <w:t>））。同时项目周边50m范围内无环境保护目标，施工期对区域噪声环境质量的影响不大，随着施工期的结束，噪声污染影响随之消除。</w:t>
            </w:r>
          </w:p>
          <w:p w14:paraId="11E16A99">
            <w:pPr>
              <w:spacing w:line="460" w:lineRule="exact"/>
              <w:ind w:firstLine="482" w:firstLineChars="200"/>
              <w:rPr>
                <w:b/>
                <w:bCs/>
              </w:rPr>
            </w:pPr>
            <w:r>
              <w:rPr>
                <w:b/>
                <w:bCs/>
              </w:rPr>
              <w:t>3、施工期废水防治措施</w:t>
            </w:r>
          </w:p>
          <w:p w14:paraId="0FC32F6D">
            <w:pPr>
              <w:spacing w:line="460" w:lineRule="exact"/>
              <w:ind w:firstLine="480" w:firstLineChars="200"/>
              <w:rPr>
                <w:bCs/>
              </w:rPr>
            </w:pPr>
            <w:r>
              <w:rPr>
                <w:bCs/>
              </w:rPr>
              <w:t>施工期产生的废水主要为施工人员生活废水和施工活动自身产生的废水。</w:t>
            </w:r>
          </w:p>
          <w:p w14:paraId="4DFF12C8">
            <w:pPr>
              <w:spacing w:line="460" w:lineRule="exact"/>
              <w:ind w:firstLine="480" w:firstLineChars="200"/>
              <w:rPr>
                <w:bCs/>
              </w:rPr>
            </w:pPr>
            <w:r>
              <w:rPr>
                <w:bCs/>
              </w:rPr>
              <w:t>（1）施工单位应对地面水的排放进行有组织设计，严禁乱排、乱流污染道路；</w:t>
            </w:r>
          </w:p>
          <w:p w14:paraId="4D80669C">
            <w:pPr>
              <w:spacing w:line="460" w:lineRule="exact"/>
              <w:ind w:firstLine="480" w:firstLineChars="200"/>
              <w:rPr>
                <w:bCs/>
              </w:rPr>
            </w:pPr>
            <w:r>
              <w:rPr>
                <w:bCs/>
              </w:rPr>
              <w:t>（2）严禁将施工废水直接排放。</w:t>
            </w:r>
            <w:r>
              <w:rPr>
                <w:rFonts w:hint="eastAsia"/>
                <w:bCs/>
              </w:rPr>
              <w:t>生活污水排入下水管网，最终进入奇台县喇嘛湖梁工业园区污水处理厂</w:t>
            </w:r>
            <w:r>
              <w:rPr>
                <w:bCs/>
              </w:rPr>
              <w:t>；生产废水主要为施工过程车辆冲洗</w:t>
            </w:r>
            <w:r>
              <w:rPr>
                <w:rFonts w:hint="eastAsia"/>
                <w:bCs/>
              </w:rPr>
              <w:t>和设备冲洗</w:t>
            </w:r>
            <w:r>
              <w:rPr>
                <w:bCs/>
              </w:rPr>
              <w:t>，废水要求建设沉淀池处置后用于</w:t>
            </w:r>
            <w:r>
              <w:rPr>
                <w:rFonts w:hint="eastAsia"/>
                <w:bCs/>
              </w:rPr>
              <w:t>水泥混凝土搅拌工序</w:t>
            </w:r>
            <w:r>
              <w:rPr>
                <w:bCs/>
              </w:rPr>
              <w:t>。</w:t>
            </w:r>
          </w:p>
          <w:p w14:paraId="51ED5459">
            <w:pPr>
              <w:spacing w:line="460" w:lineRule="exact"/>
              <w:ind w:firstLine="482" w:firstLineChars="200"/>
              <w:rPr>
                <w:b/>
                <w:bCs/>
              </w:rPr>
            </w:pPr>
            <w:r>
              <w:rPr>
                <w:b/>
                <w:bCs/>
              </w:rPr>
              <w:t>4、施工期固废防治措施</w:t>
            </w:r>
          </w:p>
          <w:p w14:paraId="18C9C6D5">
            <w:pPr>
              <w:spacing w:line="460" w:lineRule="exact"/>
              <w:ind w:firstLine="480" w:firstLineChars="200"/>
              <w:rPr>
                <w:bCs/>
              </w:rPr>
            </w:pPr>
            <w:r>
              <w:rPr>
                <w:bCs/>
              </w:rPr>
              <w:t>建设项目施工期固废主要为施工工程产生的建筑废料、各种角料以及施工人员产生的生活垃圾。</w:t>
            </w:r>
          </w:p>
          <w:p w14:paraId="0FDD8D75">
            <w:pPr>
              <w:spacing w:line="460" w:lineRule="exact"/>
              <w:ind w:firstLine="480" w:firstLineChars="200"/>
            </w:pPr>
            <w:r>
              <w:t>针对施工期产生的建筑垃圾可能造成的影响，本次环评要求建设单位采取以下措施：</w:t>
            </w:r>
          </w:p>
          <w:p w14:paraId="41887E32">
            <w:pPr>
              <w:spacing w:line="460" w:lineRule="exact"/>
              <w:ind w:firstLine="480" w:firstLineChars="200"/>
            </w:pPr>
            <w:r>
              <w:t>（1）施工单位应按照国家和当地有关建筑垃圾和工程弃土处置管理的规定，认真执行《中华人民共和国固体废物污染环境防治法》</w:t>
            </w:r>
            <w:r>
              <w:rPr>
                <w:rFonts w:hint="eastAsia"/>
              </w:rPr>
              <w:t>，拉运至当地政府主管部门指定地点填埋</w:t>
            </w:r>
            <w:r>
              <w:t>；</w:t>
            </w:r>
          </w:p>
          <w:p w14:paraId="2C5E22F3">
            <w:pPr>
              <w:spacing w:line="460" w:lineRule="exact"/>
              <w:ind w:firstLine="480" w:firstLineChars="200"/>
            </w:pPr>
            <w:r>
              <w:t>（2）弃方临时堆存在施工场地内，不得将弃方堆存在施工规划红线以外，以免增加临时占地面积。</w:t>
            </w:r>
          </w:p>
          <w:p w14:paraId="326F9580">
            <w:pPr>
              <w:spacing w:line="460" w:lineRule="exact"/>
              <w:ind w:firstLine="480" w:firstLineChars="200"/>
            </w:pPr>
            <w:r>
              <w:t>（3）本着就近消纳、降低运输成本的原则，本项目产生的弃方全部用于项目区内的场地平整，不设置永久弃土场、弃渣场。</w:t>
            </w:r>
          </w:p>
          <w:p w14:paraId="7DC72570">
            <w:pPr>
              <w:spacing w:line="460" w:lineRule="exact"/>
              <w:ind w:firstLine="480" w:firstLineChars="200"/>
            </w:pPr>
            <w:r>
              <w:t>（4）在工程竣工以后，施工单位应拆除各种临时施工设施，并负责将工地的剩余建筑垃圾处理干净，做</w:t>
            </w:r>
            <w:r>
              <w:rPr>
                <w:rFonts w:ascii="宋体" w:hAnsi="宋体"/>
              </w:rPr>
              <w:t>到“工完、料尽、场地清”，</w:t>
            </w:r>
            <w:r>
              <w:t>建设单位应负责督促施工单位的固体废物处置清理工作，及时将建筑垃圾拉运至市政部门指定点处理。</w:t>
            </w:r>
          </w:p>
          <w:p w14:paraId="5BF44700">
            <w:pPr>
              <w:spacing w:line="460" w:lineRule="exact"/>
              <w:ind w:firstLine="480" w:firstLineChars="200"/>
            </w:pPr>
            <w:r>
              <w:t>（5）施工人员产生的生活垃圾不得随意乱丢，施工期应设垃圾收集箱，对施工人员产生的生活垃圾进行收集，由环卫负责清运。</w:t>
            </w:r>
          </w:p>
          <w:p w14:paraId="04D6BB0C">
            <w:pPr>
              <w:spacing w:line="460" w:lineRule="exact"/>
              <w:ind w:firstLine="480" w:firstLineChars="200"/>
            </w:pPr>
            <w:r>
              <w:t>综上所述，施工期只要加强管理，采取切实可行的措施，废弃物对环境的影响轻微。</w:t>
            </w:r>
          </w:p>
          <w:p w14:paraId="4BE85237">
            <w:pPr>
              <w:spacing w:line="460" w:lineRule="exact"/>
              <w:ind w:firstLine="482" w:firstLineChars="200"/>
              <w:rPr>
                <w:b/>
              </w:rPr>
            </w:pPr>
            <w:r>
              <w:rPr>
                <w:rFonts w:hint="eastAsia"/>
                <w:b/>
              </w:rPr>
              <w:t>5、生态防治措施</w:t>
            </w:r>
          </w:p>
          <w:p w14:paraId="50ABA1CA">
            <w:pPr>
              <w:spacing w:line="460" w:lineRule="exact"/>
              <w:ind w:firstLine="480" w:firstLineChars="200"/>
            </w:pPr>
            <w:r>
              <w:rPr>
                <w:rFonts w:hint="eastAsia"/>
              </w:rPr>
              <w:t>（1）项目部分占用草地，采取分别开挖，分别堆放、反序分层回填的方式，表土单独堆放，采取覆盖的方式，施工时应减少土方开挖、回填量和堆放占用土地，最大限度地减少对土地的扰动；在服务期满后用开挖土方及时进行回填，应尽量做到平衡，宜采取原土回填。</w:t>
            </w:r>
          </w:p>
          <w:p w14:paraId="32D2C9F5">
            <w:pPr>
              <w:spacing w:line="460" w:lineRule="exact"/>
              <w:ind w:firstLine="480" w:firstLineChars="200"/>
            </w:pPr>
            <w:r>
              <w:rPr>
                <w:rFonts w:hint="eastAsia"/>
              </w:rPr>
              <w:t>（2）服务期满后对施工活动造成裸土与植被破坏的情况，进行生态恢复，宜种植当地或其它合适的植物，以恢复空地地貌，减少土壤侵蚀。</w:t>
            </w:r>
          </w:p>
          <w:p w14:paraId="34DD558A">
            <w:pPr>
              <w:spacing w:line="460" w:lineRule="exact"/>
              <w:ind w:firstLine="482" w:firstLineChars="200"/>
              <w:rPr>
                <w:b/>
              </w:rPr>
            </w:pPr>
            <w:r>
              <w:rPr>
                <w:rFonts w:hint="eastAsia"/>
                <w:b/>
              </w:rPr>
              <w:t>6、防沙治沙措施</w:t>
            </w:r>
          </w:p>
          <w:p w14:paraId="4554BB05">
            <w:pPr>
              <w:spacing w:line="460" w:lineRule="exact"/>
              <w:ind w:firstLine="480" w:firstLineChars="200"/>
            </w:pPr>
            <w:r>
              <w:rPr>
                <w:rFonts w:hint="eastAsia"/>
              </w:rPr>
              <w:t>根据《关于做好沙区开发建设项目环评中防沙治沙内容评价工作的意见》（林沙发﹝2</w:t>
            </w:r>
            <w:r>
              <w:t>013</w:t>
            </w:r>
            <w:r>
              <w:rPr>
                <w:rFonts w:hint="eastAsia"/>
              </w:rPr>
              <w:t>﹞136 号）、《关于加强沙区建设项目环境影响评价工作的通知》（新环环评发﹝2</w:t>
            </w:r>
            <w:r>
              <w:t>020</w:t>
            </w:r>
            <w:r>
              <w:rPr>
                <w:rFonts w:hint="eastAsia"/>
              </w:rPr>
              <w:t>﹞138号）、《防沙治沙技术规范》（GB/T21141-2007）等要求，本次环评建议建设单位积极开展治理及预防土地沙化工作，在厂区内加强绿化措施，运营后在项目区企业外围、道路两侧选择能够适应当地气候、土壤、水分及灌溉条件的植物进行绿化，有助于治沙，预防厂区土地沙化现象产生。</w:t>
            </w:r>
          </w:p>
        </w:tc>
      </w:tr>
      <w:tr w14:paraId="7D25F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14:paraId="73D02451">
            <w:pPr>
              <w:adjustRightInd w:val="0"/>
              <w:snapToGrid w:val="0"/>
              <w:jc w:val="center"/>
              <w:rPr>
                <w:bCs/>
                <w:szCs w:val="21"/>
              </w:rPr>
            </w:pPr>
            <w:r>
              <w:rPr>
                <w:bCs/>
                <w:szCs w:val="21"/>
              </w:rPr>
              <w:t>运营</w:t>
            </w:r>
          </w:p>
          <w:p w14:paraId="130E27D2">
            <w:pPr>
              <w:adjustRightInd w:val="0"/>
              <w:snapToGrid w:val="0"/>
              <w:jc w:val="center"/>
              <w:rPr>
                <w:bCs/>
                <w:szCs w:val="21"/>
              </w:rPr>
            </w:pPr>
            <w:r>
              <w:rPr>
                <w:bCs/>
                <w:szCs w:val="21"/>
              </w:rPr>
              <w:t>期环</w:t>
            </w:r>
          </w:p>
          <w:p w14:paraId="211A6873">
            <w:pPr>
              <w:adjustRightInd w:val="0"/>
              <w:snapToGrid w:val="0"/>
              <w:jc w:val="center"/>
              <w:rPr>
                <w:bCs/>
                <w:szCs w:val="21"/>
              </w:rPr>
            </w:pPr>
            <w:r>
              <w:rPr>
                <w:bCs/>
                <w:szCs w:val="21"/>
              </w:rPr>
              <w:t>境影</w:t>
            </w:r>
          </w:p>
          <w:p w14:paraId="0D25D05C">
            <w:pPr>
              <w:adjustRightInd w:val="0"/>
              <w:snapToGrid w:val="0"/>
              <w:jc w:val="center"/>
              <w:rPr>
                <w:bCs/>
                <w:szCs w:val="21"/>
              </w:rPr>
            </w:pPr>
            <w:r>
              <w:rPr>
                <w:bCs/>
                <w:szCs w:val="21"/>
              </w:rPr>
              <w:t>响和</w:t>
            </w:r>
          </w:p>
          <w:p w14:paraId="7EB6FEF5">
            <w:pPr>
              <w:adjustRightInd w:val="0"/>
              <w:snapToGrid w:val="0"/>
              <w:jc w:val="center"/>
              <w:rPr>
                <w:bCs/>
                <w:szCs w:val="21"/>
              </w:rPr>
            </w:pPr>
            <w:r>
              <w:rPr>
                <w:bCs/>
                <w:szCs w:val="21"/>
              </w:rPr>
              <w:t>保护</w:t>
            </w:r>
          </w:p>
          <w:p w14:paraId="4D5FFD48">
            <w:pPr>
              <w:adjustRightInd w:val="0"/>
              <w:snapToGrid w:val="0"/>
              <w:jc w:val="center"/>
              <w:rPr>
                <w:bCs/>
                <w:szCs w:val="21"/>
              </w:rPr>
            </w:pPr>
            <w:r>
              <w:rPr>
                <w:bCs/>
                <w:szCs w:val="21"/>
              </w:rPr>
              <w:t>措施</w:t>
            </w:r>
          </w:p>
        </w:tc>
        <w:tc>
          <w:tcPr>
            <w:tcW w:w="8162" w:type="dxa"/>
            <w:vAlign w:val="center"/>
          </w:tcPr>
          <w:p w14:paraId="76848BCB">
            <w:pPr>
              <w:adjustRightInd w:val="0"/>
              <w:snapToGrid w:val="0"/>
              <w:spacing w:line="460" w:lineRule="exact"/>
              <w:ind w:firstLine="482" w:firstLineChars="200"/>
              <w:rPr>
                <w:b/>
                <w:bCs/>
              </w:rPr>
            </w:pPr>
            <w:r>
              <w:rPr>
                <w:b/>
                <w:bCs/>
              </w:rPr>
              <w:t>1、废气环境影响和保护措施</w:t>
            </w:r>
          </w:p>
          <w:p w14:paraId="55F3E660">
            <w:pPr>
              <w:adjustRightInd w:val="0"/>
              <w:snapToGrid w:val="0"/>
              <w:spacing w:line="460" w:lineRule="exact"/>
              <w:ind w:firstLine="480" w:firstLineChars="200"/>
              <w:rPr>
                <w:bCs/>
              </w:rPr>
            </w:pPr>
            <w:r>
              <w:rPr>
                <w:bCs/>
              </w:rPr>
              <w:t>1.1、废气影响分析</w:t>
            </w:r>
          </w:p>
          <w:p w14:paraId="08D9E5FE">
            <w:pPr>
              <w:spacing w:line="460" w:lineRule="exact"/>
              <w:ind w:firstLine="480" w:firstLineChars="200"/>
            </w:pPr>
            <w:r>
              <w:t>（1）</w:t>
            </w:r>
            <w:r>
              <w:rPr>
                <w:rFonts w:hint="eastAsia"/>
              </w:rPr>
              <w:t>堆场及</w:t>
            </w:r>
            <w:r>
              <w:t>装卸扬尘</w:t>
            </w:r>
          </w:p>
          <w:p w14:paraId="2A58F114">
            <w:pPr>
              <w:tabs>
                <w:tab w:val="center" w:pos="4736"/>
              </w:tabs>
              <w:spacing w:line="460" w:lineRule="exact"/>
              <w:ind w:firstLine="480" w:firstLineChars="200"/>
              <w:rPr>
                <w:bCs/>
              </w:rPr>
            </w:pPr>
            <w:r>
              <w:rPr>
                <w:bCs/>
              </w:rPr>
              <w:t>项目</w:t>
            </w:r>
            <w:r>
              <w:rPr>
                <w:rFonts w:hint="eastAsia"/>
                <w:bCs/>
              </w:rPr>
              <w:t>碎石</w:t>
            </w:r>
            <w:r>
              <w:rPr>
                <w:bCs/>
              </w:rPr>
              <w:t>均采用</w:t>
            </w:r>
            <w:r>
              <w:rPr>
                <w:rFonts w:hint="eastAsia"/>
                <w:bCs/>
              </w:rPr>
              <w:t>半封闭料仓</w:t>
            </w:r>
            <w:r>
              <w:rPr>
                <w:bCs/>
              </w:rPr>
              <w:t>进行堆放，粉煤灰、水泥</w:t>
            </w:r>
            <w:r>
              <w:rPr>
                <w:rFonts w:hint="eastAsia"/>
                <w:bCs/>
              </w:rPr>
              <w:t>、矿粉</w:t>
            </w:r>
            <w:r>
              <w:rPr>
                <w:bCs/>
              </w:rPr>
              <w:t>均采用</w:t>
            </w:r>
            <w:r>
              <w:rPr>
                <w:rFonts w:hint="eastAsia"/>
                <w:bCs/>
              </w:rPr>
              <w:t>密闭筒仓存储</w:t>
            </w:r>
            <w:r>
              <w:rPr>
                <w:bCs/>
              </w:rPr>
              <w:t>。</w:t>
            </w:r>
            <w:r>
              <w:rPr>
                <w:rFonts w:hint="eastAsia"/>
                <w:bCs/>
              </w:rPr>
              <w:t>本项目碎石通过苫盖篷布的卡车运输进厂区半封闭料仓内，在卸料时中会产生一定量的粉尘，该工段粉尘产生量及排放量参考</w:t>
            </w:r>
            <w:r>
              <w:rPr>
                <w:bCs/>
              </w:rPr>
              <w:t>《排放源统计调查产排污核算方法和系数手册》（2021年）</w:t>
            </w:r>
            <w:r>
              <w:rPr>
                <w:rFonts w:hint="eastAsia"/>
                <w:bCs/>
              </w:rPr>
              <w:t>中“固体物料堆存颗粒物产排污核算系数手册”中的计算公式进行核算。</w:t>
            </w:r>
          </w:p>
          <w:p w14:paraId="312561C3">
            <w:pPr>
              <w:spacing w:line="480" w:lineRule="exact"/>
              <w:jc w:val="center"/>
            </w:pPr>
            <w:r>
              <w:t>P=ZC</w:t>
            </w:r>
            <w:r>
              <w:rPr>
                <w:vertAlign w:val="subscript"/>
              </w:rPr>
              <w:t>y</w:t>
            </w:r>
            <w:r>
              <w:t>+FC</w:t>
            </w:r>
            <w:r>
              <w:rPr>
                <w:vertAlign w:val="subscript"/>
              </w:rPr>
              <w:t>y</w:t>
            </w:r>
            <w:r>
              <w:t>={N</w:t>
            </w:r>
            <w:r>
              <w:rPr>
                <w:vertAlign w:val="subscript"/>
              </w:rPr>
              <w:t>c</w:t>
            </w:r>
            <w:r>
              <w:t>×D×(a/b)+2×E</w:t>
            </w:r>
            <w:r>
              <w:rPr>
                <w:vertAlign w:val="subscript"/>
              </w:rPr>
              <w:t>f</w:t>
            </w:r>
            <w:r>
              <w:t>×S}×10</w:t>
            </w:r>
            <w:r>
              <w:rPr>
                <w:vertAlign w:val="superscript"/>
              </w:rPr>
              <w:t>-3</w:t>
            </w:r>
          </w:p>
          <w:p w14:paraId="022432FC">
            <w:pPr>
              <w:tabs>
                <w:tab w:val="center" w:pos="4736"/>
              </w:tabs>
              <w:ind w:firstLine="200" w:firstLineChars="200"/>
              <w:rPr>
                <w:sz w:val="10"/>
                <w:szCs w:val="10"/>
                <w:highlight w:val="yellow"/>
              </w:rPr>
            </w:pPr>
          </w:p>
          <w:p w14:paraId="41C4A96A">
            <w:pPr>
              <w:tabs>
                <w:tab w:val="center" w:pos="4736"/>
              </w:tabs>
              <w:spacing w:line="460" w:lineRule="exact"/>
              <w:ind w:firstLine="480" w:firstLineChars="200"/>
            </w:pPr>
            <w:r>
              <w:t>式中：P</w:t>
            </w:r>
            <w:r>
              <w:rPr>
                <w:rFonts w:hint="eastAsia"/>
              </w:rPr>
              <w:t>——</w:t>
            </w:r>
            <w:r>
              <w:t>颗粒物产生量（单位：吨）；</w:t>
            </w:r>
          </w:p>
          <w:p w14:paraId="30A4265F">
            <w:pPr>
              <w:tabs>
                <w:tab w:val="center" w:pos="4736"/>
              </w:tabs>
              <w:spacing w:line="460" w:lineRule="exact"/>
              <w:ind w:firstLine="1200" w:firstLineChars="500"/>
            </w:pPr>
            <w:r>
              <w:t>ZC</w:t>
            </w:r>
            <w:r>
              <w:rPr>
                <w:vertAlign w:val="subscript"/>
              </w:rPr>
              <w:t>y</w:t>
            </w:r>
            <w:r>
              <w:rPr>
                <w:rFonts w:hint="eastAsia"/>
              </w:rPr>
              <w:t>——</w:t>
            </w:r>
            <w:r>
              <w:t>装卸扬尘产生量（单位：吨）；</w:t>
            </w:r>
          </w:p>
          <w:p w14:paraId="2460D358">
            <w:pPr>
              <w:tabs>
                <w:tab w:val="center" w:pos="4736"/>
              </w:tabs>
              <w:spacing w:line="460" w:lineRule="exact"/>
              <w:ind w:firstLine="1200" w:firstLineChars="500"/>
            </w:pPr>
            <w:r>
              <w:t>FC</w:t>
            </w:r>
            <w:r>
              <w:rPr>
                <w:vertAlign w:val="subscript"/>
              </w:rPr>
              <w:t>y</w:t>
            </w:r>
            <w:r>
              <w:rPr>
                <w:rFonts w:hint="eastAsia"/>
              </w:rPr>
              <w:t>——</w:t>
            </w:r>
            <w:r>
              <w:t>风蚀扬尘产生量（单位：吨）；</w:t>
            </w:r>
          </w:p>
          <w:p w14:paraId="31989FBA">
            <w:pPr>
              <w:tabs>
                <w:tab w:val="center" w:pos="4736"/>
              </w:tabs>
              <w:spacing w:line="460" w:lineRule="exact"/>
              <w:ind w:firstLine="1200" w:firstLineChars="500"/>
            </w:pPr>
            <w:r>
              <w:t>N</w:t>
            </w:r>
            <w:r>
              <w:rPr>
                <w:vertAlign w:val="subscript"/>
              </w:rPr>
              <w:t>c</w:t>
            </w:r>
            <w:r>
              <w:rPr>
                <w:rFonts w:hint="eastAsia"/>
              </w:rPr>
              <w:t>——</w:t>
            </w:r>
            <w:r>
              <w:t>年物料运载车次（单位：</w:t>
            </w:r>
            <w:r>
              <w:rPr>
                <w:rFonts w:hint="eastAsia"/>
              </w:rPr>
              <w:t>车</w:t>
            </w:r>
            <w:r>
              <w:t>）；</w:t>
            </w:r>
          </w:p>
          <w:p w14:paraId="4734645B">
            <w:pPr>
              <w:tabs>
                <w:tab w:val="center" w:pos="4736"/>
              </w:tabs>
              <w:spacing w:line="460" w:lineRule="exact"/>
              <w:ind w:firstLine="1200" w:firstLineChars="500"/>
            </w:pPr>
            <w:r>
              <w:t>D</w:t>
            </w:r>
            <w:r>
              <w:rPr>
                <w:rFonts w:hint="eastAsia"/>
              </w:rPr>
              <w:t>——</w:t>
            </w:r>
            <w:r>
              <w:t>单车平均运载量（单位：吨）；</w:t>
            </w:r>
          </w:p>
          <w:p w14:paraId="3FFAE355">
            <w:pPr>
              <w:tabs>
                <w:tab w:val="center" w:pos="4736"/>
              </w:tabs>
              <w:spacing w:line="460" w:lineRule="exact"/>
              <w:ind w:firstLine="480" w:firstLineChars="200"/>
            </w:pPr>
            <w:r>
              <w:t>（a/b）</w:t>
            </w:r>
            <w:r>
              <w:rPr>
                <w:rFonts w:hint="eastAsia"/>
              </w:rPr>
              <w:t>——</w:t>
            </w:r>
            <w:r>
              <w:t>装卸扬尘概化系数（单位：千克/吨），a指各省风速概化系数</w:t>
            </w:r>
            <w:r>
              <w:rPr>
                <w:rFonts w:hint="eastAsia"/>
              </w:rPr>
              <w:t>，取值为0.0011</w:t>
            </w:r>
            <w:r>
              <w:t>，b指物料含水率概化系数</w:t>
            </w:r>
            <w:r>
              <w:rPr>
                <w:rFonts w:hint="eastAsia"/>
              </w:rPr>
              <w:t>，取值为</w:t>
            </w:r>
            <w:r>
              <w:t>0.0084；</w:t>
            </w:r>
          </w:p>
          <w:p w14:paraId="16EFF96A">
            <w:pPr>
              <w:tabs>
                <w:tab w:val="center" w:pos="4736"/>
              </w:tabs>
              <w:spacing w:line="460" w:lineRule="exact"/>
              <w:ind w:firstLine="480" w:firstLineChars="200"/>
            </w:pPr>
            <w:r>
              <w:t>E</w:t>
            </w:r>
            <w:r>
              <w:rPr>
                <w:vertAlign w:val="subscript"/>
              </w:rPr>
              <w:t>f</w:t>
            </w:r>
            <w:r>
              <w:rPr>
                <w:rFonts w:hint="eastAsia"/>
              </w:rPr>
              <w:t>——</w:t>
            </w:r>
            <w:r>
              <w:t>堆场风蚀扬尘概化系数，</w:t>
            </w:r>
            <w:r>
              <w:rPr>
                <w:rFonts w:hint="eastAsia"/>
              </w:rPr>
              <w:t>（</w:t>
            </w:r>
            <w:r>
              <w:t>单位：kg/m</w:t>
            </w:r>
            <w:r>
              <w:rPr>
                <w:vertAlign w:val="superscript"/>
              </w:rPr>
              <w:t>2</w:t>
            </w:r>
            <w:r>
              <w:rPr>
                <w:rFonts w:hint="eastAsia"/>
              </w:rPr>
              <w:t>），项目</w:t>
            </w:r>
            <w:r>
              <w:t>E</w:t>
            </w:r>
            <w:r>
              <w:rPr>
                <w:vertAlign w:val="subscript"/>
              </w:rPr>
              <w:t>f</w:t>
            </w:r>
            <w:r>
              <w:rPr>
                <w:rFonts w:hint="eastAsia"/>
              </w:rPr>
              <w:t>取值为0</w:t>
            </w:r>
            <w:r>
              <w:t>；</w:t>
            </w:r>
          </w:p>
          <w:p w14:paraId="0F402091">
            <w:pPr>
              <w:tabs>
                <w:tab w:val="center" w:pos="4736"/>
              </w:tabs>
              <w:spacing w:line="460" w:lineRule="exact"/>
              <w:ind w:firstLine="1200" w:firstLineChars="500"/>
            </w:pPr>
            <w:r>
              <w:t>S</w:t>
            </w:r>
            <w:r>
              <w:rPr>
                <w:rFonts w:hint="eastAsia"/>
              </w:rPr>
              <w:t>——</w:t>
            </w:r>
            <w:r>
              <w:t>堆场占地面积（单位：m</w:t>
            </w:r>
            <w:r>
              <w:rPr>
                <w:vertAlign w:val="superscript"/>
              </w:rPr>
              <w:t>2</w:t>
            </w:r>
            <w:r>
              <w:t>）</w:t>
            </w:r>
          </w:p>
          <w:p w14:paraId="2A2E11F9">
            <w:pPr>
              <w:tabs>
                <w:tab w:val="center" w:pos="4736"/>
              </w:tabs>
              <w:spacing w:line="460" w:lineRule="exact"/>
              <w:ind w:firstLine="480" w:firstLineChars="200"/>
            </w:pPr>
            <w:r>
              <w:rPr>
                <w:rFonts w:hint="eastAsia"/>
              </w:rPr>
              <w:t>颗粒物排放量计算公示</w:t>
            </w:r>
          </w:p>
          <w:p w14:paraId="4474593F">
            <w:pPr>
              <w:tabs>
                <w:tab w:val="center" w:pos="4736"/>
              </w:tabs>
              <w:spacing w:line="460" w:lineRule="exact"/>
              <w:ind w:firstLine="1200" w:firstLineChars="500"/>
            </w:pPr>
            <w:r>
              <w:rPr>
                <w:rFonts w:hint="eastAsia"/>
              </w:rPr>
              <w:t>Uc=P×（1－Cm）×（1-Tm）</w:t>
            </w:r>
          </w:p>
          <w:p w14:paraId="3E908CEB">
            <w:pPr>
              <w:tabs>
                <w:tab w:val="center" w:pos="4736"/>
              </w:tabs>
              <w:spacing w:line="460" w:lineRule="exact"/>
              <w:ind w:firstLine="480" w:firstLineChars="200"/>
            </w:pPr>
            <w:r>
              <w:rPr>
                <w:rFonts w:hint="eastAsia"/>
              </w:rPr>
              <w:t>式中：P——颗粒物产生量（单位：吨）；</w:t>
            </w:r>
          </w:p>
          <w:p w14:paraId="4A7AF4B4">
            <w:pPr>
              <w:tabs>
                <w:tab w:val="center" w:pos="4736"/>
              </w:tabs>
              <w:spacing w:line="460" w:lineRule="exact"/>
              <w:ind w:firstLine="1200" w:firstLineChars="500"/>
            </w:pPr>
            <w:r>
              <w:rPr>
                <w:rFonts w:hint="eastAsia"/>
              </w:rPr>
              <w:t>Uc——颗粒物排放量（单位：吨）；</w:t>
            </w:r>
          </w:p>
          <w:p w14:paraId="6A0A755B">
            <w:pPr>
              <w:tabs>
                <w:tab w:val="center" w:pos="4736"/>
              </w:tabs>
              <w:spacing w:line="460" w:lineRule="exact"/>
              <w:ind w:firstLine="1200" w:firstLineChars="500"/>
            </w:pPr>
            <w:r>
              <w:rPr>
                <w:rFonts w:hint="eastAsia"/>
              </w:rPr>
              <w:t>Cm——颗粒物控制措施控制效率（单位：%）；</w:t>
            </w:r>
          </w:p>
          <w:p w14:paraId="2E450757">
            <w:pPr>
              <w:tabs>
                <w:tab w:val="center" w:pos="4736"/>
              </w:tabs>
              <w:spacing w:line="460" w:lineRule="exact"/>
              <w:ind w:firstLine="1200" w:firstLineChars="500"/>
            </w:pPr>
            <w:r>
              <w:rPr>
                <w:rFonts w:hint="eastAsia"/>
              </w:rPr>
              <w:t>Tm——堆场类型控制效率（单位：%），见附录5。</w:t>
            </w:r>
          </w:p>
          <w:p w14:paraId="293761EF">
            <w:pPr>
              <w:tabs>
                <w:tab w:val="center" w:pos="4736"/>
              </w:tabs>
              <w:spacing w:line="460" w:lineRule="exact"/>
              <w:ind w:firstLine="480" w:firstLineChars="200"/>
              <w:rPr>
                <w:highlight w:val="yellow"/>
              </w:rPr>
            </w:pPr>
            <w:r>
              <w:rPr>
                <w:rFonts w:hint="eastAsia"/>
              </w:rPr>
              <w:t>根据固体物料堆存颗粒物产排污核算系数手册中附录，本项目a取值为0.0011，b取值</w:t>
            </w:r>
            <w:r>
              <w:t>0.0084</w:t>
            </w:r>
            <w:r>
              <w:rPr>
                <w:rFonts w:hint="eastAsia"/>
              </w:rPr>
              <w:t>，E</w:t>
            </w:r>
            <w:r>
              <w:rPr>
                <w:rFonts w:hint="eastAsia"/>
                <w:vertAlign w:val="subscript"/>
              </w:rPr>
              <w:t>f</w:t>
            </w:r>
            <w:r>
              <w:rPr>
                <w:rFonts w:hint="eastAsia"/>
              </w:rPr>
              <w:t>取值</w:t>
            </w:r>
            <w:r>
              <w:t>0</w:t>
            </w:r>
            <w:r>
              <w:rPr>
                <w:rFonts w:hint="eastAsia"/>
              </w:rPr>
              <w:t>。项目碎石均在半封闭料仓堆存</w:t>
            </w:r>
            <w:r>
              <w:t>，</w:t>
            </w:r>
            <w:r>
              <w:rPr>
                <w:rFonts w:hint="eastAsia"/>
              </w:rPr>
              <w:t>粉尘控制效率为</w:t>
            </w:r>
            <w:r>
              <w:t>60</w:t>
            </w:r>
            <w:r>
              <w:rPr>
                <w:rFonts w:hint="eastAsia"/>
              </w:rPr>
              <w:t>%，设置防尘网苫盖措施效率为8</w:t>
            </w:r>
            <w:r>
              <w:t>6%</w:t>
            </w:r>
            <w:r>
              <w:rPr>
                <w:rFonts w:hint="eastAsia"/>
              </w:rPr>
              <w:t>；项目砂料均在封闭料仓堆存，粉尘控制效率为9</w:t>
            </w:r>
            <w:r>
              <w:t>9%</w:t>
            </w:r>
            <w:r>
              <w:rPr>
                <w:rFonts w:hint="eastAsia"/>
              </w:rPr>
              <w:t>，厂房内设置喷水喷雾设施洒水抑尘</w:t>
            </w:r>
            <w:r>
              <w:t>，</w:t>
            </w:r>
            <w:r>
              <w:rPr>
                <w:rFonts w:hint="eastAsia"/>
              </w:rPr>
              <w:t>抑尘效率为74%，即C</w:t>
            </w:r>
            <w:r>
              <w:rPr>
                <w:rFonts w:hint="eastAsia"/>
                <w:vertAlign w:val="subscript"/>
              </w:rPr>
              <w:t>m</w:t>
            </w:r>
            <w:r>
              <w:rPr>
                <w:rFonts w:hint="eastAsia"/>
              </w:rPr>
              <w:t>取8</w:t>
            </w:r>
            <w:r>
              <w:t>6%</w:t>
            </w:r>
            <w:r>
              <w:rPr>
                <w:rFonts w:hint="eastAsia"/>
              </w:rPr>
              <w:t>，74%，T</w:t>
            </w:r>
            <w:r>
              <w:rPr>
                <w:rFonts w:hint="eastAsia"/>
                <w:vertAlign w:val="subscript"/>
              </w:rPr>
              <w:t>m</w:t>
            </w:r>
            <w:r>
              <w:rPr>
                <w:rFonts w:hint="eastAsia"/>
              </w:rPr>
              <w:t>取</w:t>
            </w:r>
            <w:r>
              <w:t>60</w:t>
            </w:r>
            <w:r>
              <w:rPr>
                <w:rFonts w:hint="eastAsia"/>
              </w:rPr>
              <w:t>%，9</w:t>
            </w:r>
            <w:r>
              <w:t>9%</w:t>
            </w:r>
            <w:r>
              <w:rPr>
                <w:rFonts w:hint="eastAsia"/>
              </w:rPr>
              <w:t>。</w:t>
            </w:r>
          </w:p>
          <w:p w14:paraId="4CB4D2AF">
            <w:pPr>
              <w:tabs>
                <w:tab w:val="center" w:pos="4736"/>
              </w:tabs>
              <w:spacing w:line="460" w:lineRule="exact"/>
              <w:ind w:firstLine="480" w:firstLineChars="200"/>
            </w:pPr>
            <w:r>
              <w:t>本项目</w:t>
            </w:r>
            <w:r>
              <w:rPr>
                <w:rFonts w:hint="eastAsia"/>
              </w:rPr>
              <w:t>碎石</w:t>
            </w:r>
            <w:r>
              <w:t>用量为1557100t/a</w:t>
            </w:r>
            <w:r>
              <w:rPr>
                <w:rFonts w:hint="eastAsia"/>
              </w:rPr>
              <w:t>，运料自卸车载重量为</w:t>
            </w:r>
            <w:r>
              <w:t>30</w:t>
            </w:r>
            <w:r>
              <w:rPr>
                <w:rFonts w:hint="eastAsia"/>
              </w:rPr>
              <w:t>t/次，运料次数约为</w:t>
            </w:r>
            <w:r>
              <w:t>51903</w:t>
            </w:r>
            <w:r>
              <w:rPr>
                <w:rFonts w:hint="eastAsia"/>
              </w:rPr>
              <w:t>次，经过计算则碎石卸料及堆存</w:t>
            </w:r>
            <w:r>
              <w:t>粉尘</w:t>
            </w:r>
            <w:r>
              <w:rPr>
                <w:rFonts w:hint="eastAsia"/>
              </w:rPr>
              <w:t>产生量为</w:t>
            </w:r>
            <w:r>
              <w:t>203.91</w:t>
            </w:r>
            <w:r>
              <w:rPr>
                <w:rFonts w:hint="eastAsia"/>
              </w:rPr>
              <w:t>t/a，排放量为</w:t>
            </w:r>
            <w:r>
              <w:t>11.42t/a</w:t>
            </w:r>
            <w:r>
              <w:rPr>
                <w:rFonts w:hint="eastAsia"/>
              </w:rPr>
              <w:t>。</w:t>
            </w:r>
          </w:p>
          <w:p w14:paraId="7AEB24F6">
            <w:pPr>
              <w:tabs>
                <w:tab w:val="center" w:pos="4736"/>
              </w:tabs>
              <w:spacing w:line="460" w:lineRule="exact"/>
              <w:ind w:firstLine="480" w:firstLineChars="200"/>
            </w:pPr>
            <w:r>
              <w:t>本项目</w:t>
            </w:r>
            <w:r>
              <w:rPr>
                <w:rFonts w:hint="eastAsia"/>
              </w:rPr>
              <w:t>砂</w:t>
            </w:r>
            <w:r>
              <w:t>用量为36929.5t/a</w:t>
            </w:r>
            <w:r>
              <w:rPr>
                <w:rFonts w:hint="eastAsia"/>
              </w:rPr>
              <w:t>，运料自卸车载重量为</w:t>
            </w:r>
            <w:r>
              <w:t>30</w:t>
            </w:r>
            <w:r>
              <w:rPr>
                <w:rFonts w:hint="eastAsia"/>
              </w:rPr>
              <w:t>t/次，运料次数约为</w:t>
            </w:r>
            <w:r>
              <w:t>1231</w:t>
            </w:r>
            <w:r>
              <w:rPr>
                <w:rFonts w:hint="eastAsia"/>
              </w:rPr>
              <w:t>次，经过计算则砂卸料及堆存</w:t>
            </w:r>
            <w:r>
              <w:t>粉尘</w:t>
            </w:r>
            <w:r>
              <w:rPr>
                <w:rFonts w:hint="eastAsia"/>
              </w:rPr>
              <w:t>产生量为</w:t>
            </w:r>
            <w:r>
              <w:t>4.84</w:t>
            </w:r>
            <w:r>
              <w:rPr>
                <w:rFonts w:hint="eastAsia"/>
              </w:rPr>
              <w:t>t/a，排放量为</w:t>
            </w:r>
            <w:r>
              <w:t>0.013t/a</w:t>
            </w:r>
            <w:r>
              <w:rPr>
                <w:rFonts w:hint="eastAsia"/>
              </w:rPr>
              <w:t>。</w:t>
            </w:r>
          </w:p>
          <w:p w14:paraId="50035AA4">
            <w:pPr>
              <w:adjustRightInd w:val="0"/>
              <w:snapToGrid w:val="0"/>
              <w:spacing w:line="460" w:lineRule="exact"/>
              <w:ind w:firstLine="480" w:firstLineChars="200"/>
              <w:rPr>
                <w:bCs/>
              </w:rPr>
            </w:pPr>
            <w:r>
              <w:rPr>
                <w:bCs/>
              </w:rPr>
              <w:t>（2）物料输送粉尘</w:t>
            </w:r>
          </w:p>
          <w:p w14:paraId="2BB921F7">
            <w:pPr>
              <w:adjustRightInd w:val="0"/>
              <w:snapToGrid w:val="0"/>
              <w:spacing w:line="460" w:lineRule="exact"/>
              <w:ind w:firstLine="480" w:firstLineChars="200"/>
              <w:rPr>
                <w:bCs/>
              </w:rPr>
            </w:pPr>
            <w:r>
              <w:rPr>
                <w:bCs/>
              </w:rPr>
              <w:t>主要包括沥青混凝土生产线</w:t>
            </w:r>
            <w:r>
              <w:rPr>
                <w:rFonts w:hint="eastAsia"/>
                <w:bCs/>
              </w:rPr>
              <w:t>、水泥混凝土</w:t>
            </w:r>
            <w:r>
              <w:rPr>
                <w:bCs/>
              </w:rPr>
              <w:t>及水泥</w:t>
            </w:r>
            <w:r>
              <w:rPr>
                <w:rFonts w:hint="eastAsia"/>
                <w:bCs/>
              </w:rPr>
              <w:t>稳定</w:t>
            </w:r>
            <w:r>
              <w:rPr>
                <w:bCs/>
              </w:rPr>
              <w:t>土生产线皮带输送粉尘。</w:t>
            </w:r>
          </w:p>
          <w:p w14:paraId="7858D925">
            <w:pPr>
              <w:adjustRightInd w:val="0"/>
              <w:snapToGrid w:val="0"/>
              <w:spacing w:line="460" w:lineRule="exact"/>
              <w:ind w:firstLine="480" w:firstLineChars="200"/>
              <w:rPr>
                <w:bCs/>
              </w:rPr>
            </w:pPr>
            <w:r>
              <w:rPr>
                <w:bCs/>
              </w:rPr>
              <w:t>项目</w:t>
            </w:r>
            <w:r>
              <w:rPr>
                <w:rFonts w:hint="eastAsia"/>
                <w:bCs/>
              </w:rPr>
              <w:t>碎石</w:t>
            </w:r>
            <w:r>
              <w:rPr>
                <w:bCs/>
              </w:rPr>
              <w:t>由装载机加入输送通道，通过密闭皮带走廊输送至料仓，经计量后进入搅拌机内；水泥、</w:t>
            </w:r>
            <w:r>
              <w:rPr>
                <w:rFonts w:hint="eastAsia"/>
                <w:bCs/>
              </w:rPr>
              <w:t>粉煤灰、</w:t>
            </w:r>
            <w:r>
              <w:rPr>
                <w:bCs/>
              </w:rPr>
              <w:t>矿粉等粉状原料通过螺旋输送机密闭上料至搅拌机内，全过程封闭输送，输送过程中粉尘的排放量较小，可以忽略。</w:t>
            </w:r>
          </w:p>
          <w:p w14:paraId="038F472C">
            <w:pPr>
              <w:adjustRightInd w:val="0"/>
              <w:snapToGrid w:val="0"/>
              <w:spacing w:line="460" w:lineRule="exact"/>
              <w:ind w:firstLine="440" w:firstLineChars="200"/>
              <w:rPr>
                <w:bCs/>
                <w:spacing w:val="-10"/>
              </w:rPr>
            </w:pPr>
            <w:r>
              <w:rPr>
                <w:bCs/>
                <w:spacing w:val="-10"/>
              </w:rPr>
              <w:t>（3）筒仓粉尘</w:t>
            </w:r>
          </w:p>
          <w:p w14:paraId="2AAA17A9">
            <w:pPr>
              <w:adjustRightInd w:val="0"/>
              <w:snapToGrid w:val="0"/>
              <w:spacing w:line="460" w:lineRule="exact"/>
              <w:ind w:firstLine="440" w:firstLineChars="200"/>
              <w:rPr>
                <w:bCs/>
                <w:spacing w:val="-10"/>
              </w:rPr>
            </w:pPr>
            <w:r>
              <w:rPr>
                <w:rFonts w:hint="eastAsia"/>
                <w:bCs/>
                <w:spacing w:val="-10"/>
              </w:rPr>
              <w:t>项目</w:t>
            </w:r>
            <w:r>
              <w:rPr>
                <w:bCs/>
                <w:spacing w:val="-10"/>
              </w:rPr>
              <w:t>水泥、粉煤灰</w:t>
            </w:r>
            <w:r>
              <w:rPr>
                <w:rFonts w:hint="eastAsia"/>
                <w:bCs/>
                <w:spacing w:val="-10"/>
              </w:rPr>
              <w:t>和矿粉采用筒仓存储，筒仓是一种封闭式的储存散装物料的罐体。通过密闭罐车将</w:t>
            </w:r>
            <w:r>
              <w:rPr>
                <w:bCs/>
                <w:spacing w:val="-10"/>
              </w:rPr>
              <w:t>水泥、粉煤灰</w:t>
            </w:r>
            <w:r>
              <w:rPr>
                <w:rFonts w:hint="eastAsia"/>
                <w:bCs/>
                <w:spacing w:val="-10"/>
              </w:rPr>
              <w:t>和矿粉运输至厂区后，</w:t>
            </w:r>
            <w:r>
              <w:rPr>
                <w:bCs/>
                <w:spacing w:val="-10"/>
              </w:rPr>
              <w:t>通过放料阀由空气压缩机通过气力</w:t>
            </w:r>
            <w:r>
              <w:rPr>
                <w:rFonts w:hint="eastAsia"/>
                <w:bCs/>
                <w:spacing w:val="-10"/>
              </w:rPr>
              <w:t>密闭</w:t>
            </w:r>
            <w:r>
              <w:rPr>
                <w:bCs/>
                <w:spacing w:val="-10"/>
              </w:rPr>
              <w:t>输送至筒仓储存</w:t>
            </w:r>
            <w:r>
              <w:rPr>
                <w:rFonts w:hint="eastAsia"/>
                <w:bCs/>
                <w:spacing w:val="-10"/>
              </w:rPr>
              <w:t>；筒仓采用仓底出料。水泥</w:t>
            </w:r>
            <w:r>
              <w:rPr>
                <w:bCs/>
                <w:spacing w:val="-10"/>
              </w:rPr>
              <w:t>、粉煤灰</w:t>
            </w:r>
            <w:r>
              <w:rPr>
                <w:rFonts w:hint="eastAsia"/>
                <w:bCs/>
                <w:spacing w:val="-10"/>
              </w:rPr>
              <w:t>和矿粉出入仓的时候会产生呼吸粉尘，经仓顶滤芯式除尘器处理后通过仓顶呼吸孔排放。本项目筒仓仓顶自带1台仓顶袋式除尘器（处理效率99%）。</w:t>
            </w:r>
          </w:p>
          <w:p w14:paraId="5A5A7C78">
            <w:pPr>
              <w:keepNext/>
              <w:keepLines/>
              <w:spacing w:line="460" w:lineRule="exact"/>
              <w:ind w:firstLine="440" w:firstLineChars="200"/>
              <w:rPr>
                <w:bCs/>
                <w:spacing w:val="-10"/>
              </w:rPr>
            </w:pPr>
            <w:r>
              <w:rPr>
                <w:rFonts w:hint="eastAsia"/>
                <w:bCs/>
                <w:spacing w:val="-10"/>
              </w:rPr>
              <w:t>参考《逸散性工业粉尘控制技术》中“第二十二章混凝土分批搅拌厂中表2</w:t>
            </w:r>
            <w:r>
              <w:rPr>
                <w:bCs/>
                <w:spacing w:val="-10"/>
              </w:rPr>
              <w:t xml:space="preserve">2-1 </w:t>
            </w:r>
            <w:r>
              <w:rPr>
                <w:rFonts w:hint="eastAsia"/>
                <w:bCs/>
                <w:spacing w:val="-10"/>
              </w:rPr>
              <w:t>混凝土分批搅拌厂的逸散尘排放因子，筒仓呼吸粉尘产生系数按0.12kg/t计算。</w:t>
            </w:r>
          </w:p>
          <w:p w14:paraId="5C65EBC5">
            <w:pPr>
              <w:keepNext/>
              <w:keepLines/>
              <w:spacing w:line="460" w:lineRule="exact"/>
              <w:ind w:firstLine="440" w:firstLineChars="200"/>
              <w:rPr>
                <w:bCs/>
                <w:spacing w:val="-10"/>
              </w:rPr>
            </w:pPr>
            <w:r>
              <w:rPr>
                <w:rFonts w:hint="eastAsia"/>
                <w:bCs/>
                <w:spacing w:val="-10"/>
              </w:rPr>
              <w:t>1）水泥稳定土生产线</w:t>
            </w:r>
          </w:p>
          <w:p w14:paraId="005BCB79">
            <w:pPr>
              <w:keepNext/>
              <w:keepLines/>
              <w:spacing w:line="460" w:lineRule="exact"/>
              <w:ind w:firstLine="440" w:firstLineChars="200"/>
              <w:rPr>
                <w:bCs/>
                <w:spacing w:val="-10"/>
              </w:rPr>
            </w:pPr>
            <w:bookmarkStart w:id="17" w:name="OLE_LINK10"/>
            <w:bookmarkStart w:id="18" w:name="OLE_LINK9"/>
            <w:r>
              <w:rPr>
                <w:rFonts w:hint="eastAsia"/>
                <w:bCs/>
                <w:spacing w:val="-10"/>
              </w:rPr>
              <w:t>水泥稳定土生产线年消耗粉煤灰约95100t、水泥38000t，水泥稳定土生产线共设置4个水泥筒仓，</w:t>
            </w:r>
            <w:r>
              <w:rPr>
                <w:bCs/>
                <w:spacing w:val="-10"/>
              </w:rPr>
              <w:t>4</w:t>
            </w:r>
            <w:r>
              <w:rPr>
                <w:rFonts w:hint="eastAsia"/>
                <w:bCs/>
                <w:spacing w:val="-10"/>
              </w:rPr>
              <w:t>个粉煤灰筒仓，每个筒仓</w:t>
            </w:r>
            <w:r>
              <w:rPr>
                <w:bCs/>
                <w:spacing w:val="-10"/>
              </w:rPr>
              <w:t>均自带</w:t>
            </w:r>
            <w:r>
              <w:rPr>
                <w:rFonts w:hint="eastAsia"/>
                <w:bCs/>
                <w:spacing w:val="-10"/>
              </w:rPr>
              <w:t>仓顶滤芯式除尘器</w:t>
            </w:r>
            <w:r>
              <w:rPr>
                <w:bCs/>
                <w:spacing w:val="-10"/>
              </w:rPr>
              <w:t>，在往筒仓中输送水泥</w:t>
            </w:r>
            <w:r>
              <w:rPr>
                <w:rFonts w:hint="eastAsia"/>
                <w:bCs/>
                <w:spacing w:val="-10"/>
              </w:rPr>
              <w:t>、粉煤灰</w:t>
            </w:r>
            <w:r>
              <w:rPr>
                <w:bCs/>
                <w:spacing w:val="-10"/>
              </w:rPr>
              <w:t>时筒仓内空气排放时均经过仓顶滤芯式除尘器过滤后排放，</w:t>
            </w:r>
            <w:r>
              <w:rPr>
                <w:rFonts w:hint="eastAsia"/>
                <w:bCs/>
                <w:spacing w:val="-10"/>
              </w:rPr>
              <w:t>除尘效率达到9</w:t>
            </w:r>
            <w:r>
              <w:rPr>
                <w:bCs/>
                <w:spacing w:val="-10"/>
              </w:rPr>
              <w:t>9%</w:t>
            </w:r>
            <w:r>
              <w:rPr>
                <w:rFonts w:hint="eastAsia"/>
                <w:bCs/>
                <w:spacing w:val="-10"/>
              </w:rPr>
              <w:t>，筒仓粉尘经仓顶滤芯式除尘器处理后无组织排放，筒仓呼吸粉尘产排情况见表4</w:t>
            </w:r>
            <w:r>
              <w:rPr>
                <w:bCs/>
                <w:spacing w:val="-10"/>
              </w:rPr>
              <w:t>-1</w:t>
            </w:r>
            <w:r>
              <w:rPr>
                <w:rFonts w:hint="eastAsia"/>
                <w:bCs/>
                <w:spacing w:val="-10"/>
              </w:rPr>
              <w:t>。</w:t>
            </w:r>
          </w:p>
          <w:p w14:paraId="3D6D0D8B">
            <w:pPr>
              <w:pStyle w:val="76"/>
              <w:ind w:firstLine="420"/>
              <w:rPr>
                <w:color w:val="auto"/>
              </w:rPr>
            </w:pPr>
          </w:p>
          <w:p w14:paraId="7614C387">
            <w:pPr>
              <w:pStyle w:val="76"/>
              <w:ind w:firstLine="420"/>
              <w:rPr>
                <w:color w:val="auto"/>
              </w:rPr>
            </w:pPr>
          </w:p>
          <w:p w14:paraId="680794F0">
            <w:pPr>
              <w:pStyle w:val="76"/>
              <w:ind w:firstLine="420"/>
              <w:rPr>
                <w:color w:val="auto"/>
              </w:rPr>
            </w:pPr>
            <w:r>
              <w:rPr>
                <w:rFonts w:hint="eastAsia"/>
                <w:color w:val="auto"/>
              </w:rPr>
              <w:t>表</w:t>
            </w:r>
            <w:r>
              <w:rPr>
                <w:color w:val="auto"/>
              </w:rPr>
              <w:t>4-1</w:t>
            </w:r>
            <w:r>
              <w:rPr>
                <w:rFonts w:hint="eastAsia"/>
                <w:color w:val="auto"/>
              </w:rPr>
              <w:t xml:space="preserve">        </w:t>
            </w:r>
            <w:r>
              <w:rPr>
                <w:color w:val="auto"/>
              </w:rPr>
              <w:t xml:space="preserve">  </w:t>
            </w:r>
            <w:r>
              <w:rPr>
                <w:rFonts w:hint="eastAsia"/>
                <w:color w:val="auto"/>
              </w:rPr>
              <w:tab/>
            </w:r>
            <w:r>
              <w:rPr>
                <w:color w:val="auto"/>
              </w:rPr>
              <w:t xml:space="preserve">    </w:t>
            </w:r>
            <w:r>
              <w:rPr>
                <w:rFonts w:hint="eastAsia"/>
                <w:bCs/>
                <w:color w:val="auto"/>
                <w:spacing w:val="-10"/>
              </w:rPr>
              <w:t>水泥稳定土生产线</w:t>
            </w:r>
            <w:r>
              <w:rPr>
                <w:rFonts w:hint="eastAsia"/>
                <w:color w:val="auto"/>
              </w:rPr>
              <w:t>筒仓呼吸过程粉尘产排情况</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738"/>
              <w:gridCol w:w="1519"/>
              <w:gridCol w:w="1926"/>
              <w:gridCol w:w="1772"/>
            </w:tblGrid>
            <w:tr w14:paraId="64CAD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Merge w:val="restart"/>
                  <w:shd w:val="clear" w:color="auto" w:fill="auto"/>
                  <w:vAlign w:val="center"/>
                </w:tcPr>
                <w:p w14:paraId="05E996C1">
                  <w:pPr>
                    <w:pStyle w:val="63"/>
                  </w:pPr>
                  <w:r>
                    <w:t>筒仓类别</w:t>
                  </w:r>
                </w:p>
              </w:tc>
              <w:tc>
                <w:tcPr>
                  <w:tcW w:w="2039" w:type="pct"/>
                  <w:gridSpan w:val="2"/>
                  <w:shd w:val="clear" w:color="auto" w:fill="auto"/>
                </w:tcPr>
                <w:p w14:paraId="6D491C3D">
                  <w:pPr>
                    <w:jc w:val="center"/>
                    <w:rPr>
                      <w:sz w:val="21"/>
                      <w:szCs w:val="21"/>
                    </w:rPr>
                  </w:pPr>
                  <w:r>
                    <w:rPr>
                      <w:sz w:val="21"/>
                      <w:szCs w:val="21"/>
                    </w:rPr>
                    <w:t>产生情况</w:t>
                  </w:r>
                </w:p>
              </w:tc>
              <w:tc>
                <w:tcPr>
                  <w:tcW w:w="2315" w:type="pct"/>
                  <w:gridSpan w:val="2"/>
                  <w:shd w:val="clear" w:color="auto" w:fill="auto"/>
                  <w:vAlign w:val="center"/>
                </w:tcPr>
                <w:p w14:paraId="28CD3DDB">
                  <w:pPr>
                    <w:pStyle w:val="63"/>
                  </w:pPr>
                  <w:r>
                    <w:rPr>
                      <w:rFonts w:hint="eastAsia"/>
                    </w:rPr>
                    <w:t>排放情况</w:t>
                  </w:r>
                </w:p>
              </w:tc>
            </w:tr>
            <w:tr w14:paraId="35F4A0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Merge w:val="continue"/>
                  <w:vAlign w:val="center"/>
                </w:tcPr>
                <w:p w14:paraId="53D023E6">
                  <w:pPr>
                    <w:pStyle w:val="63"/>
                  </w:pPr>
                </w:p>
              </w:tc>
              <w:tc>
                <w:tcPr>
                  <w:tcW w:w="1088" w:type="pct"/>
                  <w:shd w:val="clear" w:color="auto" w:fill="auto"/>
                  <w:vAlign w:val="center"/>
                </w:tcPr>
                <w:p w14:paraId="72FE1355">
                  <w:pPr>
                    <w:pStyle w:val="63"/>
                  </w:pPr>
                  <w:r>
                    <w:t>产生速率（kg/h）</w:t>
                  </w:r>
                </w:p>
              </w:tc>
              <w:tc>
                <w:tcPr>
                  <w:tcW w:w="951" w:type="pct"/>
                  <w:shd w:val="clear" w:color="auto" w:fill="auto"/>
                  <w:vAlign w:val="center"/>
                </w:tcPr>
                <w:p w14:paraId="1838897C">
                  <w:pPr>
                    <w:pStyle w:val="63"/>
                  </w:pPr>
                  <w:r>
                    <w:t>产生量（t/a）</w:t>
                  </w:r>
                </w:p>
              </w:tc>
              <w:tc>
                <w:tcPr>
                  <w:tcW w:w="1206" w:type="pct"/>
                  <w:shd w:val="clear" w:color="auto" w:fill="auto"/>
                  <w:vAlign w:val="center"/>
                </w:tcPr>
                <w:p w14:paraId="4BFF1936">
                  <w:pPr>
                    <w:pStyle w:val="63"/>
                  </w:pPr>
                  <w:r>
                    <w:t>排放速率（kg/h）</w:t>
                  </w:r>
                </w:p>
              </w:tc>
              <w:tc>
                <w:tcPr>
                  <w:tcW w:w="1109" w:type="pct"/>
                  <w:shd w:val="clear" w:color="auto" w:fill="auto"/>
                  <w:vAlign w:val="center"/>
                </w:tcPr>
                <w:p w14:paraId="14770B2E">
                  <w:pPr>
                    <w:pStyle w:val="63"/>
                  </w:pPr>
                  <w:r>
                    <w:t>排放量（t/a）</w:t>
                  </w:r>
                </w:p>
              </w:tc>
            </w:tr>
            <w:tr w14:paraId="330D5E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shd w:val="clear" w:color="auto" w:fill="auto"/>
                  <w:vAlign w:val="center"/>
                </w:tcPr>
                <w:p w14:paraId="04AC0EDA">
                  <w:pPr>
                    <w:pStyle w:val="63"/>
                  </w:pPr>
                  <w:r>
                    <w:t>水泥</w:t>
                  </w:r>
                </w:p>
              </w:tc>
              <w:tc>
                <w:tcPr>
                  <w:tcW w:w="1088" w:type="pct"/>
                  <w:shd w:val="clear" w:color="auto" w:fill="auto"/>
                  <w:vAlign w:val="center"/>
                </w:tcPr>
                <w:p w14:paraId="57C280A9">
                  <w:pPr>
                    <w:widowControl/>
                    <w:jc w:val="center"/>
                    <w:rPr>
                      <w:kern w:val="0"/>
                      <w:sz w:val="21"/>
                      <w:szCs w:val="21"/>
                    </w:rPr>
                  </w:pPr>
                  <w:r>
                    <w:rPr>
                      <w:sz w:val="21"/>
                      <w:szCs w:val="21"/>
                    </w:rPr>
                    <w:t>1.69</w:t>
                  </w:r>
                </w:p>
              </w:tc>
              <w:tc>
                <w:tcPr>
                  <w:tcW w:w="951" w:type="pct"/>
                  <w:shd w:val="clear" w:color="auto" w:fill="auto"/>
                  <w:vAlign w:val="center"/>
                </w:tcPr>
                <w:p w14:paraId="5BCEA776">
                  <w:pPr>
                    <w:jc w:val="center"/>
                    <w:rPr>
                      <w:sz w:val="21"/>
                      <w:szCs w:val="21"/>
                    </w:rPr>
                  </w:pPr>
                  <w:r>
                    <w:rPr>
                      <w:sz w:val="21"/>
                      <w:szCs w:val="21"/>
                    </w:rPr>
                    <w:t>4.56</w:t>
                  </w:r>
                </w:p>
              </w:tc>
              <w:tc>
                <w:tcPr>
                  <w:tcW w:w="1206" w:type="pct"/>
                  <w:shd w:val="clear" w:color="auto" w:fill="auto"/>
                  <w:vAlign w:val="center"/>
                </w:tcPr>
                <w:p w14:paraId="21FB526E">
                  <w:pPr>
                    <w:widowControl/>
                    <w:jc w:val="center"/>
                    <w:rPr>
                      <w:kern w:val="0"/>
                      <w:sz w:val="21"/>
                      <w:szCs w:val="21"/>
                    </w:rPr>
                  </w:pPr>
                  <w:r>
                    <w:rPr>
                      <w:sz w:val="21"/>
                      <w:szCs w:val="21"/>
                    </w:rPr>
                    <w:t>0.017</w:t>
                  </w:r>
                </w:p>
              </w:tc>
              <w:tc>
                <w:tcPr>
                  <w:tcW w:w="1109" w:type="pct"/>
                  <w:shd w:val="clear" w:color="auto" w:fill="auto"/>
                  <w:vAlign w:val="center"/>
                </w:tcPr>
                <w:p w14:paraId="41960367">
                  <w:pPr>
                    <w:jc w:val="center"/>
                    <w:rPr>
                      <w:sz w:val="21"/>
                      <w:szCs w:val="21"/>
                    </w:rPr>
                  </w:pPr>
                  <w:r>
                    <w:rPr>
                      <w:sz w:val="21"/>
                      <w:szCs w:val="21"/>
                    </w:rPr>
                    <w:t>0.046</w:t>
                  </w:r>
                </w:p>
              </w:tc>
            </w:tr>
            <w:tr w14:paraId="2A5C0A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shd w:val="clear" w:color="auto" w:fill="auto"/>
                  <w:vAlign w:val="center"/>
                </w:tcPr>
                <w:p w14:paraId="22E21946">
                  <w:pPr>
                    <w:pStyle w:val="63"/>
                  </w:pPr>
                  <w:r>
                    <w:t>粉煤灰</w:t>
                  </w:r>
                </w:p>
              </w:tc>
              <w:tc>
                <w:tcPr>
                  <w:tcW w:w="1088" w:type="pct"/>
                  <w:shd w:val="clear" w:color="auto" w:fill="auto"/>
                  <w:vAlign w:val="center"/>
                </w:tcPr>
                <w:p w14:paraId="56F045C1">
                  <w:pPr>
                    <w:jc w:val="center"/>
                    <w:rPr>
                      <w:sz w:val="21"/>
                      <w:szCs w:val="21"/>
                    </w:rPr>
                  </w:pPr>
                  <w:r>
                    <w:rPr>
                      <w:sz w:val="21"/>
                      <w:szCs w:val="21"/>
                    </w:rPr>
                    <w:t>4.23</w:t>
                  </w:r>
                </w:p>
              </w:tc>
              <w:tc>
                <w:tcPr>
                  <w:tcW w:w="951" w:type="pct"/>
                  <w:shd w:val="clear" w:color="auto" w:fill="auto"/>
                  <w:vAlign w:val="center"/>
                </w:tcPr>
                <w:p w14:paraId="5AB0E736">
                  <w:pPr>
                    <w:jc w:val="center"/>
                    <w:rPr>
                      <w:sz w:val="21"/>
                      <w:szCs w:val="21"/>
                    </w:rPr>
                  </w:pPr>
                  <w:r>
                    <w:rPr>
                      <w:sz w:val="21"/>
                      <w:szCs w:val="21"/>
                    </w:rPr>
                    <w:t>11.41</w:t>
                  </w:r>
                </w:p>
              </w:tc>
              <w:tc>
                <w:tcPr>
                  <w:tcW w:w="1206" w:type="pct"/>
                  <w:shd w:val="clear" w:color="auto" w:fill="auto"/>
                  <w:vAlign w:val="center"/>
                </w:tcPr>
                <w:p w14:paraId="4FA2E440">
                  <w:pPr>
                    <w:jc w:val="center"/>
                    <w:rPr>
                      <w:sz w:val="21"/>
                      <w:szCs w:val="21"/>
                    </w:rPr>
                  </w:pPr>
                  <w:r>
                    <w:rPr>
                      <w:sz w:val="21"/>
                      <w:szCs w:val="21"/>
                    </w:rPr>
                    <w:t>0.042</w:t>
                  </w:r>
                </w:p>
              </w:tc>
              <w:tc>
                <w:tcPr>
                  <w:tcW w:w="1109" w:type="pct"/>
                  <w:shd w:val="clear" w:color="auto" w:fill="auto"/>
                  <w:vAlign w:val="center"/>
                </w:tcPr>
                <w:p w14:paraId="371B38BA">
                  <w:pPr>
                    <w:jc w:val="center"/>
                    <w:rPr>
                      <w:sz w:val="21"/>
                      <w:szCs w:val="21"/>
                    </w:rPr>
                  </w:pPr>
                  <w:r>
                    <w:rPr>
                      <w:sz w:val="21"/>
                      <w:szCs w:val="21"/>
                    </w:rPr>
                    <w:t>0.114</w:t>
                  </w:r>
                </w:p>
              </w:tc>
            </w:tr>
            <w:bookmarkEnd w:id="17"/>
            <w:bookmarkEnd w:id="18"/>
          </w:tbl>
          <w:p w14:paraId="280686FA">
            <w:pPr>
              <w:adjustRightInd w:val="0"/>
              <w:snapToGrid w:val="0"/>
              <w:spacing w:line="460" w:lineRule="exact"/>
              <w:ind w:firstLine="440" w:firstLineChars="200"/>
              <w:rPr>
                <w:bCs/>
                <w:spacing w:val="-10"/>
              </w:rPr>
            </w:pPr>
            <w:r>
              <w:rPr>
                <w:rFonts w:hint="eastAsia"/>
                <w:bCs/>
                <w:spacing w:val="-10"/>
              </w:rPr>
              <w:t>2）沥青混凝土生产线</w:t>
            </w:r>
          </w:p>
          <w:p w14:paraId="1D74DB98">
            <w:pPr>
              <w:keepNext/>
              <w:keepLines/>
              <w:spacing w:line="460" w:lineRule="exact"/>
              <w:ind w:firstLine="440" w:firstLineChars="200"/>
              <w:rPr>
                <w:bCs/>
                <w:spacing w:val="-10"/>
              </w:rPr>
            </w:pPr>
            <w:r>
              <w:rPr>
                <w:rFonts w:hint="eastAsia"/>
                <w:bCs/>
                <w:spacing w:val="-10"/>
              </w:rPr>
              <w:t>沥青混凝土生产线年消耗矿粉</w:t>
            </w:r>
            <w:r>
              <w:rPr>
                <w:bCs/>
                <w:spacing w:val="-10"/>
              </w:rPr>
              <w:t>18216</w:t>
            </w:r>
            <w:r>
              <w:rPr>
                <w:rFonts w:hint="eastAsia"/>
                <w:bCs/>
                <w:spacing w:val="-10"/>
              </w:rPr>
              <w:t>t，共设置，1个矿粉筒仓，筒仓</w:t>
            </w:r>
            <w:r>
              <w:rPr>
                <w:bCs/>
                <w:spacing w:val="-10"/>
              </w:rPr>
              <w:t>均自带</w:t>
            </w:r>
            <w:r>
              <w:rPr>
                <w:rFonts w:hint="eastAsia"/>
                <w:bCs/>
                <w:spacing w:val="-10"/>
              </w:rPr>
              <w:t>仓顶滤芯式除尘器</w:t>
            </w:r>
            <w:r>
              <w:rPr>
                <w:bCs/>
                <w:spacing w:val="-10"/>
              </w:rPr>
              <w:t>，在往筒仓中输送</w:t>
            </w:r>
            <w:r>
              <w:rPr>
                <w:rFonts w:hint="eastAsia"/>
                <w:bCs/>
                <w:spacing w:val="-10"/>
              </w:rPr>
              <w:t>矿粉</w:t>
            </w:r>
            <w:r>
              <w:rPr>
                <w:bCs/>
                <w:spacing w:val="-10"/>
              </w:rPr>
              <w:t>时筒仓内空气排放时均经过仓顶滤芯式除尘器过滤后排放，</w:t>
            </w:r>
            <w:r>
              <w:rPr>
                <w:rFonts w:hint="eastAsia"/>
                <w:bCs/>
                <w:spacing w:val="-10"/>
              </w:rPr>
              <w:t>除尘效率达到9</w:t>
            </w:r>
            <w:r>
              <w:rPr>
                <w:bCs/>
                <w:spacing w:val="-10"/>
              </w:rPr>
              <w:t>9%</w:t>
            </w:r>
            <w:r>
              <w:rPr>
                <w:rFonts w:hint="eastAsia"/>
                <w:bCs/>
                <w:spacing w:val="-10"/>
              </w:rPr>
              <w:t>，筒仓粉尘经仓顶滤芯式除尘器处理后无组织排放，筒仓呼吸粉尘产排情况见表4</w:t>
            </w:r>
            <w:r>
              <w:rPr>
                <w:bCs/>
                <w:spacing w:val="-10"/>
              </w:rPr>
              <w:t>-2</w:t>
            </w:r>
            <w:r>
              <w:rPr>
                <w:rFonts w:hint="eastAsia"/>
                <w:bCs/>
                <w:spacing w:val="-10"/>
              </w:rPr>
              <w:t>。</w:t>
            </w:r>
          </w:p>
          <w:p w14:paraId="27192798">
            <w:pPr>
              <w:pStyle w:val="76"/>
              <w:ind w:firstLine="420"/>
              <w:rPr>
                <w:color w:val="auto"/>
              </w:rPr>
            </w:pPr>
            <w:r>
              <w:rPr>
                <w:rFonts w:hint="eastAsia"/>
                <w:color w:val="auto"/>
              </w:rPr>
              <w:t>表</w:t>
            </w:r>
            <w:r>
              <w:rPr>
                <w:color w:val="auto"/>
              </w:rPr>
              <w:t>4-2</w:t>
            </w:r>
            <w:r>
              <w:rPr>
                <w:rFonts w:hint="eastAsia"/>
                <w:color w:val="auto"/>
              </w:rPr>
              <w:t xml:space="preserve">        </w:t>
            </w:r>
            <w:r>
              <w:rPr>
                <w:color w:val="auto"/>
              </w:rPr>
              <w:t xml:space="preserve">  </w:t>
            </w:r>
            <w:r>
              <w:rPr>
                <w:rFonts w:hint="eastAsia"/>
                <w:color w:val="auto"/>
              </w:rPr>
              <w:tab/>
            </w:r>
            <w:r>
              <w:rPr>
                <w:color w:val="auto"/>
              </w:rPr>
              <w:t xml:space="preserve">     </w:t>
            </w:r>
            <w:r>
              <w:rPr>
                <w:rFonts w:hint="eastAsia"/>
                <w:bCs/>
                <w:color w:val="auto"/>
                <w:spacing w:val="-10"/>
              </w:rPr>
              <w:t>沥青混凝土生产线</w:t>
            </w:r>
            <w:r>
              <w:rPr>
                <w:rFonts w:hint="eastAsia"/>
                <w:color w:val="auto"/>
              </w:rPr>
              <w:t>筒仓呼吸过程粉尘产排情况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16"/>
              <w:gridCol w:w="1528"/>
              <w:gridCol w:w="1916"/>
              <w:gridCol w:w="1529"/>
            </w:tblGrid>
            <w:tr w14:paraId="329B83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Merge w:val="restart"/>
                  <w:shd w:val="clear" w:color="auto" w:fill="auto"/>
                  <w:vAlign w:val="center"/>
                </w:tcPr>
                <w:p w14:paraId="0B10AFBD">
                  <w:pPr>
                    <w:pStyle w:val="63"/>
                  </w:pPr>
                  <w:r>
                    <w:rPr>
                      <w:rFonts w:hint="eastAsia"/>
                    </w:rPr>
                    <w:t>筒仓类别</w:t>
                  </w:r>
                </w:p>
              </w:tc>
              <w:tc>
                <w:tcPr>
                  <w:tcW w:w="2157" w:type="pct"/>
                  <w:gridSpan w:val="2"/>
                  <w:shd w:val="clear" w:color="auto" w:fill="auto"/>
                  <w:vAlign w:val="center"/>
                </w:tcPr>
                <w:p w14:paraId="1A329E02">
                  <w:pPr>
                    <w:pStyle w:val="63"/>
                  </w:pPr>
                  <w:r>
                    <w:rPr>
                      <w:rFonts w:hint="eastAsia"/>
                    </w:rPr>
                    <w:t>产生情况</w:t>
                  </w:r>
                </w:p>
              </w:tc>
              <w:tc>
                <w:tcPr>
                  <w:tcW w:w="2157" w:type="pct"/>
                  <w:gridSpan w:val="2"/>
                  <w:shd w:val="clear" w:color="auto" w:fill="auto"/>
                  <w:vAlign w:val="center"/>
                </w:tcPr>
                <w:p w14:paraId="22E47CFC">
                  <w:pPr>
                    <w:pStyle w:val="63"/>
                  </w:pPr>
                  <w:r>
                    <w:rPr>
                      <w:rFonts w:hint="eastAsia"/>
                    </w:rPr>
                    <w:t>排放情况</w:t>
                  </w:r>
                </w:p>
              </w:tc>
            </w:tr>
            <w:tr w14:paraId="42D3F4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Merge w:val="continue"/>
                  <w:vAlign w:val="center"/>
                </w:tcPr>
                <w:p w14:paraId="1306EE77">
                  <w:pPr>
                    <w:pStyle w:val="63"/>
                  </w:pPr>
                </w:p>
              </w:tc>
              <w:tc>
                <w:tcPr>
                  <w:tcW w:w="1200" w:type="pct"/>
                  <w:shd w:val="clear" w:color="auto" w:fill="auto"/>
                  <w:vAlign w:val="center"/>
                </w:tcPr>
                <w:p w14:paraId="0BF71843">
                  <w:pPr>
                    <w:pStyle w:val="63"/>
                  </w:pPr>
                  <w:r>
                    <w:rPr>
                      <w:rFonts w:hint="eastAsia"/>
                    </w:rPr>
                    <w:t>产生速率（</w:t>
                  </w:r>
                  <w:r>
                    <w:t>kg/h</w:t>
                  </w:r>
                  <w:r>
                    <w:rPr>
                      <w:rFonts w:hint="eastAsia"/>
                    </w:rPr>
                    <w:t>）</w:t>
                  </w:r>
                </w:p>
              </w:tc>
              <w:tc>
                <w:tcPr>
                  <w:tcW w:w="957" w:type="pct"/>
                  <w:shd w:val="clear" w:color="auto" w:fill="auto"/>
                  <w:vAlign w:val="center"/>
                </w:tcPr>
                <w:p w14:paraId="216A6B54">
                  <w:pPr>
                    <w:pStyle w:val="63"/>
                  </w:pPr>
                  <w:r>
                    <w:rPr>
                      <w:rFonts w:hint="eastAsia"/>
                    </w:rPr>
                    <w:t>产生量（</w:t>
                  </w:r>
                  <w:r>
                    <w:t>t/a</w:t>
                  </w:r>
                  <w:r>
                    <w:rPr>
                      <w:rFonts w:hint="eastAsia"/>
                    </w:rPr>
                    <w:t>）</w:t>
                  </w:r>
                </w:p>
              </w:tc>
              <w:tc>
                <w:tcPr>
                  <w:tcW w:w="1200" w:type="pct"/>
                  <w:shd w:val="clear" w:color="auto" w:fill="auto"/>
                  <w:vAlign w:val="center"/>
                </w:tcPr>
                <w:p w14:paraId="0AA436B5">
                  <w:pPr>
                    <w:pStyle w:val="63"/>
                  </w:pPr>
                  <w:r>
                    <w:rPr>
                      <w:rFonts w:hint="eastAsia"/>
                    </w:rPr>
                    <w:t>排放速率（</w:t>
                  </w:r>
                  <w:r>
                    <w:t>kg/h</w:t>
                  </w:r>
                  <w:r>
                    <w:rPr>
                      <w:rFonts w:hint="eastAsia"/>
                    </w:rPr>
                    <w:t>）</w:t>
                  </w:r>
                </w:p>
              </w:tc>
              <w:tc>
                <w:tcPr>
                  <w:tcW w:w="957" w:type="pct"/>
                  <w:shd w:val="clear" w:color="auto" w:fill="auto"/>
                  <w:vAlign w:val="center"/>
                </w:tcPr>
                <w:p w14:paraId="58D37247">
                  <w:pPr>
                    <w:pStyle w:val="63"/>
                  </w:pPr>
                  <w:r>
                    <w:rPr>
                      <w:rFonts w:hint="eastAsia"/>
                    </w:rPr>
                    <w:t>排放量（</w:t>
                  </w:r>
                  <w:r>
                    <w:t>t/a</w:t>
                  </w:r>
                  <w:r>
                    <w:rPr>
                      <w:rFonts w:hint="eastAsia"/>
                    </w:rPr>
                    <w:t>）</w:t>
                  </w:r>
                </w:p>
              </w:tc>
            </w:tr>
            <w:tr w14:paraId="0E952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shd w:val="clear" w:color="auto" w:fill="auto"/>
                  <w:noWrap/>
                  <w:vAlign w:val="center"/>
                </w:tcPr>
                <w:p w14:paraId="584FCDAB">
                  <w:pPr>
                    <w:pStyle w:val="63"/>
                    <w:rPr>
                      <w:sz w:val="22"/>
                      <w:szCs w:val="22"/>
                    </w:rPr>
                  </w:pPr>
                  <w:r>
                    <w:rPr>
                      <w:rFonts w:hint="eastAsia"/>
                      <w:sz w:val="22"/>
                      <w:szCs w:val="22"/>
                    </w:rPr>
                    <w:t>矿粉</w:t>
                  </w:r>
                </w:p>
              </w:tc>
              <w:tc>
                <w:tcPr>
                  <w:tcW w:w="1200" w:type="pct"/>
                  <w:shd w:val="clear" w:color="auto" w:fill="auto"/>
                  <w:vAlign w:val="center"/>
                </w:tcPr>
                <w:p w14:paraId="0891EC98">
                  <w:pPr>
                    <w:widowControl/>
                    <w:jc w:val="center"/>
                    <w:rPr>
                      <w:kern w:val="0"/>
                      <w:sz w:val="21"/>
                      <w:szCs w:val="21"/>
                    </w:rPr>
                  </w:pPr>
                  <w:r>
                    <w:rPr>
                      <w:sz w:val="21"/>
                      <w:szCs w:val="21"/>
                    </w:rPr>
                    <w:t>0.81</w:t>
                  </w:r>
                </w:p>
              </w:tc>
              <w:tc>
                <w:tcPr>
                  <w:tcW w:w="957" w:type="pct"/>
                  <w:shd w:val="clear" w:color="auto" w:fill="auto"/>
                  <w:vAlign w:val="center"/>
                </w:tcPr>
                <w:p w14:paraId="612E4408">
                  <w:pPr>
                    <w:jc w:val="center"/>
                    <w:rPr>
                      <w:sz w:val="21"/>
                      <w:szCs w:val="21"/>
                    </w:rPr>
                  </w:pPr>
                  <w:r>
                    <w:rPr>
                      <w:sz w:val="21"/>
                      <w:szCs w:val="21"/>
                    </w:rPr>
                    <w:t>2.19</w:t>
                  </w:r>
                </w:p>
              </w:tc>
              <w:tc>
                <w:tcPr>
                  <w:tcW w:w="1200" w:type="pct"/>
                  <w:shd w:val="clear" w:color="auto" w:fill="auto"/>
                  <w:vAlign w:val="center"/>
                </w:tcPr>
                <w:p w14:paraId="46F4C551">
                  <w:pPr>
                    <w:widowControl/>
                    <w:jc w:val="center"/>
                    <w:rPr>
                      <w:kern w:val="0"/>
                      <w:sz w:val="21"/>
                      <w:szCs w:val="21"/>
                    </w:rPr>
                  </w:pPr>
                  <w:r>
                    <w:rPr>
                      <w:sz w:val="21"/>
                      <w:szCs w:val="21"/>
                    </w:rPr>
                    <w:t>0.008</w:t>
                  </w:r>
                </w:p>
              </w:tc>
              <w:tc>
                <w:tcPr>
                  <w:tcW w:w="957" w:type="pct"/>
                  <w:shd w:val="clear" w:color="auto" w:fill="auto"/>
                  <w:vAlign w:val="center"/>
                </w:tcPr>
                <w:p w14:paraId="3742892C">
                  <w:pPr>
                    <w:jc w:val="center"/>
                    <w:rPr>
                      <w:sz w:val="21"/>
                      <w:szCs w:val="21"/>
                    </w:rPr>
                  </w:pPr>
                  <w:r>
                    <w:rPr>
                      <w:sz w:val="21"/>
                      <w:szCs w:val="21"/>
                    </w:rPr>
                    <w:t>0.022</w:t>
                  </w:r>
                </w:p>
              </w:tc>
            </w:tr>
          </w:tbl>
          <w:p w14:paraId="0A2653B4">
            <w:pPr>
              <w:adjustRightInd w:val="0"/>
              <w:snapToGrid w:val="0"/>
              <w:spacing w:line="460" w:lineRule="exact"/>
              <w:ind w:firstLine="440" w:firstLineChars="200"/>
              <w:rPr>
                <w:bCs/>
                <w:spacing w:val="-10"/>
              </w:rPr>
            </w:pPr>
            <w:r>
              <w:rPr>
                <w:bCs/>
                <w:spacing w:val="-10"/>
              </w:rPr>
              <w:t>3</w:t>
            </w:r>
            <w:r>
              <w:rPr>
                <w:rFonts w:hint="eastAsia"/>
                <w:bCs/>
                <w:spacing w:val="-10"/>
              </w:rPr>
              <w:t>）水泥混凝土生产线</w:t>
            </w:r>
          </w:p>
          <w:p w14:paraId="7B65D523">
            <w:pPr>
              <w:keepNext/>
              <w:keepLines/>
              <w:spacing w:line="460" w:lineRule="exact"/>
              <w:ind w:firstLine="440" w:firstLineChars="200"/>
              <w:rPr>
                <w:bCs/>
                <w:spacing w:val="-10"/>
              </w:rPr>
            </w:pPr>
            <w:r>
              <w:rPr>
                <w:rFonts w:hint="eastAsia"/>
                <w:bCs/>
                <w:spacing w:val="-10"/>
              </w:rPr>
              <w:t>水泥混凝土生产线年消耗粉煤灰约</w:t>
            </w:r>
            <w:r>
              <w:rPr>
                <w:bCs/>
                <w:spacing w:val="-10"/>
              </w:rPr>
              <w:t>15398.4</w:t>
            </w:r>
            <w:r>
              <w:rPr>
                <w:rFonts w:hint="eastAsia"/>
                <w:bCs/>
                <w:spacing w:val="-10"/>
              </w:rPr>
              <w:t>t、水泥</w:t>
            </w:r>
            <w:r>
              <w:rPr>
                <w:bCs/>
                <w:spacing w:val="-10"/>
              </w:rPr>
              <w:t>48172.8</w:t>
            </w:r>
            <w:r>
              <w:rPr>
                <w:rFonts w:hint="eastAsia"/>
                <w:bCs/>
                <w:spacing w:val="-10"/>
              </w:rPr>
              <w:t>t，水泥混凝土生产线共设置</w:t>
            </w:r>
            <w:r>
              <w:rPr>
                <w:bCs/>
                <w:spacing w:val="-10"/>
              </w:rPr>
              <w:t>3</w:t>
            </w:r>
            <w:r>
              <w:rPr>
                <w:rFonts w:hint="eastAsia"/>
                <w:bCs/>
                <w:spacing w:val="-10"/>
              </w:rPr>
              <w:t>个水泥筒仓，2个粉煤灰筒仓，每个筒仓</w:t>
            </w:r>
            <w:r>
              <w:rPr>
                <w:bCs/>
                <w:spacing w:val="-10"/>
              </w:rPr>
              <w:t>均自带</w:t>
            </w:r>
            <w:r>
              <w:rPr>
                <w:rFonts w:hint="eastAsia"/>
                <w:bCs/>
                <w:spacing w:val="-10"/>
              </w:rPr>
              <w:t>仓顶滤芯式除尘器</w:t>
            </w:r>
            <w:r>
              <w:rPr>
                <w:bCs/>
                <w:spacing w:val="-10"/>
              </w:rPr>
              <w:t>，在往筒仓中输送水泥</w:t>
            </w:r>
            <w:r>
              <w:rPr>
                <w:rFonts w:hint="eastAsia"/>
                <w:bCs/>
                <w:spacing w:val="-10"/>
              </w:rPr>
              <w:t>、粉煤灰</w:t>
            </w:r>
            <w:r>
              <w:rPr>
                <w:bCs/>
                <w:spacing w:val="-10"/>
              </w:rPr>
              <w:t>时筒仓内空气排放时均经过仓顶滤芯式除尘器过滤后排放，</w:t>
            </w:r>
            <w:r>
              <w:rPr>
                <w:rFonts w:hint="eastAsia"/>
                <w:bCs/>
                <w:spacing w:val="-10"/>
              </w:rPr>
              <w:t>除尘效率达到9</w:t>
            </w:r>
            <w:r>
              <w:rPr>
                <w:bCs/>
                <w:spacing w:val="-10"/>
              </w:rPr>
              <w:t>9%</w:t>
            </w:r>
            <w:r>
              <w:rPr>
                <w:rFonts w:hint="eastAsia"/>
                <w:bCs/>
                <w:spacing w:val="-10"/>
              </w:rPr>
              <w:t>，筒仓呼吸粉尘产排情况见表4</w:t>
            </w:r>
            <w:r>
              <w:rPr>
                <w:bCs/>
                <w:spacing w:val="-10"/>
              </w:rPr>
              <w:t>-3</w:t>
            </w:r>
            <w:r>
              <w:rPr>
                <w:rFonts w:hint="eastAsia"/>
                <w:bCs/>
                <w:spacing w:val="-10"/>
              </w:rPr>
              <w:t>。</w:t>
            </w:r>
          </w:p>
          <w:p w14:paraId="0CAE9B20">
            <w:pPr>
              <w:pStyle w:val="76"/>
              <w:ind w:firstLine="420"/>
              <w:rPr>
                <w:color w:val="auto"/>
              </w:rPr>
            </w:pPr>
            <w:r>
              <w:rPr>
                <w:rFonts w:hint="eastAsia"/>
                <w:color w:val="auto"/>
              </w:rPr>
              <w:t>表</w:t>
            </w:r>
            <w:r>
              <w:rPr>
                <w:color w:val="auto"/>
              </w:rPr>
              <w:t>4-3</w:t>
            </w:r>
            <w:r>
              <w:rPr>
                <w:rFonts w:hint="eastAsia"/>
                <w:color w:val="auto"/>
              </w:rPr>
              <w:t xml:space="preserve">        </w:t>
            </w:r>
            <w:r>
              <w:rPr>
                <w:color w:val="auto"/>
              </w:rPr>
              <w:t xml:space="preserve">  </w:t>
            </w:r>
            <w:r>
              <w:rPr>
                <w:rFonts w:hint="eastAsia"/>
                <w:color w:val="auto"/>
              </w:rPr>
              <w:tab/>
            </w:r>
            <w:r>
              <w:rPr>
                <w:rFonts w:hint="eastAsia"/>
                <w:color w:val="auto"/>
              </w:rPr>
              <w:t>水泥混凝土生产线筒仓呼吸过程粉尘产排情况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18"/>
              <w:gridCol w:w="1528"/>
              <w:gridCol w:w="1916"/>
              <w:gridCol w:w="1527"/>
            </w:tblGrid>
            <w:tr w14:paraId="1332E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Merge w:val="restart"/>
                  <w:shd w:val="clear" w:color="auto" w:fill="auto"/>
                  <w:vAlign w:val="center"/>
                </w:tcPr>
                <w:p w14:paraId="2181D466">
                  <w:pPr>
                    <w:pStyle w:val="63"/>
                  </w:pPr>
                  <w:r>
                    <w:rPr>
                      <w:rFonts w:hint="eastAsia"/>
                    </w:rPr>
                    <w:t>筒仓类别</w:t>
                  </w:r>
                </w:p>
              </w:tc>
              <w:tc>
                <w:tcPr>
                  <w:tcW w:w="2157" w:type="pct"/>
                  <w:gridSpan w:val="2"/>
                  <w:shd w:val="clear" w:color="auto" w:fill="auto"/>
                  <w:vAlign w:val="center"/>
                </w:tcPr>
                <w:p w14:paraId="0CBE0242">
                  <w:pPr>
                    <w:pStyle w:val="63"/>
                  </w:pPr>
                  <w:r>
                    <w:rPr>
                      <w:rFonts w:hint="eastAsia"/>
                    </w:rPr>
                    <w:t>产生情况</w:t>
                  </w:r>
                </w:p>
              </w:tc>
              <w:tc>
                <w:tcPr>
                  <w:tcW w:w="2157" w:type="pct"/>
                  <w:gridSpan w:val="2"/>
                  <w:shd w:val="clear" w:color="auto" w:fill="auto"/>
                  <w:vAlign w:val="center"/>
                </w:tcPr>
                <w:p w14:paraId="7069501A">
                  <w:pPr>
                    <w:pStyle w:val="63"/>
                  </w:pPr>
                  <w:r>
                    <w:rPr>
                      <w:rFonts w:hint="eastAsia"/>
                    </w:rPr>
                    <w:t>排放情况</w:t>
                  </w:r>
                </w:p>
              </w:tc>
            </w:tr>
            <w:tr w14:paraId="199C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vMerge w:val="continue"/>
                  <w:vAlign w:val="center"/>
                </w:tcPr>
                <w:p w14:paraId="2240B2EC">
                  <w:pPr>
                    <w:pStyle w:val="63"/>
                  </w:pPr>
                </w:p>
              </w:tc>
              <w:tc>
                <w:tcPr>
                  <w:tcW w:w="1201" w:type="pct"/>
                  <w:shd w:val="clear" w:color="auto" w:fill="auto"/>
                  <w:vAlign w:val="center"/>
                </w:tcPr>
                <w:p w14:paraId="271CCF38">
                  <w:pPr>
                    <w:pStyle w:val="63"/>
                  </w:pPr>
                  <w:r>
                    <w:rPr>
                      <w:rFonts w:hint="eastAsia"/>
                    </w:rPr>
                    <w:t>产生速率（</w:t>
                  </w:r>
                  <w:r>
                    <w:t>kg/h</w:t>
                  </w:r>
                  <w:r>
                    <w:rPr>
                      <w:rFonts w:hint="eastAsia"/>
                    </w:rPr>
                    <w:t>）</w:t>
                  </w:r>
                </w:p>
              </w:tc>
              <w:tc>
                <w:tcPr>
                  <w:tcW w:w="957" w:type="pct"/>
                  <w:shd w:val="clear" w:color="auto" w:fill="auto"/>
                  <w:vAlign w:val="center"/>
                </w:tcPr>
                <w:p w14:paraId="174655C3">
                  <w:pPr>
                    <w:pStyle w:val="63"/>
                  </w:pPr>
                  <w:r>
                    <w:rPr>
                      <w:rFonts w:hint="eastAsia"/>
                    </w:rPr>
                    <w:t>产生量（</w:t>
                  </w:r>
                  <w:r>
                    <w:t>t/a</w:t>
                  </w:r>
                  <w:r>
                    <w:rPr>
                      <w:rFonts w:hint="eastAsia"/>
                    </w:rPr>
                    <w:t>）</w:t>
                  </w:r>
                </w:p>
              </w:tc>
              <w:tc>
                <w:tcPr>
                  <w:tcW w:w="1200" w:type="pct"/>
                  <w:shd w:val="clear" w:color="auto" w:fill="auto"/>
                  <w:vAlign w:val="center"/>
                </w:tcPr>
                <w:p w14:paraId="0054D915">
                  <w:pPr>
                    <w:pStyle w:val="63"/>
                  </w:pPr>
                  <w:r>
                    <w:rPr>
                      <w:rFonts w:hint="eastAsia"/>
                    </w:rPr>
                    <w:t>排放速率（</w:t>
                  </w:r>
                  <w:r>
                    <w:t>kg/h</w:t>
                  </w:r>
                  <w:r>
                    <w:rPr>
                      <w:rFonts w:hint="eastAsia"/>
                    </w:rPr>
                    <w:t>）</w:t>
                  </w:r>
                </w:p>
              </w:tc>
              <w:tc>
                <w:tcPr>
                  <w:tcW w:w="957" w:type="pct"/>
                  <w:shd w:val="clear" w:color="auto" w:fill="auto"/>
                  <w:vAlign w:val="center"/>
                </w:tcPr>
                <w:p w14:paraId="5218B9CB">
                  <w:pPr>
                    <w:pStyle w:val="63"/>
                  </w:pPr>
                  <w:r>
                    <w:rPr>
                      <w:rFonts w:hint="eastAsia"/>
                    </w:rPr>
                    <w:t>排放量（</w:t>
                  </w:r>
                  <w:r>
                    <w:t>t/a</w:t>
                  </w:r>
                  <w:r>
                    <w:rPr>
                      <w:rFonts w:hint="eastAsia"/>
                    </w:rPr>
                    <w:t>）</w:t>
                  </w:r>
                </w:p>
              </w:tc>
            </w:tr>
            <w:tr w14:paraId="20299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shd w:val="clear" w:color="auto" w:fill="auto"/>
                  <w:vAlign w:val="center"/>
                </w:tcPr>
                <w:p w14:paraId="23CCC468">
                  <w:pPr>
                    <w:pStyle w:val="63"/>
                  </w:pPr>
                  <w:r>
                    <w:rPr>
                      <w:rFonts w:hint="eastAsia"/>
                    </w:rPr>
                    <w:t>水泥</w:t>
                  </w:r>
                </w:p>
              </w:tc>
              <w:tc>
                <w:tcPr>
                  <w:tcW w:w="1201" w:type="pct"/>
                  <w:shd w:val="clear" w:color="auto" w:fill="auto"/>
                  <w:vAlign w:val="center"/>
                </w:tcPr>
                <w:p w14:paraId="019780EF">
                  <w:pPr>
                    <w:widowControl/>
                    <w:jc w:val="center"/>
                    <w:rPr>
                      <w:kern w:val="0"/>
                      <w:sz w:val="21"/>
                      <w:szCs w:val="21"/>
                    </w:rPr>
                  </w:pPr>
                  <w:r>
                    <w:rPr>
                      <w:sz w:val="21"/>
                      <w:szCs w:val="21"/>
                    </w:rPr>
                    <w:t>2.14</w:t>
                  </w:r>
                </w:p>
              </w:tc>
              <w:tc>
                <w:tcPr>
                  <w:tcW w:w="957" w:type="pct"/>
                  <w:shd w:val="clear" w:color="auto" w:fill="auto"/>
                  <w:vAlign w:val="center"/>
                </w:tcPr>
                <w:p w14:paraId="2C39F850">
                  <w:pPr>
                    <w:jc w:val="center"/>
                    <w:rPr>
                      <w:sz w:val="21"/>
                      <w:szCs w:val="21"/>
                    </w:rPr>
                  </w:pPr>
                  <w:r>
                    <w:rPr>
                      <w:sz w:val="21"/>
                      <w:szCs w:val="21"/>
                    </w:rPr>
                    <w:t>5.78</w:t>
                  </w:r>
                </w:p>
              </w:tc>
              <w:tc>
                <w:tcPr>
                  <w:tcW w:w="1200" w:type="pct"/>
                  <w:shd w:val="clear" w:color="auto" w:fill="auto"/>
                  <w:vAlign w:val="center"/>
                </w:tcPr>
                <w:p w14:paraId="46F7E456">
                  <w:pPr>
                    <w:widowControl/>
                    <w:jc w:val="center"/>
                    <w:rPr>
                      <w:kern w:val="0"/>
                      <w:sz w:val="21"/>
                      <w:szCs w:val="21"/>
                    </w:rPr>
                  </w:pPr>
                  <w:r>
                    <w:rPr>
                      <w:sz w:val="21"/>
                      <w:szCs w:val="21"/>
                    </w:rPr>
                    <w:t>0.021</w:t>
                  </w:r>
                </w:p>
              </w:tc>
              <w:tc>
                <w:tcPr>
                  <w:tcW w:w="957" w:type="pct"/>
                  <w:shd w:val="clear" w:color="auto" w:fill="auto"/>
                  <w:vAlign w:val="center"/>
                </w:tcPr>
                <w:p w14:paraId="2EFFA354">
                  <w:pPr>
                    <w:jc w:val="center"/>
                    <w:rPr>
                      <w:sz w:val="21"/>
                      <w:szCs w:val="21"/>
                    </w:rPr>
                  </w:pPr>
                  <w:r>
                    <w:rPr>
                      <w:sz w:val="21"/>
                      <w:szCs w:val="21"/>
                    </w:rPr>
                    <w:t>0.058</w:t>
                  </w:r>
                </w:p>
              </w:tc>
            </w:tr>
            <w:tr w14:paraId="63B88A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6" w:type="pct"/>
                  <w:shd w:val="clear" w:color="auto" w:fill="auto"/>
                  <w:vAlign w:val="center"/>
                </w:tcPr>
                <w:p w14:paraId="76401FAC">
                  <w:pPr>
                    <w:pStyle w:val="63"/>
                  </w:pPr>
                  <w:r>
                    <w:rPr>
                      <w:rFonts w:hint="eastAsia"/>
                    </w:rPr>
                    <w:t>粉煤灰</w:t>
                  </w:r>
                </w:p>
              </w:tc>
              <w:tc>
                <w:tcPr>
                  <w:tcW w:w="1201" w:type="pct"/>
                  <w:shd w:val="clear" w:color="auto" w:fill="auto"/>
                  <w:vAlign w:val="center"/>
                </w:tcPr>
                <w:p w14:paraId="150BF755">
                  <w:pPr>
                    <w:jc w:val="center"/>
                    <w:rPr>
                      <w:sz w:val="21"/>
                      <w:szCs w:val="21"/>
                    </w:rPr>
                  </w:pPr>
                  <w:r>
                    <w:rPr>
                      <w:sz w:val="21"/>
                      <w:szCs w:val="21"/>
                    </w:rPr>
                    <w:t>0.69</w:t>
                  </w:r>
                </w:p>
              </w:tc>
              <w:tc>
                <w:tcPr>
                  <w:tcW w:w="957" w:type="pct"/>
                  <w:shd w:val="clear" w:color="auto" w:fill="auto"/>
                  <w:vAlign w:val="center"/>
                </w:tcPr>
                <w:p w14:paraId="071C3673">
                  <w:pPr>
                    <w:jc w:val="center"/>
                    <w:rPr>
                      <w:sz w:val="21"/>
                      <w:szCs w:val="21"/>
                    </w:rPr>
                  </w:pPr>
                  <w:r>
                    <w:rPr>
                      <w:sz w:val="21"/>
                      <w:szCs w:val="21"/>
                    </w:rPr>
                    <w:t>1.85</w:t>
                  </w:r>
                </w:p>
              </w:tc>
              <w:tc>
                <w:tcPr>
                  <w:tcW w:w="1200" w:type="pct"/>
                  <w:shd w:val="clear" w:color="auto" w:fill="auto"/>
                  <w:vAlign w:val="center"/>
                </w:tcPr>
                <w:p w14:paraId="60618097">
                  <w:pPr>
                    <w:jc w:val="center"/>
                    <w:rPr>
                      <w:sz w:val="21"/>
                      <w:szCs w:val="21"/>
                    </w:rPr>
                  </w:pPr>
                  <w:r>
                    <w:rPr>
                      <w:sz w:val="21"/>
                      <w:szCs w:val="21"/>
                    </w:rPr>
                    <w:t>0.007</w:t>
                  </w:r>
                </w:p>
              </w:tc>
              <w:tc>
                <w:tcPr>
                  <w:tcW w:w="957" w:type="pct"/>
                  <w:shd w:val="clear" w:color="auto" w:fill="auto"/>
                  <w:vAlign w:val="center"/>
                </w:tcPr>
                <w:p w14:paraId="178EFE25">
                  <w:pPr>
                    <w:jc w:val="center"/>
                    <w:rPr>
                      <w:sz w:val="21"/>
                      <w:szCs w:val="21"/>
                    </w:rPr>
                  </w:pPr>
                  <w:r>
                    <w:rPr>
                      <w:sz w:val="21"/>
                      <w:szCs w:val="21"/>
                    </w:rPr>
                    <w:t>0.019</w:t>
                  </w:r>
                </w:p>
              </w:tc>
            </w:tr>
          </w:tbl>
          <w:p w14:paraId="39A1D39A">
            <w:pPr>
              <w:adjustRightInd w:val="0"/>
              <w:snapToGrid w:val="0"/>
              <w:spacing w:line="460" w:lineRule="exact"/>
              <w:ind w:firstLine="440" w:firstLineChars="200"/>
              <w:rPr>
                <w:bCs/>
                <w:spacing w:val="-10"/>
              </w:rPr>
            </w:pPr>
            <w:r>
              <w:rPr>
                <w:bCs/>
                <w:spacing w:val="-10"/>
              </w:rPr>
              <w:t>（4）搅拌粉尘</w:t>
            </w:r>
          </w:p>
          <w:p w14:paraId="103F9A68">
            <w:pPr>
              <w:adjustRightInd w:val="0"/>
              <w:snapToGrid w:val="0"/>
              <w:spacing w:line="460" w:lineRule="exact"/>
              <w:ind w:firstLine="440" w:firstLineChars="200"/>
              <w:rPr>
                <w:bCs/>
                <w:spacing w:val="-10"/>
              </w:rPr>
            </w:pPr>
            <w:r>
              <w:rPr>
                <w:rFonts w:hint="eastAsia"/>
                <w:bCs/>
                <w:spacing w:val="-10"/>
              </w:rPr>
              <w:t>1）水泥稳定土生产线</w:t>
            </w:r>
          </w:p>
          <w:p w14:paraId="73134AFD">
            <w:pPr>
              <w:adjustRightInd w:val="0"/>
              <w:snapToGrid w:val="0"/>
              <w:spacing w:line="460" w:lineRule="exact"/>
              <w:ind w:firstLine="440" w:firstLineChars="200"/>
              <w:rPr>
                <w:bCs/>
                <w:spacing w:val="-10"/>
              </w:rPr>
            </w:pPr>
            <w:r>
              <w:rPr>
                <w:rFonts w:hint="eastAsia"/>
                <w:bCs/>
                <w:spacing w:val="-10"/>
              </w:rPr>
              <w:t>本</w:t>
            </w:r>
            <w:r>
              <w:rPr>
                <w:bCs/>
                <w:spacing w:val="-10"/>
              </w:rPr>
              <w:t>项目</w:t>
            </w:r>
            <w:r>
              <w:rPr>
                <w:rFonts w:hint="eastAsia"/>
                <w:bCs/>
                <w:spacing w:val="-10"/>
              </w:rPr>
              <w:t>水泥稳定土生产线</w:t>
            </w:r>
            <w:r>
              <w:rPr>
                <w:bCs/>
                <w:spacing w:val="-10"/>
              </w:rPr>
              <w:t>设有搅拌机2个，每个搅拌机按年生产</w:t>
            </w:r>
            <w:r>
              <w:rPr>
                <w:rFonts w:hint="eastAsia"/>
                <w:bCs/>
                <w:spacing w:val="-10"/>
              </w:rPr>
              <w:t>水泥稳定土</w:t>
            </w:r>
            <w:r>
              <w:rPr>
                <w:bCs/>
                <w:spacing w:val="-10"/>
              </w:rPr>
              <w:t>200000立方米（约</w:t>
            </w:r>
            <w:r>
              <w:rPr>
                <w:rFonts w:hint="eastAsia"/>
                <w:bCs/>
                <w:spacing w:val="-10"/>
              </w:rPr>
              <w:t>5</w:t>
            </w:r>
            <w:r>
              <w:rPr>
                <w:bCs/>
                <w:spacing w:val="-10"/>
              </w:rPr>
              <w:t>00000t）进行计算，参照《排放源统计调查产排污核算方法和系数手册》（3021水泥制品制造行业系数手册）物料、混合、搅拌</w:t>
            </w:r>
            <w:r>
              <w:rPr>
                <w:rFonts w:hint="eastAsia"/>
                <w:bCs/>
                <w:spacing w:val="-10"/>
              </w:rPr>
              <w:t>产污</w:t>
            </w:r>
            <w:r>
              <w:rPr>
                <w:bCs/>
                <w:spacing w:val="-10"/>
              </w:rPr>
              <w:t>系数为0.13kg/t产品</w:t>
            </w:r>
            <w:r>
              <w:rPr>
                <w:rFonts w:hint="eastAsia"/>
                <w:bCs/>
                <w:spacing w:val="-10"/>
              </w:rPr>
              <w:t>。水泥稳定生产线搅拌粉尘见表4</w:t>
            </w:r>
            <w:r>
              <w:rPr>
                <w:bCs/>
                <w:spacing w:val="-10"/>
              </w:rPr>
              <w:t>-4</w:t>
            </w:r>
            <w:r>
              <w:rPr>
                <w:rFonts w:hint="eastAsia"/>
                <w:bCs/>
                <w:spacing w:val="-10"/>
              </w:rPr>
              <w:t>。</w:t>
            </w:r>
          </w:p>
          <w:p w14:paraId="6A7426CC">
            <w:pPr>
              <w:pStyle w:val="76"/>
              <w:ind w:firstLine="420"/>
              <w:rPr>
                <w:color w:val="auto"/>
              </w:rPr>
            </w:pPr>
          </w:p>
          <w:p w14:paraId="06C83609">
            <w:pPr>
              <w:pStyle w:val="76"/>
              <w:ind w:firstLine="420"/>
              <w:rPr>
                <w:color w:val="auto"/>
              </w:rPr>
            </w:pPr>
          </w:p>
          <w:p w14:paraId="4630C97D">
            <w:pPr>
              <w:pStyle w:val="76"/>
              <w:ind w:firstLine="420"/>
              <w:rPr>
                <w:color w:val="auto"/>
              </w:rPr>
            </w:pPr>
            <w:r>
              <w:rPr>
                <w:rFonts w:hint="eastAsia"/>
                <w:color w:val="auto"/>
              </w:rPr>
              <w:t>表</w:t>
            </w:r>
            <w:r>
              <w:rPr>
                <w:color w:val="auto"/>
              </w:rPr>
              <w:t>4-4</w:t>
            </w:r>
            <w:r>
              <w:rPr>
                <w:rFonts w:hint="eastAsia"/>
                <w:color w:val="auto"/>
              </w:rPr>
              <w:t xml:space="preserve">        </w:t>
            </w:r>
            <w:r>
              <w:rPr>
                <w:color w:val="auto"/>
              </w:rPr>
              <w:t xml:space="preserve">  </w:t>
            </w:r>
            <w:r>
              <w:rPr>
                <w:rFonts w:hint="eastAsia"/>
                <w:color w:val="auto"/>
              </w:rPr>
              <w:tab/>
            </w:r>
            <w:r>
              <w:rPr>
                <w:color w:val="auto"/>
              </w:rPr>
              <w:t xml:space="preserve">     </w:t>
            </w:r>
            <w:r>
              <w:rPr>
                <w:rFonts w:hint="eastAsia"/>
                <w:color w:val="auto"/>
              </w:rPr>
              <w:t>水泥稳定生产线搅拌粉尘产排情况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426"/>
              <w:gridCol w:w="1031"/>
              <w:gridCol w:w="1195"/>
              <w:gridCol w:w="1010"/>
              <w:gridCol w:w="846"/>
              <w:gridCol w:w="1195"/>
              <w:gridCol w:w="1010"/>
              <w:gridCol w:w="846"/>
            </w:tblGrid>
            <w:tr w14:paraId="7FA941B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 w:type="pct"/>
                  <w:gridSpan w:val="2"/>
                  <w:vMerge w:val="restart"/>
                  <w:shd w:val="clear" w:color="auto" w:fill="auto"/>
                  <w:vAlign w:val="center"/>
                </w:tcPr>
                <w:p w14:paraId="58AEAABB">
                  <w:pPr>
                    <w:pStyle w:val="63"/>
                  </w:pPr>
                  <w:r>
                    <w:rPr>
                      <w:rFonts w:hint="eastAsia"/>
                    </w:rPr>
                    <w:t>工段名称</w:t>
                  </w:r>
                </w:p>
              </w:tc>
              <w:tc>
                <w:tcPr>
                  <w:tcW w:w="643" w:type="pct"/>
                  <w:vMerge w:val="restart"/>
                  <w:shd w:val="clear" w:color="auto" w:fill="auto"/>
                  <w:vAlign w:val="center"/>
                </w:tcPr>
                <w:p w14:paraId="3FD8BE78">
                  <w:pPr>
                    <w:pStyle w:val="63"/>
                  </w:pPr>
                  <w:r>
                    <w:rPr>
                      <w:rFonts w:hint="eastAsia"/>
                    </w:rPr>
                    <w:t>废气量</w:t>
                  </w:r>
                </w:p>
                <w:p w14:paraId="790FE911">
                  <w:pPr>
                    <w:pStyle w:val="63"/>
                  </w:pPr>
                  <w:r>
                    <w:rPr>
                      <w:rFonts w:hint="eastAsia"/>
                    </w:rPr>
                    <w:t>（</w:t>
                  </w:r>
                  <w:r>
                    <w:t>m</w:t>
                  </w:r>
                  <w:r>
                    <w:rPr>
                      <w:vertAlign w:val="superscript"/>
                    </w:rPr>
                    <w:t>3</w:t>
                  </w:r>
                  <w:r>
                    <w:t>/h</w:t>
                  </w:r>
                  <w:r>
                    <w:rPr>
                      <w:rFonts w:hint="eastAsia"/>
                    </w:rPr>
                    <w:t>）</w:t>
                  </w:r>
                </w:p>
              </w:tc>
              <w:tc>
                <w:tcPr>
                  <w:tcW w:w="1900" w:type="pct"/>
                  <w:gridSpan w:val="3"/>
                  <w:shd w:val="clear" w:color="auto" w:fill="auto"/>
                  <w:vAlign w:val="center"/>
                </w:tcPr>
                <w:p w14:paraId="726D2B75">
                  <w:pPr>
                    <w:pStyle w:val="63"/>
                  </w:pPr>
                  <w:r>
                    <w:rPr>
                      <w:rFonts w:hint="eastAsia"/>
                    </w:rPr>
                    <w:t>产生情况</w:t>
                  </w:r>
                </w:p>
              </w:tc>
              <w:tc>
                <w:tcPr>
                  <w:tcW w:w="1900" w:type="pct"/>
                  <w:gridSpan w:val="3"/>
                  <w:shd w:val="clear" w:color="auto" w:fill="auto"/>
                  <w:vAlign w:val="center"/>
                </w:tcPr>
                <w:p w14:paraId="61291220">
                  <w:pPr>
                    <w:pStyle w:val="63"/>
                  </w:pPr>
                  <w:r>
                    <w:rPr>
                      <w:rFonts w:hint="eastAsia"/>
                    </w:rPr>
                    <w:t>排放情况</w:t>
                  </w:r>
                </w:p>
              </w:tc>
            </w:tr>
            <w:tr w14:paraId="5DEA277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 w:type="pct"/>
                  <w:gridSpan w:val="2"/>
                  <w:vMerge w:val="continue"/>
                  <w:vAlign w:val="center"/>
                </w:tcPr>
                <w:p w14:paraId="1B4C1A59">
                  <w:pPr>
                    <w:pStyle w:val="63"/>
                  </w:pPr>
                </w:p>
              </w:tc>
              <w:tc>
                <w:tcPr>
                  <w:tcW w:w="643" w:type="pct"/>
                  <w:vMerge w:val="continue"/>
                  <w:shd w:val="clear" w:color="auto" w:fill="auto"/>
                  <w:vAlign w:val="center"/>
                </w:tcPr>
                <w:p w14:paraId="519B99C7">
                  <w:pPr>
                    <w:pStyle w:val="63"/>
                  </w:pPr>
                </w:p>
              </w:tc>
              <w:tc>
                <w:tcPr>
                  <w:tcW w:w="745" w:type="pct"/>
                  <w:shd w:val="clear" w:color="auto" w:fill="auto"/>
                  <w:vAlign w:val="center"/>
                </w:tcPr>
                <w:p w14:paraId="59675224">
                  <w:pPr>
                    <w:pStyle w:val="63"/>
                  </w:pPr>
                  <w:r>
                    <w:rPr>
                      <w:rFonts w:hint="eastAsia"/>
                    </w:rPr>
                    <w:t>产生浓度（</w:t>
                  </w:r>
                  <w:r>
                    <w:t>mg/m</w:t>
                  </w:r>
                  <w:r>
                    <w:rPr>
                      <w:vertAlign w:val="superscript"/>
                    </w:rPr>
                    <w:t>3</w:t>
                  </w:r>
                  <w:r>
                    <w:rPr>
                      <w:rFonts w:hint="eastAsia"/>
                    </w:rPr>
                    <w:t>）</w:t>
                  </w:r>
                </w:p>
              </w:tc>
              <w:tc>
                <w:tcPr>
                  <w:tcW w:w="629" w:type="pct"/>
                  <w:shd w:val="clear" w:color="auto" w:fill="auto"/>
                  <w:vAlign w:val="center"/>
                </w:tcPr>
                <w:p w14:paraId="6BC709AA">
                  <w:pPr>
                    <w:pStyle w:val="63"/>
                  </w:pPr>
                  <w:r>
                    <w:rPr>
                      <w:rFonts w:hint="eastAsia"/>
                    </w:rPr>
                    <w:t>产生速率（</w:t>
                  </w:r>
                  <w:r>
                    <w:t>kg/h</w:t>
                  </w:r>
                  <w:r>
                    <w:rPr>
                      <w:rFonts w:hint="eastAsia"/>
                    </w:rPr>
                    <w:t>）</w:t>
                  </w:r>
                </w:p>
              </w:tc>
              <w:tc>
                <w:tcPr>
                  <w:tcW w:w="527" w:type="pct"/>
                  <w:shd w:val="clear" w:color="auto" w:fill="auto"/>
                  <w:vAlign w:val="center"/>
                </w:tcPr>
                <w:p w14:paraId="4DCAAFC0">
                  <w:pPr>
                    <w:pStyle w:val="63"/>
                  </w:pPr>
                  <w:r>
                    <w:rPr>
                      <w:rFonts w:hint="eastAsia"/>
                    </w:rPr>
                    <w:t>产生量（</w:t>
                  </w:r>
                  <w:r>
                    <w:t>t/a</w:t>
                  </w:r>
                  <w:r>
                    <w:rPr>
                      <w:rFonts w:hint="eastAsia"/>
                    </w:rPr>
                    <w:t>）</w:t>
                  </w:r>
                </w:p>
              </w:tc>
              <w:tc>
                <w:tcPr>
                  <w:tcW w:w="745" w:type="pct"/>
                  <w:shd w:val="clear" w:color="auto" w:fill="auto"/>
                  <w:vAlign w:val="center"/>
                </w:tcPr>
                <w:p w14:paraId="73C52F4A">
                  <w:pPr>
                    <w:pStyle w:val="63"/>
                  </w:pPr>
                  <w:r>
                    <w:rPr>
                      <w:rFonts w:hint="eastAsia"/>
                    </w:rPr>
                    <w:t>排放浓度（</w:t>
                  </w:r>
                  <w:r>
                    <w:t>mg/m</w:t>
                  </w:r>
                  <w:r>
                    <w:rPr>
                      <w:vertAlign w:val="superscript"/>
                    </w:rPr>
                    <w:t>3</w:t>
                  </w:r>
                  <w:r>
                    <w:rPr>
                      <w:rFonts w:hint="eastAsia"/>
                    </w:rPr>
                    <w:t>）</w:t>
                  </w:r>
                </w:p>
              </w:tc>
              <w:tc>
                <w:tcPr>
                  <w:tcW w:w="629" w:type="pct"/>
                  <w:shd w:val="clear" w:color="auto" w:fill="auto"/>
                  <w:vAlign w:val="center"/>
                </w:tcPr>
                <w:p w14:paraId="6EB42237">
                  <w:pPr>
                    <w:pStyle w:val="63"/>
                  </w:pPr>
                  <w:r>
                    <w:rPr>
                      <w:rFonts w:hint="eastAsia"/>
                    </w:rPr>
                    <w:t>排放速率（</w:t>
                  </w:r>
                  <w:r>
                    <w:t>kg/h</w:t>
                  </w:r>
                  <w:r>
                    <w:rPr>
                      <w:rFonts w:hint="eastAsia"/>
                    </w:rPr>
                    <w:t>）</w:t>
                  </w:r>
                </w:p>
              </w:tc>
              <w:tc>
                <w:tcPr>
                  <w:tcW w:w="527" w:type="pct"/>
                  <w:shd w:val="clear" w:color="auto" w:fill="auto"/>
                  <w:vAlign w:val="center"/>
                </w:tcPr>
                <w:p w14:paraId="0F918D65">
                  <w:pPr>
                    <w:pStyle w:val="63"/>
                  </w:pPr>
                  <w:r>
                    <w:rPr>
                      <w:rFonts w:hint="eastAsia"/>
                    </w:rPr>
                    <w:t>排放量（</w:t>
                  </w:r>
                  <w:r>
                    <w:t>t/a</w:t>
                  </w:r>
                  <w:r>
                    <w:rPr>
                      <w:rFonts w:hint="eastAsia"/>
                    </w:rPr>
                    <w:t>）</w:t>
                  </w:r>
                </w:p>
              </w:tc>
            </w:tr>
            <w:tr w14:paraId="297CB1A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65" w:type="pct"/>
                  <w:vMerge w:val="restart"/>
                  <w:shd w:val="clear" w:color="auto" w:fill="auto"/>
                  <w:vAlign w:val="center"/>
                </w:tcPr>
                <w:p w14:paraId="7AF80C63">
                  <w:pPr>
                    <w:pStyle w:val="63"/>
                  </w:pPr>
                  <w:r>
                    <w:rPr>
                      <w:rFonts w:hint="eastAsia"/>
                    </w:rPr>
                    <w:t>物料混合搅拌</w:t>
                  </w:r>
                </w:p>
              </w:tc>
              <w:tc>
                <w:tcPr>
                  <w:tcW w:w="292" w:type="pct"/>
                </w:tcPr>
                <w:p w14:paraId="19003937">
                  <w:pPr>
                    <w:pStyle w:val="63"/>
                  </w:pPr>
                  <w:r>
                    <w:rPr>
                      <w:rFonts w:hint="eastAsia"/>
                    </w:rPr>
                    <w:t>1</w:t>
                  </w:r>
                  <w:r>
                    <w:t>#</w:t>
                  </w:r>
                  <w:r>
                    <w:rPr>
                      <w:rFonts w:hint="eastAsia"/>
                    </w:rPr>
                    <w:t>搅拌机</w:t>
                  </w:r>
                </w:p>
              </w:tc>
              <w:tc>
                <w:tcPr>
                  <w:tcW w:w="643" w:type="pct"/>
                  <w:shd w:val="clear" w:color="auto" w:fill="auto"/>
                  <w:vAlign w:val="center"/>
                </w:tcPr>
                <w:p w14:paraId="389FA136">
                  <w:pPr>
                    <w:widowControl/>
                    <w:jc w:val="center"/>
                    <w:rPr>
                      <w:kern w:val="0"/>
                      <w:sz w:val="21"/>
                      <w:szCs w:val="21"/>
                    </w:rPr>
                  </w:pPr>
                  <w:r>
                    <w:rPr>
                      <w:sz w:val="21"/>
                      <w:szCs w:val="21"/>
                    </w:rPr>
                    <w:t>10000</w:t>
                  </w:r>
                </w:p>
              </w:tc>
              <w:tc>
                <w:tcPr>
                  <w:tcW w:w="745" w:type="pct"/>
                  <w:shd w:val="clear" w:color="auto" w:fill="auto"/>
                  <w:vAlign w:val="center"/>
                </w:tcPr>
                <w:p w14:paraId="5EF8713A">
                  <w:pPr>
                    <w:jc w:val="center"/>
                    <w:rPr>
                      <w:sz w:val="21"/>
                      <w:szCs w:val="21"/>
                    </w:rPr>
                  </w:pPr>
                  <w:r>
                    <w:rPr>
                      <w:sz w:val="21"/>
                      <w:szCs w:val="21"/>
                    </w:rPr>
                    <w:t>2166.67</w:t>
                  </w:r>
                </w:p>
              </w:tc>
              <w:tc>
                <w:tcPr>
                  <w:tcW w:w="629" w:type="pct"/>
                  <w:shd w:val="clear" w:color="auto" w:fill="auto"/>
                  <w:vAlign w:val="center"/>
                </w:tcPr>
                <w:p w14:paraId="7C1CAB63">
                  <w:pPr>
                    <w:jc w:val="center"/>
                    <w:rPr>
                      <w:sz w:val="21"/>
                      <w:szCs w:val="21"/>
                    </w:rPr>
                  </w:pPr>
                  <w:r>
                    <w:rPr>
                      <w:sz w:val="21"/>
                      <w:szCs w:val="21"/>
                    </w:rPr>
                    <w:t>21.67</w:t>
                  </w:r>
                </w:p>
              </w:tc>
              <w:tc>
                <w:tcPr>
                  <w:tcW w:w="527" w:type="pct"/>
                  <w:shd w:val="clear" w:color="auto" w:fill="auto"/>
                  <w:vAlign w:val="center"/>
                </w:tcPr>
                <w:p w14:paraId="72E7F5B0">
                  <w:pPr>
                    <w:jc w:val="center"/>
                    <w:rPr>
                      <w:sz w:val="21"/>
                      <w:szCs w:val="21"/>
                    </w:rPr>
                  </w:pPr>
                  <w:r>
                    <w:rPr>
                      <w:sz w:val="21"/>
                      <w:szCs w:val="21"/>
                    </w:rPr>
                    <w:t>58.5</w:t>
                  </w:r>
                </w:p>
              </w:tc>
              <w:tc>
                <w:tcPr>
                  <w:tcW w:w="745" w:type="pct"/>
                  <w:vMerge w:val="restart"/>
                  <w:shd w:val="clear" w:color="auto" w:fill="auto"/>
                  <w:vAlign w:val="center"/>
                </w:tcPr>
                <w:p w14:paraId="47C9638A">
                  <w:pPr>
                    <w:pStyle w:val="63"/>
                  </w:pPr>
                  <w:r>
                    <w:t>6.50</w:t>
                  </w:r>
                </w:p>
              </w:tc>
              <w:tc>
                <w:tcPr>
                  <w:tcW w:w="629" w:type="pct"/>
                  <w:vMerge w:val="restart"/>
                  <w:shd w:val="clear" w:color="auto" w:fill="auto"/>
                  <w:vAlign w:val="center"/>
                </w:tcPr>
                <w:p w14:paraId="13FC6FB1">
                  <w:pPr>
                    <w:pStyle w:val="63"/>
                  </w:pPr>
                  <w:r>
                    <w:t>0.130</w:t>
                  </w:r>
                </w:p>
              </w:tc>
              <w:tc>
                <w:tcPr>
                  <w:tcW w:w="527" w:type="pct"/>
                  <w:vMerge w:val="restart"/>
                  <w:shd w:val="clear" w:color="auto" w:fill="auto"/>
                  <w:vAlign w:val="center"/>
                </w:tcPr>
                <w:p w14:paraId="56558283">
                  <w:pPr>
                    <w:pStyle w:val="63"/>
                  </w:pPr>
                  <w:r>
                    <w:t>0.351</w:t>
                  </w:r>
                </w:p>
              </w:tc>
            </w:tr>
            <w:tr w14:paraId="6DBF8D3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65" w:type="pct"/>
                  <w:vMerge w:val="continue"/>
                  <w:shd w:val="clear" w:color="auto" w:fill="auto"/>
                  <w:vAlign w:val="center"/>
                </w:tcPr>
                <w:p w14:paraId="2FB9551A">
                  <w:pPr>
                    <w:pStyle w:val="63"/>
                  </w:pPr>
                </w:p>
              </w:tc>
              <w:tc>
                <w:tcPr>
                  <w:tcW w:w="292" w:type="pct"/>
                </w:tcPr>
                <w:p w14:paraId="740287B4">
                  <w:pPr>
                    <w:pStyle w:val="63"/>
                  </w:pPr>
                  <w:r>
                    <w:t>2#</w:t>
                  </w:r>
                  <w:r>
                    <w:rPr>
                      <w:rFonts w:hint="eastAsia"/>
                    </w:rPr>
                    <w:t>搅拌机</w:t>
                  </w:r>
                </w:p>
              </w:tc>
              <w:tc>
                <w:tcPr>
                  <w:tcW w:w="643" w:type="pct"/>
                  <w:shd w:val="clear" w:color="auto" w:fill="auto"/>
                  <w:vAlign w:val="center"/>
                </w:tcPr>
                <w:p w14:paraId="201D0C9D">
                  <w:pPr>
                    <w:jc w:val="center"/>
                    <w:rPr>
                      <w:sz w:val="21"/>
                      <w:szCs w:val="21"/>
                    </w:rPr>
                  </w:pPr>
                  <w:r>
                    <w:rPr>
                      <w:sz w:val="21"/>
                      <w:szCs w:val="21"/>
                    </w:rPr>
                    <w:t>10000</w:t>
                  </w:r>
                </w:p>
              </w:tc>
              <w:tc>
                <w:tcPr>
                  <w:tcW w:w="745" w:type="pct"/>
                  <w:shd w:val="clear" w:color="auto" w:fill="auto"/>
                  <w:vAlign w:val="center"/>
                </w:tcPr>
                <w:p w14:paraId="15799F35">
                  <w:pPr>
                    <w:jc w:val="center"/>
                    <w:rPr>
                      <w:sz w:val="21"/>
                      <w:szCs w:val="21"/>
                    </w:rPr>
                  </w:pPr>
                  <w:r>
                    <w:rPr>
                      <w:sz w:val="21"/>
                      <w:szCs w:val="21"/>
                    </w:rPr>
                    <w:t>2166.67</w:t>
                  </w:r>
                </w:p>
              </w:tc>
              <w:tc>
                <w:tcPr>
                  <w:tcW w:w="629" w:type="pct"/>
                  <w:shd w:val="clear" w:color="auto" w:fill="auto"/>
                  <w:vAlign w:val="center"/>
                </w:tcPr>
                <w:p w14:paraId="75DD6242">
                  <w:pPr>
                    <w:jc w:val="center"/>
                    <w:rPr>
                      <w:sz w:val="21"/>
                      <w:szCs w:val="21"/>
                    </w:rPr>
                  </w:pPr>
                  <w:r>
                    <w:rPr>
                      <w:sz w:val="21"/>
                      <w:szCs w:val="21"/>
                    </w:rPr>
                    <w:t>21.67</w:t>
                  </w:r>
                </w:p>
              </w:tc>
              <w:tc>
                <w:tcPr>
                  <w:tcW w:w="527" w:type="pct"/>
                  <w:shd w:val="clear" w:color="auto" w:fill="auto"/>
                  <w:vAlign w:val="center"/>
                </w:tcPr>
                <w:p w14:paraId="490F6C0C">
                  <w:pPr>
                    <w:jc w:val="center"/>
                    <w:rPr>
                      <w:sz w:val="21"/>
                      <w:szCs w:val="21"/>
                    </w:rPr>
                  </w:pPr>
                  <w:r>
                    <w:rPr>
                      <w:sz w:val="21"/>
                      <w:szCs w:val="21"/>
                    </w:rPr>
                    <w:t>58.5</w:t>
                  </w:r>
                </w:p>
              </w:tc>
              <w:tc>
                <w:tcPr>
                  <w:tcW w:w="745" w:type="pct"/>
                  <w:vMerge w:val="continue"/>
                  <w:shd w:val="clear" w:color="auto" w:fill="auto"/>
                  <w:vAlign w:val="center"/>
                </w:tcPr>
                <w:p w14:paraId="6FB0DBC1">
                  <w:pPr>
                    <w:pStyle w:val="63"/>
                  </w:pPr>
                </w:p>
              </w:tc>
              <w:tc>
                <w:tcPr>
                  <w:tcW w:w="629" w:type="pct"/>
                  <w:vMerge w:val="continue"/>
                  <w:shd w:val="clear" w:color="auto" w:fill="auto"/>
                  <w:vAlign w:val="center"/>
                </w:tcPr>
                <w:p w14:paraId="6EEB5B52">
                  <w:pPr>
                    <w:pStyle w:val="63"/>
                  </w:pPr>
                </w:p>
              </w:tc>
              <w:tc>
                <w:tcPr>
                  <w:tcW w:w="527" w:type="pct"/>
                  <w:vMerge w:val="continue"/>
                  <w:shd w:val="clear" w:color="auto" w:fill="auto"/>
                  <w:vAlign w:val="center"/>
                </w:tcPr>
                <w:p w14:paraId="561B3B52">
                  <w:pPr>
                    <w:pStyle w:val="63"/>
                  </w:pPr>
                </w:p>
              </w:tc>
            </w:tr>
          </w:tbl>
          <w:p w14:paraId="689A0578">
            <w:pPr>
              <w:adjustRightInd w:val="0"/>
              <w:snapToGrid w:val="0"/>
              <w:spacing w:line="460" w:lineRule="exact"/>
              <w:ind w:firstLine="440" w:firstLineChars="200"/>
              <w:rPr>
                <w:bCs/>
                <w:spacing w:val="-10"/>
              </w:rPr>
            </w:pPr>
            <w:r>
              <w:rPr>
                <w:rFonts w:hint="eastAsia"/>
                <w:bCs/>
                <w:spacing w:val="-10"/>
              </w:rPr>
              <w:t>本项目每台搅拌机上方均设置集气罩，收集效率按照90%计，则收集粉尘量共117t/a，未收集粉尘量为13t/a，收集后的粉尘经袋式除尘器处理后（处理效率 99.7%）经一根15m高排气筒排放，排放量为0.351t/a，排放速率0.130kg/h，排放浓度</w:t>
            </w:r>
            <w:r>
              <w:rPr>
                <w:bCs/>
                <w:spacing w:val="-10"/>
              </w:rPr>
              <w:t>6.50</w:t>
            </w:r>
            <w:r>
              <w:rPr>
                <w:rFonts w:hint="eastAsia"/>
                <w:bCs/>
                <w:spacing w:val="-10"/>
              </w:rPr>
              <w:t>mg/m</w:t>
            </w:r>
            <w:r>
              <w:rPr>
                <w:bCs/>
                <w:spacing w:val="-10"/>
                <w:vertAlign w:val="superscript"/>
              </w:rPr>
              <w:t>3</w:t>
            </w:r>
            <w:r>
              <w:rPr>
                <w:rFonts w:hint="eastAsia"/>
              </w:rPr>
              <w:t>，</w:t>
            </w:r>
            <w:r>
              <w:rPr>
                <w:rFonts w:hint="eastAsia"/>
                <w:bCs/>
                <w:spacing w:val="-10"/>
              </w:rPr>
              <w:t>满足</w:t>
            </w:r>
            <w:r>
              <w:t>《水泥工业大气污染物排放标准》（GB4915-2013</w:t>
            </w:r>
            <w:r>
              <w:rPr>
                <w:rFonts w:hint="eastAsia"/>
              </w:rPr>
              <w:t>）大气污染物</w:t>
            </w:r>
            <w:r>
              <w:t>排放限值</w:t>
            </w:r>
            <w:r>
              <w:rPr>
                <w:rFonts w:hint="eastAsia"/>
              </w:rPr>
              <w:t>2</w:t>
            </w:r>
            <w:r>
              <w:t>0mg/m</w:t>
            </w:r>
            <w:r>
              <w:rPr>
                <w:vertAlign w:val="superscript"/>
              </w:rPr>
              <w:t>3</w:t>
            </w:r>
            <w:r>
              <w:rPr>
                <w:rFonts w:hint="eastAsia"/>
              </w:rPr>
              <w:t>要求</w:t>
            </w:r>
            <w:r>
              <w:rPr>
                <w:bCs/>
                <w:spacing w:val="-10"/>
              </w:rPr>
              <w:t>。</w:t>
            </w:r>
          </w:p>
          <w:p w14:paraId="77D0C24E">
            <w:pPr>
              <w:adjustRightInd w:val="0"/>
              <w:snapToGrid w:val="0"/>
              <w:spacing w:line="460" w:lineRule="exact"/>
              <w:ind w:firstLine="440" w:firstLineChars="200"/>
              <w:rPr>
                <w:bCs/>
                <w:spacing w:val="-10"/>
              </w:rPr>
            </w:pPr>
            <w:r>
              <w:rPr>
                <w:rFonts w:hint="eastAsia"/>
                <w:bCs/>
                <w:spacing w:val="-10"/>
              </w:rPr>
              <w:t>2）水泥混凝土生产线</w:t>
            </w:r>
          </w:p>
          <w:p w14:paraId="1EBB11E4">
            <w:pPr>
              <w:adjustRightInd w:val="0"/>
              <w:snapToGrid w:val="0"/>
              <w:spacing w:line="460" w:lineRule="exact"/>
              <w:ind w:firstLine="440" w:firstLineChars="200"/>
              <w:rPr>
                <w:bCs/>
                <w:spacing w:val="-10"/>
              </w:rPr>
            </w:pPr>
            <w:r>
              <w:rPr>
                <w:rFonts w:hint="eastAsia"/>
                <w:bCs/>
                <w:spacing w:val="-10"/>
              </w:rPr>
              <w:t>本</w:t>
            </w:r>
            <w:r>
              <w:rPr>
                <w:bCs/>
                <w:spacing w:val="-10"/>
              </w:rPr>
              <w:t>项目</w:t>
            </w:r>
            <w:r>
              <w:rPr>
                <w:rFonts w:hint="eastAsia"/>
                <w:bCs/>
                <w:spacing w:val="-10"/>
              </w:rPr>
              <w:t>水泥混凝土生产线</w:t>
            </w:r>
            <w:r>
              <w:rPr>
                <w:bCs/>
                <w:spacing w:val="-10"/>
              </w:rPr>
              <w:t>设有搅拌机1个，搅拌机按年生产</w:t>
            </w:r>
            <w:r>
              <w:rPr>
                <w:rFonts w:hint="eastAsia"/>
                <w:bCs/>
                <w:spacing w:val="-10"/>
              </w:rPr>
              <w:t>水泥混凝土</w:t>
            </w:r>
            <w:r>
              <w:rPr>
                <w:bCs/>
                <w:spacing w:val="-10"/>
              </w:rPr>
              <w:t>80000立方米（约192000t）进行计算，参照《排放源统计调查产排污核算方法和系数手册》（3021水泥制品制造行业系数手册）物料、混合、搅拌</w:t>
            </w:r>
            <w:r>
              <w:rPr>
                <w:rFonts w:hint="eastAsia"/>
                <w:bCs/>
                <w:spacing w:val="-10"/>
              </w:rPr>
              <w:t>产污</w:t>
            </w:r>
            <w:r>
              <w:rPr>
                <w:bCs/>
                <w:spacing w:val="-10"/>
              </w:rPr>
              <w:t>系数为0.13kg/t产品</w:t>
            </w:r>
            <w:r>
              <w:rPr>
                <w:rFonts w:hint="eastAsia"/>
                <w:bCs/>
                <w:spacing w:val="-10"/>
              </w:rPr>
              <w:t>。水泥稳定生产线搅拌粉尘见表4</w:t>
            </w:r>
            <w:r>
              <w:rPr>
                <w:bCs/>
                <w:spacing w:val="-10"/>
              </w:rPr>
              <w:t>-5</w:t>
            </w:r>
            <w:r>
              <w:rPr>
                <w:rFonts w:hint="eastAsia"/>
                <w:bCs/>
                <w:spacing w:val="-10"/>
              </w:rPr>
              <w:t>。</w:t>
            </w:r>
          </w:p>
          <w:p w14:paraId="09AA0C82">
            <w:pPr>
              <w:pStyle w:val="76"/>
              <w:ind w:firstLine="420"/>
              <w:rPr>
                <w:color w:val="auto"/>
              </w:rPr>
            </w:pPr>
            <w:r>
              <w:rPr>
                <w:rFonts w:hint="eastAsia"/>
                <w:color w:val="auto"/>
              </w:rPr>
              <w:t>表</w:t>
            </w:r>
            <w:r>
              <w:rPr>
                <w:color w:val="auto"/>
              </w:rPr>
              <w:t>4-5</w:t>
            </w:r>
            <w:r>
              <w:rPr>
                <w:rFonts w:hint="eastAsia"/>
                <w:color w:val="auto"/>
              </w:rPr>
              <w:t xml:space="preserve">        </w:t>
            </w:r>
            <w:r>
              <w:rPr>
                <w:color w:val="auto"/>
              </w:rPr>
              <w:t xml:space="preserve">  </w:t>
            </w:r>
            <w:r>
              <w:rPr>
                <w:rFonts w:hint="eastAsia"/>
                <w:color w:val="auto"/>
              </w:rPr>
              <w:tab/>
            </w:r>
            <w:r>
              <w:rPr>
                <w:color w:val="auto"/>
              </w:rPr>
              <w:t xml:space="preserve">     </w:t>
            </w:r>
            <w:r>
              <w:rPr>
                <w:rFonts w:hint="eastAsia"/>
                <w:color w:val="auto"/>
              </w:rPr>
              <w:t>水泥稳定生产线搅拌粉尘产排情况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031"/>
              <w:gridCol w:w="1195"/>
              <w:gridCol w:w="1010"/>
              <w:gridCol w:w="846"/>
              <w:gridCol w:w="1195"/>
              <w:gridCol w:w="1010"/>
              <w:gridCol w:w="846"/>
            </w:tblGrid>
            <w:tr w14:paraId="7F6F85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5" w:type="pct"/>
                  <w:vMerge w:val="restart"/>
                  <w:tcBorders>
                    <w:top w:val="single" w:color="auto" w:sz="12" w:space="0"/>
                  </w:tcBorders>
                  <w:shd w:val="clear" w:color="auto" w:fill="auto"/>
                  <w:vAlign w:val="center"/>
                </w:tcPr>
                <w:p w14:paraId="5BAE7EF0">
                  <w:pPr>
                    <w:pStyle w:val="63"/>
                  </w:pPr>
                  <w:r>
                    <w:rPr>
                      <w:rFonts w:hint="eastAsia"/>
                    </w:rPr>
                    <w:t>工段名称</w:t>
                  </w:r>
                </w:p>
              </w:tc>
              <w:tc>
                <w:tcPr>
                  <w:tcW w:w="643" w:type="pct"/>
                  <w:vMerge w:val="restart"/>
                  <w:tcBorders>
                    <w:top w:val="single" w:color="auto" w:sz="12" w:space="0"/>
                  </w:tcBorders>
                  <w:shd w:val="clear" w:color="auto" w:fill="auto"/>
                  <w:vAlign w:val="center"/>
                </w:tcPr>
                <w:p w14:paraId="5048A15E">
                  <w:pPr>
                    <w:pStyle w:val="63"/>
                  </w:pPr>
                  <w:r>
                    <w:rPr>
                      <w:rFonts w:hint="eastAsia"/>
                    </w:rPr>
                    <w:t>废气量</w:t>
                  </w:r>
                </w:p>
                <w:p w14:paraId="0D63675F">
                  <w:pPr>
                    <w:pStyle w:val="63"/>
                  </w:pPr>
                  <w:r>
                    <w:rPr>
                      <w:rFonts w:hint="eastAsia"/>
                    </w:rPr>
                    <w:t>（</w:t>
                  </w:r>
                  <w:r>
                    <w:t>m</w:t>
                  </w:r>
                  <w:r>
                    <w:rPr>
                      <w:vertAlign w:val="superscript"/>
                    </w:rPr>
                    <w:t>3</w:t>
                  </w:r>
                  <w:r>
                    <w:t>/h</w:t>
                  </w:r>
                  <w:r>
                    <w:rPr>
                      <w:rFonts w:hint="eastAsia"/>
                    </w:rPr>
                    <w:t>）</w:t>
                  </w:r>
                </w:p>
              </w:tc>
              <w:tc>
                <w:tcPr>
                  <w:tcW w:w="1901" w:type="pct"/>
                  <w:gridSpan w:val="3"/>
                  <w:tcBorders>
                    <w:top w:val="single" w:color="auto" w:sz="12" w:space="0"/>
                  </w:tcBorders>
                  <w:shd w:val="clear" w:color="auto" w:fill="auto"/>
                  <w:vAlign w:val="center"/>
                </w:tcPr>
                <w:p w14:paraId="39816148">
                  <w:pPr>
                    <w:pStyle w:val="63"/>
                  </w:pPr>
                  <w:r>
                    <w:rPr>
                      <w:rFonts w:hint="eastAsia"/>
                    </w:rPr>
                    <w:t>产生情况</w:t>
                  </w:r>
                </w:p>
              </w:tc>
              <w:tc>
                <w:tcPr>
                  <w:tcW w:w="1901" w:type="pct"/>
                  <w:gridSpan w:val="3"/>
                  <w:tcBorders>
                    <w:top w:val="single" w:color="auto" w:sz="12" w:space="0"/>
                  </w:tcBorders>
                  <w:shd w:val="clear" w:color="auto" w:fill="auto"/>
                  <w:vAlign w:val="center"/>
                </w:tcPr>
                <w:p w14:paraId="337DE2B8">
                  <w:pPr>
                    <w:pStyle w:val="63"/>
                  </w:pPr>
                  <w:r>
                    <w:rPr>
                      <w:rFonts w:hint="eastAsia"/>
                    </w:rPr>
                    <w:t>排放情况</w:t>
                  </w:r>
                </w:p>
              </w:tc>
            </w:tr>
            <w:tr w14:paraId="66320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5" w:type="pct"/>
                  <w:vMerge w:val="continue"/>
                  <w:vAlign w:val="center"/>
                </w:tcPr>
                <w:p w14:paraId="745AFB92">
                  <w:pPr>
                    <w:pStyle w:val="63"/>
                  </w:pPr>
                </w:p>
              </w:tc>
              <w:tc>
                <w:tcPr>
                  <w:tcW w:w="643" w:type="pct"/>
                  <w:vMerge w:val="continue"/>
                  <w:shd w:val="clear" w:color="auto" w:fill="auto"/>
                  <w:vAlign w:val="center"/>
                </w:tcPr>
                <w:p w14:paraId="61720D3E">
                  <w:pPr>
                    <w:pStyle w:val="63"/>
                  </w:pPr>
                </w:p>
              </w:tc>
              <w:tc>
                <w:tcPr>
                  <w:tcW w:w="745" w:type="pct"/>
                  <w:shd w:val="clear" w:color="auto" w:fill="auto"/>
                  <w:vAlign w:val="center"/>
                </w:tcPr>
                <w:p w14:paraId="6F72F171">
                  <w:pPr>
                    <w:pStyle w:val="63"/>
                  </w:pPr>
                  <w:r>
                    <w:rPr>
                      <w:rFonts w:hint="eastAsia"/>
                    </w:rPr>
                    <w:t>产生浓度（</w:t>
                  </w:r>
                  <w:r>
                    <w:t>mg/m</w:t>
                  </w:r>
                  <w:r>
                    <w:rPr>
                      <w:vertAlign w:val="superscript"/>
                    </w:rPr>
                    <w:t>3</w:t>
                  </w:r>
                  <w:r>
                    <w:rPr>
                      <w:rFonts w:hint="eastAsia"/>
                    </w:rPr>
                    <w:t>）</w:t>
                  </w:r>
                </w:p>
              </w:tc>
              <w:tc>
                <w:tcPr>
                  <w:tcW w:w="629" w:type="pct"/>
                  <w:shd w:val="clear" w:color="auto" w:fill="auto"/>
                  <w:vAlign w:val="center"/>
                </w:tcPr>
                <w:p w14:paraId="27A567CD">
                  <w:pPr>
                    <w:pStyle w:val="63"/>
                  </w:pPr>
                  <w:r>
                    <w:rPr>
                      <w:rFonts w:hint="eastAsia"/>
                    </w:rPr>
                    <w:t>产生速率（</w:t>
                  </w:r>
                  <w:r>
                    <w:t>kg/h</w:t>
                  </w:r>
                  <w:r>
                    <w:rPr>
                      <w:rFonts w:hint="eastAsia"/>
                    </w:rPr>
                    <w:t>）</w:t>
                  </w:r>
                </w:p>
              </w:tc>
              <w:tc>
                <w:tcPr>
                  <w:tcW w:w="527" w:type="pct"/>
                  <w:shd w:val="clear" w:color="auto" w:fill="auto"/>
                  <w:vAlign w:val="center"/>
                </w:tcPr>
                <w:p w14:paraId="0F8BDEBF">
                  <w:pPr>
                    <w:pStyle w:val="63"/>
                  </w:pPr>
                  <w:r>
                    <w:rPr>
                      <w:rFonts w:hint="eastAsia"/>
                    </w:rPr>
                    <w:t>产生量（</w:t>
                  </w:r>
                  <w:r>
                    <w:t>t/a</w:t>
                  </w:r>
                  <w:r>
                    <w:rPr>
                      <w:rFonts w:hint="eastAsia"/>
                    </w:rPr>
                    <w:t>）</w:t>
                  </w:r>
                </w:p>
              </w:tc>
              <w:tc>
                <w:tcPr>
                  <w:tcW w:w="745" w:type="pct"/>
                  <w:shd w:val="clear" w:color="auto" w:fill="auto"/>
                  <w:vAlign w:val="center"/>
                </w:tcPr>
                <w:p w14:paraId="03ECEC81">
                  <w:pPr>
                    <w:pStyle w:val="63"/>
                  </w:pPr>
                  <w:r>
                    <w:rPr>
                      <w:rFonts w:hint="eastAsia"/>
                    </w:rPr>
                    <w:t>排放浓度（</w:t>
                  </w:r>
                  <w:r>
                    <w:t>mg/m</w:t>
                  </w:r>
                  <w:r>
                    <w:rPr>
                      <w:vertAlign w:val="superscript"/>
                    </w:rPr>
                    <w:t>3</w:t>
                  </w:r>
                  <w:r>
                    <w:rPr>
                      <w:rFonts w:hint="eastAsia"/>
                    </w:rPr>
                    <w:t>）</w:t>
                  </w:r>
                </w:p>
              </w:tc>
              <w:tc>
                <w:tcPr>
                  <w:tcW w:w="629" w:type="pct"/>
                  <w:shd w:val="clear" w:color="auto" w:fill="auto"/>
                  <w:vAlign w:val="center"/>
                </w:tcPr>
                <w:p w14:paraId="3339BD4C">
                  <w:pPr>
                    <w:pStyle w:val="63"/>
                  </w:pPr>
                  <w:r>
                    <w:rPr>
                      <w:rFonts w:hint="eastAsia"/>
                    </w:rPr>
                    <w:t>排放速率（</w:t>
                  </w:r>
                  <w:r>
                    <w:t>kg/h</w:t>
                  </w:r>
                  <w:r>
                    <w:rPr>
                      <w:rFonts w:hint="eastAsia"/>
                    </w:rPr>
                    <w:t>）</w:t>
                  </w:r>
                </w:p>
              </w:tc>
              <w:tc>
                <w:tcPr>
                  <w:tcW w:w="527" w:type="pct"/>
                  <w:shd w:val="clear" w:color="auto" w:fill="auto"/>
                  <w:vAlign w:val="center"/>
                </w:tcPr>
                <w:p w14:paraId="491FDB6F">
                  <w:pPr>
                    <w:pStyle w:val="63"/>
                  </w:pPr>
                  <w:r>
                    <w:rPr>
                      <w:rFonts w:hint="eastAsia"/>
                    </w:rPr>
                    <w:t>排放量（</w:t>
                  </w:r>
                  <w:r>
                    <w:t>t/a</w:t>
                  </w:r>
                  <w:r>
                    <w:rPr>
                      <w:rFonts w:hint="eastAsia"/>
                    </w:rPr>
                    <w:t>）</w:t>
                  </w:r>
                </w:p>
              </w:tc>
            </w:tr>
            <w:tr w14:paraId="178A46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5" w:type="pct"/>
                  <w:tcBorders>
                    <w:bottom w:val="single" w:color="auto" w:sz="12" w:space="0"/>
                  </w:tcBorders>
                  <w:shd w:val="clear" w:color="auto" w:fill="auto"/>
                  <w:vAlign w:val="center"/>
                </w:tcPr>
                <w:p w14:paraId="2961963E">
                  <w:pPr>
                    <w:pStyle w:val="63"/>
                  </w:pPr>
                  <w:r>
                    <w:rPr>
                      <w:rFonts w:hint="eastAsia"/>
                    </w:rPr>
                    <w:t>物料混合搅拌</w:t>
                  </w:r>
                </w:p>
              </w:tc>
              <w:tc>
                <w:tcPr>
                  <w:tcW w:w="643" w:type="pct"/>
                  <w:tcBorders>
                    <w:top w:val="nil"/>
                    <w:left w:val="nil"/>
                    <w:bottom w:val="single" w:color="auto" w:sz="12" w:space="0"/>
                    <w:right w:val="single" w:color="auto" w:sz="8" w:space="0"/>
                  </w:tcBorders>
                  <w:shd w:val="clear" w:color="auto" w:fill="auto"/>
                  <w:vAlign w:val="center"/>
                </w:tcPr>
                <w:p w14:paraId="1FCD860B">
                  <w:pPr>
                    <w:widowControl/>
                    <w:jc w:val="center"/>
                    <w:rPr>
                      <w:kern w:val="0"/>
                      <w:sz w:val="21"/>
                      <w:szCs w:val="21"/>
                    </w:rPr>
                  </w:pPr>
                  <w:r>
                    <w:rPr>
                      <w:sz w:val="21"/>
                      <w:szCs w:val="21"/>
                    </w:rPr>
                    <w:t>10000</w:t>
                  </w:r>
                </w:p>
              </w:tc>
              <w:tc>
                <w:tcPr>
                  <w:tcW w:w="745" w:type="pct"/>
                  <w:tcBorders>
                    <w:top w:val="nil"/>
                    <w:left w:val="nil"/>
                    <w:bottom w:val="single" w:color="auto" w:sz="12" w:space="0"/>
                    <w:right w:val="single" w:color="auto" w:sz="8" w:space="0"/>
                  </w:tcBorders>
                  <w:shd w:val="clear" w:color="auto" w:fill="auto"/>
                  <w:vAlign w:val="center"/>
                </w:tcPr>
                <w:p w14:paraId="2A9C0C58">
                  <w:pPr>
                    <w:jc w:val="center"/>
                    <w:rPr>
                      <w:sz w:val="21"/>
                      <w:szCs w:val="21"/>
                    </w:rPr>
                  </w:pPr>
                  <w:r>
                    <w:rPr>
                      <w:sz w:val="21"/>
                      <w:szCs w:val="21"/>
                    </w:rPr>
                    <w:t>831.85</w:t>
                  </w:r>
                </w:p>
              </w:tc>
              <w:tc>
                <w:tcPr>
                  <w:tcW w:w="629" w:type="pct"/>
                  <w:tcBorders>
                    <w:top w:val="nil"/>
                    <w:left w:val="nil"/>
                    <w:bottom w:val="single" w:color="auto" w:sz="12" w:space="0"/>
                    <w:right w:val="single" w:color="auto" w:sz="8" w:space="0"/>
                  </w:tcBorders>
                  <w:shd w:val="clear" w:color="auto" w:fill="auto"/>
                  <w:vAlign w:val="center"/>
                </w:tcPr>
                <w:p w14:paraId="3F925639">
                  <w:pPr>
                    <w:jc w:val="center"/>
                    <w:rPr>
                      <w:sz w:val="21"/>
                      <w:szCs w:val="21"/>
                    </w:rPr>
                  </w:pPr>
                  <w:r>
                    <w:rPr>
                      <w:sz w:val="21"/>
                      <w:szCs w:val="21"/>
                    </w:rPr>
                    <w:t>8.32</w:t>
                  </w:r>
                </w:p>
              </w:tc>
              <w:tc>
                <w:tcPr>
                  <w:tcW w:w="527" w:type="pct"/>
                  <w:tcBorders>
                    <w:top w:val="nil"/>
                    <w:left w:val="nil"/>
                    <w:bottom w:val="single" w:color="auto" w:sz="12" w:space="0"/>
                    <w:right w:val="single" w:color="auto" w:sz="8" w:space="0"/>
                  </w:tcBorders>
                  <w:shd w:val="clear" w:color="auto" w:fill="auto"/>
                  <w:vAlign w:val="center"/>
                </w:tcPr>
                <w:p w14:paraId="6C02A2C5">
                  <w:pPr>
                    <w:jc w:val="center"/>
                    <w:rPr>
                      <w:sz w:val="21"/>
                      <w:szCs w:val="21"/>
                    </w:rPr>
                  </w:pPr>
                  <w:r>
                    <w:rPr>
                      <w:sz w:val="21"/>
                      <w:szCs w:val="21"/>
                    </w:rPr>
                    <w:t>22.46</w:t>
                  </w:r>
                </w:p>
              </w:tc>
              <w:tc>
                <w:tcPr>
                  <w:tcW w:w="745" w:type="pct"/>
                  <w:tcBorders>
                    <w:top w:val="single" w:color="auto" w:sz="8" w:space="0"/>
                    <w:left w:val="nil"/>
                    <w:bottom w:val="single" w:color="auto" w:sz="12" w:space="0"/>
                    <w:right w:val="single" w:color="auto" w:sz="8" w:space="0"/>
                  </w:tcBorders>
                  <w:shd w:val="clear" w:color="auto" w:fill="auto"/>
                  <w:vAlign w:val="center"/>
                </w:tcPr>
                <w:p w14:paraId="3C2B4625">
                  <w:pPr>
                    <w:jc w:val="center"/>
                    <w:rPr>
                      <w:sz w:val="21"/>
                      <w:szCs w:val="21"/>
                    </w:rPr>
                  </w:pPr>
                  <w:r>
                    <w:rPr>
                      <w:sz w:val="21"/>
                      <w:szCs w:val="21"/>
                    </w:rPr>
                    <w:t>2.48</w:t>
                  </w:r>
                </w:p>
              </w:tc>
              <w:tc>
                <w:tcPr>
                  <w:tcW w:w="629" w:type="pct"/>
                  <w:tcBorders>
                    <w:top w:val="single" w:color="auto" w:sz="8" w:space="0"/>
                    <w:left w:val="nil"/>
                    <w:bottom w:val="single" w:color="auto" w:sz="12" w:space="0"/>
                    <w:right w:val="single" w:color="auto" w:sz="8" w:space="0"/>
                  </w:tcBorders>
                  <w:shd w:val="clear" w:color="auto" w:fill="auto"/>
                  <w:vAlign w:val="center"/>
                </w:tcPr>
                <w:p w14:paraId="632EC68A">
                  <w:pPr>
                    <w:jc w:val="center"/>
                    <w:rPr>
                      <w:sz w:val="21"/>
                      <w:szCs w:val="21"/>
                    </w:rPr>
                  </w:pPr>
                  <w:r>
                    <w:rPr>
                      <w:sz w:val="21"/>
                      <w:szCs w:val="21"/>
                    </w:rPr>
                    <w:t>0.025</w:t>
                  </w:r>
                </w:p>
              </w:tc>
              <w:tc>
                <w:tcPr>
                  <w:tcW w:w="527" w:type="pct"/>
                  <w:tcBorders>
                    <w:top w:val="single" w:color="auto" w:sz="8" w:space="0"/>
                    <w:left w:val="nil"/>
                    <w:bottom w:val="single" w:color="auto" w:sz="12" w:space="0"/>
                    <w:right w:val="nil"/>
                  </w:tcBorders>
                  <w:shd w:val="clear" w:color="auto" w:fill="auto"/>
                  <w:vAlign w:val="center"/>
                </w:tcPr>
                <w:p w14:paraId="148398D1">
                  <w:pPr>
                    <w:jc w:val="center"/>
                    <w:rPr>
                      <w:sz w:val="21"/>
                      <w:szCs w:val="21"/>
                    </w:rPr>
                  </w:pPr>
                  <w:r>
                    <w:rPr>
                      <w:sz w:val="21"/>
                      <w:szCs w:val="21"/>
                    </w:rPr>
                    <w:t>0.067</w:t>
                  </w:r>
                </w:p>
              </w:tc>
            </w:tr>
          </w:tbl>
          <w:p w14:paraId="2ED2598A">
            <w:pPr>
              <w:spacing w:line="460" w:lineRule="exact"/>
              <w:ind w:firstLine="440" w:firstLineChars="200"/>
            </w:pPr>
            <w:r>
              <w:rPr>
                <w:rFonts w:hint="eastAsia"/>
                <w:bCs/>
                <w:spacing w:val="-10"/>
              </w:rPr>
              <w:t>本项目每台搅拌机上方均设置集气罩，收集效率按照90%计，则收集粉尘量共</w:t>
            </w:r>
            <w:r>
              <w:rPr>
                <w:bCs/>
                <w:spacing w:val="-10"/>
              </w:rPr>
              <w:t>22.46</w:t>
            </w:r>
            <w:r>
              <w:rPr>
                <w:rFonts w:hint="eastAsia"/>
                <w:bCs/>
                <w:spacing w:val="-10"/>
              </w:rPr>
              <w:t>t/a，未收集粉尘量为</w:t>
            </w:r>
            <w:r>
              <w:rPr>
                <w:bCs/>
                <w:spacing w:val="-10"/>
              </w:rPr>
              <w:t>2.5</w:t>
            </w:r>
            <w:r>
              <w:rPr>
                <w:rFonts w:hint="eastAsia"/>
                <w:bCs/>
                <w:spacing w:val="-10"/>
              </w:rPr>
              <w:t>t/a，收集后的粉尘经袋式除尘器处理后（处理效率 99.7%）经一根15m高排气筒排放，</w:t>
            </w:r>
            <w:r>
              <w:t>排放量为0.067t/a，排放速率0.025kg/h，排放浓度2.48mg/m</w:t>
            </w:r>
            <w:r>
              <w:rPr>
                <w:vertAlign w:val="superscript"/>
              </w:rPr>
              <w:t>3</w:t>
            </w:r>
            <w:r>
              <w:rPr>
                <w:rFonts w:hint="eastAsia"/>
              </w:rPr>
              <w:t>，</w:t>
            </w:r>
            <w:r>
              <w:rPr>
                <w:rFonts w:hint="eastAsia"/>
                <w:bCs/>
                <w:spacing w:val="-10"/>
              </w:rPr>
              <w:t>满足</w:t>
            </w:r>
            <w:r>
              <w:t>《水泥工业大气污染物排放标准》（GB4915-2013</w:t>
            </w:r>
            <w:r>
              <w:rPr>
                <w:rFonts w:hint="eastAsia"/>
              </w:rPr>
              <w:t>）大气污染物</w:t>
            </w:r>
            <w:r>
              <w:t>排放限值</w:t>
            </w:r>
            <w:r>
              <w:rPr>
                <w:rFonts w:hint="eastAsia"/>
              </w:rPr>
              <w:t>2</w:t>
            </w:r>
            <w:r>
              <w:t>0mg/m</w:t>
            </w:r>
            <w:r>
              <w:rPr>
                <w:vertAlign w:val="superscript"/>
              </w:rPr>
              <w:t>3</w:t>
            </w:r>
            <w:r>
              <w:rPr>
                <w:rFonts w:hint="eastAsia"/>
              </w:rPr>
              <w:t>要求</w:t>
            </w:r>
            <w:r>
              <w:rPr>
                <w:bCs/>
                <w:spacing w:val="-10"/>
              </w:rPr>
              <w:t>。</w:t>
            </w:r>
          </w:p>
          <w:p w14:paraId="56C1BFC0">
            <w:pPr>
              <w:spacing w:line="460" w:lineRule="exact"/>
              <w:ind w:firstLine="480" w:firstLineChars="200"/>
            </w:pPr>
            <w:r>
              <w:t>（5）</w:t>
            </w:r>
            <w:r>
              <w:rPr>
                <w:rFonts w:hint="eastAsia"/>
              </w:rPr>
              <w:t>骨料烘干废气</w:t>
            </w:r>
          </w:p>
          <w:p w14:paraId="5270FBE0">
            <w:pPr>
              <w:spacing w:line="460" w:lineRule="exact"/>
              <w:ind w:firstLine="480" w:firstLineChars="2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烘干、筛分粉尘</w:t>
            </w:r>
          </w:p>
          <w:p w14:paraId="61E60090">
            <w:pPr>
              <w:spacing w:line="460" w:lineRule="exact"/>
              <w:ind w:firstLine="480" w:firstLineChars="200"/>
            </w:pPr>
            <w:r>
              <w:t>沥青混凝土产品骨料在上沥青前要经过加热处理，骨料在烘干筒内翻滚加热，烘干后通过骨料提升机送到筛分系统经过振动筛分，骨料在烘干筒内翻滚以及筛分过程中会产生粉尘。粉尘类比《逸散性工业粉尘控制技术》（中国环境科学出版社）干燥筒粉尘产生量为0.25kg/t原料。本项目</w:t>
            </w:r>
            <w:r>
              <w:rPr>
                <w:rFonts w:hint="eastAsia"/>
              </w:rPr>
              <w:t>沥青混凝土生产线</w:t>
            </w:r>
            <w:r>
              <w:t>碎石用量669792t/a，</w:t>
            </w:r>
            <w:r>
              <w:rPr>
                <w:rFonts w:hint="eastAsia"/>
              </w:rPr>
              <w:t>风机风量为1</w:t>
            </w:r>
            <w:r>
              <w:t>0000m</w:t>
            </w:r>
            <w:r>
              <w:rPr>
                <w:vertAlign w:val="superscript"/>
              </w:rPr>
              <w:t>3</w:t>
            </w:r>
            <w:r>
              <w:rPr>
                <w:rFonts w:hint="eastAsia"/>
              </w:rPr>
              <w:t>/h，</w:t>
            </w:r>
            <w:r>
              <w:t>则烘干及振动筛分粉尘产生量为167.45t/a</w:t>
            </w:r>
            <w:r>
              <w:rPr>
                <w:rFonts w:hint="eastAsia"/>
              </w:rPr>
              <w:t>。</w:t>
            </w:r>
          </w:p>
          <w:p w14:paraId="03C7C9E1">
            <w:pPr>
              <w:spacing w:line="460" w:lineRule="exact"/>
              <w:ind w:firstLine="440" w:firstLineChars="200"/>
            </w:pPr>
            <w:r>
              <w:rPr>
                <w:bCs/>
                <w:spacing w:val="-10"/>
              </w:rPr>
              <w:fldChar w:fldCharType="begin"/>
            </w:r>
            <w:r>
              <w:rPr>
                <w:bCs/>
                <w:spacing w:val="-10"/>
              </w:rPr>
              <w:instrText xml:space="preserve"> </w:instrText>
            </w:r>
            <w:r>
              <w:rPr>
                <w:rFonts w:hint="eastAsia"/>
                <w:bCs/>
                <w:spacing w:val="-10"/>
              </w:rPr>
              <w:instrText xml:space="preserve">= 2 \* GB3</w:instrText>
            </w:r>
            <w:r>
              <w:rPr>
                <w:bCs/>
                <w:spacing w:val="-10"/>
              </w:rPr>
              <w:instrText xml:space="preserve"> </w:instrText>
            </w:r>
            <w:r>
              <w:rPr>
                <w:bCs/>
                <w:spacing w:val="-10"/>
              </w:rPr>
              <w:fldChar w:fldCharType="separate"/>
            </w:r>
            <w:r>
              <w:rPr>
                <w:rFonts w:hint="eastAsia"/>
                <w:bCs/>
                <w:spacing w:val="-10"/>
              </w:rPr>
              <w:t>②</w:t>
            </w:r>
            <w:r>
              <w:rPr>
                <w:bCs/>
                <w:spacing w:val="-10"/>
              </w:rPr>
              <w:fldChar w:fldCharType="end"/>
            </w:r>
            <w:r>
              <w:rPr>
                <w:rFonts w:hint="eastAsia"/>
              </w:rPr>
              <w:t>骨料烘干加热系统醇醚燃料燃烧废气</w:t>
            </w:r>
          </w:p>
          <w:p w14:paraId="2298759C">
            <w:pPr>
              <w:adjustRightInd w:val="0"/>
              <w:snapToGrid w:val="0"/>
              <w:spacing w:line="460" w:lineRule="exact"/>
              <w:ind w:firstLine="480" w:firstLineChars="200"/>
              <w:rPr>
                <w:bCs/>
                <w:spacing w:val="-10"/>
              </w:rPr>
            </w:pPr>
            <w:r>
              <w:rPr>
                <w:rFonts w:hint="eastAsia"/>
              </w:rPr>
              <w:t>骨料烘干加热系统燃料为醇醚燃料，</w:t>
            </w:r>
            <w:r>
              <w:rPr>
                <w:bCs/>
                <w:spacing w:val="-10"/>
              </w:rPr>
              <w:t>参照</w:t>
            </w:r>
            <w:bookmarkStart w:id="19" w:name="OLE_LINK20"/>
            <w:bookmarkStart w:id="20" w:name="OLE_LINK17"/>
            <w:r>
              <w:rPr>
                <w:bCs/>
                <w:spacing w:val="-10"/>
              </w:rPr>
              <w:t>《排放源统计调查产排污核算方法和系数手册》（</w:t>
            </w:r>
            <w:r>
              <w:rPr>
                <w:rFonts w:hint="eastAsia"/>
                <w:bCs/>
                <w:spacing w:val="-10"/>
              </w:rPr>
              <w:t>4</w:t>
            </w:r>
            <w:r>
              <w:rPr>
                <w:bCs/>
                <w:spacing w:val="-10"/>
              </w:rPr>
              <w:t>430</w:t>
            </w:r>
            <w:r>
              <w:t>锅炉产排污量核算系数手册</w:t>
            </w:r>
            <w:r>
              <w:rPr>
                <w:bCs/>
                <w:spacing w:val="-10"/>
              </w:rPr>
              <w:t>）醇基燃料</w:t>
            </w:r>
            <w:r>
              <w:rPr>
                <w:rFonts w:hint="eastAsia"/>
                <w:bCs/>
                <w:spacing w:val="-10"/>
              </w:rPr>
              <w:t>产污</w:t>
            </w:r>
            <w:r>
              <w:rPr>
                <w:bCs/>
                <w:spacing w:val="-10"/>
              </w:rPr>
              <w:t>系数</w:t>
            </w:r>
            <w:bookmarkEnd w:id="19"/>
            <w:bookmarkEnd w:id="20"/>
            <w:r>
              <w:rPr>
                <w:bCs/>
                <w:spacing w:val="-10"/>
              </w:rPr>
              <w:t>见下表</w:t>
            </w:r>
            <w:r>
              <w:rPr>
                <w:rFonts w:hint="eastAsia"/>
                <w:bCs/>
                <w:spacing w:val="-10"/>
              </w:rPr>
              <w:t>4</w:t>
            </w:r>
            <w:r>
              <w:rPr>
                <w:bCs/>
                <w:spacing w:val="-10"/>
              </w:rPr>
              <w:t>-6</w:t>
            </w:r>
            <w:r>
              <w:rPr>
                <w:rFonts w:hint="eastAsia"/>
                <w:bCs/>
                <w:spacing w:val="-10"/>
              </w:rPr>
              <w:t>。</w:t>
            </w:r>
          </w:p>
          <w:p w14:paraId="4DE4B657">
            <w:pPr>
              <w:spacing w:line="240" w:lineRule="atLeast"/>
              <w:ind w:firstLine="420" w:firstLineChars="200"/>
              <w:jc w:val="left"/>
              <w:rPr>
                <w:rFonts w:eastAsia="黑体"/>
                <w:snapToGrid w:val="0"/>
                <w:sz w:val="21"/>
              </w:rPr>
            </w:pPr>
            <w:r>
              <w:rPr>
                <w:rFonts w:hint="eastAsia" w:eastAsia="黑体"/>
                <w:snapToGrid w:val="0"/>
                <w:sz w:val="21"/>
              </w:rPr>
              <w:t>表4</w:t>
            </w:r>
            <w:r>
              <w:rPr>
                <w:rFonts w:eastAsia="黑体"/>
                <w:snapToGrid w:val="0"/>
                <w:sz w:val="21"/>
              </w:rPr>
              <w:t>-6                   醇基燃料</w:t>
            </w:r>
            <w:r>
              <w:rPr>
                <w:rFonts w:hint="eastAsia" w:eastAsia="黑体"/>
                <w:snapToGrid w:val="0"/>
                <w:sz w:val="21"/>
              </w:rPr>
              <w:t>产污</w:t>
            </w:r>
            <w:r>
              <w:rPr>
                <w:rFonts w:eastAsia="黑体"/>
                <w:snapToGrid w:val="0"/>
                <w:sz w:val="21"/>
              </w:rPr>
              <w:t>系数</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255"/>
              <w:gridCol w:w="2368"/>
              <w:gridCol w:w="2725"/>
            </w:tblGrid>
            <w:tr w14:paraId="53E2B3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pct"/>
                  <w:shd w:val="clear" w:color="auto" w:fill="auto"/>
                  <w:vAlign w:val="center"/>
                </w:tcPr>
                <w:p w14:paraId="5A340B2F">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产品名称</w:t>
                  </w:r>
                </w:p>
              </w:tc>
              <w:tc>
                <w:tcPr>
                  <w:tcW w:w="786" w:type="pct"/>
                  <w:shd w:val="clear" w:color="auto" w:fill="auto"/>
                  <w:vAlign w:val="center"/>
                </w:tcPr>
                <w:p w14:paraId="199DF347">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原料</w:t>
                  </w:r>
                </w:p>
                <w:p w14:paraId="5B8A9F2B">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名称</w:t>
                  </w:r>
                </w:p>
              </w:tc>
              <w:tc>
                <w:tcPr>
                  <w:tcW w:w="1483" w:type="pct"/>
                  <w:shd w:val="clear" w:color="auto" w:fill="auto"/>
                  <w:vAlign w:val="center"/>
                </w:tcPr>
                <w:p w14:paraId="70090D2F">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颗粒物</w:t>
                  </w:r>
                </w:p>
                <w:p w14:paraId="264BB8BD">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（千克/吨-原料）</w:t>
                  </w:r>
                </w:p>
              </w:tc>
              <w:tc>
                <w:tcPr>
                  <w:tcW w:w="1706" w:type="pct"/>
                  <w:vAlign w:val="center"/>
                </w:tcPr>
                <w:p w14:paraId="41FAFD75">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氮氧化物</w:t>
                  </w:r>
                </w:p>
                <w:p w14:paraId="54DA4054">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（千克/吨-原料）</w:t>
                  </w:r>
                </w:p>
              </w:tc>
            </w:tr>
            <w:tr w14:paraId="571837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pct"/>
                  <w:shd w:val="clear" w:color="auto" w:fill="auto"/>
                  <w:vAlign w:val="center"/>
                </w:tcPr>
                <w:p w14:paraId="3B12DF0A">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蒸</w:t>
                  </w:r>
                  <w:r>
                    <w:rPr>
                      <w:rFonts w:hint="eastAsia"/>
                      <w:sz w:val="21"/>
                      <w:szCs w:val="21"/>
                    </w:rPr>
                    <w:t>汽/</w:t>
                  </w:r>
                  <w:r>
                    <w:rPr>
                      <w:sz w:val="21"/>
                      <w:szCs w:val="21"/>
                    </w:rPr>
                    <w:t>热水</w:t>
                  </w:r>
                  <w:r>
                    <w:rPr>
                      <w:rFonts w:hint="eastAsia"/>
                      <w:sz w:val="21"/>
                      <w:szCs w:val="21"/>
                    </w:rPr>
                    <w:t>/其他</w:t>
                  </w:r>
                </w:p>
              </w:tc>
              <w:tc>
                <w:tcPr>
                  <w:tcW w:w="786" w:type="pct"/>
                  <w:shd w:val="clear" w:color="auto" w:fill="auto"/>
                  <w:vAlign w:val="center"/>
                </w:tcPr>
                <w:p w14:paraId="5E036683">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醇基</w:t>
                  </w:r>
                </w:p>
                <w:p w14:paraId="43808E4D">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燃料</w:t>
                  </w:r>
                </w:p>
              </w:tc>
              <w:tc>
                <w:tcPr>
                  <w:tcW w:w="1483" w:type="pct"/>
                  <w:shd w:val="clear" w:color="auto" w:fill="auto"/>
                  <w:vAlign w:val="center"/>
                </w:tcPr>
                <w:p w14:paraId="35DFEA3A">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0.26</w:t>
                  </w:r>
                </w:p>
              </w:tc>
              <w:tc>
                <w:tcPr>
                  <w:tcW w:w="1706" w:type="pct"/>
                  <w:vAlign w:val="center"/>
                </w:tcPr>
                <w:p w14:paraId="6A298D22">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0</w:t>
                  </w:r>
                  <w:r>
                    <w:rPr>
                      <w:sz w:val="21"/>
                      <w:szCs w:val="21"/>
                    </w:rPr>
                    <w:t>.59</w:t>
                  </w:r>
                </w:p>
              </w:tc>
            </w:tr>
          </w:tbl>
          <w:p w14:paraId="5726727C">
            <w:pPr>
              <w:adjustRightInd w:val="0"/>
              <w:snapToGrid w:val="0"/>
              <w:rPr>
                <w:b/>
                <w:sz w:val="18"/>
                <w:szCs w:val="18"/>
              </w:rPr>
            </w:pPr>
            <w:r>
              <w:rPr>
                <w:b/>
                <w:sz w:val="18"/>
                <w:szCs w:val="18"/>
              </w:rPr>
              <w:t>备注：根据</w:t>
            </w:r>
            <w:r>
              <w:rPr>
                <w:rFonts w:hint="eastAsia"/>
                <w:b/>
                <w:sz w:val="18"/>
                <w:szCs w:val="18"/>
              </w:rPr>
              <w:t>附件</w:t>
            </w:r>
            <w:r>
              <w:rPr>
                <w:b/>
                <w:sz w:val="18"/>
                <w:szCs w:val="18"/>
              </w:rPr>
              <w:t>7成分分析报告，醇醚燃料中不含硫。</w:t>
            </w:r>
          </w:p>
          <w:p w14:paraId="7902F4C2">
            <w:pPr>
              <w:adjustRightInd w:val="0"/>
              <w:snapToGrid w:val="0"/>
              <w:spacing w:line="460" w:lineRule="exact"/>
              <w:ind w:firstLine="480" w:firstLineChars="200"/>
              <w:rPr>
                <w:bCs/>
                <w:spacing w:val="-10"/>
              </w:rPr>
            </w:pPr>
            <w:r>
              <w:rPr>
                <w:rFonts w:hint="eastAsia"/>
              </w:rPr>
              <w:t>醇醚</w:t>
            </w:r>
            <w:r>
              <w:rPr>
                <w:rFonts w:hint="eastAsia"/>
                <w:bCs/>
                <w:spacing w:val="-10"/>
              </w:rPr>
              <w:t>燃料年使用量为</w:t>
            </w:r>
            <w:r>
              <w:rPr>
                <w:bCs/>
                <w:spacing w:val="-10"/>
              </w:rPr>
              <w:t>6864t</w:t>
            </w:r>
            <w:r>
              <w:rPr>
                <w:rFonts w:hint="eastAsia"/>
                <w:bCs/>
                <w:spacing w:val="-10"/>
              </w:rPr>
              <w:t>，年使用时间为2</w:t>
            </w:r>
            <w:r>
              <w:rPr>
                <w:bCs/>
                <w:spacing w:val="-10"/>
              </w:rPr>
              <w:t>700h，</w:t>
            </w:r>
            <w:r>
              <w:rPr>
                <w:rFonts w:hint="eastAsia"/>
                <w:bCs/>
                <w:spacing w:val="-10"/>
              </w:rPr>
              <w:t>风量为</w:t>
            </w:r>
            <w:r>
              <w:rPr>
                <w:bCs/>
                <w:spacing w:val="-10"/>
              </w:rPr>
              <w:t>10000m</w:t>
            </w:r>
            <w:r>
              <w:rPr>
                <w:bCs/>
                <w:spacing w:val="-10"/>
                <w:vertAlign w:val="superscript"/>
              </w:rPr>
              <w:t>3</w:t>
            </w:r>
            <w:r>
              <w:rPr>
                <w:rFonts w:hint="eastAsia"/>
                <w:bCs/>
                <w:spacing w:val="-10"/>
              </w:rPr>
              <w:t>/h，氮氧化物产生量为</w:t>
            </w:r>
            <w:r>
              <w:rPr>
                <w:bCs/>
                <w:spacing w:val="-10"/>
              </w:rPr>
              <w:t>4.05</w:t>
            </w:r>
            <w:r>
              <w:t>t/a</w:t>
            </w:r>
            <w:r>
              <w:rPr>
                <w:rFonts w:hint="eastAsia"/>
              </w:rPr>
              <w:t>，颗粒物产生量为1</w:t>
            </w:r>
            <w:r>
              <w:t>.78t/a</w:t>
            </w:r>
            <w:r>
              <w:rPr>
                <w:rFonts w:hint="eastAsia"/>
                <w:bCs/>
                <w:spacing w:val="-10"/>
              </w:rPr>
              <w:t>。</w:t>
            </w:r>
          </w:p>
          <w:p w14:paraId="3633D14E">
            <w:pPr>
              <w:spacing w:line="460" w:lineRule="exact"/>
              <w:ind w:firstLine="480" w:firstLineChars="200"/>
            </w:pPr>
            <w:r>
              <w:rPr>
                <w:rFonts w:hint="eastAsia"/>
                <w:bCs/>
              </w:rPr>
              <w:t>本</w:t>
            </w:r>
            <w:r>
              <w:rPr>
                <w:bCs/>
              </w:rPr>
              <w:t>项目</w:t>
            </w:r>
            <w:r>
              <w:rPr>
                <w:rFonts w:hint="eastAsia"/>
              </w:rPr>
              <w:t>骨料烘干加热系统</w:t>
            </w:r>
            <w:r>
              <w:rPr>
                <w:rFonts w:hint="eastAsia"/>
                <w:bCs/>
              </w:rPr>
              <w:t>醇醚燃料燃烧废气</w:t>
            </w:r>
            <w:r>
              <w:rPr>
                <w:bCs/>
              </w:rPr>
              <w:t>经</w:t>
            </w:r>
            <w:r>
              <w:rPr>
                <w:rFonts w:hint="eastAsia"/>
                <w:bCs/>
              </w:rPr>
              <w:t>“低氮燃烧装置”</w:t>
            </w:r>
            <w:r>
              <w:rPr>
                <w:bCs/>
              </w:rPr>
              <w:t>处理后（处理效率30%）</w:t>
            </w:r>
            <w:r>
              <w:rPr>
                <w:rFonts w:hint="eastAsia"/>
                <w:bCs/>
              </w:rPr>
              <w:t>颗粒物</w:t>
            </w:r>
            <w:r>
              <w:t>排放量为1.78t/a，</w:t>
            </w:r>
            <w:r>
              <w:rPr>
                <w:rFonts w:hint="eastAsia"/>
              </w:rPr>
              <w:t>氮氧化物</w:t>
            </w:r>
            <w:r>
              <w:t>排放量为2.84t/a</w:t>
            </w:r>
            <w:r>
              <w:rPr>
                <w:rFonts w:hint="eastAsia"/>
              </w:rPr>
              <w:t>。处理后的骨料烘干加热系统醇醚燃料燃烧废气与烘干、筛分粉尘全部一起进入袋式除尘器处理后（袋式除尘器处理效率为9</w:t>
            </w:r>
            <w:r>
              <w:t>9.7%</w:t>
            </w:r>
            <w:r>
              <w:rPr>
                <w:rFonts w:hint="eastAsia"/>
              </w:rPr>
              <w:t>，合并后的风量为2</w:t>
            </w:r>
            <w:r>
              <w:t>0000</w:t>
            </w:r>
            <w:r>
              <w:rPr>
                <w:rFonts w:hint="eastAsia"/>
              </w:rPr>
              <w:t>m</w:t>
            </w:r>
            <w:r>
              <w:rPr>
                <w:vertAlign w:val="superscript"/>
              </w:rPr>
              <w:t>3</w:t>
            </w:r>
            <w:r>
              <w:t>/h</w:t>
            </w:r>
            <w:r>
              <w:rPr>
                <w:rFonts w:hint="eastAsia"/>
              </w:rPr>
              <w:t>）通过1根1</w:t>
            </w:r>
            <w:r>
              <w:t>5</w:t>
            </w:r>
            <w:r>
              <w:rPr>
                <w:rFonts w:hint="eastAsia"/>
              </w:rPr>
              <w:t>m高排气筒排放，产排情况见下表4</w:t>
            </w:r>
            <w:r>
              <w:t>-7。</w:t>
            </w:r>
          </w:p>
          <w:p w14:paraId="47C528D2">
            <w:pPr>
              <w:pStyle w:val="76"/>
              <w:ind w:firstLine="420"/>
              <w:rPr>
                <w:color w:val="auto"/>
              </w:rPr>
            </w:pPr>
            <w:r>
              <w:rPr>
                <w:rFonts w:hint="eastAsia"/>
                <w:color w:val="auto"/>
              </w:rPr>
              <w:t>表4</w:t>
            </w:r>
            <w:r>
              <w:rPr>
                <w:color w:val="auto"/>
              </w:rPr>
              <w:t xml:space="preserve">-7                    </w:t>
            </w:r>
            <w:r>
              <w:rPr>
                <w:rFonts w:hint="eastAsia"/>
                <w:color w:val="auto"/>
              </w:rPr>
              <w:t>产排情况一览表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31"/>
              <w:gridCol w:w="1195"/>
              <w:gridCol w:w="1264"/>
              <w:gridCol w:w="846"/>
              <w:gridCol w:w="1195"/>
              <w:gridCol w:w="1011"/>
              <w:gridCol w:w="847"/>
            </w:tblGrid>
            <w:tr w14:paraId="2D905C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4" w:type="pct"/>
                  <w:vMerge w:val="restart"/>
                  <w:shd w:val="clear" w:color="auto" w:fill="auto"/>
                  <w:vAlign w:val="center"/>
                </w:tcPr>
                <w:p w14:paraId="26BE4D15">
                  <w:pPr>
                    <w:widowControl/>
                    <w:jc w:val="center"/>
                    <w:rPr>
                      <w:rFonts w:ascii="宋体" w:hAnsi="宋体" w:cs="宋体"/>
                      <w:kern w:val="0"/>
                      <w:sz w:val="21"/>
                      <w:szCs w:val="21"/>
                    </w:rPr>
                  </w:pPr>
                  <w:r>
                    <w:rPr>
                      <w:rFonts w:hint="eastAsia" w:ascii="宋体" w:hAnsi="宋体" w:cs="宋体"/>
                      <w:kern w:val="0"/>
                      <w:sz w:val="21"/>
                      <w:szCs w:val="21"/>
                    </w:rPr>
                    <w:t>污染物名称</w:t>
                  </w:r>
                </w:p>
              </w:tc>
              <w:tc>
                <w:tcPr>
                  <w:tcW w:w="646" w:type="pct"/>
                  <w:shd w:val="clear" w:color="auto" w:fill="auto"/>
                  <w:vAlign w:val="center"/>
                </w:tcPr>
                <w:p w14:paraId="6D9FD759">
                  <w:pPr>
                    <w:widowControl/>
                    <w:jc w:val="center"/>
                    <w:rPr>
                      <w:rFonts w:ascii="宋体" w:hAnsi="宋体" w:cs="宋体"/>
                      <w:kern w:val="0"/>
                      <w:sz w:val="21"/>
                      <w:szCs w:val="21"/>
                    </w:rPr>
                  </w:pPr>
                  <w:r>
                    <w:rPr>
                      <w:rFonts w:hint="eastAsia" w:ascii="宋体" w:hAnsi="宋体" w:cs="宋体"/>
                      <w:kern w:val="0"/>
                      <w:sz w:val="21"/>
                      <w:szCs w:val="21"/>
                    </w:rPr>
                    <w:t>废气量</w:t>
                  </w:r>
                </w:p>
              </w:tc>
              <w:tc>
                <w:tcPr>
                  <w:tcW w:w="2070" w:type="pct"/>
                  <w:gridSpan w:val="3"/>
                  <w:shd w:val="clear" w:color="auto" w:fill="auto"/>
                  <w:vAlign w:val="center"/>
                </w:tcPr>
                <w:p w14:paraId="28155E6E">
                  <w:pPr>
                    <w:widowControl/>
                    <w:jc w:val="center"/>
                    <w:rPr>
                      <w:rFonts w:ascii="宋体" w:hAnsi="宋体" w:cs="宋体"/>
                      <w:kern w:val="0"/>
                      <w:sz w:val="21"/>
                      <w:szCs w:val="21"/>
                    </w:rPr>
                  </w:pPr>
                  <w:r>
                    <w:rPr>
                      <w:rFonts w:hint="eastAsia" w:ascii="宋体" w:hAnsi="宋体" w:cs="宋体"/>
                      <w:kern w:val="0"/>
                      <w:sz w:val="21"/>
                      <w:szCs w:val="21"/>
                    </w:rPr>
                    <w:t>产生情况</w:t>
                  </w:r>
                </w:p>
              </w:tc>
              <w:tc>
                <w:tcPr>
                  <w:tcW w:w="1910" w:type="pct"/>
                  <w:gridSpan w:val="3"/>
                  <w:shd w:val="clear" w:color="auto" w:fill="auto"/>
                  <w:vAlign w:val="center"/>
                </w:tcPr>
                <w:p w14:paraId="56D4676B">
                  <w:pPr>
                    <w:widowControl/>
                    <w:jc w:val="center"/>
                    <w:rPr>
                      <w:rFonts w:ascii="宋体" w:hAnsi="宋体" w:cs="宋体"/>
                      <w:kern w:val="0"/>
                      <w:sz w:val="21"/>
                      <w:szCs w:val="21"/>
                    </w:rPr>
                  </w:pPr>
                  <w:r>
                    <w:rPr>
                      <w:rFonts w:hint="eastAsia" w:ascii="宋体" w:hAnsi="宋体" w:cs="宋体"/>
                      <w:kern w:val="0"/>
                      <w:sz w:val="21"/>
                      <w:szCs w:val="21"/>
                    </w:rPr>
                    <w:t>排放情况</w:t>
                  </w:r>
                </w:p>
              </w:tc>
            </w:tr>
            <w:tr w14:paraId="11771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4" w:type="pct"/>
                  <w:vMerge w:val="continue"/>
                  <w:vAlign w:val="center"/>
                </w:tcPr>
                <w:p w14:paraId="16329793">
                  <w:pPr>
                    <w:widowControl/>
                    <w:jc w:val="left"/>
                    <w:rPr>
                      <w:rFonts w:ascii="宋体" w:hAnsi="宋体" w:cs="宋体"/>
                      <w:kern w:val="0"/>
                      <w:sz w:val="21"/>
                      <w:szCs w:val="21"/>
                    </w:rPr>
                  </w:pPr>
                </w:p>
              </w:tc>
              <w:tc>
                <w:tcPr>
                  <w:tcW w:w="646" w:type="pct"/>
                  <w:shd w:val="clear" w:color="auto" w:fill="auto"/>
                  <w:vAlign w:val="center"/>
                </w:tcPr>
                <w:p w14:paraId="2DED9774">
                  <w:pPr>
                    <w:widowControl/>
                    <w:jc w:val="center"/>
                    <w:rPr>
                      <w:rFonts w:ascii="宋体" w:hAnsi="宋体" w:cs="宋体"/>
                      <w:kern w:val="0"/>
                      <w:sz w:val="21"/>
                      <w:szCs w:val="21"/>
                    </w:rPr>
                  </w:pPr>
                  <w:r>
                    <w:rPr>
                      <w:rFonts w:hint="eastAsia" w:ascii="宋体" w:hAnsi="宋体" w:cs="宋体"/>
                      <w:kern w:val="0"/>
                      <w:sz w:val="21"/>
                      <w:szCs w:val="21"/>
                    </w:rPr>
                    <w:t>（</w:t>
                  </w:r>
                  <w:r>
                    <w:rPr>
                      <w:kern w:val="0"/>
                      <w:sz w:val="21"/>
                      <w:szCs w:val="21"/>
                    </w:rPr>
                    <w:t>m</w:t>
                  </w:r>
                  <w:r>
                    <w:rPr>
                      <w:kern w:val="0"/>
                      <w:sz w:val="21"/>
                      <w:szCs w:val="21"/>
                      <w:vertAlign w:val="superscript"/>
                    </w:rPr>
                    <w:t>3</w:t>
                  </w:r>
                  <w:r>
                    <w:rPr>
                      <w:kern w:val="0"/>
                      <w:sz w:val="21"/>
                      <w:szCs w:val="21"/>
                    </w:rPr>
                    <w:t>/h</w:t>
                  </w:r>
                  <w:r>
                    <w:rPr>
                      <w:rFonts w:hint="eastAsia" w:ascii="宋体" w:hAnsi="宋体" w:cs="宋体"/>
                      <w:kern w:val="0"/>
                      <w:sz w:val="21"/>
                      <w:szCs w:val="21"/>
                    </w:rPr>
                    <w:t>）</w:t>
                  </w:r>
                </w:p>
              </w:tc>
              <w:tc>
                <w:tcPr>
                  <w:tcW w:w="749" w:type="pct"/>
                  <w:shd w:val="clear" w:color="auto" w:fill="auto"/>
                  <w:vAlign w:val="center"/>
                </w:tcPr>
                <w:p w14:paraId="0ED807B3">
                  <w:pPr>
                    <w:widowControl/>
                    <w:jc w:val="center"/>
                    <w:rPr>
                      <w:rFonts w:ascii="宋体" w:hAnsi="宋体" w:cs="宋体"/>
                      <w:kern w:val="0"/>
                      <w:sz w:val="21"/>
                      <w:szCs w:val="21"/>
                    </w:rPr>
                  </w:pPr>
                  <w:r>
                    <w:rPr>
                      <w:rFonts w:hint="eastAsia" w:ascii="宋体" w:hAnsi="宋体" w:cs="宋体"/>
                      <w:kern w:val="0"/>
                      <w:sz w:val="21"/>
                      <w:szCs w:val="21"/>
                    </w:rPr>
                    <w:t>产生浓度（</w:t>
                  </w:r>
                  <w:r>
                    <w:rPr>
                      <w:kern w:val="0"/>
                      <w:sz w:val="21"/>
                      <w:szCs w:val="21"/>
                    </w:rPr>
                    <w:t>mg/m</w:t>
                  </w:r>
                  <w:r>
                    <w:rPr>
                      <w:kern w:val="0"/>
                      <w:sz w:val="21"/>
                      <w:szCs w:val="21"/>
                      <w:vertAlign w:val="superscript"/>
                    </w:rPr>
                    <w:t>3</w:t>
                  </w:r>
                  <w:r>
                    <w:rPr>
                      <w:rFonts w:hint="eastAsia" w:ascii="宋体" w:hAnsi="宋体" w:cs="宋体"/>
                      <w:kern w:val="0"/>
                      <w:sz w:val="21"/>
                      <w:szCs w:val="21"/>
                    </w:rPr>
                    <w:t>）</w:t>
                  </w:r>
                </w:p>
              </w:tc>
              <w:tc>
                <w:tcPr>
                  <w:tcW w:w="792" w:type="pct"/>
                  <w:shd w:val="clear" w:color="auto" w:fill="auto"/>
                  <w:vAlign w:val="center"/>
                </w:tcPr>
                <w:p w14:paraId="10AC073E">
                  <w:pPr>
                    <w:widowControl/>
                    <w:jc w:val="center"/>
                    <w:rPr>
                      <w:rFonts w:ascii="宋体" w:hAnsi="宋体" w:cs="宋体"/>
                      <w:kern w:val="0"/>
                      <w:sz w:val="21"/>
                      <w:szCs w:val="21"/>
                    </w:rPr>
                  </w:pPr>
                  <w:r>
                    <w:rPr>
                      <w:rFonts w:hint="eastAsia" w:ascii="宋体" w:hAnsi="宋体" w:cs="宋体"/>
                      <w:kern w:val="0"/>
                      <w:sz w:val="21"/>
                      <w:szCs w:val="21"/>
                    </w:rPr>
                    <w:t>产生速率（</w:t>
                  </w:r>
                  <w:r>
                    <w:rPr>
                      <w:kern w:val="0"/>
                      <w:sz w:val="21"/>
                      <w:szCs w:val="21"/>
                    </w:rPr>
                    <w:t>kg/h</w:t>
                  </w:r>
                  <w:r>
                    <w:rPr>
                      <w:rFonts w:hint="eastAsia" w:ascii="宋体" w:hAnsi="宋体" w:cs="宋体"/>
                      <w:kern w:val="0"/>
                      <w:sz w:val="21"/>
                      <w:szCs w:val="21"/>
                    </w:rPr>
                    <w:t>）</w:t>
                  </w:r>
                </w:p>
              </w:tc>
              <w:tc>
                <w:tcPr>
                  <w:tcW w:w="529" w:type="pct"/>
                  <w:shd w:val="clear" w:color="auto" w:fill="auto"/>
                  <w:vAlign w:val="center"/>
                </w:tcPr>
                <w:p w14:paraId="329E8541">
                  <w:pPr>
                    <w:widowControl/>
                    <w:jc w:val="center"/>
                    <w:rPr>
                      <w:rFonts w:ascii="宋体" w:hAnsi="宋体" w:cs="宋体"/>
                      <w:kern w:val="0"/>
                      <w:sz w:val="21"/>
                      <w:szCs w:val="21"/>
                    </w:rPr>
                  </w:pPr>
                  <w:r>
                    <w:rPr>
                      <w:rFonts w:hint="eastAsia" w:ascii="宋体" w:hAnsi="宋体" w:cs="宋体"/>
                      <w:kern w:val="0"/>
                      <w:sz w:val="21"/>
                      <w:szCs w:val="21"/>
                    </w:rPr>
                    <w:t>产生量（</w:t>
                  </w:r>
                  <w:r>
                    <w:rPr>
                      <w:kern w:val="0"/>
                      <w:sz w:val="21"/>
                      <w:szCs w:val="21"/>
                    </w:rPr>
                    <w:t>t/a</w:t>
                  </w:r>
                  <w:r>
                    <w:rPr>
                      <w:rFonts w:hint="eastAsia" w:ascii="宋体" w:hAnsi="宋体" w:cs="宋体"/>
                      <w:kern w:val="0"/>
                      <w:sz w:val="21"/>
                      <w:szCs w:val="21"/>
                    </w:rPr>
                    <w:t>）</w:t>
                  </w:r>
                </w:p>
              </w:tc>
              <w:tc>
                <w:tcPr>
                  <w:tcW w:w="749" w:type="pct"/>
                  <w:shd w:val="clear" w:color="auto" w:fill="auto"/>
                  <w:vAlign w:val="center"/>
                </w:tcPr>
                <w:p w14:paraId="066ADD24">
                  <w:pPr>
                    <w:widowControl/>
                    <w:jc w:val="center"/>
                    <w:rPr>
                      <w:rFonts w:ascii="宋体" w:hAnsi="宋体" w:cs="宋体"/>
                      <w:kern w:val="0"/>
                      <w:sz w:val="21"/>
                      <w:szCs w:val="21"/>
                    </w:rPr>
                  </w:pPr>
                  <w:r>
                    <w:rPr>
                      <w:rFonts w:hint="eastAsia" w:ascii="宋体" w:hAnsi="宋体" w:cs="宋体"/>
                      <w:kern w:val="0"/>
                      <w:sz w:val="21"/>
                      <w:szCs w:val="21"/>
                    </w:rPr>
                    <w:t>排放浓度（</w:t>
                  </w:r>
                  <w:r>
                    <w:rPr>
                      <w:kern w:val="0"/>
                      <w:sz w:val="21"/>
                      <w:szCs w:val="21"/>
                    </w:rPr>
                    <w:t>mg/m</w:t>
                  </w:r>
                  <w:r>
                    <w:rPr>
                      <w:kern w:val="0"/>
                      <w:sz w:val="21"/>
                      <w:szCs w:val="21"/>
                      <w:vertAlign w:val="superscript"/>
                    </w:rPr>
                    <w:t>3</w:t>
                  </w:r>
                  <w:r>
                    <w:rPr>
                      <w:rFonts w:hint="eastAsia" w:ascii="宋体" w:hAnsi="宋体" w:cs="宋体"/>
                      <w:kern w:val="0"/>
                      <w:sz w:val="21"/>
                      <w:szCs w:val="21"/>
                    </w:rPr>
                    <w:t>）</w:t>
                  </w:r>
                </w:p>
              </w:tc>
              <w:tc>
                <w:tcPr>
                  <w:tcW w:w="632" w:type="pct"/>
                  <w:shd w:val="clear" w:color="auto" w:fill="auto"/>
                  <w:vAlign w:val="center"/>
                </w:tcPr>
                <w:p w14:paraId="4CB26F57">
                  <w:pPr>
                    <w:widowControl/>
                    <w:jc w:val="center"/>
                    <w:rPr>
                      <w:rFonts w:ascii="宋体" w:hAnsi="宋体" w:cs="宋体"/>
                      <w:kern w:val="0"/>
                      <w:sz w:val="21"/>
                      <w:szCs w:val="21"/>
                    </w:rPr>
                  </w:pPr>
                  <w:r>
                    <w:rPr>
                      <w:rFonts w:hint="eastAsia" w:ascii="宋体" w:hAnsi="宋体" w:cs="宋体"/>
                      <w:kern w:val="0"/>
                      <w:sz w:val="21"/>
                      <w:szCs w:val="21"/>
                    </w:rPr>
                    <w:t>排放速率（</w:t>
                  </w:r>
                  <w:r>
                    <w:rPr>
                      <w:kern w:val="0"/>
                      <w:sz w:val="21"/>
                      <w:szCs w:val="21"/>
                    </w:rPr>
                    <w:t>kg/h</w:t>
                  </w:r>
                  <w:r>
                    <w:rPr>
                      <w:rFonts w:hint="eastAsia" w:ascii="宋体" w:hAnsi="宋体" w:cs="宋体"/>
                      <w:kern w:val="0"/>
                      <w:sz w:val="21"/>
                      <w:szCs w:val="21"/>
                    </w:rPr>
                    <w:t>）</w:t>
                  </w:r>
                </w:p>
              </w:tc>
              <w:tc>
                <w:tcPr>
                  <w:tcW w:w="529" w:type="pct"/>
                  <w:shd w:val="clear" w:color="auto" w:fill="auto"/>
                  <w:vAlign w:val="center"/>
                </w:tcPr>
                <w:p w14:paraId="74663E75">
                  <w:pPr>
                    <w:widowControl/>
                    <w:jc w:val="center"/>
                    <w:rPr>
                      <w:rFonts w:ascii="宋体" w:hAnsi="宋体" w:cs="宋体"/>
                      <w:kern w:val="0"/>
                      <w:sz w:val="21"/>
                      <w:szCs w:val="21"/>
                    </w:rPr>
                  </w:pPr>
                  <w:r>
                    <w:rPr>
                      <w:rFonts w:hint="eastAsia" w:ascii="宋体" w:hAnsi="宋体" w:cs="宋体"/>
                      <w:kern w:val="0"/>
                      <w:sz w:val="21"/>
                      <w:szCs w:val="21"/>
                    </w:rPr>
                    <w:t>排放量（</w:t>
                  </w:r>
                  <w:r>
                    <w:rPr>
                      <w:kern w:val="0"/>
                      <w:sz w:val="21"/>
                      <w:szCs w:val="21"/>
                    </w:rPr>
                    <w:t>t/a</w:t>
                  </w:r>
                  <w:r>
                    <w:rPr>
                      <w:rFonts w:hint="eastAsia" w:ascii="宋体" w:hAnsi="宋体" w:cs="宋体"/>
                      <w:kern w:val="0"/>
                      <w:sz w:val="21"/>
                      <w:szCs w:val="21"/>
                    </w:rPr>
                    <w:t>）</w:t>
                  </w:r>
                </w:p>
              </w:tc>
            </w:tr>
            <w:tr w14:paraId="6CC0EF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pct"/>
                  <w:shd w:val="clear" w:color="auto" w:fill="auto"/>
                  <w:vAlign w:val="center"/>
                </w:tcPr>
                <w:p w14:paraId="20C3B8C2">
                  <w:pPr>
                    <w:widowControl/>
                    <w:jc w:val="center"/>
                    <w:rPr>
                      <w:rFonts w:ascii="宋体" w:hAnsi="宋体" w:cs="宋体"/>
                      <w:kern w:val="0"/>
                      <w:sz w:val="21"/>
                      <w:szCs w:val="21"/>
                    </w:rPr>
                  </w:pPr>
                  <w:r>
                    <w:rPr>
                      <w:rFonts w:hint="eastAsia" w:ascii="宋体" w:hAnsi="宋体" w:cs="宋体"/>
                      <w:kern w:val="0"/>
                      <w:sz w:val="21"/>
                      <w:szCs w:val="21"/>
                    </w:rPr>
                    <w:t>颗粒物</w:t>
                  </w:r>
                </w:p>
              </w:tc>
              <w:tc>
                <w:tcPr>
                  <w:tcW w:w="646" w:type="pct"/>
                  <w:vMerge w:val="restart"/>
                  <w:shd w:val="clear" w:color="auto" w:fill="auto"/>
                  <w:vAlign w:val="center"/>
                </w:tcPr>
                <w:p w14:paraId="0F93C166">
                  <w:pPr>
                    <w:jc w:val="center"/>
                    <w:rPr>
                      <w:kern w:val="0"/>
                      <w:sz w:val="21"/>
                      <w:szCs w:val="21"/>
                    </w:rPr>
                  </w:pPr>
                  <w:r>
                    <w:rPr>
                      <w:kern w:val="0"/>
                      <w:sz w:val="21"/>
                      <w:szCs w:val="21"/>
                    </w:rPr>
                    <w:t>20000</w:t>
                  </w:r>
                </w:p>
              </w:tc>
              <w:tc>
                <w:tcPr>
                  <w:tcW w:w="749" w:type="pct"/>
                  <w:shd w:val="clear" w:color="auto" w:fill="auto"/>
                  <w:vAlign w:val="center"/>
                </w:tcPr>
                <w:p w14:paraId="326F0E24">
                  <w:pPr>
                    <w:widowControl/>
                    <w:jc w:val="center"/>
                    <w:rPr>
                      <w:kern w:val="0"/>
                      <w:sz w:val="21"/>
                      <w:szCs w:val="21"/>
                    </w:rPr>
                  </w:pPr>
                  <w:r>
                    <w:rPr>
                      <w:sz w:val="21"/>
                      <w:szCs w:val="21"/>
                    </w:rPr>
                    <w:t xml:space="preserve">3133.89 </w:t>
                  </w:r>
                </w:p>
              </w:tc>
              <w:tc>
                <w:tcPr>
                  <w:tcW w:w="792" w:type="pct"/>
                  <w:shd w:val="clear" w:color="auto" w:fill="auto"/>
                  <w:vAlign w:val="center"/>
                </w:tcPr>
                <w:p w14:paraId="697E5BBC">
                  <w:pPr>
                    <w:widowControl/>
                    <w:jc w:val="center"/>
                    <w:rPr>
                      <w:kern w:val="0"/>
                      <w:sz w:val="21"/>
                      <w:szCs w:val="21"/>
                    </w:rPr>
                  </w:pPr>
                  <w:r>
                    <w:rPr>
                      <w:sz w:val="21"/>
                      <w:szCs w:val="21"/>
                    </w:rPr>
                    <w:t xml:space="preserve">62.68 </w:t>
                  </w:r>
                </w:p>
              </w:tc>
              <w:tc>
                <w:tcPr>
                  <w:tcW w:w="529" w:type="pct"/>
                  <w:shd w:val="clear" w:color="auto" w:fill="auto"/>
                  <w:vAlign w:val="center"/>
                </w:tcPr>
                <w:p w14:paraId="2F922147">
                  <w:pPr>
                    <w:widowControl/>
                    <w:jc w:val="center"/>
                    <w:rPr>
                      <w:kern w:val="0"/>
                      <w:sz w:val="21"/>
                      <w:szCs w:val="21"/>
                    </w:rPr>
                  </w:pPr>
                  <w:r>
                    <w:rPr>
                      <w:sz w:val="21"/>
                      <w:szCs w:val="21"/>
                    </w:rPr>
                    <w:t xml:space="preserve">169.23 </w:t>
                  </w:r>
                </w:p>
              </w:tc>
              <w:tc>
                <w:tcPr>
                  <w:tcW w:w="749" w:type="pct"/>
                  <w:shd w:val="clear" w:color="auto" w:fill="auto"/>
                  <w:vAlign w:val="center"/>
                </w:tcPr>
                <w:p w14:paraId="14135C70">
                  <w:pPr>
                    <w:widowControl/>
                    <w:jc w:val="center"/>
                    <w:rPr>
                      <w:kern w:val="0"/>
                      <w:sz w:val="21"/>
                      <w:szCs w:val="21"/>
                    </w:rPr>
                  </w:pPr>
                  <w:r>
                    <w:rPr>
                      <w:sz w:val="21"/>
                      <w:szCs w:val="21"/>
                    </w:rPr>
                    <w:t xml:space="preserve">9.44 </w:t>
                  </w:r>
                </w:p>
              </w:tc>
              <w:tc>
                <w:tcPr>
                  <w:tcW w:w="632" w:type="pct"/>
                  <w:shd w:val="clear" w:color="auto" w:fill="auto"/>
                  <w:vAlign w:val="center"/>
                </w:tcPr>
                <w:p w14:paraId="45CDFEA4">
                  <w:pPr>
                    <w:widowControl/>
                    <w:jc w:val="center"/>
                    <w:rPr>
                      <w:kern w:val="0"/>
                      <w:sz w:val="21"/>
                      <w:szCs w:val="21"/>
                    </w:rPr>
                  </w:pPr>
                  <w:r>
                    <w:rPr>
                      <w:sz w:val="21"/>
                      <w:szCs w:val="21"/>
                    </w:rPr>
                    <w:t xml:space="preserve">0.19 </w:t>
                  </w:r>
                </w:p>
              </w:tc>
              <w:tc>
                <w:tcPr>
                  <w:tcW w:w="529" w:type="pct"/>
                  <w:shd w:val="clear" w:color="auto" w:fill="auto"/>
                  <w:vAlign w:val="center"/>
                </w:tcPr>
                <w:p w14:paraId="0AAEBE23">
                  <w:pPr>
                    <w:widowControl/>
                    <w:jc w:val="center"/>
                    <w:rPr>
                      <w:kern w:val="0"/>
                      <w:sz w:val="21"/>
                      <w:szCs w:val="21"/>
                    </w:rPr>
                  </w:pPr>
                  <w:r>
                    <w:rPr>
                      <w:sz w:val="21"/>
                      <w:szCs w:val="21"/>
                    </w:rPr>
                    <w:t xml:space="preserve">0.51 </w:t>
                  </w:r>
                </w:p>
              </w:tc>
            </w:tr>
            <w:tr w14:paraId="715458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4" w:type="pct"/>
                  <w:shd w:val="clear" w:color="auto" w:fill="auto"/>
                  <w:vAlign w:val="center"/>
                </w:tcPr>
                <w:p w14:paraId="409F9140">
                  <w:pPr>
                    <w:widowControl/>
                    <w:jc w:val="center"/>
                    <w:rPr>
                      <w:rFonts w:ascii="宋体" w:hAnsi="宋体" w:cs="宋体"/>
                      <w:kern w:val="0"/>
                      <w:sz w:val="21"/>
                      <w:szCs w:val="21"/>
                    </w:rPr>
                  </w:pPr>
                  <w:r>
                    <w:rPr>
                      <w:rFonts w:hint="eastAsia" w:ascii="宋体" w:hAnsi="宋体" w:cs="宋体"/>
                      <w:kern w:val="0"/>
                      <w:sz w:val="21"/>
                      <w:szCs w:val="21"/>
                    </w:rPr>
                    <w:t>氮氧化物</w:t>
                  </w:r>
                </w:p>
              </w:tc>
              <w:tc>
                <w:tcPr>
                  <w:tcW w:w="646" w:type="pct"/>
                  <w:vMerge w:val="continue"/>
                  <w:shd w:val="clear" w:color="auto" w:fill="auto"/>
                  <w:vAlign w:val="center"/>
                </w:tcPr>
                <w:p w14:paraId="449421B0">
                  <w:pPr>
                    <w:widowControl/>
                    <w:jc w:val="center"/>
                    <w:rPr>
                      <w:kern w:val="0"/>
                      <w:sz w:val="21"/>
                      <w:szCs w:val="21"/>
                    </w:rPr>
                  </w:pPr>
                </w:p>
              </w:tc>
              <w:tc>
                <w:tcPr>
                  <w:tcW w:w="749" w:type="pct"/>
                  <w:tcBorders>
                    <w:top w:val="single" w:color="auto" w:sz="4" w:space="0"/>
                    <w:left w:val="nil"/>
                    <w:bottom w:val="single" w:color="auto" w:sz="12" w:space="0"/>
                    <w:right w:val="single" w:color="auto" w:sz="8" w:space="0"/>
                  </w:tcBorders>
                  <w:shd w:val="clear" w:color="auto" w:fill="auto"/>
                  <w:vAlign w:val="center"/>
                </w:tcPr>
                <w:p w14:paraId="01DD23D3">
                  <w:pPr>
                    <w:widowControl/>
                    <w:jc w:val="center"/>
                    <w:rPr>
                      <w:kern w:val="0"/>
                      <w:sz w:val="21"/>
                      <w:szCs w:val="21"/>
                    </w:rPr>
                  </w:pPr>
                  <w:r>
                    <w:rPr>
                      <w:sz w:val="21"/>
                      <w:szCs w:val="21"/>
                    </w:rPr>
                    <w:t xml:space="preserve">52.59 </w:t>
                  </w:r>
                </w:p>
              </w:tc>
              <w:tc>
                <w:tcPr>
                  <w:tcW w:w="792" w:type="pct"/>
                  <w:tcBorders>
                    <w:top w:val="single" w:color="auto" w:sz="4" w:space="0"/>
                    <w:left w:val="nil"/>
                    <w:bottom w:val="single" w:color="auto" w:sz="12" w:space="0"/>
                    <w:right w:val="single" w:color="auto" w:sz="8" w:space="0"/>
                  </w:tcBorders>
                  <w:shd w:val="clear" w:color="auto" w:fill="auto"/>
                  <w:vAlign w:val="center"/>
                </w:tcPr>
                <w:p w14:paraId="1BB402B0">
                  <w:pPr>
                    <w:widowControl/>
                    <w:jc w:val="center"/>
                    <w:rPr>
                      <w:kern w:val="0"/>
                      <w:sz w:val="21"/>
                      <w:szCs w:val="21"/>
                    </w:rPr>
                  </w:pPr>
                  <w:r>
                    <w:rPr>
                      <w:sz w:val="21"/>
                      <w:szCs w:val="21"/>
                    </w:rPr>
                    <w:t xml:space="preserve">1.05 </w:t>
                  </w:r>
                </w:p>
              </w:tc>
              <w:tc>
                <w:tcPr>
                  <w:tcW w:w="529" w:type="pct"/>
                  <w:tcBorders>
                    <w:top w:val="single" w:color="auto" w:sz="4" w:space="0"/>
                    <w:left w:val="nil"/>
                    <w:bottom w:val="single" w:color="auto" w:sz="12" w:space="0"/>
                    <w:right w:val="single" w:color="auto" w:sz="8" w:space="0"/>
                  </w:tcBorders>
                  <w:shd w:val="clear" w:color="auto" w:fill="auto"/>
                  <w:vAlign w:val="center"/>
                </w:tcPr>
                <w:p w14:paraId="63D7D3C8">
                  <w:pPr>
                    <w:widowControl/>
                    <w:jc w:val="center"/>
                    <w:rPr>
                      <w:kern w:val="0"/>
                      <w:sz w:val="21"/>
                      <w:szCs w:val="21"/>
                    </w:rPr>
                  </w:pPr>
                  <w:r>
                    <w:rPr>
                      <w:sz w:val="21"/>
                      <w:szCs w:val="21"/>
                    </w:rPr>
                    <w:t xml:space="preserve">2.84 </w:t>
                  </w:r>
                </w:p>
              </w:tc>
              <w:tc>
                <w:tcPr>
                  <w:tcW w:w="749" w:type="pct"/>
                  <w:shd w:val="clear" w:color="auto" w:fill="auto"/>
                  <w:vAlign w:val="center"/>
                </w:tcPr>
                <w:p w14:paraId="69E49930">
                  <w:pPr>
                    <w:widowControl/>
                    <w:jc w:val="center"/>
                    <w:rPr>
                      <w:kern w:val="0"/>
                      <w:sz w:val="21"/>
                      <w:szCs w:val="21"/>
                    </w:rPr>
                  </w:pPr>
                  <w:r>
                    <w:rPr>
                      <w:sz w:val="21"/>
                      <w:szCs w:val="21"/>
                    </w:rPr>
                    <w:t xml:space="preserve">52.59 </w:t>
                  </w:r>
                </w:p>
              </w:tc>
              <w:tc>
                <w:tcPr>
                  <w:tcW w:w="632" w:type="pct"/>
                  <w:shd w:val="clear" w:color="auto" w:fill="auto"/>
                  <w:vAlign w:val="center"/>
                </w:tcPr>
                <w:p w14:paraId="01D5B81C">
                  <w:pPr>
                    <w:widowControl/>
                    <w:jc w:val="center"/>
                    <w:rPr>
                      <w:kern w:val="0"/>
                      <w:sz w:val="21"/>
                      <w:szCs w:val="21"/>
                    </w:rPr>
                  </w:pPr>
                  <w:r>
                    <w:rPr>
                      <w:sz w:val="21"/>
                      <w:szCs w:val="21"/>
                    </w:rPr>
                    <w:t xml:space="preserve">1.05 </w:t>
                  </w:r>
                </w:p>
              </w:tc>
              <w:tc>
                <w:tcPr>
                  <w:tcW w:w="529" w:type="pct"/>
                  <w:shd w:val="clear" w:color="auto" w:fill="auto"/>
                  <w:vAlign w:val="center"/>
                </w:tcPr>
                <w:p w14:paraId="7F04AC56">
                  <w:pPr>
                    <w:widowControl/>
                    <w:jc w:val="center"/>
                    <w:rPr>
                      <w:kern w:val="0"/>
                      <w:sz w:val="21"/>
                      <w:szCs w:val="21"/>
                    </w:rPr>
                  </w:pPr>
                  <w:r>
                    <w:rPr>
                      <w:sz w:val="21"/>
                      <w:szCs w:val="21"/>
                    </w:rPr>
                    <w:t xml:space="preserve">2.84 </w:t>
                  </w:r>
                </w:p>
              </w:tc>
            </w:tr>
          </w:tbl>
          <w:p w14:paraId="35648DF3">
            <w:pPr>
              <w:spacing w:line="460" w:lineRule="exact"/>
              <w:ind w:firstLine="440" w:firstLineChars="200"/>
            </w:pPr>
            <w:r>
              <w:rPr>
                <w:rFonts w:hint="eastAsia"/>
                <w:bCs/>
                <w:spacing w:val="-10"/>
              </w:rPr>
              <w:t>颗粒物</w:t>
            </w:r>
            <w:r>
              <w:t>排放量为0.51t/a，排放速率0.19kg/h，排放浓度9.44mg/m</w:t>
            </w:r>
            <w:r>
              <w:rPr>
                <w:vertAlign w:val="superscript"/>
              </w:rPr>
              <w:t>3</w:t>
            </w:r>
            <w:r>
              <w:rPr>
                <w:rFonts w:hint="eastAsia"/>
              </w:rPr>
              <w:t>，氮氧化物</w:t>
            </w:r>
            <w:r>
              <w:t>排放量为2.84t/a，排放速率1.05kg/h，排放浓度52.59mg/m</w:t>
            </w:r>
            <w:r>
              <w:rPr>
                <w:vertAlign w:val="superscript"/>
              </w:rPr>
              <w:t>3</w:t>
            </w:r>
            <w:r>
              <w:rPr>
                <w:rFonts w:hint="eastAsia"/>
              </w:rPr>
              <w:t>，</w:t>
            </w:r>
            <w:r>
              <w:rPr>
                <w:rFonts w:hint="eastAsia"/>
                <w:bCs/>
                <w:spacing w:val="-10"/>
              </w:rPr>
              <w:t>满足</w:t>
            </w:r>
            <w:r>
              <w:t>《</w:t>
            </w:r>
            <w:r>
              <w:rPr>
                <w:rFonts w:hint="eastAsia"/>
              </w:rPr>
              <w:t>新疆维吾尔自治区工业炉窑大气污染综合治理实施方案</w:t>
            </w:r>
            <w:r>
              <w:t>》</w:t>
            </w:r>
            <w:r>
              <w:rPr>
                <w:rFonts w:hint="eastAsia"/>
              </w:rPr>
              <w:t>（颗粒物排放浓度3</w:t>
            </w:r>
            <w:r>
              <w:t>0mg/m</w:t>
            </w:r>
            <w:r>
              <w:rPr>
                <w:vertAlign w:val="superscript"/>
              </w:rPr>
              <w:t>3</w:t>
            </w:r>
            <w:r>
              <w:rPr>
                <w:rFonts w:hint="eastAsia"/>
              </w:rPr>
              <w:t>、氮氧化物排放浓度</w:t>
            </w:r>
            <w:r>
              <w:t>300mg/m</w:t>
            </w:r>
            <w:r>
              <w:rPr>
                <w:vertAlign w:val="superscript"/>
              </w:rPr>
              <w:t>3</w:t>
            </w:r>
            <w:r>
              <w:rPr>
                <w:rFonts w:hint="eastAsia"/>
              </w:rPr>
              <w:t>）。</w:t>
            </w:r>
          </w:p>
          <w:p w14:paraId="4FB09005">
            <w:pPr>
              <w:spacing w:line="460" w:lineRule="exact"/>
              <w:ind w:firstLine="480" w:firstLineChars="200"/>
            </w:pPr>
            <w:r>
              <w:rPr>
                <w:rFonts w:hint="eastAsia"/>
              </w:rPr>
              <w:t>（6）导热油醇醚燃烧烟气</w:t>
            </w:r>
          </w:p>
          <w:p w14:paraId="4391E562">
            <w:pPr>
              <w:adjustRightInd w:val="0"/>
              <w:snapToGrid w:val="0"/>
              <w:spacing w:line="460" w:lineRule="exact"/>
              <w:ind w:firstLine="480" w:firstLineChars="200"/>
              <w:rPr>
                <w:bCs/>
                <w:spacing w:val="-10"/>
              </w:rPr>
            </w:pPr>
            <w:r>
              <w:rPr>
                <w:rFonts w:hint="eastAsia"/>
              </w:rPr>
              <w:t>导热油燃料为醇醚燃料，</w:t>
            </w:r>
            <w:r>
              <w:rPr>
                <w:bCs/>
                <w:spacing w:val="-10"/>
              </w:rPr>
              <w:t>参照《排放源统计调查产排污核算方法和系数手册》（</w:t>
            </w:r>
            <w:r>
              <w:rPr>
                <w:rFonts w:hint="eastAsia"/>
                <w:bCs/>
                <w:spacing w:val="-10"/>
              </w:rPr>
              <w:t>4</w:t>
            </w:r>
            <w:r>
              <w:rPr>
                <w:bCs/>
                <w:spacing w:val="-10"/>
              </w:rPr>
              <w:t>430</w:t>
            </w:r>
            <w:r>
              <w:t>锅炉产排污量核算系数手册</w:t>
            </w:r>
            <w:r>
              <w:rPr>
                <w:bCs/>
                <w:spacing w:val="-10"/>
              </w:rPr>
              <w:t>）醇基燃料</w:t>
            </w:r>
            <w:r>
              <w:rPr>
                <w:rFonts w:hint="eastAsia"/>
                <w:bCs/>
                <w:spacing w:val="-10"/>
              </w:rPr>
              <w:t>产污</w:t>
            </w:r>
            <w:r>
              <w:rPr>
                <w:bCs/>
                <w:spacing w:val="-10"/>
              </w:rPr>
              <w:t>系数见下表</w:t>
            </w:r>
            <w:r>
              <w:rPr>
                <w:rFonts w:hint="eastAsia"/>
                <w:bCs/>
                <w:spacing w:val="-10"/>
              </w:rPr>
              <w:t>4</w:t>
            </w:r>
            <w:r>
              <w:rPr>
                <w:bCs/>
                <w:spacing w:val="-10"/>
              </w:rPr>
              <w:t>-8</w:t>
            </w:r>
            <w:r>
              <w:rPr>
                <w:rFonts w:hint="eastAsia"/>
                <w:bCs/>
                <w:spacing w:val="-10"/>
              </w:rPr>
              <w:t>。</w:t>
            </w:r>
          </w:p>
          <w:p w14:paraId="4F19CB13">
            <w:pPr>
              <w:spacing w:line="240" w:lineRule="atLeast"/>
              <w:ind w:firstLine="420" w:firstLineChars="200"/>
              <w:jc w:val="left"/>
              <w:rPr>
                <w:rFonts w:eastAsia="黑体"/>
                <w:snapToGrid w:val="0"/>
                <w:sz w:val="21"/>
              </w:rPr>
            </w:pPr>
            <w:r>
              <w:rPr>
                <w:rFonts w:hint="eastAsia" w:eastAsia="黑体"/>
                <w:snapToGrid w:val="0"/>
                <w:sz w:val="21"/>
              </w:rPr>
              <w:t>表4</w:t>
            </w:r>
            <w:r>
              <w:rPr>
                <w:rFonts w:eastAsia="黑体"/>
                <w:snapToGrid w:val="0"/>
                <w:sz w:val="21"/>
              </w:rPr>
              <w:t>-8                   醇基燃料</w:t>
            </w:r>
            <w:r>
              <w:rPr>
                <w:rFonts w:hint="eastAsia" w:eastAsia="黑体"/>
                <w:snapToGrid w:val="0"/>
                <w:sz w:val="21"/>
              </w:rPr>
              <w:t>产污</w:t>
            </w:r>
            <w:r>
              <w:rPr>
                <w:rFonts w:eastAsia="黑体"/>
                <w:snapToGrid w:val="0"/>
                <w:sz w:val="21"/>
              </w:rPr>
              <w:t>系数</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255"/>
              <w:gridCol w:w="2368"/>
              <w:gridCol w:w="2725"/>
            </w:tblGrid>
            <w:tr w14:paraId="0360A4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pct"/>
                  <w:shd w:val="clear" w:color="auto" w:fill="auto"/>
                  <w:vAlign w:val="center"/>
                </w:tcPr>
                <w:p w14:paraId="2B907604">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产品名称</w:t>
                  </w:r>
                </w:p>
              </w:tc>
              <w:tc>
                <w:tcPr>
                  <w:tcW w:w="786" w:type="pct"/>
                  <w:shd w:val="clear" w:color="auto" w:fill="auto"/>
                  <w:vAlign w:val="center"/>
                </w:tcPr>
                <w:p w14:paraId="600C3052">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原料</w:t>
                  </w:r>
                </w:p>
                <w:p w14:paraId="4EA6B4D2">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名称</w:t>
                  </w:r>
                </w:p>
              </w:tc>
              <w:tc>
                <w:tcPr>
                  <w:tcW w:w="1483" w:type="pct"/>
                  <w:shd w:val="clear" w:color="auto" w:fill="auto"/>
                  <w:vAlign w:val="center"/>
                </w:tcPr>
                <w:p w14:paraId="6C73BFDE">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颗粒物</w:t>
                  </w:r>
                </w:p>
                <w:p w14:paraId="2F9490D9">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（千克/吨-原料）</w:t>
                  </w:r>
                </w:p>
              </w:tc>
              <w:tc>
                <w:tcPr>
                  <w:tcW w:w="1706" w:type="pct"/>
                  <w:vAlign w:val="center"/>
                </w:tcPr>
                <w:p w14:paraId="7185AF91">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氮氧化物</w:t>
                  </w:r>
                </w:p>
                <w:p w14:paraId="30AD4C9B">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（千克/吨-原料）</w:t>
                  </w:r>
                </w:p>
              </w:tc>
            </w:tr>
            <w:tr w14:paraId="46D1E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5" w:type="pct"/>
                  <w:shd w:val="clear" w:color="auto" w:fill="auto"/>
                  <w:vAlign w:val="center"/>
                </w:tcPr>
                <w:p w14:paraId="2D9D8723">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蒸</w:t>
                  </w:r>
                  <w:r>
                    <w:rPr>
                      <w:rFonts w:hint="eastAsia"/>
                      <w:sz w:val="21"/>
                      <w:szCs w:val="21"/>
                    </w:rPr>
                    <w:t>汽/</w:t>
                  </w:r>
                  <w:r>
                    <w:rPr>
                      <w:sz w:val="21"/>
                      <w:szCs w:val="21"/>
                    </w:rPr>
                    <w:t>热水</w:t>
                  </w:r>
                  <w:r>
                    <w:rPr>
                      <w:rFonts w:hint="eastAsia"/>
                      <w:sz w:val="21"/>
                      <w:szCs w:val="21"/>
                    </w:rPr>
                    <w:t>/其他</w:t>
                  </w:r>
                </w:p>
              </w:tc>
              <w:tc>
                <w:tcPr>
                  <w:tcW w:w="786" w:type="pct"/>
                  <w:shd w:val="clear" w:color="auto" w:fill="auto"/>
                  <w:vAlign w:val="center"/>
                </w:tcPr>
                <w:p w14:paraId="0F560955">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醇基</w:t>
                  </w:r>
                </w:p>
                <w:p w14:paraId="72B0BD85">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燃料</w:t>
                  </w:r>
                </w:p>
              </w:tc>
              <w:tc>
                <w:tcPr>
                  <w:tcW w:w="1483" w:type="pct"/>
                  <w:shd w:val="clear" w:color="auto" w:fill="auto"/>
                  <w:vAlign w:val="center"/>
                </w:tcPr>
                <w:p w14:paraId="016387A3">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sz w:val="21"/>
                      <w:szCs w:val="21"/>
                    </w:rPr>
                    <w:t>0.26</w:t>
                  </w:r>
                </w:p>
              </w:tc>
              <w:tc>
                <w:tcPr>
                  <w:tcW w:w="1706" w:type="pct"/>
                  <w:vAlign w:val="center"/>
                </w:tcPr>
                <w:p w14:paraId="6257367A">
                  <w:pPr>
                    <w:tabs>
                      <w:tab w:val="left" w:pos="1535"/>
                      <w:tab w:val="left" w:pos="3105"/>
                      <w:tab w:val="left" w:pos="4676"/>
                      <w:tab w:val="left" w:pos="6247"/>
                      <w:tab w:val="left" w:pos="7740"/>
                      <w:tab w:val="left" w:pos="9288"/>
                    </w:tabs>
                    <w:adjustRightInd w:val="0"/>
                    <w:snapToGrid w:val="0"/>
                    <w:jc w:val="center"/>
                    <w:textAlignment w:val="baseline"/>
                    <w:rPr>
                      <w:sz w:val="21"/>
                      <w:szCs w:val="21"/>
                    </w:rPr>
                  </w:pPr>
                  <w:r>
                    <w:rPr>
                      <w:rFonts w:hint="eastAsia"/>
                      <w:sz w:val="21"/>
                      <w:szCs w:val="21"/>
                    </w:rPr>
                    <w:t>0</w:t>
                  </w:r>
                  <w:r>
                    <w:rPr>
                      <w:sz w:val="21"/>
                      <w:szCs w:val="21"/>
                    </w:rPr>
                    <w:t>.59</w:t>
                  </w:r>
                </w:p>
              </w:tc>
            </w:tr>
          </w:tbl>
          <w:p w14:paraId="7D322390">
            <w:pPr>
              <w:adjustRightInd w:val="0"/>
              <w:snapToGrid w:val="0"/>
              <w:rPr>
                <w:b/>
                <w:sz w:val="18"/>
                <w:szCs w:val="18"/>
              </w:rPr>
            </w:pPr>
            <w:r>
              <w:rPr>
                <w:b/>
                <w:sz w:val="18"/>
                <w:szCs w:val="18"/>
              </w:rPr>
              <w:t>备注：根据</w:t>
            </w:r>
            <w:r>
              <w:rPr>
                <w:rFonts w:hint="eastAsia"/>
                <w:b/>
                <w:sz w:val="18"/>
                <w:szCs w:val="18"/>
              </w:rPr>
              <w:t>附件</w:t>
            </w:r>
            <w:r>
              <w:rPr>
                <w:b/>
                <w:sz w:val="18"/>
                <w:szCs w:val="18"/>
              </w:rPr>
              <w:t>7成分分析报告，醇醚燃料中不含硫。</w:t>
            </w:r>
          </w:p>
          <w:p w14:paraId="078B4779">
            <w:pPr>
              <w:adjustRightInd w:val="0"/>
              <w:snapToGrid w:val="0"/>
              <w:spacing w:line="460" w:lineRule="exact"/>
              <w:ind w:firstLine="480" w:firstLineChars="200"/>
              <w:rPr>
                <w:bCs/>
                <w:spacing w:val="-10"/>
              </w:rPr>
            </w:pPr>
            <w:r>
              <w:rPr>
                <w:rFonts w:hint="eastAsia"/>
              </w:rPr>
              <w:t>醇醚</w:t>
            </w:r>
            <w:r>
              <w:rPr>
                <w:rFonts w:hint="eastAsia"/>
                <w:bCs/>
                <w:spacing w:val="-10"/>
              </w:rPr>
              <w:t>燃料年使用量为</w:t>
            </w:r>
            <w:r>
              <w:rPr>
                <w:bCs/>
                <w:spacing w:val="-10"/>
              </w:rPr>
              <w:t>1450t</w:t>
            </w:r>
            <w:r>
              <w:rPr>
                <w:rFonts w:hint="eastAsia"/>
                <w:bCs/>
                <w:spacing w:val="-10"/>
              </w:rPr>
              <w:t>，年使用时间为2</w:t>
            </w:r>
            <w:r>
              <w:rPr>
                <w:bCs/>
                <w:spacing w:val="-10"/>
              </w:rPr>
              <w:t>700h，</w:t>
            </w:r>
            <w:r>
              <w:rPr>
                <w:rFonts w:hint="eastAsia"/>
                <w:bCs/>
                <w:spacing w:val="-10"/>
              </w:rPr>
              <w:t>废气量为1</w:t>
            </w:r>
            <w:r>
              <w:rPr>
                <w:bCs/>
                <w:spacing w:val="-10"/>
              </w:rPr>
              <w:t>0000m</w:t>
            </w:r>
            <w:r>
              <w:rPr>
                <w:bCs/>
                <w:spacing w:val="-10"/>
                <w:vertAlign w:val="superscript"/>
              </w:rPr>
              <w:t>3</w:t>
            </w:r>
            <w:r>
              <w:rPr>
                <w:rFonts w:hint="eastAsia"/>
                <w:bCs/>
                <w:spacing w:val="-10"/>
              </w:rPr>
              <w:t>/h，采取“低氮燃烧装置”措施处理后通过</w:t>
            </w:r>
            <w:r>
              <w:rPr>
                <w:bCs/>
                <w:spacing w:val="-10"/>
              </w:rPr>
              <w:t>8m高排气筒排放</w:t>
            </w:r>
            <w:r>
              <w:rPr>
                <w:rFonts w:hint="eastAsia"/>
                <w:bCs/>
                <w:spacing w:val="-10"/>
              </w:rPr>
              <w:t>，低氮燃烧的处理效率为3</w:t>
            </w:r>
            <w:r>
              <w:rPr>
                <w:bCs/>
                <w:spacing w:val="-10"/>
              </w:rPr>
              <w:t>0%，醇醚燃料</w:t>
            </w:r>
            <w:r>
              <w:rPr>
                <w:rFonts w:hint="eastAsia"/>
                <w:bCs/>
                <w:spacing w:val="-10"/>
              </w:rPr>
              <w:t>燃烧废气见表4</w:t>
            </w:r>
            <w:r>
              <w:rPr>
                <w:bCs/>
                <w:spacing w:val="-10"/>
              </w:rPr>
              <w:t>-9</w:t>
            </w:r>
            <w:r>
              <w:rPr>
                <w:rFonts w:hint="eastAsia"/>
                <w:bCs/>
                <w:spacing w:val="-10"/>
              </w:rPr>
              <w:t>。</w:t>
            </w:r>
          </w:p>
          <w:p w14:paraId="05419FB0">
            <w:pPr>
              <w:spacing w:line="240" w:lineRule="atLeast"/>
              <w:ind w:firstLine="420" w:firstLineChars="200"/>
              <w:jc w:val="left"/>
              <w:rPr>
                <w:rFonts w:eastAsia="黑体"/>
                <w:snapToGrid w:val="0"/>
                <w:sz w:val="21"/>
              </w:rPr>
            </w:pPr>
            <w:r>
              <w:rPr>
                <w:rFonts w:hint="eastAsia" w:eastAsia="黑体"/>
                <w:snapToGrid w:val="0"/>
                <w:sz w:val="21"/>
              </w:rPr>
              <w:t>表4</w:t>
            </w:r>
            <w:r>
              <w:rPr>
                <w:rFonts w:eastAsia="黑体"/>
                <w:snapToGrid w:val="0"/>
                <w:sz w:val="21"/>
              </w:rPr>
              <w:t>-9                   醇基燃料</w:t>
            </w:r>
            <w:r>
              <w:rPr>
                <w:rFonts w:hint="eastAsia" w:eastAsia="黑体"/>
                <w:snapToGrid w:val="0"/>
                <w:sz w:val="21"/>
              </w:rPr>
              <w:t>燃烧产排情况</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98"/>
              <w:gridCol w:w="1218"/>
              <w:gridCol w:w="1002"/>
              <w:gridCol w:w="1403"/>
              <w:gridCol w:w="1218"/>
              <w:gridCol w:w="1002"/>
            </w:tblGrid>
            <w:tr w14:paraId="3D8C88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Merge w:val="restart"/>
                  <w:tcBorders>
                    <w:top w:val="single" w:color="auto" w:sz="12" w:space="0"/>
                  </w:tcBorders>
                  <w:shd w:val="clear" w:color="auto" w:fill="auto"/>
                  <w:vAlign w:val="center"/>
                </w:tcPr>
                <w:p w14:paraId="4197D54A">
                  <w:pPr>
                    <w:pStyle w:val="63"/>
                  </w:pPr>
                  <w:r>
                    <w:rPr>
                      <w:rFonts w:hint="eastAsia"/>
                    </w:rPr>
                    <w:t>污染物</w:t>
                  </w:r>
                </w:p>
              </w:tc>
              <w:tc>
                <w:tcPr>
                  <w:tcW w:w="3419" w:type="dxa"/>
                  <w:gridSpan w:val="3"/>
                  <w:tcBorders>
                    <w:top w:val="single" w:color="auto" w:sz="12" w:space="0"/>
                  </w:tcBorders>
                  <w:shd w:val="clear" w:color="auto" w:fill="auto"/>
                  <w:vAlign w:val="center"/>
                </w:tcPr>
                <w:p w14:paraId="78DE541E">
                  <w:pPr>
                    <w:pStyle w:val="63"/>
                  </w:pPr>
                  <w:r>
                    <w:rPr>
                      <w:rFonts w:hint="eastAsia"/>
                    </w:rPr>
                    <w:t>产生情况</w:t>
                  </w:r>
                </w:p>
              </w:tc>
              <w:tc>
                <w:tcPr>
                  <w:tcW w:w="0" w:type="auto"/>
                  <w:gridSpan w:val="3"/>
                  <w:tcBorders>
                    <w:top w:val="single" w:color="auto" w:sz="12" w:space="0"/>
                  </w:tcBorders>
                  <w:shd w:val="clear" w:color="auto" w:fill="auto"/>
                  <w:vAlign w:val="center"/>
                </w:tcPr>
                <w:p w14:paraId="044DF3BF">
                  <w:pPr>
                    <w:pStyle w:val="63"/>
                  </w:pPr>
                  <w:r>
                    <w:rPr>
                      <w:rFonts w:hint="eastAsia"/>
                    </w:rPr>
                    <w:t>排放情况</w:t>
                  </w:r>
                </w:p>
              </w:tc>
            </w:tr>
            <w:tr w14:paraId="2FEF2A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Merge w:val="continue"/>
                  <w:shd w:val="clear" w:color="auto" w:fill="auto"/>
                  <w:vAlign w:val="center"/>
                </w:tcPr>
                <w:p w14:paraId="53682271">
                  <w:pPr>
                    <w:pStyle w:val="63"/>
                  </w:pPr>
                </w:p>
              </w:tc>
              <w:tc>
                <w:tcPr>
                  <w:tcW w:w="1197" w:type="dxa"/>
                  <w:shd w:val="clear" w:color="auto" w:fill="auto"/>
                  <w:vAlign w:val="center"/>
                </w:tcPr>
                <w:p w14:paraId="5CFE3552">
                  <w:pPr>
                    <w:pStyle w:val="63"/>
                  </w:pPr>
                  <w:r>
                    <w:rPr>
                      <w:rFonts w:hint="eastAsia"/>
                    </w:rPr>
                    <w:t>产生浓度（</w:t>
                  </w:r>
                  <w:r>
                    <w:t>mg/m</w:t>
                  </w:r>
                  <w:r>
                    <w:rPr>
                      <w:vertAlign w:val="superscript"/>
                    </w:rPr>
                    <w:t>3</w:t>
                  </w:r>
                  <w:r>
                    <w:rPr>
                      <w:rFonts w:hint="eastAsia"/>
                    </w:rPr>
                    <w:t>）</w:t>
                  </w:r>
                </w:p>
              </w:tc>
              <w:tc>
                <w:tcPr>
                  <w:tcW w:w="0" w:type="auto"/>
                  <w:shd w:val="clear" w:color="auto" w:fill="auto"/>
                  <w:vAlign w:val="center"/>
                </w:tcPr>
                <w:p w14:paraId="1F5076B0">
                  <w:pPr>
                    <w:pStyle w:val="63"/>
                  </w:pPr>
                  <w:r>
                    <w:rPr>
                      <w:rFonts w:hint="eastAsia"/>
                    </w:rPr>
                    <w:t>产生速率（</w:t>
                  </w:r>
                  <w:r>
                    <w:t>kg/h</w:t>
                  </w:r>
                  <w:r>
                    <w:rPr>
                      <w:rFonts w:hint="eastAsia"/>
                    </w:rPr>
                    <w:t>）</w:t>
                  </w:r>
                </w:p>
              </w:tc>
              <w:tc>
                <w:tcPr>
                  <w:tcW w:w="0" w:type="auto"/>
                  <w:shd w:val="clear" w:color="auto" w:fill="auto"/>
                  <w:vAlign w:val="center"/>
                </w:tcPr>
                <w:p w14:paraId="6CE606FD">
                  <w:pPr>
                    <w:pStyle w:val="63"/>
                  </w:pPr>
                  <w:r>
                    <w:rPr>
                      <w:rFonts w:hint="eastAsia"/>
                    </w:rPr>
                    <w:t>产生量（</w:t>
                  </w:r>
                  <w:r>
                    <w:t>t/a</w:t>
                  </w:r>
                  <w:r>
                    <w:rPr>
                      <w:rFonts w:hint="eastAsia"/>
                    </w:rPr>
                    <w:t>）</w:t>
                  </w:r>
                </w:p>
              </w:tc>
              <w:tc>
                <w:tcPr>
                  <w:tcW w:w="0" w:type="auto"/>
                  <w:shd w:val="clear" w:color="auto" w:fill="auto"/>
                  <w:vAlign w:val="center"/>
                </w:tcPr>
                <w:p w14:paraId="4FA71BEF">
                  <w:pPr>
                    <w:pStyle w:val="63"/>
                  </w:pPr>
                  <w:r>
                    <w:rPr>
                      <w:rFonts w:hint="eastAsia"/>
                    </w:rPr>
                    <w:t>排放浓度（</w:t>
                  </w:r>
                  <w:r>
                    <w:t>mg/m</w:t>
                  </w:r>
                  <w:r>
                    <w:rPr>
                      <w:vertAlign w:val="superscript"/>
                    </w:rPr>
                    <w:t>3</w:t>
                  </w:r>
                  <w:r>
                    <w:rPr>
                      <w:rFonts w:hint="eastAsia"/>
                    </w:rPr>
                    <w:t>）</w:t>
                  </w:r>
                </w:p>
              </w:tc>
              <w:tc>
                <w:tcPr>
                  <w:tcW w:w="0" w:type="auto"/>
                  <w:shd w:val="clear" w:color="auto" w:fill="auto"/>
                  <w:vAlign w:val="center"/>
                </w:tcPr>
                <w:p w14:paraId="58E77BC3">
                  <w:pPr>
                    <w:pStyle w:val="63"/>
                  </w:pPr>
                  <w:r>
                    <w:rPr>
                      <w:rFonts w:hint="eastAsia"/>
                    </w:rPr>
                    <w:t>排放速率（</w:t>
                  </w:r>
                  <w:r>
                    <w:t>kg/h</w:t>
                  </w:r>
                  <w:r>
                    <w:rPr>
                      <w:rFonts w:hint="eastAsia"/>
                    </w:rPr>
                    <w:t>）</w:t>
                  </w:r>
                </w:p>
              </w:tc>
              <w:tc>
                <w:tcPr>
                  <w:tcW w:w="0" w:type="auto"/>
                  <w:shd w:val="clear" w:color="auto" w:fill="auto"/>
                  <w:vAlign w:val="center"/>
                </w:tcPr>
                <w:p w14:paraId="4383BCCF">
                  <w:pPr>
                    <w:pStyle w:val="63"/>
                  </w:pPr>
                  <w:r>
                    <w:rPr>
                      <w:rFonts w:hint="eastAsia"/>
                    </w:rPr>
                    <w:t>排放量（</w:t>
                  </w:r>
                  <w:r>
                    <w:t>t/a</w:t>
                  </w:r>
                  <w:r>
                    <w:rPr>
                      <w:rFonts w:hint="eastAsia"/>
                    </w:rPr>
                    <w:t>）</w:t>
                  </w:r>
                </w:p>
              </w:tc>
            </w:tr>
            <w:tr w14:paraId="1BEA9B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0536319A">
                  <w:pPr>
                    <w:pStyle w:val="63"/>
                  </w:pPr>
                  <w:r>
                    <w:rPr>
                      <w:rFonts w:hint="eastAsia"/>
                    </w:rPr>
                    <w:t>颗粒物</w:t>
                  </w:r>
                </w:p>
              </w:tc>
              <w:tc>
                <w:tcPr>
                  <w:tcW w:w="1197" w:type="dxa"/>
                  <w:tcBorders>
                    <w:top w:val="nil"/>
                    <w:left w:val="nil"/>
                    <w:bottom w:val="single" w:color="auto" w:sz="8" w:space="0"/>
                    <w:right w:val="single" w:color="auto" w:sz="8" w:space="0"/>
                  </w:tcBorders>
                  <w:shd w:val="clear" w:color="auto" w:fill="auto"/>
                  <w:vAlign w:val="center"/>
                </w:tcPr>
                <w:p w14:paraId="0B1996D3">
                  <w:pPr>
                    <w:widowControl/>
                    <w:jc w:val="center"/>
                    <w:rPr>
                      <w:kern w:val="0"/>
                      <w:sz w:val="21"/>
                      <w:szCs w:val="21"/>
                    </w:rPr>
                  </w:pPr>
                  <w:r>
                    <w:rPr>
                      <w:sz w:val="21"/>
                      <w:szCs w:val="21"/>
                    </w:rPr>
                    <w:t xml:space="preserve">14.07 </w:t>
                  </w:r>
                </w:p>
              </w:tc>
              <w:tc>
                <w:tcPr>
                  <w:tcW w:w="0" w:type="auto"/>
                  <w:tcBorders>
                    <w:top w:val="nil"/>
                    <w:left w:val="nil"/>
                    <w:bottom w:val="single" w:color="auto" w:sz="8" w:space="0"/>
                    <w:right w:val="single" w:color="auto" w:sz="8" w:space="0"/>
                  </w:tcBorders>
                  <w:shd w:val="clear" w:color="auto" w:fill="auto"/>
                  <w:vAlign w:val="center"/>
                </w:tcPr>
                <w:p w14:paraId="6FBBC0C4">
                  <w:pPr>
                    <w:jc w:val="center"/>
                    <w:rPr>
                      <w:sz w:val="21"/>
                      <w:szCs w:val="21"/>
                    </w:rPr>
                  </w:pPr>
                  <w:r>
                    <w:rPr>
                      <w:sz w:val="21"/>
                      <w:szCs w:val="21"/>
                    </w:rPr>
                    <w:t xml:space="preserve">0.14 </w:t>
                  </w:r>
                </w:p>
              </w:tc>
              <w:tc>
                <w:tcPr>
                  <w:tcW w:w="0" w:type="auto"/>
                  <w:tcBorders>
                    <w:top w:val="nil"/>
                    <w:left w:val="nil"/>
                    <w:bottom w:val="single" w:color="auto" w:sz="8" w:space="0"/>
                    <w:right w:val="single" w:color="auto" w:sz="8" w:space="0"/>
                  </w:tcBorders>
                  <w:shd w:val="clear" w:color="auto" w:fill="auto"/>
                  <w:vAlign w:val="center"/>
                </w:tcPr>
                <w:p w14:paraId="10DF0E2D">
                  <w:pPr>
                    <w:jc w:val="center"/>
                    <w:rPr>
                      <w:sz w:val="21"/>
                      <w:szCs w:val="21"/>
                    </w:rPr>
                  </w:pPr>
                  <w:r>
                    <w:rPr>
                      <w:sz w:val="21"/>
                      <w:szCs w:val="21"/>
                    </w:rPr>
                    <w:t xml:space="preserve">0.38 </w:t>
                  </w:r>
                </w:p>
              </w:tc>
              <w:tc>
                <w:tcPr>
                  <w:tcW w:w="0" w:type="auto"/>
                  <w:tcBorders>
                    <w:top w:val="nil"/>
                    <w:left w:val="nil"/>
                    <w:bottom w:val="single" w:color="auto" w:sz="8" w:space="0"/>
                    <w:right w:val="single" w:color="auto" w:sz="8" w:space="0"/>
                  </w:tcBorders>
                  <w:shd w:val="clear" w:color="auto" w:fill="auto"/>
                  <w:vAlign w:val="center"/>
                </w:tcPr>
                <w:p w14:paraId="582F8846">
                  <w:pPr>
                    <w:jc w:val="center"/>
                    <w:rPr>
                      <w:sz w:val="21"/>
                      <w:szCs w:val="21"/>
                    </w:rPr>
                  </w:pPr>
                  <w:r>
                    <w:rPr>
                      <w:sz w:val="21"/>
                      <w:szCs w:val="21"/>
                    </w:rPr>
                    <w:t xml:space="preserve">14.07 </w:t>
                  </w:r>
                </w:p>
              </w:tc>
              <w:tc>
                <w:tcPr>
                  <w:tcW w:w="0" w:type="auto"/>
                  <w:tcBorders>
                    <w:top w:val="nil"/>
                    <w:left w:val="nil"/>
                    <w:bottom w:val="single" w:color="auto" w:sz="8" w:space="0"/>
                    <w:right w:val="single" w:color="auto" w:sz="8" w:space="0"/>
                  </w:tcBorders>
                  <w:shd w:val="clear" w:color="auto" w:fill="auto"/>
                  <w:vAlign w:val="center"/>
                </w:tcPr>
                <w:p w14:paraId="328BBA8D">
                  <w:pPr>
                    <w:jc w:val="center"/>
                    <w:rPr>
                      <w:sz w:val="21"/>
                      <w:szCs w:val="21"/>
                    </w:rPr>
                  </w:pPr>
                  <w:r>
                    <w:rPr>
                      <w:sz w:val="21"/>
                      <w:szCs w:val="21"/>
                    </w:rPr>
                    <w:t xml:space="preserve">0.14 </w:t>
                  </w:r>
                </w:p>
              </w:tc>
              <w:tc>
                <w:tcPr>
                  <w:tcW w:w="0" w:type="auto"/>
                  <w:shd w:val="clear" w:color="auto" w:fill="auto"/>
                  <w:vAlign w:val="center"/>
                </w:tcPr>
                <w:p w14:paraId="358073E3">
                  <w:pPr>
                    <w:jc w:val="center"/>
                    <w:rPr>
                      <w:sz w:val="21"/>
                      <w:szCs w:val="21"/>
                    </w:rPr>
                  </w:pPr>
                  <w:r>
                    <w:rPr>
                      <w:sz w:val="21"/>
                      <w:szCs w:val="21"/>
                    </w:rPr>
                    <w:t xml:space="preserve">0.38 </w:t>
                  </w:r>
                </w:p>
              </w:tc>
            </w:tr>
            <w:tr w14:paraId="06C57D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tcBorders>
                    <w:bottom w:val="single" w:color="auto" w:sz="12" w:space="0"/>
                  </w:tcBorders>
                  <w:vAlign w:val="center"/>
                </w:tcPr>
                <w:p w14:paraId="126D232D">
                  <w:pPr>
                    <w:pStyle w:val="63"/>
                  </w:pPr>
                  <w:r>
                    <w:rPr>
                      <w:rFonts w:hint="eastAsia"/>
                    </w:rPr>
                    <w:t>氮氧化物</w:t>
                  </w:r>
                </w:p>
              </w:tc>
              <w:tc>
                <w:tcPr>
                  <w:tcW w:w="1197" w:type="dxa"/>
                  <w:tcBorders>
                    <w:top w:val="nil"/>
                    <w:left w:val="nil"/>
                    <w:bottom w:val="single" w:color="auto" w:sz="12" w:space="0"/>
                    <w:right w:val="single" w:color="auto" w:sz="8" w:space="0"/>
                  </w:tcBorders>
                  <w:shd w:val="clear" w:color="auto" w:fill="auto"/>
                  <w:vAlign w:val="center"/>
                </w:tcPr>
                <w:p w14:paraId="7FEB38C8">
                  <w:pPr>
                    <w:jc w:val="center"/>
                    <w:rPr>
                      <w:sz w:val="21"/>
                      <w:szCs w:val="21"/>
                    </w:rPr>
                  </w:pPr>
                  <w:r>
                    <w:rPr>
                      <w:sz w:val="21"/>
                      <w:szCs w:val="21"/>
                    </w:rPr>
                    <w:t xml:space="preserve">31.85 </w:t>
                  </w:r>
                </w:p>
              </w:tc>
              <w:tc>
                <w:tcPr>
                  <w:tcW w:w="0" w:type="auto"/>
                  <w:tcBorders>
                    <w:top w:val="nil"/>
                    <w:left w:val="nil"/>
                    <w:bottom w:val="single" w:color="auto" w:sz="12" w:space="0"/>
                    <w:right w:val="single" w:color="auto" w:sz="8" w:space="0"/>
                  </w:tcBorders>
                  <w:shd w:val="clear" w:color="auto" w:fill="auto"/>
                  <w:vAlign w:val="center"/>
                </w:tcPr>
                <w:p w14:paraId="7DEE3CC6">
                  <w:pPr>
                    <w:jc w:val="center"/>
                    <w:rPr>
                      <w:sz w:val="21"/>
                      <w:szCs w:val="21"/>
                    </w:rPr>
                  </w:pPr>
                  <w:r>
                    <w:rPr>
                      <w:sz w:val="21"/>
                      <w:szCs w:val="21"/>
                    </w:rPr>
                    <w:t xml:space="preserve">0.32 </w:t>
                  </w:r>
                </w:p>
              </w:tc>
              <w:tc>
                <w:tcPr>
                  <w:tcW w:w="0" w:type="auto"/>
                  <w:tcBorders>
                    <w:top w:val="nil"/>
                    <w:left w:val="nil"/>
                    <w:bottom w:val="single" w:color="auto" w:sz="12" w:space="0"/>
                    <w:right w:val="single" w:color="auto" w:sz="8" w:space="0"/>
                  </w:tcBorders>
                  <w:shd w:val="clear" w:color="auto" w:fill="auto"/>
                  <w:vAlign w:val="center"/>
                </w:tcPr>
                <w:p w14:paraId="379E7C54">
                  <w:pPr>
                    <w:jc w:val="center"/>
                    <w:rPr>
                      <w:sz w:val="21"/>
                      <w:szCs w:val="21"/>
                    </w:rPr>
                  </w:pPr>
                  <w:r>
                    <w:rPr>
                      <w:sz w:val="21"/>
                      <w:szCs w:val="21"/>
                    </w:rPr>
                    <w:t xml:space="preserve">0.86 </w:t>
                  </w:r>
                </w:p>
              </w:tc>
              <w:tc>
                <w:tcPr>
                  <w:tcW w:w="0" w:type="auto"/>
                  <w:tcBorders>
                    <w:top w:val="nil"/>
                    <w:left w:val="nil"/>
                    <w:bottom w:val="single" w:color="auto" w:sz="12" w:space="0"/>
                    <w:right w:val="single" w:color="auto" w:sz="8" w:space="0"/>
                  </w:tcBorders>
                  <w:shd w:val="clear" w:color="auto" w:fill="auto"/>
                  <w:vAlign w:val="center"/>
                </w:tcPr>
                <w:p w14:paraId="56147ADB">
                  <w:pPr>
                    <w:jc w:val="center"/>
                    <w:rPr>
                      <w:sz w:val="21"/>
                      <w:szCs w:val="21"/>
                    </w:rPr>
                  </w:pPr>
                  <w:r>
                    <w:rPr>
                      <w:sz w:val="21"/>
                      <w:szCs w:val="21"/>
                    </w:rPr>
                    <w:t xml:space="preserve">22.22 </w:t>
                  </w:r>
                </w:p>
              </w:tc>
              <w:tc>
                <w:tcPr>
                  <w:tcW w:w="0" w:type="auto"/>
                  <w:tcBorders>
                    <w:top w:val="nil"/>
                    <w:left w:val="nil"/>
                    <w:bottom w:val="single" w:color="auto" w:sz="12" w:space="0"/>
                    <w:right w:val="single" w:color="auto" w:sz="8" w:space="0"/>
                  </w:tcBorders>
                  <w:shd w:val="clear" w:color="auto" w:fill="auto"/>
                  <w:vAlign w:val="center"/>
                </w:tcPr>
                <w:p w14:paraId="6ABA0351">
                  <w:pPr>
                    <w:jc w:val="center"/>
                    <w:rPr>
                      <w:sz w:val="21"/>
                      <w:szCs w:val="21"/>
                    </w:rPr>
                  </w:pPr>
                  <w:r>
                    <w:rPr>
                      <w:sz w:val="21"/>
                      <w:szCs w:val="21"/>
                    </w:rPr>
                    <w:t xml:space="preserve">0.22 </w:t>
                  </w:r>
                </w:p>
              </w:tc>
              <w:tc>
                <w:tcPr>
                  <w:tcW w:w="0" w:type="auto"/>
                  <w:tcBorders>
                    <w:bottom w:val="single" w:color="auto" w:sz="12" w:space="0"/>
                  </w:tcBorders>
                  <w:shd w:val="clear" w:color="auto" w:fill="auto"/>
                  <w:vAlign w:val="center"/>
                </w:tcPr>
                <w:p w14:paraId="7D1E1982">
                  <w:pPr>
                    <w:jc w:val="center"/>
                    <w:rPr>
                      <w:sz w:val="21"/>
                      <w:szCs w:val="21"/>
                    </w:rPr>
                  </w:pPr>
                  <w:r>
                    <w:rPr>
                      <w:sz w:val="21"/>
                      <w:szCs w:val="21"/>
                    </w:rPr>
                    <w:t xml:space="preserve">0.60 </w:t>
                  </w:r>
                </w:p>
              </w:tc>
            </w:tr>
          </w:tbl>
          <w:p w14:paraId="61659E9C">
            <w:pPr>
              <w:spacing w:line="460" w:lineRule="exact"/>
              <w:ind w:firstLine="440" w:firstLineChars="200"/>
              <w:rPr>
                <w:bCs/>
                <w:spacing w:val="-10"/>
              </w:rPr>
            </w:pPr>
            <w:r>
              <w:rPr>
                <w:rFonts w:hint="eastAsia"/>
                <w:bCs/>
                <w:spacing w:val="-10"/>
              </w:rPr>
              <w:t>本</w:t>
            </w:r>
            <w:r>
              <w:rPr>
                <w:bCs/>
                <w:spacing w:val="-10"/>
              </w:rPr>
              <w:t>项目</w:t>
            </w:r>
            <w:r>
              <w:rPr>
                <w:rFonts w:hint="eastAsia"/>
                <w:bCs/>
                <w:spacing w:val="-10"/>
              </w:rPr>
              <w:t>醇醚燃料燃烧废气</w:t>
            </w:r>
            <w:r>
              <w:rPr>
                <w:bCs/>
                <w:spacing w:val="-10"/>
              </w:rPr>
              <w:t>经</w:t>
            </w:r>
            <w:r>
              <w:rPr>
                <w:rFonts w:hint="eastAsia"/>
                <w:bCs/>
                <w:spacing w:val="-10"/>
              </w:rPr>
              <w:t>“低氮燃烧装置”</w:t>
            </w:r>
            <w:r>
              <w:rPr>
                <w:bCs/>
                <w:spacing w:val="-10"/>
              </w:rPr>
              <w:t>处理后（处理效率30%）经一根8m高排气筒排放</w:t>
            </w:r>
            <w:r>
              <w:rPr>
                <w:rFonts w:hint="eastAsia"/>
                <w:bCs/>
                <w:spacing w:val="-10"/>
              </w:rPr>
              <w:t>，颗粒物</w:t>
            </w:r>
            <w:r>
              <w:t>排放量为0.38t/a，排放速率0.14kg/h，排放浓度14.07mg/m</w:t>
            </w:r>
            <w:r>
              <w:rPr>
                <w:vertAlign w:val="superscript"/>
              </w:rPr>
              <w:t>3</w:t>
            </w:r>
            <w:r>
              <w:rPr>
                <w:rFonts w:hint="eastAsia"/>
              </w:rPr>
              <w:t>，氮氧化物</w:t>
            </w:r>
            <w:r>
              <w:t>排放量为0.60t/a，排放速率0.22kg/h，排放浓度22.22mg/m</w:t>
            </w:r>
            <w:r>
              <w:rPr>
                <w:vertAlign w:val="superscript"/>
              </w:rPr>
              <w:t>3</w:t>
            </w:r>
            <w:r>
              <w:rPr>
                <w:rFonts w:hint="eastAsia"/>
              </w:rPr>
              <w:t>，</w:t>
            </w:r>
            <w:r>
              <w:rPr>
                <w:rFonts w:hint="eastAsia"/>
                <w:bCs/>
                <w:spacing w:val="-10"/>
              </w:rPr>
              <w:t>满足</w:t>
            </w:r>
            <w:r>
              <w:rPr>
                <w:rFonts w:hint="eastAsia"/>
              </w:rPr>
              <w:t>《锅炉大气污染物排放标准》（GB13271-2014）中表</w:t>
            </w:r>
            <w:r>
              <w:t>2</w:t>
            </w:r>
            <w:r>
              <w:rPr>
                <w:rFonts w:hint="eastAsia"/>
              </w:rPr>
              <w:t>大气污染物排放限值中燃油锅炉（颗粒物排放浓度3</w:t>
            </w:r>
            <w:r>
              <w:t>0mg/m</w:t>
            </w:r>
            <w:r>
              <w:rPr>
                <w:vertAlign w:val="superscript"/>
              </w:rPr>
              <w:t>3</w:t>
            </w:r>
            <w:r>
              <w:t>、</w:t>
            </w:r>
            <w:r>
              <w:rPr>
                <w:rFonts w:hint="eastAsia"/>
              </w:rPr>
              <w:t>氮氧化物排放浓度</w:t>
            </w:r>
            <w:r>
              <w:t>250mg/m</w:t>
            </w:r>
            <w:r>
              <w:rPr>
                <w:vertAlign w:val="superscript"/>
              </w:rPr>
              <w:t>3</w:t>
            </w:r>
            <w:r>
              <w:rPr>
                <w:rFonts w:hint="eastAsia"/>
              </w:rPr>
              <w:t>）要求</w:t>
            </w:r>
            <w:r>
              <w:rPr>
                <w:bCs/>
                <w:spacing w:val="-10"/>
              </w:rPr>
              <w:t>。</w:t>
            </w:r>
          </w:p>
          <w:p w14:paraId="1282AF20">
            <w:pPr>
              <w:spacing w:line="460" w:lineRule="exact"/>
              <w:ind w:firstLine="480" w:firstLineChars="200"/>
            </w:pPr>
            <w:r>
              <w:t>（7</w:t>
            </w:r>
            <w:r>
              <w:rPr>
                <w:rFonts w:hint="eastAsia"/>
              </w:rPr>
              <w:t>）</w:t>
            </w:r>
            <w:r>
              <w:t>沥青加热废气及搅拌废气</w:t>
            </w:r>
          </w:p>
          <w:p w14:paraId="3A851A0B">
            <w:pPr>
              <w:spacing w:line="460" w:lineRule="exact"/>
              <w:ind w:firstLine="480" w:firstLineChars="200"/>
            </w:pPr>
            <w:r>
              <w:t>本项目生产所需沥青先通过导热油炉加热，再经由沥青泵送入搅拌机中，在沥青加热、混合搅拌工序会产生沥青烟，沥青从进料到搅拌工序整个生产过程均为密闭空间。</w:t>
            </w:r>
          </w:p>
          <w:p w14:paraId="1F44F369">
            <w:pPr>
              <w:spacing w:line="460" w:lineRule="exact"/>
              <w:ind w:firstLine="480" w:firstLineChars="200"/>
            </w:pPr>
            <w:r>
              <w:t>根据《沥青搅拌设备沥青烟排放机理及控制研究》（长安大学，焦信信，2018年）中的结论，确定在沥青搅拌设备生产中沥青烟的产生</w:t>
            </w:r>
            <w:r>
              <w:rPr>
                <w:rFonts w:hint="eastAsia"/>
              </w:rPr>
              <w:t>量</w:t>
            </w:r>
            <w:r>
              <w:t>为6.3×10</w:t>
            </w:r>
            <w:r>
              <w:rPr>
                <w:vertAlign w:val="superscript"/>
              </w:rPr>
              <w:t>-4</w:t>
            </w:r>
            <w:r>
              <w:t>kg/t。本项目沥青用量为32832t/a，则沥青烟产生量为0.019t/a；</w:t>
            </w:r>
          </w:p>
          <w:p w14:paraId="333ACDB3">
            <w:pPr>
              <w:spacing w:line="460" w:lineRule="exact"/>
              <w:ind w:firstLine="480" w:firstLineChars="200"/>
            </w:pPr>
            <w:r>
              <w:t>根据《工业生产中有害物物质手册》（化学工业出版社）中提供的数据，沥青烟中苯并[a]芘含量约0.01~0.02‰，本次评价取最大值0.02‰，则苯并[a]芘产生量为3.80E-07t/a。</w:t>
            </w:r>
          </w:p>
          <w:p w14:paraId="71F21B99">
            <w:pPr>
              <w:spacing w:line="460" w:lineRule="exact"/>
              <w:ind w:firstLine="480" w:firstLineChars="200"/>
            </w:pPr>
            <w:r>
              <w:t>根据《工业生产中有害物物质手册》（化学工业出版社）有关资料，每吨沥青在加热120℃加热到160℃过程中可产生非甲烷总烃2.5g/t，则本项目非甲烷总烃产生量为0.074t/a。</w:t>
            </w:r>
          </w:p>
          <w:p w14:paraId="7019B909">
            <w:pPr>
              <w:spacing w:line="460" w:lineRule="exact"/>
              <w:ind w:firstLine="480" w:firstLineChars="200"/>
            </w:pPr>
            <w:r>
              <w:t>考虑沥青混凝土搅拌缸出口料仓和卸料口集气装置存在逸散，根据同类项目经验，按10%计算。类比同类型同规模企业，沥青烟净化处理系统风机风量取20000m</w:t>
            </w:r>
            <w:r>
              <w:rPr>
                <w:vertAlign w:val="superscript"/>
              </w:rPr>
              <w:t>3</w:t>
            </w:r>
            <w:r>
              <w:t>/h，搅拌及沥青加热废气经喷淋塔+电捕焦油器+活性炭吸附箱处理后（处理效率60%），通过15m排气筒排放。</w:t>
            </w:r>
          </w:p>
          <w:p w14:paraId="25DC833C">
            <w:pPr>
              <w:spacing w:line="460" w:lineRule="exact"/>
              <w:ind w:firstLine="480" w:firstLineChars="200"/>
            </w:pPr>
            <w:bookmarkStart w:id="21" w:name="OLE_LINK14"/>
            <w:r>
              <w:rPr>
                <w:rFonts w:hint="eastAsia"/>
              </w:rPr>
              <w:t>污染物产排情况一览表</w:t>
            </w:r>
            <w:bookmarkEnd w:id="21"/>
            <w:r>
              <w:rPr>
                <w:rFonts w:hint="eastAsia"/>
              </w:rPr>
              <w:t>见表4</w:t>
            </w:r>
            <w:r>
              <w:t>-10</w:t>
            </w:r>
            <w:r>
              <w:rPr>
                <w:rFonts w:hint="eastAsia"/>
              </w:rPr>
              <w:t>。</w:t>
            </w:r>
          </w:p>
          <w:p w14:paraId="17A35D1B">
            <w:pPr>
              <w:pStyle w:val="76"/>
              <w:ind w:firstLine="420"/>
              <w:rPr>
                <w:color w:val="auto"/>
              </w:rPr>
            </w:pPr>
            <w:r>
              <w:rPr>
                <w:rFonts w:hint="eastAsia"/>
                <w:color w:val="auto"/>
              </w:rPr>
              <w:t>表4</w:t>
            </w:r>
            <w:r>
              <w:rPr>
                <w:color w:val="auto"/>
              </w:rPr>
              <w:t>-10                 污染物</w:t>
            </w:r>
            <w:r>
              <w:rPr>
                <w:rFonts w:hint="eastAsia"/>
                <w:color w:val="auto"/>
              </w:rPr>
              <w:t>产排情况一览表</w:t>
            </w:r>
          </w:p>
          <w:tbl>
            <w:tblPr>
              <w:tblStyle w:val="24"/>
              <w:tblW w:w="5000" w:type="pct"/>
              <w:tblInd w:w="0" w:type="dxa"/>
              <w:tblLayout w:type="autofit"/>
              <w:tblCellMar>
                <w:top w:w="0" w:type="dxa"/>
                <w:left w:w="108" w:type="dxa"/>
                <w:bottom w:w="0" w:type="dxa"/>
                <w:right w:w="108" w:type="dxa"/>
              </w:tblCellMar>
            </w:tblPr>
            <w:tblGrid>
              <w:gridCol w:w="1289"/>
              <w:gridCol w:w="743"/>
              <w:gridCol w:w="992"/>
              <w:gridCol w:w="992"/>
              <w:gridCol w:w="992"/>
              <w:gridCol w:w="992"/>
              <w:gridCol w:w="992"/>
              <w:gridCol w:w="993"/>
            </w:tblGrid>
            <w:tr w14:paraId="1B833790">
              <w:tblPrEx>
                <w:tblCellMar>
                  <w:top w:w="0" w:type="dxa"/>
                  <w:left w:w="108" w:type="dxa"/>
                  <w:bottom w:w="0" w:type="dxa"/>
                  <w:right w:w="108" w:type="dxa"/>
                </w:tblCellMar>
              </w:tblPrEx>
              <w:trPr>
                <w:trHeight w:val="340" w:hRule="atLeast"/>
              </w:trPr>
              <w:tc>
                <w:tcPr>
                  <w:tcW w:w="819" w:type="pct"/>
                  <w:vMerge w:val="restart"/>
                  <w:tcBorders>
                    <w:top w:val="single" w:color="auto" w:sz="12" w:space="0"/>
                    <w:bottom w:val="single" w:color="auto" w:sz="4" w:space="0"/>
                    <w:right w:val="single" w:color="auto" w:sz="4" w:space="0"/>
                  </w:tcBorders>
                  <w:shd w:val="clear" w:color="auto" w:fill="auto"/>
                  <w:vAlign w:val="center"/>
                </w:tcPr>
                <w:p w14:paraId="71379325">
                  <w:pPr>
                    <w:widowControl/>
                    <w:jc w:val="center"/>
                    <w:rPr>
                      <w:rFonts w:ascii="宋体" w:hAnsi="宋体" w:cs="宋体"/>
                      <w:kern w:val="0"/>
                      <w:sz w:val="21"/>
                      <w:szCs w:val="21"/>
                    </w:rPr>
                  </w:pPr>
                  <w:r>
                    <w:rPr>
                      <w:rFonts w:hint="eastAsia" w:ascii="宋体" w:hAnsi="宋体" w:cs="宋体"/>
                      <w:kern w:val="0"/>
                      <w:sz w:val="21"/>
                      <w:szCs w:val="21"/>
                    </w:rPr>
                    <w:t>污染物名称</w:t>
                  </w:r>
                </w:p>
              </w:tc>
              <w:tc>
                <w:tcPr>
                  <w:tcW w:w="477" w:type="pct"/>
                  <w:tcBorders>
                    <w:top w:val="single" w:color="auto" w:sz="12" w:space="0"/>
                    <w:left w:val="nil"/>
                    <w:bottom w:val="single" w:color="auto" w:sz="4" w:space="0"/>
                    <w:right w:val="single" w:color="auto" w:sz="4" w:space="0"/>
                  </w:tcBorders>
                  <w:shd w:val="clear" w:color="auto" w:fill="auto"/>
                  <w:vAlign w:val="center"/>
                </w:tcPr>
                <w:p w14:paraId="7C14F770">
                  <w:pPr>
                    <w:widowControl/>
                    <w:jc w:val="center"/>
                    <w:rPr>
                      <w:rFonts w:ascii="宋体" w:hAnsi="宋体" w:cs="宋体"/>
                      <w:kern w:val="0"/>
                      <w:sz w:val="21"/>
                      <w:szCs w:val="21"/>
                    </w:rPr>
                  </w:pPr>
                  <w:r>
                    <w:rPr>
                      <w:rFonts w:hint="eastAsia" w:ascii="宋体" w:hAnsi="宋体" w:cs="宋体"/>
                      <w:kern w:val="0"/>
                      <w:sz w:val="21"/>
                      <w:szCs w:val="21"/>
                    </w:rPr>
                    <w:t>废气量</w:t>
                  </w:r>
                </w:p>
              </w:tc>
              <w:tc>
                <w:tcPr>
                  <w:tcW w:w="1852" w:type="pct"/>
                  <w:gridSpan w:val="3"/>
                  <w:tcBorders>
                    <w:top w:val="single" w:color="auto" w:sz="12" w:space="0"/>
                    <w:left w:val="nil"/>
                    <w:bottom w:val="single" w:color="auto" w:sz="4" w:space="0"/>
                    <w:right w:val="single" w:color="auto" w:sz="4" w:space="0"/>
                  </w:tcBorders>
                  <w:shd w:val="clear" w:color="auto" w:fill="auto"/>
                  <w:vAlign w:val="center"/>
                </w:tcPr>
                <w:p w14:paraId="4B656D69">
                  <w:pPr>
                    <w:widowControl/>
                    <w:jc w:val="center"/>
                    <w:rPr>
                      <w:rFonts w:ascii="宋体" w:hAnsi="宋体" w:cs="宋体"/>
                      <w:kern w:val="0"/>
                      <w:sz w:val="21"/>
                      <w:szCs w:val="21"/>
                    </w:rPr>
                  </w:pPr>
                  <w:r>
                    <w:rPr>
                      <w:rFonts w:hint="eastAsia" w:ascii="宋体" w:hAnsi="宋体" w:cs="宋体"/>
                      <w:kern w:val="0"/>
                      <w:sz w:val="21"/>
                      <w:szCs w:val="21"/>
                    </w:rPr>
                    <w:t>产生情况</w:t>
                  </w:r>
                </w:p>
              </w:tc>
              <w:tc>
                <w:tcPr>
                  <w:tcW w:w="1852" w:type="pct"/>
                  <w:gridSpan w:val="3"/>
                  <w:tcBorders>
                    <w:top w:val="single" w:color="auto" w:sz="12" w:space="0"/>
                    <w:left w:val="nil"/>
                    <w:bottom w:val="single" w:color="auto" w:sz="4" w:space="0"/>
                  </w:tcBorders>
                  <w:shd w:val="clear" w:color="auto" w:fill="auto"/>
                  <w:vAlign w:val="center"/>
                </w:tcPr>
                <w:p w14:paraId="0D233A60">
                  <w:pPr>
                    <w:widowControl/>
                    <w:jc w:val="center"/>
                    <w:rPr>
                      <w:rFonts w:ascii="宋体" w:hAnsi="宋体" w:cs="宋体"/>
                      <w:kern w:val="0"/>
                      <w:sz w:val="21"/>
                      <w:szCs w:val="21"/>
                    </w:rPr>
                  </w:pPr>
                  <w:r>
                    <w:rPr>
                      <w:rFonts w:hint="eastAsia" w:ascii="宋体" w:hAnsi="宋体" w:cs="宋体"/>
                      <w:kern w:val="0"/>
                      <w:sz w:val="21"/>
                      <w:szCs w:val="21"/>
                    </w:rPr>
                    <w:t>排放情况</w:t>
                  </w:r>
                </w:p>
              </w:tc>
            </w:tr>
            <w:tr w14:paraId="03094BDF">
              <w:tblPrEx>
                <w:tblCellMar>
                  <w:top w:w="0" w:type="dxa"/>
                  <w:left w:w="108" w:type="dxa"/>
                  <w:bottom w:w="0" w:type="dxa"/>
                  <w:right w:w="108" w:type="dxa"/>
                </w:tblCellMar>
              </w:tblPrEx>
              <w:trPr>
                <w:trHeight w:val="340" w:hRule="atLeast"/>
              </w:trPr>
              <w:tc>
                <w:tcPr>
                  <w:tcW w:w="819" w:type="pct"/>
                  <w:vMerge w:val="continue"/>
                  <w:tcBorders>
                    <w:top w:val="single" w:color="auto" w:sz="4" w:space="0"/>
                    <w:bottom w:val="single" w:color="auto" w:sz="4" w:space="0"/>
                    <w:right w:val="single" w:color="auto" w:sz="4" w:space="0"/>
                  </w:tcBorders>
                  <w:vAlign w:val="center"/>
                </w:tcPr>
                <w:p w14:paraId="13F75C1E">
                  <w:pPr>
                    <w:widowControl/>
                    <w:jc w:val="left"/>
                    <w:rPr>
                      <w:rFonts w:ascii="宋体" w:hAnsi="宋体" w:cs="宋体"/>
                      <w:kern w:val="0"/>
                      <w:sz w:val="21"/>
                      <w:szCs w:val="21"/>
                    </w:rPr>
                  </w:pPr>
                </w:p>
              </w:tc>
              <w:tc>
                <w:tcPr>
                  <w:tcW w:w="477" w:type="pct"/>
                  <w:tcBorders>
                    <w:top w:val="nil"/>
                    <w:left w:val="nil"/>
                    <w:bottom w:val="single" w:color="auto" w:sz="4" w:space="0"/>
                    <w:right w:val="single" w:color="auto" w:sz="4" w:space="0"/>
                  </w:tcBorders>
                  <w:shd w:val="clear" w:color="auto" w:fill="auto"/>
                  <w:vAlign w:val="center"/>
                </w:tcPr>
                <w:p w14:paraId="1395A558">
                  <w:pPr>
                    <w:widowControl/>
                    <w:jc w:val="center"/>
                    <w:rPr>
                      <w:rFonts w:ascii="宋体" w:hAnsi="宋体" w:cs="宋体"/>
                      <w:kern w:val="0"/>
                      <w:sz w:val="21"/>
                      <w:szCs w:val="21"/>
                    </w:rPr>
                  </w:pPr>
                  <w:r>
                    <w:rPr>
                      <w:kern w:val="0"/>
                      <w:sz w:val="21"/>
                      <w:szCs w:val="21"/>
                    </w:rPr>
                    <w:t>m</w:t>
                  </w:r>
                  <w:r>
                    <w:rPr>
                      <w:kern w:val="0"/>
                      <w:sz w:val="21"/>
                      <w:szCs w:val="21"/>
                      <w:vertAlign w:val="superscript"/>
                    </w:rPr>
                    <w:t>3</w:t>
                  </w:r>
                  <w:r>
                    <w:rPr>
                      <w:kern w:val="0"/>
                      <w:sz w:val="21"/>
                      <w:szCs w:val="21"/>
                    </w:rPr>
                    <w:t>/h</w:t>
                  </w:r>
                </w:p>
              </w:tc>
              <w:tc>
                <w:tcPr>
                  <w:tcW w:w="617" w:type="pct"/>
                  <w:tcBorders>
                    <w:top w:val="nil"/>
                    <w:left w:val="nil"/>
                    <w:bottom w:val="single" w:color="auto" w:sz="4" w:space="0"/>
                    <w:right w:val="single" w:color="auto" w:sz="4" w:space="0"/>
                  </w:tcBorders>
                  <w:shd w:val="clear" w:color="auto" w:fill="auto"/>
                  <w:vAlign w:val="center"/>
                </w:tcPr>
                <w:p w14:paraId="6EF4EE84">
                  <w:pPr>
                    <w:widowControl/>
                    <w:jc w:val="center"/>
                    <w:rPr>
                      <w:rFonts w:ascii="宋体" w:hAnsi="宋体" w:cs="宋体"/>
                      <w:kern w:val="0"/>
                      <w:sz w:val="21"/>
                      <w:szCs w:val="21"/>
                    </w:rPr>
                  </w:pPr>
                  <w:r>
                    <w:rPr>
                      <w:rFonts w:hint="eastAsia" w:ascii="宋体" w:hAnsi="宋体" w:cs="宋体"/>
                      <w:kern w:val="0"/>
                      <w:sz w:val="21"/>
                      <w:szCs w:val="21"/>
                    </w:rPr>
                    <w:t>产生浓度</w:t>
                  </w:r>
                  <w:r>
                    <w:rPr>
                      <w:kern w:val="0"/>
                      <w:sz w:val="21"/>
                      <w:szCs w:val="21"/>
                    </w:rPr>
                    <w:t>mg/m</w:t>
                  </w:r>
                  <w:r>
                    <w:rPr>
                      <w:kern w:val="0"/>
                      <w:sz w:val="21"/>
                      <w:szCs w:val="21"/>
                      <w:vertAlign w:val="superscript"/>
                    </w:rPr>
                    <w:t>3</w:t>
                  </w:r>
                </w:p>
              </w:tc>
              <w:tc>
                <w:tcPr>
                  <w:tcW w:w="617" w:type="pct"/>
                  <w:tcBorders>
                    <w:top w:val="nil"/>
                    <w:left w:val="nil"/>
                    <w:bottom w:val="single" w:color="auto" w:sz="4" w:space="0"/>
                    <w:right w:val="single" w:color="auto" w:sz="4" w:space="0"/>
                  </w:tcBorders>
                  <w:shd w:val="clear" w:color="auto" w:fill="auto"/>
                  <w:vAlign w:val="center"/>
                </w:tcPr>
                <w:p w14:paraId="456F3E15">
                  <w:pPr>
                    <w:widowControl/>
                    <w:jc w:val="center"/>
                    <w:rPr>
                      <w:rFonts w:ascii="宋体" w:hAnsi="宋体" w:cs="宋体"/>
                      <w:kern w:val="0"/>
                      <w:sz w:val="21"/>
                      <w:szCs w:val="21"/>
                    </w:rPr>
                  </w:pPr>
                  <w:r>
                    <w:rPr>
                      <w:rFonts w:hint="eastAsia" w:ascii="宋体" w:hAnsi="宋体" w:cs="宋体"/>
                      <w:kern w:val="0"/>
                      <w:sz w:val="21"/>
                      <w:szCs w:val="21"/>
                    </w:rPr>
                    <w:t>产生速率</w:t>
                  </w:r>
                  <w:r>
                    <w:rPr>
                      <w:kern w:val="0"/>
                      <w:sz w:val="21"/>
                      <w:szCs w:val="21"/>
                    </w:rPr>
                    <w:t>kg/h</w:t>
                  </w:r>
                </w:p>
              </w:tc>
              <w:tc>
                <w:tcPr>
                  <w:tcW w:w="617" w:type="pct"/>
                  <w:tcBorders>
                    <w:top w:val="nil"/>
                    <w:left w:val="nil"/>
                    <w:bottom w:val="single" w:color="auto" w:sz="4" w:space="0"/>
                    <w:right w:val="single" w:color="auto" w:sz="4" w:space="0"/>
                  </w:tcBorders>
                  <w:shd w:val="clear" w:color="auto" w:fill="auto"/>
                  <w:vAlign w:val="center"/>
                </w:tcPr>
                <w:p w14:paraId="57AD767B">
                  <w:pPr>
                    <w:widowControl/>
                    <w:jc w:val="center"/>
                    <w:rPr>
                      <w:rFonts w:ascii="宋体" w:hAnsi="宋体" w:cs="宋体"/>
                      <w:kern w:val="0"/>
                      <w:sz w:val="21"/>
                      <w:szCs w:val="21"/>
                    </w:rPr>
                  </w:pPr>
                  <w:r>
                    <w:rPr>
                      <w:rFonts w:hint="eastAsia" w:ascii="宋体" w:hAnsi="宋体" w:cs="宋体"/>
                      <w:kern w:val="0"/>
                      <w:sz w:val="21"/>
                      <w:szCs w:val="21"/>
                    </w:rPr>
                    <w:t>产生量</w:t>
                  </w:r>
                  <w:r>
                    <w:rPr>
                      <w:kern w:val="0"/>
                      <w:sz w:val="21"/>
                      <w:szCs w:val="21"/>
                    </w:rPr>
                    <w:t>t/a</w:t>
                  </w:r>
                </w:p>
              </w:tc>
              <w:tc>
                <w:tcPr>
                  <w:tcW w:w="617" w:type="pct"/>
                  <w:tcBorders>
                    <w:top w:val="nil"/>
                    <w:left w:val="nil"/>
                    <w:bottom w:val="single" w:color="auto" w:sz="4" w:space="0"/>
                    <w:right w:val="single" w:color="auto" w:sz="4" w:space="0"/>
                  </w:tcBorders>
                  <w:shd w:val="clear" w:color="auto" w:fill="auto"/>
                  <w:vAlign w:val="center"/>
                </w:tcPr>
                <w:p w14:paraId="34A73822">
                  <w:pPr>
                    <w:widowControl/>
                    <w:jc w:val="center"/>
                    <w:rPr>
                      <w:rFonts w:ascii="宋体" w:hAnsi="宋体" w:cs="宋体"/>
                      <w:kern w:val="0"/>
                      <w:sz w:val="21"/>
                      <w:szCs w:val="21"/>
                    </w:rPr>
                  </w:pPr>
                  <w:r>
                    <w:rPr>
                      <w:rFonts w:hint="eastAsia" w:ascii="宋体" w:hAnsi="宋体" w:cs="宋体"/>
                      <w:kern w:val="0"/>
                      <w:sz w:val="21"/>
                      <w:szCs w:val="21"/>
                    </w:rPr>
                    <w:t>排放浓度</w:t>
                  </w:r>
                  <w:r>
                    <w:rPr>
                      <w:kern w:val="0"/>
                      <w:sz w:val="21"/>
                      <w:szCs w:val="21"/>
                    </w:rPr>
                    <w:t>mg/m</w:t>
                  </w:r>
                  <w:r>
                    <w:rPr>
                      <w:kern w:val="0"/>
                      <w:sz w:val="21"/>
                      <w:szCs w:val="21"/>
                      <w:vertAlign w:val="superscript"/>
                    </w:rPr>
                    <w:t>3</w:t>
                  </w:r>
                </w:p>
              </w:tc>
              <w:tc>
                <w:tcPr>
                  <w:tcW w:w="617" w:type="pct"/>
                  <w:tcBorders>
                    <w:top w:val="nil"/>
                    <w:left w:val="nil"/>
                    <w:bottom w:val="single" w:color="auto" w:sz="4" w:space="0"/>
                    <w:right w:val="single" w:color="auto" w:sz="4" w:space="0"/>
                  </w:tcBorders>
                  <w:shd w:val="clear" w:color="auto" w:fill="auto"/>
                  <w:vAlign w:val="center"/>
                </w:tcPr>
                <w:p w14:paraId="0E2135F7">
                  <w:pPr>
                    <w:widowControl/>
                    <w:jc w:val="center"/>
                    <w:rPr>
                      <w:rFonts w:ascii="宋体" w:hAnsi="宋体" w:cs="宋体"/>
                      <w:kern w:val="0"/>
                      <w:sz w:val="21"/>
                      <w:szCs w:val="21"/>
                    </w:rPr>
                  </w:pPr>
                  <w:r>
                    <w:rPr>
                      <w:rFonts w:hint="eastAsia" w:ascii="宋体" w:hAnsi="宋体" w:cs="宋体"/>
                      <w:kern w:val="0"/>
                      <w:sz w:val="21"/>
                      <w:szCs w:val="21"/>
                    </w:rPr>
                    <w:t>排放速率</w:t>
                  </w:r>
                  <w:r>
                    <w:rPr>
                      <w:kern w:val="0"/>
                      <w:sz w:val="21"/>
                      <w:szCs w:val="21"/>
                    </w:rPr>
                    <w:t>kg/h</w:t>
                  </w:r>
                </w:p>
              </w:tc>
              <w:tc>
                <w:tcPr>
                  <w:tcW w:w="617" w:type="pct"/>
                  <w:tcBorders>
                    <w:top w:val="nil"/>
                    <w:left w:val="nil"/>
                    <w:bottom w:val="single" w:color="auto" w:sz="4" w:space="0"/>
                  </w:tcBorders>
                  <w:shd w:val="clear" w:color="auto" w:fill="auto"/>
                  <w:vAlign w:val="center"/>
                </w:tcPr>
                <w:p w14:paraId="2B1FEE64">
                  <w:pPr>
                    <w:widowControl/>
                    <w:jc w:val="center"/>
                    <w:rPr>
                      <w:rFonts w:ascii="宋体" w:hAnsi="宋体" w:cs="宋体"/>
                      <w:kern w:val="0"/>
                      <w:sz w:val="21"/>
                      <w:szCs w:val="21"/>
                    </w:rPr>
                  </w:pPr>
                  <w:r>
                    <w:rPr>
                      <w:rFonts w:hint="eastAsia" w:ascii="宋体" w:hAnsi="宋体" w:cs="宋体"/>
                      <w:kern w:val="0"/>
                      <w:sz w:val="21"/>
                      <w:szCs w:val="21"/>
                    </w:rPr>
                    <w:t>排放量</w:t>
                  </w:r>
                  <w:r>
                    <w:rPr>
                      <w:kern w:val="0"/>
                      <w:sz w:val="21"/>
                      <w:szCs w:val="21"/>
                    </w:rPr>
                    <w:t>t/a</w:t>
                  </w:r>
                </w:p>
              </w:tc>
            </w:tr>
            <w:tr w14:paraId="326E4B31">
              <w:tblPrEx>
                <w:tblCellMar>
                  <w:top w:w="0" w:type="dxa"/>
                  <w:left w:w="108" w:type="dxa"/>
                  <w:bottom w:w="0" w:type="dxa"/>
                  <w:right w:w="108" w:type="dxa"/>
                </w:tblCellMar>
              </w:tblPrEx>
              <w:trPr>
                <w:trHeight w:val="340" w:hRule="atLeast"/>
              </w:trPr>
              <w:tc>
                <w:tcPr>
                  <w:tcW w:w="819" w:type="pct"/>
                  <w:tcBorders>
                    <w:top w:val="nil"/>
                    <w:bottom w:val="single" w:color="auto" w:sz="4" w:space="0"/>
                    <w:right w:val="single" w:color="auto" w:sz="4" w:space="0"/>
                  </w:tcBorders>
                  <w:shd w:val="clear" w:color="auto" w:fill="auto"/>
                  <w:vAlign w:val="center"/>
                </w:tcPr>
                <w:p w14:paraId="16B05FD0">
                  <w:pPr>
                    <w:widowControl/>
                    <w:jc w:val="center"/>
                    <w:rPr>
                      <w:rFonts w:ascii="宋体" w:hAnsi="宋体" w:cs="宋体"/>
                      <w:kern w:val="0"/>
                      <w:sz w:val="21"/>
                      <w:szCs w:val="21"/>
                    </w:rPr>
                  </w:pPr>
                  <w:r>
                    <w:rPr>
                      <w:rFonts w:hint="eastAsia" w:ascii="宋体" w:hAnsi="宋体" w:cs="宋体"/>
                      <w:kern w:val="0"/>
                      <w:sz w:val="21"/>
                      <w:szCs w:val="21"/>
                    </w:rPr>
                    <w:t>沥青烟</w:t>
                  </w:r>
                </w:p>
              </w:tc>
              <w:tc>
                <w:tcPr>
                  <w:tcW w:w="477" w:type="pct"/>
                  <w:tcBorders>
                    <w:top w:val="nil"/>
                    <w:left w:val="nil"/>
                    <w:bottom w:val="single" w:color="auto" w:sz="4" w:space="0"/>
                    <w:right w:val="single" w:color="auto" w:sz="4" w:space="0"/>
                  </w:tcBorders>
                  <w:shd w:val="clear" w:color="auto" w:fill="auto"/>
                  <w:vAlign w:val="center"/>
                </w:tcPr>
                <w:p w14:paraId="07587214">
                  <w:pPr>
                    <w:widowControl/>
                    <w:jc w:val="center"/>
                    <w:rPr>
                      <w:kern w:val="0"/>
                      <w:sz w:val="21"/>
                      <w:szCs w:val="21"/>
                    </w:rPr>
                  </w:pPr>
                  <w:r>
                    <w:rPr>
                      <w:kern w:val="0"/>
                      <w:sz w:val="21"/>
                      <w:szCs w:val="21"/>
                    </w:rPr>
                    <w:t>20000</w:t>
                  </w:r>
                </w:p>
              </w:tc>
              <w:tc>
                <w:tcPr>
                  <w:tcW w:w="617" w:type="pct"/>
                  <w:tcBorders>
                    <w:top w:val="nil"/>
                    <w:left w:val="nil"/>
                    <w:bottom w:val="single" w:color="auto" w:sz="8" w:space="0"/>
                    <w:right w:val="single" w:color="auto" w:sz="8" w:space="0"/>
                  </w:tcBorders>
                  <w:shd w:val="clear" w:color="auto" w:fill="auto"/>
                  <w:vAlign w:val="center"/>
                </w:tcPr>
                <w:p w14:paraId="671D26A1">
                  <w:pPr>
                    <w:widowControl/>
                    <w:jc w:val="center"/>
                    <w:rPr>
                      <w:kern w:val="0"/>
                      <w:sz w:val="21"/>
                      <w:szCs w:val="21"/>
                    </w:rPr>
                  </w:pPr>
                  <w:r>
                    <w:rPr>
                      <w:sz w:val="21"/>
                      <w:szCs w:val="21"/>
                    </w:rPr>
                    <w:t>0.35</w:t>
                  </w:r>
                </w:p>
              </w:tc>
              <w:tc>
                <w:tcPr>
                  <w:tcW w:w="617" w:type="pct"/>
                  <w:tcBorders>
                    <w:top w:val="nil"/>
                    <w:left w:val="nil"/>
                    <w:bottom w:val="single" w:color="auto" w:sz="8" w:space="0"/>
                    <w:right w:val="single" w:color="auto" w:sz="8" w:space="0"/>
                  </w:tcBorders>
                  <w:shd w:val="clear" w:color="auto" w:fill="auto"/>
                  <w:vAlign w:val="center"/>
                </w:tcPr>
                <w:p w14:paraId="645FE59F">
                  <w:pPr>
                    <w:jc w:val="center"/>
                    <w:rPr>
                      <w:sz w:val="21"/>
                      <w:szCs w:val="21"/>
                    </w:rPr>
                  </w:pPr>
                  <w:r>
                    <w:rPr>
                      <w:sz w:val="21"/>
                      <w:szCs w:val="21"/>
                    </w:rPr>
                    <w:t>0.0070</w:t>
                  </w:r>
                </w:p>
              </w:tc>
              <w:tc>
                <w:tcPr>
                  <w:tcW w:w="617" w:type="pct"/>
                  <w:tcBorders>
                    <w:top w:val="nil"/>
                    <w:left w:val="nil"/>
                    <w:bottom w:val="single" w:color="auto" w:sz="8" w:space="0"/>
                    <w:right w:val="single" w:color="auto" w:sz="8" w:space="0"/>
                  </w:tcBorders>
                  <w:shd w:val="clear" w:color="auto" w:fill="auto"/>
                  <w:vAlign w:val="center"/>
                </w:tcPr>
                <w:p w14:paraId="4DF8FD9F">
                  <w:pPr>
                    <w:jc w:val="center"/>
                    <w:rPr>
                      <w:sz w:val="21"/>
                      <w:szCs w:val="21"/>
                    </w:rPr>
                  </w:pPr>
                  <w:r>
                    <w:rPr>
                      <w:sz w:val="21"/>
                      <w:szCs w:val="21"/>
                    </w:rPr>
                    <w:t>0.019</w:t>
                  </w:r>
                </w:p>
              </w:tc>
              <w:tc>
                <w:tcPr>
                  <w:tcW w:w="617" w:type="pct"/>
                  <w:tcBorders>
                    <w:top w:val="nil"/>
                    <w:left w:val="nil"/>
                    <w:bottom w:val="single" w:color="auto" w:sz="8" w:space="0"/>
                    <w:right w:val="single" w:color="auto" w:sz="8" w:space="0"/>
                  </w:tcBorders>
                  <w:shd w:val="clear" w:color="auto" w:fill="auto"/>
                  <w:vAlign w:val="center"/>
                </w:tcPr>
                <w:p w14:paraId="64269613">
                  <w:pPr>
                    <w:jc w:val="center"/>
                    <w:rPr>
                      <w:sz w:val="21"/>
                      <w:szCs w:val="21"/>
                    </w:rPr>
                  </w:pPr>
                  <w:r>
                    <w:rPr>
                      <w:sz w:val="21"/>
                      <w:szCs w:val="21"/>
                    </w:rPr>
                    <w:t>0.148</w:t>
                  </w:r>
                </w:p>
              </w:tc>
              <w:tc>
                <w:tcPr>
                  <w:tcW w:w="617" w:type="pct"/>
                  <w:tcBorders>
                    <w:top w:val="nil"/>
                    <w:left w:val="nil"/>
                    <w:bottom w:val="single" w:color="auto" w:sz="8" w:space="0"/>
                    <w:right w:val="single" w:color="auto" w:sz="8" w:space="0"/>
                  </w:tcBorders>
                  <w:shd w:val="clear" w:color="auto" w:fill="auto"/>
                  <w:vAlign w:val="center"/>
                </w:tcPr>
                <w:p w14:paraId="37584486">
                  <w:pPr>
                    <w:jc w:val="center"/>
                    <w:rPr>
                      <w:sz w:val="21"/>
                      <w:szCs w:val="21"/>
                    </w:rPr>
                  </w:pPr>
                  <w:r>
                    <w:rPr>
                      <w:sz w:val="21"/>
                      <w:szCs w:val="21"/>
                    </w:rPr>
                    <w:t>0.003</w:t>
                  </w:r>
                </w:p>
              </w:tc>
              <w:tc>
                <w:tcPr>
                  <w:tcW w:w="617" w:type="pct"/>
                  <w:tcBorders>
                    <w:top w:val="nil"/>
                    <w:left w:val="nil"/>
                    <w:bottom w:val="single" w:color="auto" w:sz="8" w:space="0"/>
                    <w:right w:val="nil"/>
                  </w:tcBorders>
                  <w:shd w:val="clear" w:color="auto" w:fill="auto"/>
                  <w:vAlign w:val="center"/>
                </w:tcPr>
                <w:p w14:paraId="5049988D">
                  <w:pPr>
                    <w:jc w:val="center"/>
                    <w:rPr>
                      <w:sz w:val="21"/>
                      <w:szCs w:val="21"/>
                    </w:rPr>
                  </w:pPr>
                  <w:r>
                    <w:rPr>
                      <w:sz w:val="21"/>
                      <w:szCs w:val="21"/>
                    </w:rPr>
                    <w:t>0.008</w:t>
                  </w:r>
                </w:p>
              </w:tc>
            </w:tr>
            <w:tr w14:paraId="6465F492">
              <w:tblPrEx>
                <w:tblCellMar>
                  <w:top w:w="0" w:type="dxa"/>
                  <w:left w:w="108" w:type="dxa"/>
                  <w:bottom w:w="0" w:type="dxa"/>
                  <w:right w:w="108" w:type="dxa"/>
                </w:tblCellMar>
              </w:tblPrEx>
              <w:trPr>
                <w:trHeight w:val="340" w:hRule="atLeast"/>
              </w:trPr>
              <w:tc>
                <w:tcPr>
                  <w:tcW w:w="819" w:type="pct"/>
                  <w:tcBorders>
                    <w:top w:val="nil"/>
                    <w:bottom w:val="single" w:color="auto" w:sz="4" w:space="0"/>
                    <w:right w:val="single" w:color="auto" w:sz="4" w:space="0"/>
                  </w:tcBorders>
                  <w:shd w:val="clear" w:color="auto" w:fill="auto"/>
                  <w:vAlign w:val="center"/>
                </w:tcPr>
                <w:p w14:paraId="4C4754D7">
                  <w:pPr>
                    <w:widowControl/>
                    <w:jc w:val="center"/>
                    <w:rPr>
                      <w:rFonts w:ascii="宋体" w:hAnsi="宋体" w:cs="宋体"/>
                      <w:kern w:val="0"/>
                      <w:sz w:val="21"/>
                      <w:szCs w:val="21"/>
                    </w:rPr>
                  </w:pPr>
                  <w:r>
                    <w:rPr>
                      <w:rFonts w:hint="eastAsia" w:ascii="宋体" w:hAnsi="宋体" w:cs="宋体"/>
                      <w:kern w:val="0"/>
                      <w:sz w:val="21"/>
                      <w:szCs w:val="21"/>
                    </w:rPr>
                    <w:t>苯并[a]芘</w:t>
                  </w:r>
                </w:p>
              </w:tc>
              <w:tc>
                <w:tcPr>
                  <w:tcW w:w="477" w:type="pct"/>
                  <w:tcBorders>
                    <w:top w:val="nil"/>
                    <w:left w:val="nil"/>
                    <w:bottom w:val="single" w:color="auto" w:sz="4" w:space="0"/>
                    <w:right w:val="single" w:color="auto" w:sz="4" w:space="0"/>
                  </w:tcBorders>
                  <w:shd w:val="clear" w:color="auto" w:fill="auto"/>
                  <w:vAlign w:val="center"/>
                </w:tcPr>
                <w:p w14:paraId="678EA53A">
                  <w:pPr>
                    <w:widowControl/>
                    <w:jc w:val="center"/>
                    <w:rPr>
                      <w:kern w:val="0"/>
                      <w:sz w:val="21"/>
                      <w:szCs w:val="21"/>
                    </w:rPr>
                  </w:pPr>
                  <w:r>
                    <w:rPr>
                      <w:kern w:val="0"/>
                      <w:sz w:val="21"/>
                      <w:szCs w:val="21"/>
                    </w:rPr>
                    <w:t>20000</w:t>
                  </w:r>
                </w:p>
              </w:tc>
              <w:tc>
                <w:tcPr>
                  <w:tcW w:w="617" w:type="pct"/>
                  <w:tcBorders>
                    <w:top w:val="nil"/>
                    <w:left w:val="nil"/>
                    <w:bottom w:val="single" w:color="auto" w:sz="8" w:space="0"/>
                    <w:right w:val="single" w:color="auto" w:sz="8" w:space="0"/>
                  </w:tcBorders>
                  <w:shd w:val="clear" w:color="auto" w:fill="auto"/>
                  <w:vAlign w:val="center"/>
                </w:tcPr>
                <w:p w14:paraId="66659C34">
                  <w:pPr>
                    <w:jc w:val="center"/>
                    <w:rPr>
                      <w:sz w:val="21"/>
                      <w:szCs w:val="21"/>
                    </w:rPr>
                  </w:pPr>
                  <w:r>
                    <w:rPr>
                      <w:sz w:val="21"/>
                      <w:szCs w:val="21"/>
                    </w:rPr>
                    <w:t>7.04E-06</w:t>
                  </w:r>
                </w:p>
              </w:tc>
              <w:tc>
                <w:tcPr>
                  <w:tcW w:w="617" w:type="pct"/>
                  <w:tcBorders>
                    <w:top w:val="nil"/>
                    <w:left w:val="nil"/>
                    <w:bottom w:val="single" w:color="auto" w:sz="8" w:space="0"/>
                    <w:right w:val="single" w:color="auto" w:sz="8" w:space="0"/>
                  </w:tcBorders>
                  <w:shd w:val="clear" w:color="auto" w:fill="auto"/>
                  <w:vAlign w:val="center"/>
                </w:tcPr>
                <w:p w14:paraId="63265393">
                  <w:pPr>
                    <w:jc w:val="center"/>
                    <w:rPr>
                      <w:sz w:val="21"/>
                      <w:szCs w:val="21"/>
                    </w:rPr>
                  </w:pPr>
                  <w:r>
                    <w:rPr>
                      <w:sz w:val="21"/>
                      <w:szCs w:val="21"/>
                    </w:rPr>
                    <w:t>1.41E-07</w:t>
                  </w:r>
                </w:p>
              </w:tc>
              <w:tc>
                <w:tcPr>
                  <w:tcW w:w="617" w:type="pct"/>
                  <w:tcBorders>
                    <w:top w:val="nil"/>
                    <w:left w:val="nil"/>
                    <w:bottom w:val="single" w:color="auto" w:sz="8" w:space="0"/>
                    <w:right w:val="single" w:color="auto" w:sz="8" w:space="0"/>
                  </w:tcBorders>
                  <w:shd w:val="clear" w:color="auto" w:fill="auto"/>
                  <w:vAlign w:val="center"/>
                </w:tcPr>
                <w:p w14:paraId="506122B1">
                  <w:pPr>
                    <w:jc w:val="center"/>
                    <w:rPr>
                      <w:sz w:val="21"/>
                      <w:szCs w:val="21"/>
                    </w:rPr>
                  </w:pPr>
                  <w:r>
                    <w:rPr>
                      <w:sz w:val="21"/>
                      <w:szCs w:val="21"/>
                    </w:rPr>
                    <w:t>3.80E-07</w:t>
                  </w:r>
                </w:p>
              </w:tc>
              <w:tc>
                <w:tcPr>
                  <w:tcW w:w="617" w:type="pct"/>
                  <w:tcBorders>
                    <w:top w:val="nil"/>
                    <w:left w:val="nil"/>
                    <w:bottom w:val="single" w:color="auto" w:sz="8" w:space="0"/>
                    <w:right w:val="single" w:color="auto" w:sz="8" w:space="0"/>
                  </w:tcBorders>
                  <w:shd w:val="clear" w:color="auto" w:fill="auto"/>
                  <w:vAlign w:val="center"/>
                </w:tcPr>
                <w:p w14:paraId="397CB68B">
                  <w:pPr>
                    <w:jc w:val="center"/>
                    <w:rPr>
                      <w:sz w:val="21"/>
                      <w:szCs w:val="21"/>
                    </w:rPr>
                  </w:pPr>
                  <w:r>
                    <w:rPr>
                      <w:sz w:val="21"/>
                      <w:szCs w:val="21"/>
                    </w:rPr>
                    <w:t>7.04E-08</w:t>
                  </w:r>
                </w:p>
              </w:tc>
              <w:tc>
                <w:tcPr>
                  <w:tcW w:w="617" w:type="pct"/>
                  <w:tcBorders>
                    <w:top w:val="nil"/>
                    <w:left w:val="nil"/>
                    <w:bottom w:val="single" w:color="auto" w:sz="8" w:space="0"/>
                    <w:right w:val="single" w:color="auto" w:sz="8" w:space="0"/>
                  </w:tcBorders>
                  <w:shd w:val="clear" w:color="auto" w:fill="auto"/>
                  <w:vAlign w:val="center"/>
                </w:tcPr>
                <w:p w14:paraId="0073CEF6">
                  <w:pPr>
                    <w:jc w:val="center"/>
                    <w:rPr>
                      <w:sz w:val="21"/>
                      <w:szCs w:val="21"/>
                    </w:rPr>
                  </w:pPr>
                  <w:r>
                    <w:rPr>
                      <w:sz w:val="21"/>
                      <w:szCs w:val="21"/>
                    </w:rPr>
                    <w:t>1.41E-09</w:t>
                  </w:r>
                </w:p>
              </w:tc>
              <w:tc>
                <w:tcPr>
                  <w:tcW w:w="617" w:type="pct"/>
                  <w:tcBorders>
                    <w:top w:val="nil"/>
                    <w:left w:val="nil"/>
                    <w:bottom w:val="single" w:color="auto" w:sz="8" w:space="0"/>
                    <w:right w:val="nil"/>
                  </w:tcBorders>
                  <w:shd w:val="clear" w:color="auto" w:fill="auto"/>
                  <w:vAlign w:val="center"/>
                </w:tcPr>
                <w:p w14:paraId="75D76C62">
                  <w:pPr>
                    <w:jc w:val="center"/>
                    <w:rPr>
                      <w:sz w:val="21"/>
                      <w:szCs w:val="21"/>
                    </w:rPr>
                  </w:pPr>
                  <w:r>
                    <w:rPr>
                      <w:sz w:val="21"/>
                      <w:szCs w:val="21"/>
                    </w:rPr>
                    <w:t>3.80E-09</w:t>
                  </w:r>
                </w:p>
              </w:tc>
            </w:tr>
            <w:tr w14:paraId="1D9578C1">
              <w:tblPrEx>
                <w:tblCellMar>
                  <w:top w:w="0" w:type="dxa"/>
                  <w:left w:w="108" w:type="dxa"/>
                  <w:bottom w:w="0" w:type="dxa"/>
                  <w:right w:w="108" w:type="dxa"/>
                </w:tblCellMar>
              </w:tblPrEx>
              <w:trPr>
                <w:trHeight w:val="340" w:hRule="atLeast"/>
              </w:trPr>
              <w:tc>
                <w:tcPr>
                  <w:tcW w:w="819" w:type="pct"/>
                  <w:tcBorders>
                    <w:top w:val="nil"/>
                    <w:bottom w:val="single" w:color="auto" w:sz="12" w:space="0"/>
                    <w:right w:val="single" w:color="auto" w:sz="4" w:space="0"/>
                  </w:tcBorders>
                  <w:shd w:val="clear" w:color="auto" w:fill="auto"/>
                  <w:noWrap/>
                  <w:vAlign w:val="center"/>
                </w:tcPr>
                <w:p w14:paraId="36646BEB">
                  <w:pPr>
                    <w:widowControl/>
                    <w:jc w:val="center"/>
                    <w:rPr>
                      <w:rFonts w:ascii="宋体" w:hAnsi="宋体" w:cs="宋体"/>
                      <w:kern w:val="0"/>
                      <w:sz w:val="21"/>
                      <w:szCs w:val="21"/>
                    </w:rPr>
                  </w:pPr>
                  <w:r>
                    <w:rPr>
                      <w:rFonts w:hint="eastAsia" w:ascii="宋体" w:hAnsi="宋体" w:cs="宋体"/>
                      <w:kern w:val="0"/>
                      <w:sz w:val="21"/>
                      <w:szCs w:val="21"/>
                    </w:rPr>
                    <w:t>非甲烷总烃</w:t>
                  </w:r>
                </w:p>
              </w:tc>
              <w:tc>
                <w:tcPr>
                  <w:tcW w:w="477" w:type="pct"/>
                  <w:tcBorders>
                    <w:top w:val="nil"/>
                    <w:left w:val="nil"/>
                    <w:bottom w:val="single" w:color="auto" w:sz="12" w:space="0"/>
                    <w:right w:val="single" w:color="auto" w:sz="4" w:space="0"/>
                  </w:tcBorders>
                  <w:shd w:val="clear" w:color="auto" w:fill="auto"/>
                  <w:noWrap/>
                  <w:vAlign w:val="center"/>
                </w:tcPr>
                <w:p w14:paraId="458CD8E8">
                  <w:pPr>
                    <w:widowControl/>
                    <w:jc w:val="center"/>
                    <w:rPr>
                      <w:kern w:val="0"/>
                      <w:sz w:val="21"/>
                      <w:szCs w:val="21"/>
                    </w:rPr>
                  </w:pPr>
                  <w:r>
                    <w:rPr>
                      <w:kern w:val="0"/>
                      <w:sz w:val="21"/>
                      <w:szCs w:val="21"/>
                    </w:rPr>
                    <w:t>20000</w:t>
                  </w:r>
                </w:p>
              </w:tc>
              <w:tc>
                <w:tcPr>
                  <w:tcW w:w="617" w:type="pct"/>
                  <w:tcBorders>
                    <w:top w:val="nil"/>
                    <w:left w:val="nil"/>
                    <w:bottom w:val="single" w:color="auto" w:sz="12" w:space="0"/>
                    <w:right w:val="single" w:color="auto" w:sz="8" w:space="0"/>
                  </w:tcBorders>
                  <w:shd w:val="clear" w:color="auto" w:fill="auto"/>
                  <w:vAlign w:val="center"/>
                </w:tcPr>
                <w:p w14:paraId="476A2182">
                  <w:pPr>
                    <w:jc w:val="center"/>
                    <w:rPr>
                      <w:sz w:val="21"/>
                      <w:szCs w:val="21"/>
                    </w:rPr>
                  </w:pPr>
                  <w:r>
                    <w:rPr>
                      <w:sz w:val="21"/>
                      <w:szCs w:val="21"/>
                    </w:rPr>
                    <w:t>1.37</w:t>
                  </w:r>
                </w:p>
              </w:tc>
              <w:tc>
                <w:tcPr>
                  <w:tcW w:w="617" w:type="pct"/>
                  <w:tcBorders>
                    <w:top w:val="nil"/>
                    <w:left w:val="nil"/>
                    <w:bottom w:val="single" w:color="auto" w:sz="12" w:space="0"/>
                    <w:right w:val="single" w:color="auto" w:sz="8" w:space="0"/>
                  </w:tcBorders>
                  <w:shd w:val="clear" w:color="auto" w:fill="auto"/>
                  <w:vAlign w:val="center"/>
                </w:tcPr>
                <w:p w14:paraId="4D946147">
                  <w:pPr>
                    <w:jc w:val="center"/>
                    <w:rPr>
                      <w:sz w:val="21"/>
                      <w:szCs w:val="21"/>
                    </w:rPr>
                  </w:pPr>
                  <w:r>
                    <w:rPr>
                      <w:sz w:val="21"/>
                      <w:szCs w:val="21"/>
                    </w:rPr>
                    <w:t>0.03</w:t>
                  </w:r>
                </w:p>
              </w:tc>
              <w:tc>
                <w:tcPr>
                  <w:tcW w:w="617" w:type="pct"/>
                  <w:tcBorders>
                    <w:top w:val="nil"/>
                    <w:left w:val="nil"/>
                    <w:bottom w:val="single" w:color="auto" w:sz="12" w:space="0"/>
                    <w:right w:val="single" w:color="auto" w:sz="8" w:space="0"/>
                  </w:tcBorders>
                  <w:shd w:val="clear" w:color="auto" w:fill="auto"/>
                  <w:vAlign w:val="center"/>
                </w:tcPr>
                <w:p w14:paraId="5064AD98">
                  <w:pPr>
                    <w:jc w:val="center"/>
                    <w:rPr>
                      <w:sz w:val="21"/>
                      <w:szCs w:val="21"/>
                    </w:rPr>
                  </w:pPr>
                  <w:r>
                    <w:rPr>
                      <w:sz w:val="21"/>
                      <w:szCs w:val="21"/>
                    </w:rPr>
                    <w:t>0.074</w:t>
                  </w:r>
                </w:p>
              </w:tc>
              <w:tc>
                <w:tcPr>
                  <w:tcW w:w="617" w:type="pct"/>
                  <w:tcBorders>
                    <w:top w:val="nil"/>
                    <w:left w:val="nil"/>
                    <w:bottom w:val="single" w:color="auto" w:sz="12" w:space="0"/>
                    <w:right w:val="single" w:color="auto" w:sz="8" w:space="0"/>
                  </w:tcBorders>
                  <w:shd w:val="clear" w:color="auto" w:fill="auto"/>
                  <w:vAlign w:val="center"/>
                </w:tcPr>
                <w:p w14:paraId="41648107">
                  <w:pPr>
                    <w:jc w:val="center"/>
                    <w:rPr>
                      <w:sz w:val="21"/>
                      <w:szCs w:val="21"/>
                    </w:rPr>
                  </w:pPr>
                  <w:r>
                    <w:rPr>
                      <w:sz w:val="21"/>
                      <w:szCs w:val="21"/>
                    </w:rPr>
                    <w:t>0.56</w:t>
                  </w:r>
                </w:p>
              </w:tc>
              <w:tc>
                <w:tcPr>
                  <w:tcW w:w="617" w:type="pct"/>
                  <w:tcBorders>
                    <w:top w:val="nil"/>
                    <w:left w:val="nil"/>
                    <w:bottom w:val="single" w:color="auto" w:sz="12" w:space="0"/>
                    <w:right w:val="single" w:color="auto" w:sz="8" w:space="0"/>
                  </w:tcBorders>
                  <w:shd w:val="clear" w:color="auto" w:fill="auto"/>
                  <w:vAlign w:val="center"/>
                </w:tcPr>
                <w:p w14:paraId="47B6B718">
                  <w:pPr>
                    <w:jc w:val="center"/>
                    <w:rPr>
                      <w:sz w:val="21"/>
                      <w:szCs w:val="21"/>
                    </w:rPr>
                  </w:pPr>
                  <w:r>
                    <w:rPr>
                      <w:sz w:val="21"/>
                      <w:szCs w:val="21"/>
                    </w:rPr>
                    <w:t>0.011</w:t>
                  </w:r>
                </w:p>
              </w:tc>
              <w:tc>
                <w:tcPr>
                  <w:tcW w:w="617" w:type="pct"/>
                  <w:tcBorders>
                    <w:top w:val="nil"/>
                    <w:left w:val="nil"/>
                    <w:bottom w:val="single" w:color="auto" w:sz="12" w:space="0"/>
                    <w:right w:val="nil"/>
                  </w:tcBorders>
                  <w:shd w:val="clear" w:color="auto" w:fill="auto"/>
                  <w:vAlign w:val="center"/>
                </w:tcPr>
                <w:p w14:paraId="479AED7C">
                  <w:pPr>
                    <w:jc w:val="center"/>
                    <w:rPr>
                      <w:sz w:val="21"/>
                      <w:szCs w:val="21"/>
                    </w:rPr>
                  </w:pPr>
                  <w:r>
                    <w:rPr>
                      <w:sz w:val="21"/>
                      <w:szCs w:val="21"/>
                    </w:rPr>
                    <w:t>0.030</w:t>
                  </w:r>
                </w:p>
              </w:tc>
            </w:tr>
          </w:tbl>
          <w:p w14:paraId="0A463B44">
            <w:pPr>
              <w:spacing w:line="460" w:lineRule="exact"/>
              <w:ind w:firstLine="480" w:firstLineChars="200"/>
            </w:pPr>
            <w:r>
              <w:t>处理后沥青烟、苯并[a]芘及非甲烷总烃的有组织排放量分别为0.008t/a、3.80E-09t/a、0.030t/a，无组织排放量为0.002t/a、4.38E-08t/a、0.008t/a</w:t>
            </w:r>
            <w:r>
              <w:rPr>
                <w:rFonts w:hint="eastAsia"/>
              </w:rPr>
              <w:t>，通过计算，排放速率和排放浓度满足</w:t>
            </w:r>
            <w:r>
              <w:t>《大气污染物综合排放标准》（GB16297-1996）</w:t>
            </w:r>
            <w:r>
              <w:rPr>
                <w:rFonts w:hint="eastAsia"/>
              </w:rPr>
              <w:t>表2新污染源大气污染物排放限值要求。</w:t>
            </w:r>
          </w:p>
          <w:p w14:paraId="435C4731">
            <w:pPr>
              <w:spacing w:line="460" w:lineRule="exact"/>
              <w:ind w:firstLine="480" w:firstLineChars="200"/>
            </w:pPr>
            <w:r>
              <w:t>（8）厂区道路运输粉尘</w:t>
            </w:r>
          </w:p>
          <w:p w14:paraId="4623F213">
            <w:pPr>
              <w:spacing w:line="460" w:lineRule="exact"/>
              <w:ind w:firstLine="480" w:firstLineChars="200"/>
            </w:pPr>
            <w:r>
              <w:t>原料运输的主要工具是汽车，汽车在运输过程不可避免地会产生扬尘。根据汽车道路扬尘扩散规律，当风速小于4m/s时，风速对汽车在道路上行驶时引起的扬尘量影响较小；当风速大于4m/s时，由于风也能引起扬尘，所以风速对汽车扬尘产生量有明显影响。本项目各物料在运输过程中会产生道路扬尘，</w:t>
            </w:r>
            <w:r>
              <w:rPr>
                <w:rFonts w:hint="eastAsia"/>
              </w:rPr>
              <w:t>道路起尘扬尘的计算公式如下：</w:t>
            </w:r>
          </w:p>
          <w:p w14:paraId="6C0AA37C">
            <w:pPr>
              <w:spacing w:line="360" w:lineRule="auto"/>
              <w:ind w:firstLine="480" w:firstLineChars="200"/>
              <w:jc w:val="center"/>
              <w:rPr>
                <w:bCs/>
              </w:rPr>
            </w:pPr>
            <w:r>
              <w:drawing>
                <wp:inline distT="0" distB="0" distL="0" distR="0">
                  <wp:extent cx="2233295" cy="46609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33295" cy="466090"/>
                          </a:xfrm>
                          <a:prstGeom prst="rect">
                            <a:avLst/>
                          </a:prstGeom>
                          <a:noFill/>
                          <a:ln>
                            <a:noFill/>
                          </a:ln>
                        </pic:spPr>
                      </pic:pic>
                    </a:graphicData>
                  </a:graphic>
                </wp:inline>
              </w:drawing>
            </w:r>
            <w:r>
              <w:rPr>
                <w:bCs/>
              </w:rPr>
              <w:t xml:space="preserve"> </w:t>
            </w:r>
          </w:p>
          <w:p w14:paraId="6F2EAB0E">
            <w:pPr>
              <w:jc w:val="center"/>
              <w:rPr>
                <w:b/>
                <w:szCs w:val="21"/>
              </w:rPr>
            </w:pPr>
            <w:r>
              <w:drawing>
                <wp:inline distT="0" distB="0" distL="0" distR="0">
                  <wp:extent cx="1090295" cy="40449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90295" cy="404495"/>
                          </a:xfrm>
                          <a:prstGeom prst="rect">
                            <a:avLst/>
                          </a:prstGeom>
                          <a:noFill/>
                          <a:ln>
                            <a:noFill/>
                          </a:ln>
                        </pic:spPr>
                      </pic:pic>
                    </a:graphicData>
                  </a:graphic>
                </wp:inline>
              </w:drawing>
            </w:r>
            <w:r>
              <w:rPr>
                <w:b/>
              </w:rPr>
              <w:t xml:space="preserve"> </w:t>
            </w:r>
          </w:p>
          <w:p w14:paraId="6C651E36">
            <w:pPr>
              <w:adjustRightInd w:val="0"/>
              <w:snapToGrid w:val="0"/>
              <w:spacing w:line="460" w:lineRule="exact"/>
              <w:ind w:firstLine="480" w:firstLineChars="200"/>
              <w:rPr>
                <w:kern w:val="0"/>
                <w:position w:val="2"/>
              </w:rPr>
            </w:pPr>
            <w:r>
              <w:t>式中：Q</w:t>
            </w:r>
            <w:r>
              <w:rPr>
                <w:vertAlign w:val="subscript"/>
              </w:rPr>
              <w:t>p’</w:t>
            </w:r>
            <w:r>
              <w:rPr>
                <w:kern w:val="0"/>
                <w:position w:val="2"/>
              </w:rPr>
              <w:t>—道路扬尘量，kg/a；</w:t>
            </w:r>
          </w:p>
          <w:p w14:paraId="7E44EDA2">
            <w:pPr>
              <w:spacing w:line="460" w:lineRule="exact"/>
              <w:ind w:firstLine="1200" w:firstLineChars="500"/>
            </w:pPr>
            <w:r>
              <w:t>Q</w:t>
            </w:r>
            <w:r>
              <w:rPr>
                <w:vertAlign w:val="subscript"/>
              </w:rPr>
              <w:t>p</w:t>
            </w:r>
            <w:r>
              <w:rPr>
                <w:kern w:val="0"/>
                <w:position w:val="2"/>
              </w:rPr>
              <w:t>—每辆汽车行驶扬尘量，kg/km·辆；</w:t>
            </w:r>
          </w:p>
          <w:p w14:paraId="355D4EF9">
            <w:pPr>
              <w:adjustRightInd w:val="0"/>
              <w:snapToGrid w:val="0"/>
              <w:spacing w:line="460" w:lineRule="exact"/>
              <w:ind w:firstLine="1200" w:firstLineChars="500"/>
            </w:pPr>
            <w:r>
              <w:t>V</w:t>
            </w:r>
            <w:r>
              <w:rPr>
                <w:kern w:val="0"/>
                <w:position w:val="2"/>
              </w:rPr>
              <w:t>—车辆速度，20km/h</w:t>
            </w:r>
          </w:p>
          <w:p w14:paraId="57AB6851">
            <w:pPr>
              <w:adjustRightInd w:val="0"/>
              <w:snapToGrid w:val="0"/>
              <w:spacing w:line="460" w:lineRule="exact"/>
              <w:ind w:firstLine="1200" w:firstLineChars="500"/>
              <w:rPr>
                <w:kern w:val="0"/>
                <w:position w:val="2"/>
              </w:rPr>
            </w:pPr>
            <w:r>
              <w:t>W</w:t>
            </w:r>
            <w:r>
              <w:rPr>
                <w:kern w:val="0"/>
                <w:position w:val="2"/>
              </w:rPr>
              <w:t>—车辆载重，30t/辆；</w:t>
            </w:r>
          </w:p>
          <w:p w14:paraId="65CDDEAA">
            <w:pPr>
              <w:spacing w:line="460" w:lineRule="exact"/>
              <w:ind w:firstLine="1200" w:firstLineChars="500"/>
            </w:pPr>
            <w:r>
              <w:rPr>
                <w:kern w:val="0"/>
                <w:position w:val="2"/>
              </w:rPr>
              <w:t>P—道路灰尘覆盖量，0.2kg/m</w:t>
            </w:r>
            <w:r>
              <w:rPr>
                <w:kern w:val="0"/>
                <w:position w:val="2"/>
                <w:vertAlign w:val="superscript"/>
              </w:rPr>
              <w:t>2</w:t>
            </w:r>
            <w:r>
              <w:rPr>
                <w:kern w:val="0"/>
                <w:position w:val="2"/>
              </w:rPr>
              <w:t>；</w:t>
            </w:r>
          </w:p>
          <w:p w14:paraId="25E40789">
            <w:pPr>
              <w:adjustRightInd w:val="0"/>
              <w:snapToGrid w:val="0"/>
              <w:spacing w:line="460" w:lineRule="exact"/>
              <w:ind w:firstLine="1200" w:firstLineChars="500"/>
            </w:pPr>
            <w:r>
              <w:t>L</w:t>
            </w:r>
            <w:r>
              <w:rPr>
                <w:kern w:val="0"/>
                <w:position w:val="2"/>
              </w:rPr>
              <w:t>—运距，</w:t>
            </w:r>
            <w:r>
              <w:rPr>
                <w:rFonts w:hint="eastAsia"/>
                <w:kern w:val="0"/>
                <w:position w:val="2"/>
              </w:rPr>
              <w:t>0</w:t>
            </w:r>
            <w:r>
              <w:rPr>
                <w:kern w:val="0"/>
                <w:position w:val="2"/>
              </w:rPr>
              <w:t>.2km；</w:t>
            </w:r>
          </w:p>
          <w:p w14:paraId="3801DC33">
            <w:pPr>
              <w:adjustRightInd w:val="0"/>
              <w:snapToGrid w:val="0"/>
              <w:spacing w:line="460" w:lineRule="exact"/>
              <w:ind w:firstLine="1200" w:firstLineChars="500"/>
              <w:rPr>
                <w:kern w:val="0"/>
                <w:position w:val="2"/>
              </w:rPr>
            </w:pPr>
            <w:r>
              <w:t>Q</w:t>
            </w:r>
            <w:r>
              <w:rPr>
                <w:kern w:val="0"/>
                <w:position w:val="2"/>
              </w:rPr>
              <w:t>—运输量，t，</w:t>
            </w:r>
            <w:r>
              <w:rPr>
                <w:rFonts w:hint="eastAsia"/>
                <w:kern w:val="0"/>
                <w:position w:val="2"/>
              </w:rPr>
              <w:t>原料</w:t>
            </w:r>
            <w:r>
              <w:rPr>
                <w:kern w:val="0"/>
                <w:position w:val="2"/>
              </w:rPr>
              <w:t>1806188.6t/a</w:t>
            </w:r>
            <w:r>
              <w:rPr>
                <w:rFonts w:hint="eastAsia"/>
                <w:kern w:val="0"/>
                <w:position w:val="2"/>
              </w:rPr>
              <w:t>，产品</w:t>
            </w:r>
            <w:r>
              <w:rPr>
                <w:kern w:val="0"/>
                <w:position w:val="2"/>
              </w:rPr>
              <w:t>1912000t/a；</w:t>
            </w:r>
          </w:p>
          <w:p w14:paraId="3A696AAB">
            <w:pPr>
              <w:adjustRightInd w:val="0"/>
              <w:snapToGrid w:val="0"/>
              <w:spacing w:line="460" w:lineRule="exact"/>
              <w:ind w:firstLine="1200" w:firstLineChars="500"/>
              <w:rPr>
                <w:kern w:val="0"/>
                <w:position w:val="2"/>
              </w:rPr>
            </w:pPr>
            <w:r>
              <w:rPr>
                <w:rFonts w:hint="eastAsia"/>
                <w:kern w:val="0"/>
                <w:lang w:bidi="ar"/>
              </w:rPr>
              <w:t>M</w:t>
            </w:r>
            <w:r>
              <w:rPr>
                <w:kern w:val="0"/>
                <w:lang w:bidi="ar"/>
              </w:rPr>
              <w:t>——车辆载重（</w:t>
            </w:r>
            <w:r>
              <w:rPr>
                <w:rFonts w:hint="eastAsia"/>
                <w:kern w:val="0"/>
                <w:lang w:bidi="ar"/>
              </w:rPr>
              <w:t>汽车</w:t>
            </w:r>
            <w:r>
              <w:rPr>
                <w:kern w:val="0"/>
                <w:lang w:bidi="ar"/>
              </w:rPr>
              <w:t>30t/辆）</w:t>
            </w:r>
          </w:p>
          <w:p w14:paraId="792DE94D">
            <w:pPr>
              <w:spacing w:line="460" w:lineRule="exact"/>
              <w:ind w:firstLine="480" w:firstLineChars="200"/>
            </w:pPr>
            <w:r>
              <w:t>根据预测，单辆汽车行驶扬尘量为0.898kg/km。</w:t>
            </w:r>
          </w:p>
          <w:p w14:paraId="715C1E3D">
            <w:pPr>
              <w:keepNext/>
              <w:keepLines/>
              <w:spacing w:line="460" w:lineRule="exact"/>
              <w:ind w:firstLine="480" w:firstLineChars="200"/>
            </w:pPr>
            <w:r>
              <w:t>项目一年运输次数为123940次</w:t>
            </w:r>
            <w:r>
              <w:rPr>
                <w:rFonts w:hint="eastAsia"/>
              </w:rPr>
              <w:t>，</w:t>
            </w:r>
            <w:r>
              <w:t>运输粉尘产生量22.26t/a</w:t>
            </w:r>
            <w:r>
              <w:rPr>
                <w:rFonts w:hint="eastAsia"/>
              </w:rPr>
              <w:t>，</w:t>
            </w:r>
            <w:r>
              <w:t>运输量与运输汽车覆盖与否、道路表面含尘量大小有关。本评价要求运输车辆必须对车体进行覆盖，道路定期人工清扫，场区配有一辆专用洒水车，在晴天对路面进行清扫和洒水，在除雨天均进行6次以上洒水降尘。预计防尘效率可达60%，即采取防护措施后运输粉尘产生量为8.904t/a。</w:t>
            </w:r>
          </w:p>
          <w:p w14:paraId="76010052">
            <w:pPr>
              <w:spacing w:line="460" w:lineRule="exact"/>
              <w:ind w:firstLine="480" w:firstLineChars="200"/>
            </w:pPr>
            <w:r>
              <w:rPr>
                <w:rFonts w:hint="eastAsia"/>
              </w:rPr>
              <w:t>（9）</w:t>
            </w:r>
            <w:r>
              <w:t>焊接烟尘</w:t>
            </w:r>
          </w:p>
          <w:p w14:paraId="1F7634DD">
            <w:pPr>
              <w:spacing w:line="460" w:lineRule="exact"/>
              <w:ind w:firstLine="480" w:firstLineChars="200"/>
            </w:pPr>
            <w:r>
              <w:t>本项目焊丝用量为6.5t/a，</w:t>
            </w:r>
            <w:r>
              <w:rPr>
                <w:rFonts w:hint="eastAsia"/>
              </w:rPr>
              <w:t>参照《排放源统计调查产排污核算方法和系数手册》焊接产污系数为</w:t>
            </w:r>
            <w:r>
              <w:t>9.19</w:t>
            </w:r>
            <w:r>
              <w:rPr>
                <w:rFonts w:hint="eastAsia"/>
              </w:rPr>
              <w:t>kg/t</w:t>
            </w:r>
            <w:r>
              <w:t>-</w:t>
            </w:r>
            <w:r>
              <w:rPr>
                <w:rFonts w:hint="eastAsia"/>
              </w:rPr>
              <w:t>原料</w:t>
            </w:r>
            <w:r>
              <w:t>，则焊接烟尘产生量为0.06t/a</w:t>
            </w:r>
            <w:r>
              <w:rPr>
                <w:rFonts w:hint="eastAsia"/>
              </w:rPr>
              <w:t>，年焊接时间为2</w:t>
            </w:r>
            <w:r>
              <w:t>70</w:t>
            </w:r>
            <w:r>
              <w:rPr>
                <w:rFonts w:hint="eastAsia"/>
              </w:rPr>
              <w:t>天，每天焊接</w:t>
            </w:r>
            <w:r>
              <w:t>1</w:t>
            </w:r>
            <w:r>
              <w:rPr>
                <w:rFonts w:hint="eastAsia"/>
              </w:rPr>
              <w:t>小时，产生速率为0</w:t>
            </w:r>
            <w:r>
              <w:t>.22kg/h。移动式烟尘净化器处理效率为95%，则处理后焊接烟尘</w:t>
            </w:r>
            <w:r>
              <w:rPr>
                <w:rFonts w:hint="eastAsia"/>
              </w:rPr>
              <w:t>排放</w:t>
            </w:r>
            <w:r>
              <w:t>量为0.003t/a，</w:t>
            </w:r>
            <w:r>
              <w:rPr>
                <w:rFonts w:hint="eastAsia"/>
              </w:rPr>
              <w:t>排放速率为0</w:t>
            </w:r>
            <w:r>
              <w:t>.011kg/h</w:t>
            </w:r>
            <w:r>
              <w:rPr>
                <w:rFonts w:hint="eastAsia"/>
              </w:rPr>
              <w:t>，</w:t>
            </w:r>
            <w:r>
              <w:t>以无组织形式在车间内沉降，加强车间通风，采取以上措施后焊接烟尘对周边环境影响较小。</w:t>
            </w:r>
          </w:p>
          <w:p w14:paraId="14D6CB7E">
            <w:pPr>
              <w:spacing w:line="460" w:lineRule="exact"/>
              <w:ind w:firstLine="480" w:firstLineChars="200"/>
            </w:pPr>
            <w:r>
              <w:rPr>
                <w:rFonts w:hint="eastAsia"/>
              </w:rPr>
              <w:t>（1</w:t>
            </w:r>
            <w:r>
              <w:t>0</w:t>
            </w:r>
            <w:r>
              <w:rPr>
                <w:rFonts w:hint="eastAsia"/>
              </w:rPr>
              <w:t>）切割废气</w:t>
            </w:r>
          </w:p>
          <w:p w14:paraId="0F496603">
            <w:pPr>
              <w:spacing w:line="460" w:lineRule="exact"/>
              <w:ind w:firstLine="480" w:firstLineChars="200"/>
            </w:pPr>
            <w:r>
              <w:t>本项目</w:t>
            </w:r>
            <w:r>
              <w:rPr>
                <w:rFonts w:hint="eastAsia"/>
              </w:rPr>
              <w:t>钢筋</w:t>
            </w:r>
            <w:r>
              <w:t>用量为5030t/a，</w:t>
            </w:r>
            <w:r>
              <w:rPr>
                <w:rFonts w:hint="eastAsia"/>
              </w:rPr>
              <w:t>约2</w:t>
            </w:r>
            <w:r>
              <w:t>0%</w:t>
            </w:r>
            <w:r>
              <w:rPr>
                <w:rFonts w:hint="eastAsia"/>
              </w:rPr>
              <w:t>的原料钢材需要切割，参照《排放源统计调查产排污核算方法和系数手册》下料中锯床、砂轮切割机切割产污系数为</w:t>
            </w:r>
            <w:r>
              <w:t>5.3</w:t>
            </w:r>
            <w:r>
              <w:rPr>
                <w:rFonts w:hint="eastAsia"/>
              </w:rPr>
              <w:t>kg/t</w:t>
            </w:r>
            <w:r>
              <w:t>-</w:t>
            </w:r>
            <w:r>
              <w:rPr>
                <w:rFonts w:hint="eastAsia"/>
              </w:rPr>
              <w:t>原料</w:t>
            </w:r>
            <w:r>
              <w:t>，则</w:t>
            </w:r>
            <w:r>
              <w:rPr>
                <w:rFonts w:hint="eastAsia"/>
              </w:rPr>
              <w:t>切割废气</w:t>
            </w:r>
            <w:r>
              <w:t>产生量为5.33t/a。</w:t>
            </w:r>
            <w:r>
              <w:rPr>
                <w:rFonts w:hint="eastAsia"/>
              </w:rPr>
              <w:t>年切割时间为270天，每天切割2小时，产生速率为</w:t>
            </w:r>
            <w:r>
              <w:t>9.87kg</w:t>
            </w:r>
            <w:r>
              <w:rPr>
                <w:rFonts w:hint="eastAsia"/>
              </w:rPr>
              <w:t>/h，切割粉尘经过厂房沉降后呈无组织排放，切割粉尘为金属颗粒，比重较大，沉降效率90%，经过车间沉降后，切割粉尘排放量</w:t>
            </w:r>
            <w:r>
              <w:t>0.533</w:t>
            </w:r>
            <w:r>
              <w:rPr>
                <w:rFonts w:hint="eastAsia"/>
              </w:rPr>
              <w:t>t/</w:t>
            </w:r>
            <w:r>
              <w:t>a</w:t>
            </w:r>
            <w:r>
              <w:rPr>
                <w:rFonts w:hint="eastAsia"/>
              </w:rPr>
              <w:t>，排放速率为</w:t>
            </w:r>
            <w:r>
              <w:t>0.987kg</w:t>
            </w:r>
            <w:r>
              <w:rPr>
                <w:rFonts w:hint="eastAsia"/>
              </w:rPr>
              <w:t>/h，</w:t>
            </w:r>
            <w:r>
              <w:t>加强车间通风，采取以上措施后</w:t>
            </w:r>
            <w:r>
              <w:rPr>
                <w:rFonts w:hint="eastAsia"/>
              </w:rPr>
              <w:t>切割</w:t>
            </w:r>
            <w:r>
              <w:t>烟尘对周边环境影响较小。</w:t>
            </w:r>
          </w:p>
          <w:p w14:paraId="0DDB2E46">
            <w:pPr>
              <w:spacing w:line="460" w:lineRule="exact"/>
              <w:ind w:firstLine="480" w:firstLineChars="200"/>
            </w:pPr>
            <w:r>
              <w:t>（11）食堂油烟</w:t>
            </w:r>
          </w:p>
          <w:p w14:paraId="2C8AFB36">
            <w:pPr>
              <w:spacing w:line="460" w:lineRule="exact"/>
              <w:ind w:firstLine="480" w:firstLineChars="200"/>
            </w:pPr>
            <w:r>
              <w:t>油烟指烹调油烟，它是食用油加热到250℃以上，发生氧化、水解、聚合、裂解等反应，随沸腾的油挥发出来的烹调烟气，是一种混合性污染物，约含200多种成</w:t>
            </w:r>
            <w:r>
              <w:rPr>
                <w:rFonts w:hint="eastAsia"/>
              </w:rPr>
              <w:t>分</w:t>
            </w:r>
            <w:r>
              <w:t>。</w:t>
            </w:r>
            <w:r>
              <w:rPr>
                <w:rFonts w:hint="eastAsia"/>
              </w:rPr>
              <w:t>项目食堂可供职工</w:t>
            </w:r>
            <w:r>
              <w:t>30</w:t>
            </w:r>
            <w:r>
              <w:rPr>
                <w:rFonts w:hint="eastAsia"/>
              </w:rPr>
              <w:t>人用餐，年工作日</w:t>
            </w:r>
            <w:r>
              <w:t>270</w:t>
            </w:r>
            <w:r>
              <w:rPr>
                <w:rFonts w:hint="eastAsia"/>
              </w:rPr>
              <w:t>天，日工作时间6</w:t>
            </w:r>
            <w:r>
              <w:t>h</w:t>
            </w:r>
            <w:r>
              <w:rPr>
                <w:rFonts w:hint="eastAsia"/>
              </w:rPr>
              <w:t>，每个灶头风量约为3</w:t>
            </w:r>
            <w:r>
              <w:t>000</w:t>
            </w:r>
            <w:r>
              <w:rPr>
                <w:rFonts w:hint="eastAsia"/>
                <w:bCs/>
              </w:rPr>
              <w:t>m</w:t>
            </w:r>
            <w:r>
              <w:rPr>
                <w:rFonts w:hint="eastAsia"/>
                <w:bCs/>
                <w:vertAlign w:val="superscript"/>
              </w:rPr>
              <w:t>3</w:t>
            </w:r>
            <w:r>
              <w:rPr>
                <w:rFonts w:hint="eastAsia"/>
                <w:bCs/>
              </w:rPr>
              <w:t>/h，共设置4个灶头，</w:t>
            </w:r>
            <w:r>
              <w:t>根据调查，全国人均每天摄取的油脂基本在44g以上，本次环评人均用油量按50g/d计，本项目劳动定员30人，则耗油量为0.41t/a，根据类比相关数据可知，油烟挥发量约为用油量的2%～4%，本次环评取4%，则本项目居民厨房油烟产生量约为0.016t/a，</w:t>
            </w:r>
            <w:r>
              <w:rPr>
                <w:rFonts w:hint="eastAsia"/>
              </w:rPr>
              <w:t>产生浓度约为</w:t>
            </w:r>
            <w:r>
              <w:t>0.82</w:t>
            </w:r>
            <w:r>
              <w:rPr>
                <w:rFonts w:hint="eastAsia"/>
                <w:bCs/>
              </w:rPr>
              <w:t>mg/m</w:t>
            </w:r>
            <w:r>
              <w:rPr>
                <w:rFonts w:hint="eastAsia"/>
                <w:bCs/>
                <w:vertAlign w:val="superscript"/>
              </w:rPr>
              <w:t>3</w:t>
            </w:r>
            <w:r>
              <w:rPr>
                <w:rFonts w:hint="eastAsia"/>
                <w:bCs/>
              </w:rPr>
              <w:t>，建设单位在食堂内配套安装</w:t>
            </w:r>
            <w:r>
              <w:t>油烟</w:t>
            </w:r>
            <w:r>
              <w:rPr>
                <w:rFonts w:hint="eastAsia"/>
              </w:rPr>
              <w:t>净化装置，处理效率不低于7</w:t>
            </w:r>
            <w:r>
              <w:t>5%</w:t>
            </w:r>
            <w:r>
              <w:rPr>
                <w:rFonts w:hint="eastAsia"/>
              </w:rPr>
              <w:t>，油烟经处理后排放量为0.0</w:t>
            </w:r>
            <w:r>
              <w:t>04</w:t>
            </w:r>
            <w:r>
              <w:rPr>
                <w:rFonts w:hint="eastAsia"/>
              </w:rPr>
              <w:t>t/a，排放浓度为0.21mg/m</w:t>
            </w:r>
            <w:r>
              <w:rPr>
                <w:rFonts w:hint="eastAsia"/>
                <w:vertAlign w:val="superscript"/>
              </w:rPr>
              <w:t>3</w:t>
            </w:r>
            <w:r>
              <w:rPr>
                <w:rFonts w:hint="eastAsia"/>
              </w:rPr>
              <w:t>，满足《饮食业油烟排放标准（试行）》（GB18483-2001）表2中型最高允许排放浓度为2.0mg/m</w:t>
            </w:r>
            <w:r>
              <w:rPr>
                <w:rFonts w:hint="eastAsia"/>
                <w:vertAlign w:val="superscript"/>
              </w:rPr>
              <w:t>3</w:t>
            </w:r>
            <w:r>
              <w:rPr>
                <w:rFonts w:hint="eastAsia"/>
              </w:rPr>
              <w:t>的限值要求，并由专用烟道引至高空排放。</w:t>
            </w:r>
          </w:p>
          <w:p w14:paraId="6AD420E7">
            <w:pPr>
              <w:spacing w:line="460" w:lineRule="exact"/>
              <w:ind w:firstLine="480" w:firstLineChars="200"/>
            </w:pPr>
            <w:r>
              <w:rPr>
                <w:rFonts w:hint="eastAsia"/>
              </w:rPr>
              <w:t>项目废气产生、治理及排放状况一览表见表4</w:t>
            </w:r>
            <w:r>
              <w:t>-11</w:t>
            </w:r>
            <w:r>
              <w:rPr>
                <w:rFonts w:hint="eastAsia"/>
              </w:rPr>
              <w:t>。</w:t>
            </w:r>
          </w:p>
          <w:p w14:paraId="66FF3966">
            <w:pPr>
              <w:spacing w:line="460" w:lineRule="exact"/>
              <w:ind w:firstLine="482" w:firstLineChars="200"/>
              <w:rPr>
                <w:b/>
                <w:bCs/>
              </w:rPr>
            </w:pPr>
            <w:r>
              <w:rPr>
                <w:b/>
                <w:bCs/>
              </w:rPr>
              <w:t>1.2废气非正常排放</w:t>
            </w:r>
          </w:p>
          <w:p w14:paraId="6849E514">
            <w:pPr>
              <w:spacing w:line="460" w:lineRule="exact"/>
              <w:ind w:firstLine="480" w:firstLineChars="200"/>
            </w:pPr>
            <w:r>
              <w:t>非正常排放主要是指生产过程中开、停车、检修、发生故障情况下污染物的排放，不包括事故。非正常排放大小及频率与生产装置的工艺水平、操作管理水平等因素有密切关系，若没有严格的处理措施，往往是造成污染的重要因素。本项目非正常工况主要包括开、停车，检修；电力供应突然中断；废气处理设施故障。项目非正常工况会引起污染物的非正常排放。本项目非正常工况下主要为袋式除尘器、喷淋塔损坏等导致废气处置效率降低</w:t>
            </w:r>
            <w:r>
              <w:rPr>
                <w:rFonts w:hint="eastAsia"/>
              </w:rPr>
              <w:t>。</w:t>
            </w:r>
          </w:p>
          <w:p w14:paraId="75E62719">
            <w:pPr>
              <w:spacing w:line="460" w:lineRule="exact"/>
              <w:ind w:firstLine="480" w:firstLineChars="200"/>
            </w:pPr>
            <w:r>
              <w:t>拟建项目非正常工况为配套的废气处理装置处理效率无法达到设计效率时，</w:t>
            </w:r>
            <w:r>
              <w:rPr>
                <w:rFonts w:hint="eastAsia"/>
              </w:rPr>
              <w:t>（非正常工况年排放时间按1h时间计算)</w:t>
            </w:r>
            <w:r>
              <w:t>，废气在未经有效处理的情况通过排气筒排放。</w:t>
            </w:r>
          </w:p>
          <w:p w14:paraId="1976ED6F">
            <w:pPr>
              <w:spacing w:line="460" w:lineRule="exact"/>
              <w:ind w:firstLine="480" w:firstLineChars="200"/>
            </w:pPr>
            <w:r>
              <w:rPr>
                <w:rFonts w:hint="eastAsia"/>
              </w:rPr>
              <w:t>项目非正常工况污染源主要为废气治理设施故障导致的废气非正常排放。</w:t>
            </w:r>
          </w:p>
          <w:p w14:paraId="027F7ED7">
            <w:pPr>
              <w:spacing w:line="460" w:lineRule="exact"/>
              <w:ind w:firstLine="480" w:firstLineChars="200"/>
            </w:pPr>
            <w:r>
              <w:rPr>
                <w:rFonts w:hint="eastAsia"/>
              </w:rPr>
              <w:t>（1）袋式除尘器滤袋破损</w:t>
            </w:r>
          </w:p>
          <w:p w14:paraId="7031A477">
            <w:pPr>
              <w:spacing w:line="460" w:lineRule="exact"/>
              <w:ind w:firstLine="480" w:firstLineChars="200"/>
            </w:pPr>
            <w:r>
              <w:rPr>
                <w:rFonts w:hint="eastAsia"/>
              </w:rPr>
              <w:t>袋式除尘器滤袋破损期间按照下式计算烟尘排放增加量。</w:t>
            </w:r>
          </w:p>
          <w:p w14:paraId="3B7F6970">
            <w:pPr>
              <w:spacing w:line="360" w:lineRule="auto"/>
              <w:ind w:firstLine="480" w:firstLineChars="200"/>
              <w:jc w:val="center"/>
            </w:pPr>
            <w:r>
              <w:drawing>
                <wp:inline distT="0" distB="0" distL="0" distR="0">
                  <wp:extent cx="1600200" cy="342900"/>
                  <wp:effectExtent l="0" t="0" r="0" b="0"/>
                  <wp:docPr id="5" name="图片 21" descr="1627551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162755183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00200" cy="342900"/>
                          </a:xfrm>
                          <a:prstGeom prst="rect">
                            <a:avLst/>
                          </a:prstGeom>
                          <a:noFill/>
                          <a:ln>
                            <a:noFill/>
                          </a:ln>
                        </pic:spPr>
                      </pic:pic>
                    </a:graphicData>
                  </a:graphic>
                </wp:inline>
              </w:drawing>
            </w:r>
          </w:p>
          <w:p w14:paraId="21FCB000">
            <w:pPr>
              <w:spacing w:line="460" w:lineRule="exact"/>
              <w:ind w:firstLine="480" w:firstLineChars="200"/>
            </w:pPr>
            <w:r>
              <w:rPr>
                <w:rFonts w:hint="eastAsia"/>
              </w:rPr>
              <w:t>式中：ΔM</w:t>
            </w:r>
            <w:r>
              <w:rPr>
                <w:rFonts w:hint="eastAsia"/>
                <w:vertAlign w:val="subscript"/>
              </w:rPr>
              <w:t>A</w:t>
            </w:r>
            <w:r>
              <w:rPr>
                <w:rFonts w:hint="eastAsia"/>
              </w:rPr>
              <w:t>——滤袋破损后增加的烟尘排放量，g/s；</w:t>
            </w:r>
          </w:p>
          <w:p w14:paraId="75F8C052">
            <w:pPr>
              <w:spacing w:line="460" w:lineRule="exact"/>
              <w:ind w:firstLine="480" w:firstLineChars="200"/>
            </w:pPr>
            <w:r>
              <w:t>ρ</w:t>
            </w:r>
            <w:r>
              <w:rPr>
                <w:vertAlign w:val="subscript"/>
              </w:rPr>
              <w:t>d</w:t>
            </w:r>
            <w:r>
              <w:t>——原烟气含尘质量浓度，g/m</w:t>
            </w:r>
            <w:r>
              <w:rPr>
                <w:vertAlign w:val="superscript"/>
              </w:rPr>
              <w:t>3</w:t>
            </w:r>
            <w:r>
              <w:t>，</w:t>
            </w:r>
            <w:r>
              <w:rPr>
                <w:rFonts w:hint="eastAsia"/>
              </w:rPr>
              <w:t>本项目有多种产品，取值如下：</w:t>
            </w:r>
          </w:p>
          <w:p w14:paraId="62F6FF33">
            <w:pPr>
              <w:spacing w:line="460" w:lineRule="exact"/>
              <w:ind w:firstLine="480" w:firstLineChars="200"/>
            </w:pPr>
            <w:r>
              <w:t>S——滤袋破口面积，m</w:t>
            </w:r>
            <w:r>
              <w:rPr>
                <w:vertAlign w:val="superscript"/>
              </w:rPr>
              <w:t>2</w:t>
            </w:r>
            <w:r>
              <w:t>，本项目取0.06；</w:t>
            </w:r>
          </w:p>
          <w:p w14:paraId="38A939A5">
            <w:pPr>
              <w:spacing w:line="460" w:lineRule="exact"/>
              <w:ind w:firstLine="480" w:firstLineChars="200"/>
            </w:pPr>
            <w:r>
              <w:t>v——滤袋破洞处烟气流速，m/s，一般为20～30m/s，本项目取20m/s。</w:t>
            </w:r>
          </w:p>
          <w:p w14:paraId="4F153AEB">
            <w:pPr>
              <w:pStyle w:val="59"/>
              <w:spacing w:line="460" w:lineRule="exact"/>
              <w:ind w:firstLine="480"/>
            </w:pPr>
            <w:r>
              <w:rPr>
                <w:rFonts w:hint="eastAsia"/>
              </w:rPr>
              <w:t>水泥稳定土生产线搅拌粉尘</w:t>
            </w:r>
            <w:r>
              <w:t>原烟气含尘质量浓</w:t>
            </w:r>
            <w:r>
              <w:rPr>
                <w:rFonts w:cs="Times New Roman"/>
              </w:rPr>
              <w:t>度为</w:t>
            </w:r>
            <w:r>
              <w:rPr>
                <w:rFonts w:hint="eastAsia" w:cs="Times New Roman"/>
              </w:rPr>
              <w:t>4</w:t>
            </w:r>
            <w:r>
              <w:rPr>
                <w:rFonts w:cs="Times New Roman"/>
              </w:rPr>
              <w:t>.33g/m</w:t>
            </w:r>
            <w:r>
              <w:rPr>
                <w:rFonts w:cs="Times New Roman"/>
                <w:vertAlign w:val="superscript"/>
              </w:rPr>
              <w:t>3</w:t>
            </w:r>
            <w:r>
              <w:rPr>
                <w:rFonts w:hint="eastAsia" w:cs="Times New Roman"/>
              </w:rPr>
              <w:t>，骨料烘干废气</w:t>
            </w:r>
            <w:r>
              <w:t>原烟气含尘质量浓</w:t>
            </w:r>
            <w:r>
              <w:rPr>
                <w:rFonts w:cs="Times New Roman"/>
              </w:rPr>
              <w:t>度为3.1g/m</w:t>
            </w:r>
            <w:r>
              <w:rPr>
                <w:rFonts w:cs="Times New Roman"/>
                <w:vertAlign w:val="superscript"/>
              </w:rPr>
              <w:t>3</w:t>
            </w:r>
            <w:r>
              <w:rPr>
                <w:rFonts w:hint="eastAsia" w:cs="Times New Roman"/>
              </w:rPr>
              <w:t>，</w:t>
            </w:r>
            <w:r>
              <w:rPr>
                <w:rFonts w:hint="eastAsia"/>
              </w:rPr>
              <w:t>水泥混凝土土生产线搅拌粉尘</w:t>
            </w:r>
            <w:r>
              <w:t>原烟气含尘质量浓</w:t>
            </w:r>
            <w:r>
              <w:rPr>
                <w:rFonts w:cs="Times New Roman"/>
              </w:rPr>
              <w:t>度为0.83g/m</w:t>
            </w:r>
            <w:r>
              <w:rPr>
                <w:rFonts w:cs="Times New Roman"/>
                <w:vertAlign w:val="superscript"/>
              </w:rPr>
              <w:t>3</w:t>
            </w:r>
            <w:r>
              <w:rPr>
                <w:rFonts w:hint="eastAsia" w:cs="Times New Roman"/>
              </w:rPr>
              <w:t>。</w:t>
            </w:r>
          </w:p>
          <w:p w14:paraId="7C822A40">
            <w:pPr>
              <w:pStyle w:val="59"/>
              <w:spacing w:line="460" w:lineRule="exact"/>
              <w:ind w:firstLine="480"/>
            </w:pPr>
            <w:r>
              <w:t>（2）沥青加热搅拌废气</w:t>
            </w:r>
            <w:r>
              <w:rPr>
                <w:rFonts w:hint="eastAsia"/>
              </w:rPr>
              <w:t>处理措施故障效率降低至</w:t>
            </w:r>
            <w:r>
              <w:t>30%</w:t>
            </w:r>
            <w:r>
              <w:rPr>
                <w:rFonts w:hint="eastAsia"/>
              </w:rPr>
              <w:t>，低氮燃烧故障效率降低至0</w:t>
            </w:r>
            <w:r>
              <w:t>%</w:t>
            </w:r>
            <w:r>
              <w:rPr>
                <w:rFonts w:hint="eastAsia"/>
              </w:rPr>
              <w:t>，</w:t>
            </w:r>
            <w:r>
              <w:rPr>
                <w:rFonts w:hint="eastAsia" w:ascii="宋体"/>
                <w:kern w:val="0"/>
              </w:rPr>
              <w:t>非正常排放工况下废气排放量见下表</w:t>
            </w:r>
            <w:r>
              <w:rPr>
                <w:rFonts w:cs="Times New Roman"/>
                <w:kern w:val="0"/>
              </w:rPr>
              <w:t>4-12。</w:t>
            </w:r>
          </w:p>
          <w:p w14:paraId="289BD422">
            <w:pPr>
              <w:spacing w:line="460" w:lineRule="exact"/>
              <w:ind w:firstLine="480" w:firstLineChars="200"/>
            </w:pPr>
          </w:p>
        </w:tc>
      </w:tr>
    </w:tbl>
    <w:p w14:paraId="33C18EB7">
      <w:pPr>
        <w:sectPr>
          <w:pgSz w:w="11907" w:h="16840"/>
          <w:pgMar w:top="1701" w:right="1531" w:bottom="2127" w:left="1531" w:header="851" w:footer="851" w:gutter="0"/>
          <w:cols w:space="720" w:num="1"/>
          <w:docGrid w:linePitch="312" w:charSpace="0"/>
        </w:sectPr>
      </w:pPr>
    </w:p>
    <w:p w14:paraId="238CDC9F">
      <w:pPr>
        <w:pStyle w:val="76"/>
        <w:ind w:firstLine="420"/>
        <w:rPr>
          <w:color w:val="auto"/>
        </w:rPr>
      </w:pPr>
      <w:r>
        <w:rPr>
          <w:color w:val="auto"/>
        </w:rPr>
        <w:t>表4-11                                     项目废气产生、治理及排放状况一览表</w:t>
      </w:r>
    </w:p>
    <w:tbl>
      <w:tblPr>
        <w:tblStyle w:val="24"/>
        <w:tblW w:w="532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6"/>
        <w:gridCol w:w="709"/>
        <w:gridCol w:w="354"/>
        <w:gridCol w:w="496"/>
        <w:gridCol w:w="142"/>
        <w:gridCol w:w="850"/>
        <w:gridCol w:w="851"/>
        <w:gridCol w:w="568"/>
        <w:gridCol w:w="768"/>
        <w:gridCol w:w="838"/>
        <w:gridCol w:w="718"/>
        <w:gridCol w:w="1502"/>
        <w:gridCol w:w="806"/>
        <w:gridCol w:w="507"/>
        <w:gridCol w:w="510"/>
        <w:gridCol w:w="511"/>
        <w:gridCol w:w="868"/>
        <w:gridCol w:w="538"/>
        <w:gridCol w:w="632"/>
        <w:gridCol w:w="627"/>
        <w:gridCol w:w="8"/>
        <w:gridCol w:w="634"/>
      </w:tblGrid>
      <w:tr w14:paraId="7D5279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restart"/>
            <w:vAlign w:val="center"/>
          </w:tcPr>
          <w:p w14:paraId="6DF886F1">
            <w:pPr>
              <w:autoSpaceDE w:val="0"/>
              <w:autoSpaceDN w:val="0"/>
              <w:jc w:val="center"/>
              <w:rPr>
                <w:sz w:val="21"/>
                <w:szCs w:val="21"/>
              </w:rPr>
            </w:pPr>
            <w:bookmarkStart w:id="22" w:name="_Hlk185532138"/>
            <w:r>
              <w:rPr>
                <w:sz w:val="21"/>
                <w:szCs w:val="21"/>
              </w:rPr>
              <w:t>类别</w:t>
            </w:r>
          </w:p>
        </w:tc>
        <w:tc>
          <w:tcPr>
            <w:tcW w:w="709" w:type="dxa"/>
            <w:vMerge w:val="restart"/>
            <w:vAlign w:val="center"/>
          </w:tcPr>
          <w:p w14:paraId="725DBAD1">
            <w:pPr>
              <w:autoSpaceDE w:val="0"/>
              <w:autoSpaceDN w:val="0"/>
              <w:jc w:val="center"/>
              <w:rPr>
                <w:sz w:val="21"/>
                <w:szCs w:val="21"/>
              </w:rPr>
            </w:pPr>
            <w:r>
              <w:rPr>
                <w:sz w:val="21"/>
                <w:szCs w:val="21"/>
              </w:rPr>
              <w:t>编号</w:t>
            </w:r>
          </w:p>
        </w:tc>
        <w:tc>
          <w:tcPr>
            <w:tcW w:w="992" w:type="dxa"/>
            <w:gridSpan w:val="3"/>
            <w:vMerge w:val="restart"/>
            <w:vAlign w:val="center"/>
          </w:tcPr>
          <w:p w14:paraId="10D4DA17">
            <w:pPr>
              <w:autoSpaceDE w:val="0"/>
              <w:autoSpaceDN w:val="0"/>
              <w:jc w:val="center"/>
              <w:rPr>
                <w:sz w:val="21"/>
                <w:szCs w:val="21"/>
              </w:rPr>
            </w:pPr>
            <w:r>
              <w:rPr>
                <w:sz w:val="21"/>
                <w:szCs w:val="21"/>
              </w:rPr>
              <w:t>污染源名称</w:t>
            </w:r>
          </w:p>
        </w:tc>
        <w:tc>
          <w:tcPr>
            <w:tcW w:w="850" w:type="dxa"/>
            <w:vMerge w:val="restart"/>
            <w:vAlign w:val="center"/>
          </w:tcPr>
          <w:p w14:paraId="6EADF0A2">
            <w:pPr>
              <w:autoSpaceDE w:val="0"/>
              <w:autoSpaceDN w:val="0"/>
              <w:jc w:val="center"/>
              <w:rPr>
                <w:sz w:val="21"/>
                <w:szCs w:val="21"/>
              </w:rPr>
            </w:pPr>
            <w:r>
              <w:rPr>
                <w:rFonts w:hint="eastAsia"/>
                <w:sz w:val="21"/>
                <w:szCs w:val="21"/>
              </w:rPr>
              <w:t>排气筒坐标（经度，纬度）</w:t>
            </w:r>
          </w:p>
        </w:tc>
        <w:tc>
          <w:tcPr>
            <w:tcW w:w="851" w:type="dxa"/>
            <w:vMerge w:val="restart"/>
            <w:vAlign w:val="center"/>
          </w:tcPr>
          <w:p w14:paraId="50BF6910">
            <w:pPr>
              <w:autoSpaceDE w:val="0"/>
              <w:autoSpaceDN w:val="0"/>
              <w:jc w:val="center"/>
              <w:rPr>
                <w:sz w:val="21"/>
                <w:szCs w:val="21"/>
              </w:rPr>
            </w:pPr>
            <w:r>
              <w:rPr>
                <w:sz w:val="21"/>
                <w:szCs w:val="21"/>
              </w:rPr>
              <w:t>废气排放量（m</w:t>
            </w:r>
            <w:r>
              <w:rPr>
                <w:sz w:val="21"/>
                <w:szCs w:val="21"/>
                <w:vertAlign w:val="superscript"/>
              </w:rPr>
              <w:t>3</w:t>
            </w:r>
            <w:r>
              <w:rPr>
                <w:sz w:val="21"/>
                <w:szCs w:val="21"/>
              </w:rPr>
              <w:t>/h）</w:t>
            </w:r>
          </w:p>
        </w:tc>
        <w:tc>
          <w:tcPr>
            <w:tcW w:w="568" w:type="dxa"/>
            <w:vMerge w:val="restart"/>
            <w:vAlign w:val="center"/>
          </w:tcPr>
          <w:p w14:paraId="5A2E7A4E">
            <w:pPr>
              <w:autoSpaceDE w:val="0"/>
              <w:autoSpaceDN w:val="0"/>
              <w:jc w:val="center"/>
              <w:rPr>
                <w:sz w:val="21"/>
                <w:szCs w:val="21"/>
              </w:rPr>
            </w:pPr>
            <w:r>
              <w:rPr>
                <w:sz w:val="21"/>
                <w:szCs w:val="21"/>
              </w:rPr>
              <w:t>污染物</w:t>
            </w:r>
          </w:p>
        </w:tc>
        <w:tc>
          <w:tcPr>
            <w:tcW w:w="2324" w:type="dxa"/>
            <w:gridSpan w:val="3"/>
            <w:vAlign w:val="center"/>
          </w:tcPr>
          <w:p w14:paraId="4416E6F7">
            <w:pPr>
              <w:autoSpaceDE w:val="0"/>
              <w:autoSpaceDN w:val="0"/>
              <w:jc w:val="center"/>
              <w:rPr>
                <w:sz w:val="21"/>
                <w:szCs w:val="21"/>
              </w:rPr>
            </w:pPr>
            <w:r>
              <w:rPr>
                <w:sz w:val="21"/>
                <w:szCs w:val="21"/>
              </w:rPr>
              <w:t>污染物产生情况</w:t>
            </w:r>
          </w:p>
        </w:tc>
        <w:tc>
          <w:tcPr>
            <w:tcW w:w="1502" w:type="dxa"/>
            <w:vMerge w:val="restart"/>
            <w:vAlign w:val="center"/>
          </w:tcPr>
          <w:p w14:paraId="3DA76966">
            <w:pPr>
              <w:autoSpaceDE w:val="0"/>
              <w:autoSpaceDN w:val="0"/>
              <w:jc w:val="center"/>
              <w:rPr>
                <w:sz w:val="21"/>
                <w:szCs w:val="21"/>
              </w:rPr>
            </w:pPr>
            <w:r>
              <w:rPr>
                <w:sz w:val="21"/>
                <w:szCs w:val="21"/>
              </w:rPr>
              <w:t>治理措施</w:t>
            </w:r>
          </w:p>
        </w:tc>
        <w:tc>
          <w:tcPr>
            <w:tcW w:w="806" w:type="dxa"/>
            <w:vMerge w:val="restart"/>
            <w:vAlign w:val="center"/>
          </w:tcPr>
          <w:p w14:paraId="5A833576">
            <w:pPr>
              <w:autoSpaceDE w:val="0"/>
              <w:autoSpaceDN w:val="0"/>
              <w:jc w:val="center"/>
              <w:rPr>
                <w:sz w:val="21"/>
                <w:szCs w:val="21"/>
              </w:rPr>
            </w:pPr>
            <w:r>
              <w:rPr>
                <w:sz w:val="21"/>
                <w:szCs w:val="21"/>
              </w:rPr>
              <w:t>处理效率（%）</w:t>
            </w:r>
          </w:p>
        </w:tc>
        <w:tc>
          <w:tcPr>
            <w:tcW w:w="2934" w:type="dxa"/>
            <w:gridSpan w:val="5"/>
            <w:vAlign w:val="center"/>
          </w:tcPr>
          <w:p w14:paraId="76A6CDAD">
            <w:pPr>
              <w:autoSpaceDE w:val="0"/>
              <w:autoSpaceDN w:val="0"/>
              <w:jc w:val="center"/>
              <w:rPr>
                <w:sz w:val="21"/>
                <w:szCs w:val="21"/>
              </w:rPr>
            </w:pPr>
            <w:r>
              <w:rPr>
                <w:sz w:val="21"/>
                <w:szCs w:val="21"/>
              </w:rPr>
              <w:t>排放特征</w:t>
            </w:r>
          </w:p>
        </w:tc>
        <w:tc>
          <w:tcPr>
            <w:tcW w:w="1901" w:type="dxa"/>
            <w:gridSpan w:val="4"/>
            <w:vAlign w:val="center"/>
          </w:tcPr>
          <w:p w14:paraId="782D4F92">
            <w:pPr>
              <w:autoSpaceDE w:val="0"/>
              <w:autoSpaceDN w:val="0"/>
              <w:jc w:val="center"/>
              <w:rPr>
                <w:sz w:val="21"/>
                <w:szCs w:val="21"/>
              </w:rPr>
            </w:pPr>
            <w:r>
              <w:rPr>
                <w:sz w:val="21"/>
                <w:szCs w:val="21"/>
              </w:rPr>
              <w:t>污染物排放情况</w:t>
            </w:r>
          </w:p>
        </w:tc>
      </w:tr>
      <w:tr w14:paraId="28F762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0030ED3">
            <w:pPr>
              <w:autoSpaceDE w:val="0"/>
              <w:autoSpaceDN w:val="0"/>
              <w:jc w:val="center"/>
              <w:rPr>
                <w:sz w:val="21"/>
                <w:szCs w:val="21"/>
              </w:rPr>
            </w:pPr>
          </w:p>
        </w:tc>
        <w:tc>
          <w:tcPr>
            <w:tcW w:w="709" w:type="dxa"/>
            <w:vMerge w:val="continue"/>
            <w:textDirection w:val="tbRlV"/>
            <w:vAlign w:val="center"/>
          </w:tcPr>
          <w:p w14:paraId="705CAEDC">
            <w:pPr>
              <w:autoSpaceDE w:val="0"/>
              <w:autoSpaceDN w:val="0"/>
              <w:jc w:val="center"/>
              <w:rPr>
                <w:sz w:val="21"/>
                <w:szCs w:val="21"/>
              </w:rPr>
            </w:pPr>
          </w:p>
        </w:tc>
        <w:tc>
          <w:tcPr>
            <w:tcW w:w="992" w:type="dxa"/>
            <w:gridSpan w:val="3"/>
            <w:vMerge w:val="continue"/>
            <w:vAlign w:val="center"/>
          </w:tcPr>
          <w:p w14:paraId="2EAD1194">
            <w:pPr>
              <w:autoSpaceDE w:val="0"/>
              <w:autoSpaceDN w:val="0"/>
              <w:jc w:val="center"/>
              <w:rPr>
                <w:sz w:val="21"/>
                <w:szCs w:val="21"/>
              </w:rPr>
            </w:pPr>
          </w:p>
        </w:tc>
        <w:tc>
          <w:tcPr>
            <w:tcW w:w="850" w:type="dxa"/>
            <w:vMerge w:val="continue"/>
            <w:vAlign w:val="center"/>
          </w:tcPr>
          <w:p w14:paraId="5E4A43D6">
            <w:pPr>
              <w:autoSpaceDE w:val="0"/>
              <w:autoSpaceDN w:val="0"/>
              <w:jc w:val="center"/>
              <w:rPr>
                <w:sz w:val="21"/>
                <w:szCs w:val="21"/>
              </w:rPr>
            </w:pPr>
          </w:p>
        </w:tc>
        <w:tc>
          <w:tcPr>
            <w:tcW w:w="851" w:type="dxa"/>
            <w:vMerge w:val="continue"/>
            <w:vAlign w:val="center"/>
          </w:tcPr>
          <w:p w14:paraId="408824B8">
            <w:pPr>
              <w:autoSpaceDE w:val="0"/>
              <w:autoSpaceDN w:val="0"/>
              <w:jc w:val="center"/>
              <w:rPr>
                <w:sz w:val="21"/>
                <w:szCs w:val="21"/>
              </w:rPr>
            </w:pPr>
          </w:p>
        </w:tc>
        <w:tc>
          <w:tcPr>
            <w:tcW w:w="568" w:type="dxa"/>
            <w:vMerge w:val="continue"/>
            <w:vAlign w:val="center"/>
          </w:tcPr>
          <w:p w14:paraId="41F58B66">
            <w:pPr>
              <w:autoSpaceDE w:val="0"/>
              <w:autoSpaceDN w:val="0"/>
              <w:jc w:val="center"/>
              <w:rPr>
                <w:sz w:val="21"/>
                <w:szCs w:val="21"/>
              </w:rPr>
            </w:pPr>
          </w:p>
        </w:tc>
        <w:tc>
          <w:tcPr>
            <w:tcW w:w="768" w:type="dxa"/>
            <w:vAlign w:val="center"/>
          </w:tcPr>
          <w:p w14:paraId="03F198C2">
            <w:pPr>
              <w:autoSpaceDE w:val="0"/>
              <w:autoSpaceDN w:val="0"/>
              <w:jc w:val="center"/>
              <w:rPr>
                <w:sz w:val="21"/>
                <w:szCs w:val="21"/>
              </w:rPr>
            </w:pPr>
            <w:r>
              <w:rPr>
                <w:sz w:val="21"/>
                <w:szCs w:val="21"/>
              </w:rPr>
              <w:t>产生浓度</w:t>
            </w:r>
          </w:p>
        </w:tc>
        <w:tc>
          <w:tcPr>
            <w:tcW w:w="838" w:type="dxa"/>
            <w:vAlign w:val="center"/>
          </w:tcPr>
          <w:p w14:paraId="667DEFA4">
            <w:pPr>
              <w:autoSpaceDE w:val="0"/>
              <w:autoSpaceDN w:val="0"/>
              <w:jc w:val="center"/>
              <w:rPr>
                <w:sz w:val="21"/>
                <w:szCs w:val="21"/>
              </w:rPr>
            </w:pPr>
            <w:r>
              <w:rPr>
                <w:sz w:val="21"/>
                <w:szCs w:val="21"/>
              </w:rPr>
              <w:t>产生速率</w:t>
            </w:r>
          </w:p>
        </w:tc>
        <w:tc>
          <w:tcPr>
            <w:tcW w:w="718" w:type="dxa"/>
            <w:vAlign w:val="center"/>
          </w:tcPr>
          <w:p w14:paraId="085F4404">
            <w:pPr>
              <w:autoSpaceDE w:val="0"/>
              <w:autoSpaceDN w:val="0"/>
              <w:jc w:val="center"/>
              <w:rPr>
                <w:sz w:val="21"/>
                <w:szCs w:val="21"/>
              </w:rPr>
            </w:pPr>
            <w:r>
              <w:rPr>
                <w:sz w:val="21"/>
                <w:szCs w:val="21"/>
              </w:rPr>
              <w:t>产生量</w:t>
            </w:r>
          </w:p>
        </w:tc>
        <w:tc>
          <w:tcPr>
            <w:tcW w:w="1502" w:type="dxa"/>
            <w:vMerge w:val="continue"/>
            <w:vAlign w:val="center"/>
          </w:tcPr>
          <w:p w14:paraId="49C11456">
            <w:pPr>
              <w:autoSpaceDE w:val="0"/>
              <w:autoSpaceDN w:val="0"/>
              <w:jc w:val="center"/>
              <w:rPr>
                <w:sz w:val="21"/>
                <w:szCs w:val="21"/>
              </w:rPr>
            </w:pPr>
          </w:p>
        </w:tc>
        <w:tc>
          <w:tcPr>
            <w:tcW w:w="806" w:type="dxa"/>
            <w:vMerge w:val="continue"/>
            <w:vAlign w:val="center"/>
          </w:tcPr>
          <w:p w14:paraId="0F35FAA4">
            <w:pPr>
              <w:autoSpaceDE w:val="0"/>
              <w:autoSpaceDN w:val="0"/>
              <w:jc w:val="center"/>
              <w:rPr>
                <w:sz w:val="21"/>
                <w:szCs w:val="21"/>
              </w:rPr>
            </w:pPr>
          </w:p>
        </w:tc>
        <w:tc>
          <w:tcPr>
            <w:tcW w:w="507" w:type="dxa"/>
            <w:vAlign w:val="center"/>
          </w:tcPr>
          <w:p w14:paraId="24DD1F6D">
            <w:pPr>
              <w:autoSpaceDE w:val="0"/>
              <w:autoSpaceDN w:val="0"/>
              <w:jc w:val="center"/>
              <w:rPr>
                <w:sz w:val="21"/>
                <w:szCs w:val="21"/>
              </w:rPr>
            </w:pPr>
            <w:r>
              <w:rPr>
                <w:sz w:val="21"/>
                <w:szCs w:val="21"/>
              </w:rPr>
              <w:t>高度</w:t>
            </w:r>
          </w:p>
        </w:tc>
        <w:tc>
          <w:tcPr>
            <w:tcW w:w="510" w:type="dxa"/>
            <w:vAlign w:val="center"/>
          </w:tcPr>
          <w:p w14:paraId="520B54C4">
            <w:pPr>
              <w:autoSpaceDE w:val="0"/>
              <w:autoSpaceDN w:val="0"/>
              <w:jc w:val="center"/>
              <w:rPr>
                <w:sz w:val="21"/>
                <w:szCs w:val="21"/>
              </w:rPr>
            </w:pPr>
            <w:r>
              <w:rPr>
                <w:sz w:val="21"/>
                <w:szCs w:val="21"/>
              </w:rPr>
              <w:t>内径</w:t>
            </w:r>
          </w:p>
        </w:tc>
        <w:tc>
          <w:tcPr>
            <w:tcW w:w="511" w:type="dxa"/>
            <w:vAlign w:val="center"/>
          </w:tcPr>
          <w:p w14:paraId="17BFB793">
            <w:pPr>
              <w:autoSpaceDE w:val="0"/>
              <w:autoSpaceDN w:val="0"/>
              <w:jc w:val="center"/>
              <w:rPr>
                <w:sz w:val="21"/>
                <w:szCs w:val="21"/>
              </w:rPr>
            </w:pPr>
            <w:r>
              <w:rPr>
                <w:sz w:val="21"/>
                <w:szCs w:val="21"/>
              </w:rPr>
              <w:t>温度</w:t>
            </w:r>
          </w:p>
        </w:tc>
        <w:tc>
          <w:tcPr>
            <w:tcW w:w="868" w:type="dxa"/>
            <w:vMerge w:val="restart"/>
            <w:vAlign w:val="center"/>
          </w:tcPr>
          <w:p w14:paraId="30F24A1C">
            <w:pPr>
              <w:autoSpaceDE w:val="0"/>
              <w:autoSpaceDN w:val="0"/>
              <w:jc w:val="center"/>
              <w:rPr>
                <w:sz w:val="21"/>
                <w:szCs w:val="21"/>
              </w:rPr>
            </w:pPr>
            <w:r>
              <w:rPr>
                <w:sz w:val="21"/>
                <w:szCs w:val="21"/>
              </w:rPr>
              <w:t>规律</w:t>
            </w:r>
          </w:p>
        </w:tc>
        <w:tc>
          <w:tcPr>
            <w:tcW w:w="538" w:type="dxa"/>
            <w:vAlign w:val="center"/>
          </w:tcPr>
          <w:p w14:paraId="5A11E77E">
            <w:pPr>
              <w:autoSpaceDE w:val="0"/>
              <w:autoSpaceDN w:val="0"/>
              <w:jc w:val="center"/>
              <w:rPr>
                <w:sz w:val="21"/>
                <w:szCs w:val="21"/>
              </w:rPr>
            </w:pPr>
            <w:r>
              <w:rPr>
                <w:sz w:val="21"/>
                <w:szCs w:val="21"/>
              </w:rPr>
              <w:t>工作时间</w:t>
            </w:r>
          </w:p>
        </w:tc>
        <w:tc>
          <w:tcPr>
            <w:tcW w:w="632" w:type="dxa"/>
            <w:vAlign w:val="center"/>
          </w:tcPr>
          <w:p w14:paraId="7BEAA602">
            <w:pPr>
              <w:autoSpaceDE w:val="0"/>
              <w:autoSpaceDN w:val="0"/>
              <w:jc w:val="center"/>
              <w:rPr>
                <w:sz w:val="21"/>
                <w:szCs w:val="21"/>
              </w:rPr>
            </w:pPr>
            <w:r>
              <w:rPr>
                <w:sz w:val="21"/>
                <w:szCs w:val="21"/>
              </w:rPr>
              <w:t>排放浓度</w:t>
            </w:r>
          </w:p>
        </w:tc>
        <w:tc>
          <w:tcPr>
            <w:tcW w:w="627" w:type="dxa"/>
            <w:vAlign w:val="center"/>
          </w:tcPr>
          <w:p w14:paraId="73EFA7BD">
            <w:pPr>
              <w:autoSpaceDE w:val="0"/>
              <w:autoSpaceDN w:val="0"/>
              <w:jc w:val="center"/>
              <w:rPr>
                <w:sz w:val="21"/>
                <w:szCs w:val="21"/>
              </w:rPr>
            </w:pPr>
            <w:r>
              <w:rPr>
                <w:sz w:val="21"/>
                <w:szCs w:val="21"/>
              </w:rPr>
              <w:t>排放速率</w:t>
            </w:r>
          </w:p>
        </w:tc>
        <w:tc>
          <w:tcPr>
            <w:tcW w:w="642" w:type="dxa"/>
            <w:gridSpan w:val="2"/>
            <w:vAlign w:val="center"/>
          </w:tcPr>
          <w:p w14:paraId="4C02F82B">
            <w:pPr>
              <w:autoSpaceDE w:val="0"/>
              <w:autoSpaceDN w:val="0"/>
              <w:jc w:val="center"/>
              <w:rPr>
                <w:sz w:val="21"/>
                <w:szCs w:val="21"/>
              </w:rPr>
            </w:pPr>
            <w:r>
              <w:rPr>
                <w:sz w:val="21"/>
                <w:szCs w:val="21"/>
              </w:rPr>
              <w:t>排放量</w:t>
            </w:r>
          </w:p>
        </w:tc>
      </w:tr>
      <w:tr w14:paraId="04F4E1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35987893">
            <w:pPr>
              <w:autoSpaceDE w:val="0"/>
              <w:autoSpaceDN w:val="0"/>
              <w:jc w:val="center"/>
              <w:rPr>
                <w:sz w:val="21"/>
                <w:szCs w:val="21"/>
              </w:rPr>
            </w:pPr>
          </w:p>
        </w:tc>
        <w:tc>
          <w:tcPr>
            <w:tcW w:w="709" w:type="dxa"/>
            <w:vMerge w:val="continue"/>
            <w:textDirection w:val="tbRlV"/>
            <w:vAlign w:val="center"/>
          </w:tcPr>
          <w:p w14:paraId="35567366">
            <w:pPr>
              <w:autoSpaceDE w:val="0"/>
              <w:autoSpaceDN w:val="0"/>
              <w:jc w:val="center"/>
              <w:rPr>
                <w:sz w:val="21"/>
                <w:szCs w:val="21"/>
              </w:rPr>
            </w:pPr>
          </w:p>
        </w:tc>
        <w:tc>
          <w:tcPr>
            <w:tcW w:w="992" w:type="dxa"/>
            <w:gridSpan w:val="3"/>
            <w:vMerge w:val="continue"/>
            <w:vAlign w:val="center"/>
          </w:tcPr>
          <w:p w14:paraId="5095DB48">
            <w:pPr>
              <w:autoSpaceDE w:val="0"/>
              <w:autoSpaceDN w:val="0"/>
              <w:jc w:val="center"/>
              <w:rPr>
                <w:sz w:val="21"/>
                <w:szCs w:val="21"/>
              </w:rPr>
            </w:pPr>
          </w:p>
        </w:tc>
        <w:tc>
          <w:tcPr>
            <w:tcW w:w="850" w:type="dxa"/>
            <w:vMerge w:val="continue"/>
            <w:vAlign w:val="center"/>
          </w:tcPr>
          <w:p w14:paraId="7EA339B8">
            <w:pPr>
              <w:autoSpaceDE w:val="0"/>
              <w:autoSpaceDN w:val="0"/>
              <w:jc w:val="center"/>
              <w:rPr>
                <w:sz w:val="21"/>
                <w:szCs w:val="21"/>
              </w:rPr>
            </w:pPr>
          </w:p>
        </w:tc>
        <w:tc>
          <w:tcPr>
            <w:tcW w:w="851" w:type="dxa"/>
            <w:vMerge w:val="continue"/>
            <w:vAlign w:val="center"/>
          </w:tcPr>
          <w:p w14:paraId="200A4116">
            <w:pPr>
              <w:autoSpaceDE w:val="0"/>
              <w:autoSpaceDN w:val="0"/>
              <w:jc w:val="center"/>
              <w:rPr>
                <w:sz w:val="21"/>
                <w:szCs w:val="21"/>
              </w:rPr>
            </w:pPr>
          </w:p>
        </w:tc>
        <w:tc>
          <w:tcPr>
            <w:tcW w:w="568" w:type="dxa"/>
            <w:vMerge w:val="continue"/>
            <w:vAlign w:val="center"/>
          </w:tcPr>
          <w:p w14:paraId="446F99FF">
            <w:pPr>
              <w:autoSpaceDE w:val="0"/>
              <w:autoSpaceDN w:val="0"/>
              <w:jc w:val="center"/>
              <w:rPr>
                <w:sz w:val="21"/>
                <w:szCs w:val="21"/>
              </w:rPr>
            </w:pPr>
          </w:p>
        </w:tc>
        <w:tc>
          <w:tcPr>
            <w:tcW w:w="768" w:type="dxa"/>
            <w:vAlign w:val="center"/>
          </w:tcPr>
          <w:p w14:paraId="08739D89">
            <w:pPr>
              <w:autoSpaceDE w:val="0"/>
              <w:autoSpaceDN w:val="0"/>
              <w:jc w:val="center"/>
              <w:rPr>
                <w:sz w:val="21"/>
                <w:szCs w:val="21"/>
              </w:rPr>
            </w:pPr>
            <w:r>
              <w:rPr>
                <w:sz w:val="21"/>
                <w:szCs w:val="21"/>
              </w:rPr>
              <w:t>mg/m</w:t>
            </w:r>
            <w:r>
              <w:rPr>
                <w:sz w:val="21"/>
                <w:szCs w:val="21"/>
                <w:vertAlign w:val="superscript"/>
              </w:rPr>
              <w:t>3</w:t>
            </w:r>
          </w:p>
        </w:tc>
        <w:tc>
          <w:tcPr>
            <w:tcW w:w="838" w:type="dxa"/>
            <w:vAlign w:val="center"/>
          </w:tcPr>
          <w:p w14:paraId="566F58B3">
            <w:pPr>
              <w:autoSpaceDE w:val="0"/>
              <w:autoSpaceDN w:val="0"/>
              <w:jc w:val="center"/>
              <w:rPr>
                <w:sz w:val="21"/>
                <w:szCs w:val="21"/>
              </w:rPr>
            </w:pPr>
            <w:r>
              <w:rPr>
                <w:sz w:val="21"/>
                <w:szCs w:val="21"/>
              </w:rPr>
              <w:t>kg/h</w:t>
            </w:r>
          </w:p>
        </w:tc>
        <w:tc>
          <w:tcPr>
            <w:tcW w:w="718" w:type="dxa"/>
            <w:vAlign w:val="center"/>
          </w:tcPr>
          <w:p w14:paraId="08AAB342">
            <w:pPr>
              <w:autoSpaceDE w:val="0"/>
              <w:autoSpaceDN w:val="0"/>
              <w:jc w:val="center"/>
              <w:rPr>
                <w:sz w:val="21"/>
                <w:szCs w:val="21"/>
              </w:rPr>
            </w:pPr>
            <w:r>
              <w:rPr>
                <w:sz w:val="21"/>
                <w:szCs w:val="21"/>
              </w:rPr>
              <w:t>t/a</w:t>
            </w:r>
          </w:p>
        </w:tc>
        <w:tc>
          <w:tcPr>
            <w:tcW w:w="1502" w:type="dxa"/>
            <w:vMerge w:val="continue"/>
            <w:vAlign w:val="center"/>
          </w:tcPr>
          <w:p w14:paraId="17AB917E">
            <w:pPr>
              <w:autoSpaceDE w:val="0"/>
              <w:autoSpaceDN w:val="0"/>
              <w:jc w:val="center"/>
              <w:rPr>
                <w:sz w:val="21"/>
                <w:szCs w:val="21"/>
              </w:rPr>
            </w:pPr>
          </w:p>
        </w:tc>
        <w:tc>
          <w:tcPr>
            <w:tcW w:w="806" w:type="dxa"/>
            <w:vMerge w:val="continue"/>
            <w:vAlign w:val="center"/>
          </w:tcPr>
          <w:p w14:paraId="2BF95030">
            <w:pPr>
              <w:autoSpaceDE w:val="0"/>
              <w:autoSpaceDN w:val="0"/>
              <w:jc w:val="center"/>
              <w:rPr>
                <w:sz w:val="21"/>
                <w:szCs w:val="21"/>
              </w:rPr>
            </w:pPr>
          </w:p>
        </w:tc>
        <w:tc>
          <w:tcPr>
            <w:tcW w:w="507" w:type="dxa"/>
            <w:vAlign w:val="center"/>
          </w:tcPr>
          <w:p w14:paraId="16860ADF">
            <w:pPr>
              <w:autoSpaceDE w:val="0"/>
              <w:autoSpaceDN w:val="0"/>
              <w:jc w:val="center"/>
              <w:rPr>
                <w:sz w:val="21"/>
                <w:szCs w:val="21"/>
              </w:rPr>
            </w:pPr>
            <w:r>
              <w:rPr>
                <w:sz w:val="21"/>
                <w:szCs w:val="21"/>
              </w:rPr>
              <w:t>m</w:t>
            </w:r>
          </w:p>
        </w:tc>
        <w:tc>
          <w:tcPr>
            <w:tcW w:w="510" w:type="dxa"/>
            <w:vAlign w:val="center"/>
          </w:tcPr>
          <w:p w14:paraId="2F5BC0CA">
            <w:pPr>
              <w:autoSpaceDE w:val="0"/>
              <w:autoSpaceDN w:val="0"/>
              <w:jc w:val="center"/>
              <w:rPr>
                <w:sz w:val="21"/>
                <w:szCs w:val="21"/>
              </w:rPr>
            </w:pPr>
            <w:r>
              <w:rPr>
                <w:sz w:val="21"/>
                <w:szCs w:val="21"/>
              </w:rPr>
              <w:t>m</w:t>
            </w:r>
          </w:p>
        </w:tc>
        <w:tc>
          <w:tcPr>
            <w:tcW w:w="511" w:type="dxa"/>
            <w:vAlign w:val="center"/>
          </w:tcPr>
          <w:p w14:paraId="6DFFCC90">
            <w:pPr>
              <w:autoSpaceDE w:val="0"/>
              <w:autoSpaceDN w:val="0"/>
              <w:jc w:val="center"/>
              <w:rPr>
                <w:sz w:val="21"/>
                <w:szCs w:val="21"/>
              </w:rPr>
            </w:pPr>
            <w:r>
              <w:rPr>
                <w:sz w:val="21"/>
                <w:szCs w:val="21"/>
              </w:rPr>
              <w:t>℃</w:t>
            </w:r>
          </w:p>
        </w:tc>
        <w:tc>
          <w:tcPr>
            <w:tcW w:w="868" w:type="dxa"/>
            <w:vMerge w:val="continue"/>
            <w:vAlign w:val="center"/>
          </w:tcPr>
          <w:p w14:paraId="09579F96">
            <w:pPr>
              <w:autoSpaceDE w:val="0"/>
              <w:autoSpaceDN w:val="0"/>
              <w:jc w:val="center"/>
              <w:rPr>
                <w:sz w:val="21"/>
                <w:szCs w:val="21"/>
              </w:rPr>
            </w:pPr>
          </w:p>
        </w:tc>
        <w:tc>
          <w:tcPr>
            <w:tcW w:w="538" w:type="dxa"/>
            <w:vAlign w:val="center"/>
          </w:tcPr>
          <w:p w14:paraId="0191E6EF">
            <w:pPr>
              <w:autoSpaceDE w:val="0"/>
              <w:autoSpaceDN w:val="0"/>
              <w:jc w:val="center"/>
              <w:rPr>
                <w:sz w:val="21"/>
                <w:szCs w:val="21"/>
              </w:rPr>
            </w:pPr>
            <w:r>
              <w:rPr>
                <w:sz w:val="21"/>
                <w:szCs w:val="21"/>
              </w:rPr>
              <w:t>h</w:t>
            </w:r>
          </w:p>
        </w:tc>
        <w:tc>
          <w:tcPr>
            <w:tcW w:w="632" w:type="dxa"/>
            <w:vAlign w:val="center"/>
          </w:tcPr>
          <w:p w14:paraId="5554FD18">
            <w:pPr>
              <w:autoSpaceDE w:val="0"/>
              <w:autoSpaceDN w:val="0"/>
              <w:jc w:val="center"/>
              <w:rPr>
                <w:sz w:val="21"/>
                <w:szCs w:val="21"/>
              </w:rPr>
            </w:pPr>
            <w:r>
              <w:rPr>
                <w:sz w:val="21"/>
                <w:szCs w:val="21"/>
              </w:rPr>
              <w:t>mg/m</w:t>
            </w:r>
            <w:r>
              <w:rPr>
                <w:sz w:val="21"/>
                <w:szCs w:val="21"/>
                <w:vertAlign w:val="superscript"/>
              </w:rPr>
              <w:t>3</w:t>
            </w:r>
          </w:p>
        </w:tc>
        <w:tc>
          <w:tcPr>
            <w:tcW w:w="627" w:type="dxa"/>
            <w:vAlign w:val="center"/>
          </w:tcPr>
          <w:p w14:paraId="387E6A3F">
            <w:pPr>
              <w:autoSpaceDE w:val="0"/>
              <w:autoSpaceDN w:val="0"/>
              <w:jc w:val="center"/>
              <w:rPr>
                <w:sz w:val="21"/>
                <w:szCs w:val="21"/>
              </w:rPr>
            </w:pPr>
            <w:r>
              <w:rPr>
                <w:sz w:val="21"/>
                <w:szCs w:val="21"/>
              </w:rPr>
              <w:t>kg/h</w:t>
            </w:r>
          </w:p>
        </w:tc>
        <w:tc>
          <w:tcPr>
            <w:tcW w:w="642" w:type="dxa"/>
            <w:gridSpan w:val="2"/>
            <w:vAlign w:val="center"/>
          </w:tcPr>
          <w:p w14:paraId="64BEC0BC">
            <w:pPr>
              <w:autoSpaceDE w:val="0"/>
              <w:autoSpaceDN w:val="0"/>
              <w:jc w:val="center"/>
              <w:rPr>
                <w:sz w:val="21"/>
                <w:szCs w:val="21"/>
              </w:rPr>
            </w:pPr>
            <w:r>
              <w:rPr>
                <w:sz w:val="21"/>
                <w:szCs w:val="21"/>
              </w:rPr>
              <w:t>t/a</w:t>
            </w:r>
          </w:p>
        </w:tc>
      </w:tr>
      <w:tr w14:paraId="3DCDF5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426" w:type="dxa"/>
            <w:vMerge w:val="restart"/>
            <w:vAlign w:val="center"/>
          </w:tcPr>
          <w:p w14:paraId="418C6E68">
            <w:pPr>
              <w:autoSpaceDE w:val="0"/>
              <w:autoSpaceDN w:val="0"/>
              <w:jc w:val="center"/>
              <w:rPr>
                <w:sz w:val="21"/>
                <w:szCs w:val="21"/>
              </w:rPr>
            </w:pPr>
            <w:r>
              <w:rPr>
                <w:sz w:val="21"/>
                <w:szCs w:val="21"/>
              </w:rPr>
              <w:t>有组织</w:t>
            </w:r>
          </w:p>
        </w:tc>
        <w:tc>
          <w:tcPr>
            <w:tcW w:w="709" w:type="dxa"/>
            <w:vMerge w:val="restart"/>
            <w:vAlign w:val="center"/>
          </w:tcPr>
          <w:p w14:paraId="43746ACA">
            <w:pPr>
              <w:autoSpaceDE w:val="0"/>
              <w:autoSpaceDN w:val="0"/>
              <w:jc w:val="center"/>
              <w:rPr>
                <w:sz w:val="21"/>
                <w:szCs w:val="21"/>
              </w:rPr>
            </w:pPr>
            <w:r>
              <w:rPr>
                <w:sz w:val="21"/>
                <w:szCs w:val="21"/>
              </w:rPr>
              <w:t>DA001</w:t>
            </w:r>
          </w:p>
        </w:tc>
        <w:tc>
          <w:tcPr>
            <w:tcW w:w="354" w:type="dxa"/>
            <w:vMerge w:val="restart"/>
            <w:vAlign w:val="center"/>
          </w:tcPr>
          <w:p w14:paraId="6431AD82">
            <w:pPr>
              <w:autoSpaceDE w:val="0"/>
              <w:autoSpaceDN w:val="0"/>
              <w:jc w:val="center"/>
              <w:rPr>
                <w:sz w:val="21"/>
                <w:szCs w:val="21"/>
              </w:rPr>
            </w:pPr>
            <w:r>
              <w:rPr>
                <w:bCs/>
                <w:sz w:val="21"/>
                <w:szCs w:val="21"/>
              </w:rPr>
              <w:t>水泥稳定土生产线</w:t>
            </w:r>
          </w:p>
        </w:tc>
        <w:tc>
          <w:tcPr>
            <w:tcW w:w="638" w:type="dxa"/>
            <w:gridSpan w:val="2"/>
            <w:vAlign w:val="center"/>
          </w:tcPr>
          <w:p w14:paraId="60DA442B">
            <w:pPr>
              <w:pStyle w:val="63"/>
            </w:pPr>
            <w:r>
              <w:rPr>
                <w:rFonts w:hint="eastAsia"/>
              </w:rPr>
              <w:t>1</w:t>
            </w:r>
            <w:r>
              <w:t>#</w:t>
            </w:r>
            <w:r>
              <w:rPr>
                <w:rFonts w:hint="eastAsia"/>
              </w:rPr>
              <w:t>搅拌机</w:t>
            </w:r>
            <w:r>
              <w:rPr>
                <w:bCs/>
              </w:rPr>
              <w:t>搅拌粉尘</w:t>
            </w:r>
          </w:p>
        </w:tc>
        <w:tc>
          <w:tcPr>
            <w:tcW w:w="850" w:type="dxa"/>
            <w:vMerge w:val="restart"/>
            <w:vAlign w:val="center"/>
          </w:tcPr>
          <w:p w14:paraId="7481AA0A">
            <w:pPr>
              <w:autoSpaceDE w:val="0"/>
              <w:autoSpaceDN w:val="0"/>
              <w:jc w:val="center"/>
              <w:rPr>
                <w:sz w:val="21"/>
                <w:szCs w:val="21"/>
              </w:rPr>
            </w:pPr>
            <w:r>
              <w:rPr>
                <w:sz w:val="21"/>
                <w:szCs w:val="21"/>
              </w:rPr>
              <w:t>89°37′22.462″E</w:t>
            </w:r>
            <w:r>
              <w:rPr>
                <w:rFonts w:hint="eastAsia"/>
                <w:sz w:val="21"/>
                <w:szCs w:val="21"/>
              </w:rPr>
              <w:t>，</w:t>
            </w:r>
            <w:r>
              <w:rPr>
                <w:sz w:val="21"/>
                <w:szCs w:val="21"/>
              </w:rPr>
              <w:t>44°8′6.903″N</w:t>
            </w:r>
          </w:p>
        </w:tc>
        <w:tc>
          <w:tcPr>
            <w:tcW w:w="851" w:type="dxa"/>
            <w:vAlign w:val="center"/>
          </w:tcPr>
          <w:p w14:paraId="30760DB3">
            <w:pPr>
              <w:autoSpaceDE w:val="0"/>
              <w:autoSpaceDN w:val="0"/>
              <w:jc w:val="center"/>
              <w:rPr>
                <w:sz w:val="21"/>
                <w:szCs w:val="21"/>
              </w:rPr>
            </w:pPr>
            <w:r>
              <w:rPr>
                <w:sz w:val="21"/>
                <w:szCs w:val="21"/>
              </w:rPr>
              <w:t>10000</w:t>
            </w:r>
          </w:p>
        </w:tc>
        <w:tc>
          <w:tcPr>
            <w:tcW w:w="568" w:type="dxa"/>
            <w:vAlign w:val="center"/>
          </w:tcPr>
          <w:p w14:paraId="3BF84AF8">
            <w:pPr>
              <w:autoSpaceDE w:val="0"/>
              <w:autoSpaceDN w:val="0"/>
              <w:jc w:val="center"/>
              <w:rPr>
                <w:sz w:val="21"/>
                <w:szCs w:val="21"/>
              </w:rPr>
            </w:pPr>
            <w:r>
              <w:rPr>
                <w:sz w:val="21"/>
                <w:szCs w:val="21"/>
              </w:rPr>
              <w:t>颗粒物</w:t>
            </w:r>
          </w:p>
        </w:tc>
        <w:tc>
          <w:tcPr>
            <w:tcW w:w="768" w:type="dxa"/>
            <w:shd w:val="clear" w:color="auto" w:fill="auto"/>
            <w:vAlign w:val="center"/>
          </w:tcPr>
          <w:p w14:paraId="3F60D5C0">
            <w:pPr>
              <w:pStyle w:val="63"/>
            </w:pPr>
            <w:r>
              <w:t>2166.67</w:t>
            </w:r>
          </w:p>
        </w:tc>
        <w:tc>
          <w:tcPr>
            <w:tcW w:w="838" w:type="dxa"/>
            <w:shd w:val="clear" w:color="auto" w:fill="auto"/>
            <w:vAlign w:val="center"/>
          </w:tcPr>
          <w:p w14:paraId="00F4EF6F">
            <w:pPr>
              <w:pStyle w:val="63"/>
            </w:pPr>
            <w:r>
              <w:t>21.67</w:t>
            </w:r>
          </w:p>
        </w:tc>
        <w:tc>
          <w:tcPr>
            <w:tcW w:w="718" w:type="dxa"/>
            <w:shd w:val="clear" w:color="auto" w:fill="auto"/>
            <w:vAlign w:val="center"/>
          </w:tcPr>
          <w:p w14:paraId="4F923024">
            <w:pPr>
              <w:pStyle w:val="63"/>
            </w:pPr>
            <w:r>
              <w:t>58.5</w:t>
            </w:r>
          </w:p>
        </w:tc>
        <w:tc>
          <w:tcPr>
            <w:tcW w:w="1502" w:type="dxa"/>
            <w:vMerge w:val="restart"/>
            <w:vAlign w:val="center"/>
          </w:tcPr>
          <w:p w14:paraId="364DC579">
            <w:pPr>
              <w:autoSpaceDE w:val="0"/>
              <w:autoSpaceDN w:val="0"/>
              <w:jc w:val="center"/>
              <w:rPr>
                <w:sz w:val="21"/>
                <w:szCs w:val="21"/>
              </w:rPr>
            </w:pPr>
            <w:r>
              <w:rPr>
                <w:sz w:val="21"/>
                <w:szCs w:val="21"/>
              </w:rPr>
              <w:t>设置一套袋式除尘器，处理后经一根15m高排气筒排放</w:t>
            </w:r>
          </w:p>
        </w:tc>
        <w:tc>
          <w:tcPr>
            <w:tcW w:w="806" w:type="dxa"/>
            <w:vMerge w:val="restart"/>
            <w:vAlign w:val="center"/>
          </w:tcPr>
          <w:p w14:paraId="609D8394">
            <w:pPr>
              <w:autoSpaceDE w:val="0"/>
              <w:autoSpaceDN w:val="0"/>
              <w:jc w:val="center"/>
              <w:rPr>
                <w:sz w:val="21"/>
                <w:szCs w:val="21"/>
              </w:rPr>
            </w:pPr>
            <w:r>
              <w:rPr>
                <w:sz w:val="21"/>
                <w:szCs w:val="21"/>
              </w:rPr>
              <w:t>99.7</w:t>
            </w:r>
          </w:p>
        </w:tc>
        <w:tc>
          <w:tcPr>
            <w:tcW w:w="507" w:type="dxa"/>
            <w:vMerge w:val="restart"/>
            <w:vAlign w:val="center"/>
          </w:tcPr>
          <w:p w14:paraId="15CDAFB1">
            <w:pPr>
              <w:autoSpaceDE w:val="0"/>
              <w:autoSpaceDN w:val="0"/>
              <w:jc w:val="center"/>
              <w:rPr>
                <w:sz w:val="21"/>
                <w:szCs w:val="21"/>
              </w:rPr>
            </w:pPr>
            <w:r>
              <w:rPr>
                <w:sz w:val="21"/>
                <w:szCs w:val="21"/>
              </w:rPr>
              <w:t>15</w:t>
            </w:r>
          </w:p>
        </w:tc>
        <w:tc>
          <w:tcPr>
            <w:tcW w:w="510" w:type="dxa"/>
            <w:vMerge w:val="restart"/>
            <w:vAlign w:val="center"/>
          </w:tcPr>
          <w:p w14:paraId="0ED9D47F">
            <w:pPr>
              <w:autoSpaceDE w:val="0"/>
              <w:autoSpaceDN w:val="0"/>
              <w:jc w:val="center"/>
              <w:rPr>
                <w:sz w:val="21"/>
                <w:szCs w:val="21"/>
              </w:rPr>
            </w:pPr>
            <w:r>
              <w:rPr>
                <w:sz w:val="21"/>
                <w:szCs w:val="21"/>
              </w:rPr>
              <w:t>0.5</w:t>
            </w:r>
          </w:p>
        </w:tc>
        <w:tc>
          <w:tcPr>
            <w:tcW w:w="511" w:type="dxa"/>
            <w:vMerge w:val="restart"/>
            <w:vAlign w:val="center"/>
          </w:tcPr>
          <w:p w14:paraId="55B9D2A5">
            <w:pPr>
              <w:autoSpaceDE w:val="0"/>
              <w:autoSpaceDN w:val="0"/>
              <w:jc w:val="center"/>
              <w:rPr>
                <w:sz w:val="21"/>
                <w:szCs w:val="21"/>
              </w:rPr>
            </w:pPr>
            <w:r>
              <w:rPr>
                <w:sz w:val="21"/>
                <w:szCs w:val="21"/>
              </w:rPr>
              <w:t>25</w:t>
            </w:r>
          </w:p>
        </w:tc>
        <w:tc>
          <w:tcPr>
            <w:tcW w:w="868" w:type="dxa"/>
            <w:vMerge w:val="restart"/>
            <w:vAlign w:val="center"/>
          </w:tcPr>
          <w:p w14:paraId="54D2DADB">
            <w:pPr>
              <w:autoSpaceDE w:val="0"/>
              <w:autoSpaceDN w:val="0"/>
              <w:jc w:val="center"/>
              <w:rPr>
                <w:sz w:val="21"/>
                <w:szCs w:val="21"/>
              </w:rPr>
            </w:pPr>
            <w:r>
              <w:rPr>
                <w:sz w:val="21"/>
                <w:szCs w:val="21"/>
              </w:rPr>
              <w:t>点源、连续</w:t>
            </w:r>
          </w:p>
        </w:tc>
        <w:tc>
          <w:tcPr>
            <w:tcW w:w="538" w:type="dxa"/>
            <w:vMerge w:val="restart"/>
            <w:vAlign w:val="center"/>
          </w:tcPr>
          <w:p w14:paraId="3822F85F">
            <w:pPr>
              <w:autoSpaceDE w:val="0"/>
              <w:autoSpaceDN w:val="0"/>
              <w:jc w:val="center"/>
              <w:rPr>
                <w:sz w:val="21"/>
                <w:szCs w:val="21"/>
              </w:rPr>
            </w:pPr>
            <w:r>
              <w:rPr>
                <w:sz w:val="21"/>
                <w:szCs w:val="21"/>
              </w:rPr>
              <w:t>2700</w:t>
            </w:r>
          </w:p>
        </w:tc>
        <w:tc>
          <w:tcPr>
            <w:tcW w:w="632" w:type="dxa"/>
            <w:vMerge w:val="restart"/>
            <w:shd w:val="clear" w:color="auto" w:fill="auto"/>
            <w:vAlign w:val="center"/>
          </w:tcPr>
          <w:p w14:paraId="309F352C">
            <w:pPr>
              <w:pStyle w:val="63"/>
            </w:pPr>
            <w:r>
              <w:t>6.50</w:t>
            </w:r>
          </w:p>
        </w:tc>
        <w:tc>
          <w:tcPr>
            <w:tcW w:w="627" w:type="dxa"/>
            <w:vMerge w:val="restart"/>
            <w:shd w:val="clear" w:color="auto" w:fill="auto"/>
            <w:vAlign w:val="center"/>
          </w:tcPr>
          <w:p w14:paraId="66C79899">
            <w:pPr>
              <w:pStyle w:val="63"/>
            </w:pPr>
            <w:r>
              <w:t>0.130</w:t>
            </w:r>
          </w:p>
        </w:tc>
        <w:tc>
          <w:tcPr>
            <w:tcW w:w="642" w:type="dxa"/>
            <w:gridSpan w:val="2"/>
            <w:vMerge w:val="restart"/>
            <w:shd w:val="clear" w:color="auto" w:fill="auto"/>
            <w:vAlign w:val="center"/>
          </w:tcPr>
          <w:p w14:paraId="12360797">
            <w:pPr>
              <w:pStyle w:val="63"/>
            </w:pPr>
            <w:r>
              <w:t>0.351</w:t>
            </w:r>
          </w:p>
        </w:tc>
      </w:tr>
      <w:tr w14:paraId="6A0F30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215BEAC1">
            <w:pPr>
              <w:autoSpaceDE w:val="0"/>
              <w:autoSpaceDN w:val="0"/>
              <w:jc w:val="center"/>
              <w:rPr>
                <w:sz w:val="21"/>
                <w:szCs w:val="21"/>
              </w:rPr>
            </w:pPr>
          </w:p>
        </w:tc>
        <w:tc>
          <w:tcPr>
            <w:tcW w:w="709" w:type="dxa"/>
            <w:vMerge w:val="continue"/>
            <w:vAlign w:val="center"/>
          </w:tcPr>
          <w:p w14:paraId="5E49BECF">
            <w:pPr>
              <w:autoSpaceDE w:val="0"/>
              <w:autoSpaceDN w:val="0"/>
              <w:jc w:val="center"/>
              <w:rPr>
                <w:sz w:val="21"/>
                <w:szCs w:val="21"/>
              </w:rPr>
            </w:pPr>
          </w:p>
        </w:tc>
        <w:tc>
          <w:tcPr>
            <w:tcW w:w="354" w:type="dxa"/>
            <w:vMerge w:val="continue"/>
            <w:vAlign w:val="center"/>
          </w:tcPr>
          <w:p w14:paraId="4E29FD17">
            <w:pPr>
              <w:autoSpaceDE w:val="0"/>
              <w:autoSpaceDN w:val="0"/>
              <w:jc w:val="center"/>
              <w:rPr>
                <w:bCs/>
                <w:sz w:val="21"/>
                <w:szCs w:val="21"/>
              </w:rPr>
            </w:pPr>
          </w:p>
        </w:tc>
        <w:tc>
          <w:tcPr>
            <w:tcW w:w="638" w:type="dxa"/>
            <w:gridSpan w:val="2"/>
            <w:vAlign w:val="center"/>
          </w:tcPr>
          <w:p w14:paraId="3BDF38CB">
            <w:pPr>
              <w:pStyle w:val="63"/>
            </w:pPr>
            <w:r>
              <w:t>2#</w:t>
            </w:r>
            <w:r>
              <w:rPr>
                <w:rFonts w:hint="eastAsia"/>
              </w:rPr>
              <w:t>搅拌机</w:t>
            </w:r>
            <w:r>
              <w:rPr>
                <w:bCs/>
              </w:rPr>
              <w:t>搅拌粉尘</w:t>
            </w:r>
          </w:p>
        </w:tc>
        <w:tc>
          <w:tcPr>
            <w:tcW w:w="850" w:type="dxa"/>
            <w:vMerge w:val="continue"/>
            <w:vAlign w:val="center"/>
          </w:tcPr>
          <w:p w14:paraId="1CB04DB3">
            <w:pPr>
              <w:autoSpaceDE w:val="0"/>
              <w:autoSpaceDN w:val="0"/>
              <w:jc w:val="center"/>
              <w:rPr>
                <w:sz w:val="21"/>
                <w:szCs w:val="21"/>
              </w:rPr>
            </w:pPr>
          </w:p>
        </w:tc>
        <w:tc>
          <w:tcPr>
            <w:tcW w:w="851" w:type="dxa"/>
            <w:vAlign w:val="center"/>
          </w:tcPr>
          <w:p w14:paraId="7D928AA0">
            <w:pPr>
              <w:autoSpaceDE w:val="0"/>
              <w:autoSpaceDN w:val="0"/>
              <w:jc w:val="center"/>
              <w:rPr>
                <w:sz w:val="21"/>
                <w:szCs w:val="21"/>
              </w:rPr>
            </w:pPr>
            <w:r>
              <w:rPr>
                <w:sz w:val="21"/>
                <w:szCs w:val="21"/>
              </w:rPr>
              <w:t>10000</w:t>
            </w:r>
          </w:p>
        </w:tc>
        <w:tc>
          <w:tcPr>
            <w:tcW w:w="568" w:type="dxa"/>
            <w:vAlign w:val="center"/>
          </w:tcPr>
          <w:p w14:paraId="79DD15E1">
            <w:pPr>
              <w:autoSpaceDE w:val="0"/>
              <w:autoSpaceDN w:val="0"/>
              <w:jc w:val="center"/>
              <w:rPr>
                <w:sz w:val="21"/>
                <w:szCs w:val="21"/>
              </w:rPr>
            </w:pPr>
            <w:r>
              <w:rPr>
                <w:sz w:val="21"/>
                <w:szCs w:val="21"/>
              </w:rPr>
              <w:t>颗粒物</w:t>
            </w:r>
          </w:p>
        </w:tc>
        <w:tc>
          <w:tcPr>
            <w:tcW w:w="768" w:type="dxa"/>
            <w:shd w:val="clear" w:color="auto" w:fill="auto"/>
            <w:vAlign w:val="center"/>
          </w:tcPr>
          <w:p w14:paraId="319D5F63">
            <w:pPr>
              <w:pStyle w:val="63"/>
            </w:pPr>
            <w:r>
              <w:t>2166.67</w:t>
            </w:r>
          </w:p>
        </w:tc>
        <w:tc>
          <w:tcPr>
            <w:tcW w:w="838" w:type="dxa"/>
            <w:shd w:val="clear" w:color="auto" w:fill="auto"/>
            <w:vAlign w:val="center"/>
          </w:tcPr>
          <w:p w14:paraId="7D611C2C">
            <w:pPr>
              <w:pStyle w:val="63"/>
            </w:pPr>
            <w:r>
              <w:t>21.67</w:t>
            </w:r>
          </w:p>
        </w:tc>
        <w:tc>
          <w:tcPr>
            <w:tcW w:w="718" w:type="dxa"/>
            <w:shd w:val="clear" w:color="auto" w:fill="auto"/>
            <w:vAlign w:val="center"/>
          </w:tcPr>
          <w:p w14:paraId="1182C191">
            <w:pPr>
              <w:pStyle w:val="63"/>
            </w:pPr>
            <w:r>
              <w:t>58.5</w:t>
            </w:r>
          </w:p>
        </w:tc>
        <w:tc>
          <w:tcPr>
            <w:tcW w:w="1502" w:type="dxa"/>
            <w:vMerge w:val="continue"/>
            <w:vAlign w:val="center"/>
          </w:tcPr>
          <w:p w14:paraId="60489BA2">
            <w:pPr>
              <w:autoSpaceDE w:val="0"/>
              <w:autoSpaceDN w:val="0"/>
              <w:jc w:val="center"/>
              <w:rPr>
                <w:sz w:val="21"/>
                <w:szCs w:val="21"/>
              </w:rPr>
            </w:pPr>
          </w:p>
        </w:tc>
        <w:tc>
          <w:tcPr>
            <w:tcW w:w="806" w:type="dxa"/>
            <w:vMerge w:val="continue"/>
            <w:vAlign w:val="center"/>
          </w:tcPr>
          <w:p w14:paraId="5C878C63">
            <w:pPr>
              <w:autoSpaceDE w:val="0"/>
              <w:autoSpaceDN w:val="0"/>
              <w:jc w:val="center"/>
              <w:rPr>
                <w:sz w:val="21"/>
                <w:szCs w:val="21"/>
              </w:rPr>
            </w:pPr>
          </w:p>
        </w:tc>
        <w:tc>
          <w:tcPr>
            <w:tcW w:w="507" w:type="dxa"/>
            <w:vMerge w:val="continue"/>
            <w:vAlign w:val="center"/>
          </w:tcPr>
          <w:p w14:paraId="57219971">
            <w:pPr>
              <w:autoSpaceDE w:val="0"/>
              <w:autoSpaceDN w:val="0"/>
              <w:jc w:val="center"/>
              <w:rPr>
                <w:sz w:val="21"/>
                <w:szCs w:val="21"/>
              </w:rPr>
            </w:pPr>
          </w:p>
        </w:tc>
        <w:tc>
          <w:tcPr>
            <w:tcW w:w="510" w:type="dxa"/>
            <w:vMerge w:val="continue"/>
            <w:vAlign w:val="center"/>
          </w:tcPr>
          <w:p w14:paraId="3F0857F9">
            <w:pPr>
              <w:autoSpaceDE w:val="0"/>
              <w:autoSpaceDN w:val="0"/>
              <w:jc w:val="center"/>
              <w:rPr>
                <w:sz w:val="21"/>
                <w:szCs w:val="21"/>
              </w:rPr>
            </w:pPr>
          </w:p>
        </w:tc>
        <w:tc>
          <w:tcPr>
            <w:tcW w:w="511" w:type="dxa"/>
            <w:vMerge w:val="continue"/>
            <w:vAlign w:val="center"/>
          </w:tcPr>
          <w:p w14:paraId="3E23AFB8">
            <w:pPr>
              <w:autoSpaceDE w:val="0"/>
              <w:autoSpaceDN w:val="0"/>
              <w:jc w:val="center"/>
              <w:rPr>
                <w:sz w:val="21"/>
                <w:szCs w:val="21"/>
              </w:rPr>
            </w:pPr>
          </w:p>
        </w:tc>
        <w:tc>
          <w:tcPr>
            <w:tcW w:w="868" w:type="dxa"/>
            <w:vMerge w:val="continue"/>
            <w:vAlign w:val="center"/>
          </w:tcPr>
          <w:p w14:paraId="7A18EB86">
            <w:pPr>
              <w:autoSpaceDE w:val="0"/>
              <w:autoSpaceDN w:val="0"/>
              <w:jc w:val="center"/>
              <w:rPr>
                <w:sz w:val="21"/>
                <w:szCs w:val="21"/>
              </w:rPr>
            </w:pPr>
          </w:p>
        </w:tc>
        <w:tc>
          <w:tcPr>
            <w:tcW w:w="538" w:type="dxa"/>
            <w:vMerge w:val="continue"/>
            <w:vAlign w:val="center"/>
          </w:tcPr>
          <w:p w14:paraId="29107109">
            <w:pPr>
              <w:autoSpaceDE w:val="0"/>
              <w:autoSpaceDN w:val="0"/>
              <w:jc w:val="center"/>
              <w:rPr>
                <w:sz w:val="21"/>
                <w:szCs w:val="21"/>
              </w:rPr>
            </w:pPr>
          </w:p>
        </w:tc>
        <w:tc>
          <w:tcPr>
            <w:tcW w:w="632" w:type="dxa"/>
            <w:vMerge w:val="continue"/>
            <w:shd w:val="clear" w:color="auto" w:fill="auto"/>
            <w:vAlign w:val="center"/>
          </w:tcPr>
          <w:p w14:paraId="76CD3BC2">
            <w:pPr>
              <w:autoSpaceDE w:val="0"/>
              <w:autoSpaceDN w:val="0"/>
              <w:jc w:val="center"/>
              <w:rPr>
                <w:sz w:val="21"/>
                <w:szCs w:val="21"/>
              </w:rPr>
            </w:pPr>
          </w:p>
        </w:tc>
        <w:tc>
          <w:tcPr>
            <w:tcW w:w="627" w:type="dxa"/>
            <w:vMerge w:val="continue"/>
            <w:shd w:val="clear" w:color="auto" w:fill="auto"/>
            <w:vAlign w:val="center"/>
          </w:tcPr>
          <w:p w14:paraId="3A7A8B58">
            <w:pPr>
              <w:autoSpaceDE w:val="0"/>
              <w:autoSpaceDN w:val="0"/>
              <w:jc w:val="center"/>
              <w:rPr>
                <w:sz w:val="21"/>
                <w:szCs w:val="21"/>
              </w:rPr>
            </w:pPr>
          </w:p>
        </w:tc>
        <w:tc>
          <w:tcPr>
            <w:tcW w:w="642" w:type="dxa"/>
            <w:gridSpan w:val="2"/>
            <w:vMerge w:val="continue"/>
            <w:shd w:val="clear" w:color="auto" w:fill="auto"/>
            <w:vAlign w:val="center"/>
          </w:tcPr>
          <w:p w14:paraId="0A409134">
            <w:pPr>
              <w:autoSpaceDE w:val="0"/>
              <w:autoSpaceDN w:val="0"/>
              <w:jc w:val="center"/>
              <w:rPr>
                <w:sz w:val="21"/>
                <w:szCs w:val="21"/>
              </w:rPr>
            </w:pPr>
          </w:p>
        </w:tc>
      </w:tr>
      <w:tr w14:paraId="00D392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3C01E27">
            <w:pPr>
              <w:autoSpaceDE w:val="0"/>
              <w:autoSpaceDN w:val="0"/>
              <w:jc w:val="center"/>
              <w:rPr>
                <w:sz w:val="21"/>
                <w:szCs w:val="21"/>
              </w:rPr>
            </w:pPr>
            <w:bookmarkStart w:id="23" w:name="_Hlk199348640"/>
          </w:p>
        </w:tc>
        <w:tc>
          <w:tcPr>
            <w:tcW w:w="709" w:type="dxa"/>
            <w:vMerge w:val="restart"/>
            <w:vAlign w:val="center"/>
          </w:tcPr>
          <w:p w14:paraId="5C51B65A">
            <w:pPr>
              <w:autoSpaceDE w:val="0"/>
              <w:autoSpaceDN w:val="0"/>
              <w:jc w:val="center"/>
              <w:rPr>
                <w:sz w:val="21"/>
                <w:szCs w:val="21"/>
              </w:rPr>
            </w:pPr>
            <w:r>
              <w:rPr>
                <w:sz w:val="21"/>
                <w:szCs w:val="21"/>
              </w:rPr>
              <w:t>DA002</w:t>
            </w:r>
          </w:p>
        </w:tc>
        <w:tc>
          <w:tcPr>
            <w:tcW w:w="354" w:type="dxa"/>
            <w:vMerge w:val="restart"/>
            <w:vAlign w:val="center"/>
          </w:tcPr>
          <w:p w14:paraId="45CD8205">
            <w:pPr>
              <w:autoSpaceDE w:val="0"/>
              <w:autoSpaceDN w:val="0"/>
              <w:jc w:val="center"/>
              <w:rPr>
                <w:sz w:val="21"/>
                <w:szCs w:val="21"/>
              </w:rPr>
            </w:pPr>
            <w:r>
              <w:rPr>
                <w:rFonts w:hint="eastAsia"/>
                <w:sz w:val="21"/>
                <w:szCs w:val="21"/>
              </w:rPr>
              <w:t>沥青混凝土生产线</w:t>
            </w:r>
          </w:p>
        </w:tc>
        <w:tc>
          <w:tcPr>
            <w:tcW w:w="638" w:type="dxa"/>
            <w:gridSpan w:val="2"/>
            <w:vMerge w:val="restart"/>
            <w:vAlign w:val="center"/>
          </w:tcPr>
          <w:p w14:paraId="7801E629">
            <w:pPr>
              <w:autoSpaceDE w:val="0"/>
              <w:autoSpaceDN w:val="0"/>
              <w:jc w:val="center"/>
              <w:rPr>
                <w:sz w:val="21"/>
                <w:szCs w:val="21"/>
              </w:rPr>
            </w:pPr>
            <w:r>
              <w:rPr>
                <w:rFonts w:hint="eastAsia"/>
                <w:sz w:val="21"/>
                <w:szCs w:val="21"/>
              </w:rPr>
              <w:t>骨料烘干废气</w:t>
            </w:r>
          </w:p>
        </w:tc>
        <w:tc>
          <w:tcPr>
            <w:tcW w:w="850" w:type="dxa"/>
            <w:vMerge w:val="restart"/>
            <w:vAlign w:val="center"/>
          </w:tcPr>
          <w:p w14:paraId="7D7C31CB">
            <w:pPr>
              <w:autoSpaceDE w:val="0"/>
              <w:autoSpaceDN w:val="0"/>
              <w:jc w:val="center"/>
              <w:rPr>
                <w:sz w:val="21"/>
                <w:szCs w:val="21"/>
              </w:rPr>
            </w:pPr>
            <w:r>
              <w:rPr>
                <w:sz w:val="21"/>
                <w:szCs w:val="21"/>
              </w:rPr>
              <w:t>89°37′23.654″E</w:t>
            </w:r>
            <w:r>
              <w:rPr>
                <w:rFonts w:hint="eastAsia"/>
                <w:sz w:val="21"/>
                <w:szCs w:val="21"/>
              </w:rPr>
              <w:t>，</w:t>
            </w:r>
            <w:r>
              <w:rPr>
                <w:sz w:val="21"/>
                <w:szCs w:val="21"/>
              </w:rPr>
              <w:t>44°8′5.140″N</w:t>
            </w:r>
          </w:p>
        </w:tc>
        <w:tc>
          <w:tcPr>
            <w:tcW w:w="851" w:type="dxa"/>
            <w:vMerge w:val="restart"/>
            <w:vAlign w:val="center"/>
          </w:tcPr>
          <w:p w14:paraId="7BE7A5C2">
            <w:pPr>
              <w:autoSpaceDE w:val="0"/>
              <w:autoSpaceDN w:val="0"/>
              <w:jc w:val="center"/>
              <w:rPr>
                <w:sz w:val="21"/>
                <w:szCs w:val="21"/>
              </w:rPr>
            </w:pPr>
            <w:r>
              <w:rPr>
                <w:sz w:val="21"/>
                <w:szCs w:val="21"/>
              </w:rPr>
              <w:t>20000</w:t>
            </w:r>
          </w:p>
        </w:tc>
        <w:tc>
          <w:tcPr>
            <w:tcW w:w="568" w:type="dxa"/>
            <w:vAlign w:val="center"/>
          </w:tcPr>
          <w:p w14:paraId="00CEEEDA">
            <w:pPr>
              <w:autoSpaceDE w:val="0"/>
              <w:autoSpaceDN w:val="0"/>
              <w:jc w:val="center"/>
              <w:rPr>
                <w:sz w:val="21"/>
                <w:szCs w:val="21"/>
              </w:rPr>
            </w:pPr>
            <w:r>
              <w:rPr>
                <w:sz w:val="21"/>
                <w:szCs w:val="21"/>
              </w:rPr>
              <w:t>颗粒物</w:t>
            </w:r>
          </w:p>
        </w:tc>
        <w:tc>
          <w:tcPr>
            <w:tcW w:w="768" w:type="dxa"/>
            <w:shd w:val="clear" w:color="auto" w:fill="auto"/>
            <w:vAlign w:val="center"/>
          </w:tcPr>
          <w:p w14:paraId="1DADDFEA">
            <w:pPr>
              <w:widowControl/>
              <w:jc w:val="center"/>
              <w:rPr>
                <w:kern w:val="0"/>
                <w:sz w:val="21"/>
                <w:szCs w:val="21"/>
              </w:rPr>
            </w:pPr>
            <w:r>
              <w:rPr>
                <w:sz w:val="21"/>
                <w:szCs w:val="21"/>
              </w:rPr>
              <w:t xml:space="preserve">3133.89 </w:t>
            </w:r>
          </w:p>
        </w:tc>
        <w:tc>
          <w:tcPr>
            <w:tcW w:w="838" w:type="dxa"/>
            <w:shd w:val="clear" w:color="auto" w:fill="auto"/>
            <w:vAlign w:val="center"/>
          </w:tcPr>
          <w:p w14:paraId="3273C8C2">
            <w:pPr>
              <w:jc w:val="center"/>
              <w:rPr>
                <w:sz w:val="21"/>
                <w:szCs w:val="21"/>
              </w:rPr>
            </w:pPr>
            <w:r>
              <w:rPr>
                <w:sz w:val="21"/>
                <w:szCs w:val="21"/>
              </w:rPr>
              <w:t xml:space="preserve">62.68 </w:t>
            </w:r>
          </w:p>
        </w:tc>
        <w:tc>
          <w:tcPr>
            <w:tcW w:w="718" w:type="dxa"/>
            <w:shd w:val="clear" w:color="auto" w:fill="auto"/>
            <w:vAlign w:val="center"/>
          </w:tcPr>
          <w:p w14:paraId="1EE99B06">
            <w:pPr>
              <w:jc w:val="center"/>
              <w:rPr>
                <w:sz w:val="21"/>
                <w:szCs w:val="21"/>
              </w:rPr>
            </w:pPr>
            <w:r>
              <w:rPr>
                <w:sz w:val="21"/>
                <w:szCs w:val="21"/>
              </w:rPr>
              <w:t xml:space="preserve">169.23 </w:t>
            </w:r>
          </w:p>
        </w:tc>
        <w:tc>
          <w:tcPr>
            <w:tcW w:w="1502" w:type="dxa"/>
            <w:vMerge w:val="restart"/>
            <w:vAlign w:val="center"/>
          </w:tcPr>
          <w:p w14:paraId="02ECFD87">
            <w:pPr>
              <w:autoSpaceDE w:val="0"/>
              <w:autoSpaceDN w:val="0"/>
              <w:jc w:val="center"/>
              <w:rPr>
                <w:sz w:val="21"/>
                <w:szCs w:val="21"/>
              </w:rPr>
            </w:pPr>
            <w:r>
              <w:rPr>
                <w:sz w:val="21"/>
                <w:szCs w:val="21"/>
              </w:rPr>
              <w:t>设置一套</w:t>
            </w:r>
            <w:r>
              <w:rPr>
                <w:rFonts w:hint="eastAsia"/>
                <w:sz w:val="21"/>
                <w:szCs w:val="21"/>
              </w:rPr>
              <w:t>袋式除尘器</w:t>
            </w:r>
            <w:r>
              <w:rPr>
                <w:sz w:val="21"/>
                <w:szCs w:val="21"/>
              </w:rPr>
              <w:t>，处理后经一根15m高排气筒排放</w:t>
            </w:r>
          </w:p>
        </w:tc>
        <w:tc>
          <w:tcPr>
            <w:tcW w:w="806" w:type="dxa"/>
            <w:vMerge w:val="restart"/>
            <w:vAlign w:val="center"/>
          </w:tcPr>
          <w:p w14:paraId="58C6D2AF">
            <w:pPr>
              <w:autoSpaceDE w:val="0"/>
              <w:autoSpaceDN w:val="0"/>
              <w:jc w:val="center"/>
              <w:rPr>
                <w:sz w:val="21"/>
                <w:szCs w:val="21"/>
              </w:rPr>
            </w:pPr>
            <w:r>
              <w:rPr>
                <w:sz w:val="21"/>
                <w:szCs w:val="21"/>
              </w:rPr>
              <w:t>99.7</w:t>
            </w:r>
          </w:p>
        </w:tc>
        <w:tc>
          <w:tcPr>
            <w:tcW w:w="507" w:type="dxa"/>
            <w:vMerge w:val="restart"/>
            <w:vAlign w:val="center"/>
          </w:tcPr>
          <w:p w14:paraId="5E8D7355">
            <w:pPr>
              <w:autoSpaceDE w:val="0"/>
              <w:autoSpaceDN w:val="0"/>
              <w:jc w:val="center"/>
              <w:rPr>
                <w:sz w:val="21"/>
                <w:szCs w:val="21"/>
              </w:rPr>
            </w:pPr>
            <w:r>
              <w:rPr>
                <w:sz w:val="21"/>
                <w:szCs w:val="21"/>
              </w:rPr>
              <w:t>15</w:t>
            </w:r>
          </w:p>
        </w:tc>
        <w:tc>
          <w:tcPr>
            <w:tcW w:w="510" w:type="dxa"/>
            <w:vMerge w:val="restart"/>
            <w:vAlign w:val="center"/>
          </w:tcPr>
          <w:p w14:paraId="738E5E51">
            <w:pPr>
              <w:autoSpaceDE w:val="0"/>
              <w:autoSpaceDN w:val="0"/>
              <w:jc w:val="center"/>
              <w:rPr>
                <w:sz w:val="21"/>
                <w:szCs w:val="21"/>
              </w:rPr>
            </w:pPr>
            <w:r>
              <w:rPr>
                <w:sz w:val="21"/>
                <w:szCs w:val="21"/>
              </w:rPr>
              <w:t>0.5</w:t>
            </w:r>
          </w:p>
        </w:tc>
        <w:tc>
          <w:tcPr>
            <w:tcW w:w="511" w:type="dxa"/>
            <w:vMerge w:val="restart"/>
            <w:vAlign w:val="center"/>
          </w:tcPr>
          <w:p w14:paraId="37C52C7B">
            <w:pPr>
              <w:autoSpaceDE w:val="0"/>
              <w:autoSpaceDN w:val="0"/>
              <w:jc w:val="center"/>
              <w:rPr>
                <w:sz w:val="21"/>
                <w:szCs w:val="21"/>
              </w:rPr>
            </w:pPr>
            <w:r>
              <w:rPr>
                <w:sz w:val="21"/>
                <w:szCs w:val="21"/>
              </w:rPr>
              <w:t>200</w:t>
            </w:r>
          </w:p>
        </w:tc>
        <w:tc>
          <w:tcPr>
            <w:tcW w:w="868" w:type="dxa"/>
            <w:vMerge w:val="restart"/>
            <w:vAlign w:val="center"/>
          </w:tcPr>
          <w:p w14:paraId="2248499F">
            <w:pPr>
              <w:autoSpaceDE w:val="0"/>
              <w:autoSpaceDN w:val="0"/>
              <w:jc w:val="center"/>
              <w:rPr>
                <w:sz w:val="21"/>
                <w:szCs w:val="21"/>
              </w:rPr>
            </w:pPr>
            <w:r>
              <w:rPr>
                <w:sz w:val="21"/>
                <w:szCs w:val="21"/>
              </w:rPr>
              <w:t>点源、连续</w:t>
            </w:r>
          </w:p>
        </w:tc>
        <w:tc>
          <w:tcPr>
            <w:tcW w:w="538" w:type="dxa"/>
            <w:vMerge w:val="restart"/>
            <w:vAlign w:val="center"/>
          </w:tcPr>
          <w:p w14:paraId="4A3D118F">
            <w:pPr>
              <w:autoSpaceDE w:val="0"/>
              <w:autoSpaceDN w:val="0"/>
              <w:jc w:val="center"/>
              <w:rPr>
                <w:sz w:val="21"/>
                <w:szCs w:val="21"/>
              </w:rPr>
            </w:pPr>
            <w:r>
              <w:rPr>
                <w:sz w:val="21"/>
                <w:szCs w:val="21"/>
              </w:rPr>
              <w:t>2700</w:t>
            </w:r>
          </w:p>
        </w:tc>
        <w:tc>
          <w:tcPr>
            <w:tcW w:w="632" w:type="dxa"/>
            <w:shd w:val="clear" w:color="auto" w:fill="auto"/>
            <w:vAlign w:val="center"/>
          </w:tcPr>
          <w:p w14:paraId="23D768A7">
            <w:pPr>
              <w:widowControl/>
              <w:jc w:val="center"/>
              <w:rPr>
                <w:kern w:val="0"/>
                <w:sz w:val="21"/>
                <w:szCs w:val="21"/>
              </w:rPr>
            </w:pPr>
            <w:r>
              <w:rPr>
                <w:sz w:val="21"/>
                <w:szCs w:val="21"/>
              </w:rPr>
              <w:t xml:space="preserve">9.44 </w:t>
            </w:r>
          </w:p>
        </w:tc>
        <w:tc>
          <w:tcPr>
            <w:tcW w:w="627" w:type="dxa"/>
            <w:shd w:val="clear" w:color="auto" w:fill="auto"/>
            <w:vAlign w:val="center"/>
          </w:tcPr>
          <w:p w14:paraId="19D69002">
            <w:pPr>
              <w:jc w:val="center"/>
              <w:rPr>
                <w:sz w:val="21"/>
                <w:szCs w:val="21"/>
              </w:rPr>
            </w:pPr>
            <w:r>
              <w:rPr>
                <w:sz w:val="21"/>
                <w:szCs w:val="21"/>
              </w:rPr>
              <w:t xml:space="preserve">0.19 </w:t>
            </w:r>
          </w:p>
        </w:tc>
        <w:tc>
          <w:tcPr>
            <w:tcW w:w="642" w:type="dxa"/>
            <w:gridSpan w:val="2"/>
            <w:shd w:val="clear" w:color="auto" w:fill="auto"/>
            <w:vAlign w:val="center"/>
          </w:tcPr>
          <w:p w14:paraId="575F5F30">
            <w:pPr>
              <w:jc w:val="center"/>
              <w:rPr>
                <w:sz w:val="21"/>
                <w:szCs w:val="21"/>
              </w:rPr>
            </w:pPr>
            <w:r>
              <w:rPr>
                <w:sz w:val="21"/>
                <w:szCs w:val="21"/>
              </w:rPr>
              <w:t xml:space="preserve">0.51 </w:t>
            </w:r>
          </w:p>
        </w:tc>
      </w:tr>
      <w:tr w14:paraId="53BC15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7E5CC571">
            <w:pPr>
              <w:autoSpaceDE w:val="0"/>
              <w:autoSpaceDN w:val="0"/>
              <w:jc w:val="center"/>
              <w:rPr>
                <w:sz w:val="21"/>
                <w:szCs w:val="21"/>
              </w:rPr>
            </w:pPr>
          </w:p>
        </w:tc>
        <w:tc>
          <w:tcPr>
            <w:tcW w:w="709" w:type="dxa"/>
            <w:vMerge w:val="continue"/>
            <w:vAlign w:val="center"/>
          </w:tcPr>
          <w:p w14:paraId="480F6C19">
            <w:pPr>
              <w:autoSpaceDE w:val="0"/>
              <w:autoSpaceDN w:val="0"/>
              <w:jc w:val="center"/>
              <w:rPr>
                <w:sz w:val="21"/>
                <w:szCs w:val="21"/>
              </w:rPr>
            </w:pPr>
          </w:p>
        </w:tc>
        <w:tc>
          <w:tcPr>
            <w:tcW w:w="354" w:type="dxa"/>
            <w:vMerge w:val="continue"/>
            <w:vAlign w:val="center"/>
          </w:tcPr>
          <w:p w14:paraId="12B2D23A">
            <w:pPr>
              <w:autoSpaceDE w:val="0"/>
              <w:autoSpaceDN w:val="0"/>
              <w:jc w:val="center"/>
              <w:rPr>
                <w:sz w:val="21"/>
                <w:szCs w:val="21"/>
              </w:rPr>
            </w:pPr>
          </w:p>
        </w:tc>
        <w:tc>
          <w:tcPr>
            <w:tcW w:w="638" w:type="dxa"/>
            <w:gridSpan w:val="2"/>
            <w:vMerge w:val="continue"/>
            <w:vAlign w:val="center"/>
          </w:tcPr>
          <w:p w14:paraId="7137B80F">
            <w:pPr>
              <w:autoSpaceDE w:val="0"/>
              <w:autoSpaceDN w:val="0"/>
              <w:jc w:val="center"/>
              <w:rPr>
                <w:sz w:val="21"/>
                <w:szCs w:val="21"/>
              </w:rPr>
            </w:pPr>
          </w:p>
        </w:tc>
        <w:tc>
          <w:tcPr>
            <w:tcW w:w="850" w:type="dxa"/>
            <w:vMerge w:val="continue"/>
            <w:vAlign w:val="center"/>
          </w:tcPr>
          <w:p w14:paraId="019D121C">
            <w:pPr>
              <w:autoSpaceDE w:val="0"/>
              <w:autoSpaceDN w:val="0"/>
              <w:jc w:val="center"/>
              <w:rPr>
                <w:sz w:val="21"/>
                <w:szCs w:val="21"/>
              </w:rPr>
            </w:pPr>
          </w:p>
        </w:tc>
        <w:tc>
          <w:tcPr>
            <w:tcW w:w="851" w:type="dxa"/>
            <w:vMerge w:val="continue"/>
            <w:vAlign w:val="center"/>
          </w:tcPr>
          <w:p w14:paraId="01CC7CFD">
            <w:pPr>
              <w:autoSpaceDE w:val="0"/>
              <w:autoSpaceDN w:val="0"/>
              <w:jc w:val="center"/>
              <w:rPr>
                <w:sz w:val="21"/>
                <w:szCs w:val="21"/>
              </w:rPr>
            </w:pPr>
          </w:p>
        </w:tc>
        <w:tc>
          <w:tcPr>
            <w:tcW w:w="568" w:type="dxa"/>
            <w:vAlign w:val="center"/>
          </w:tcPr>
          <w:p w14:paraId="1CE3ADF6">
            <w:pPr>
              <w:autoSpaceDE w:val="0"/>
              <w:autoSpaceDN w:val="0"/>
              <w:jc w:val="center"/>
              <w:rPr>
                <w:sz w:val="21"/>
                <w:szCs w:val="21"/>
              </w:rPr>
            </w:pPr>
            <w:r>
              <w:rPr>
                <w:rFonts w:hint="eastAsia"/>
                <w:sz w:val="21"/>
                <w:szCs w:val="21"/>
              </w:rPr>
              <w:t>氮氧化物</w:t>
            </w:r>
          </w:p>
        </w:tc>
        <w:tc>
          <w:tcPr>
            <w:tcW w:w="768" w:type="dxa"/>
            <w:shd w:val="clear" w:color="auto" w:fill="auto"/>
            <w:vAlign w:val="center"/>
          </w:tcPr>
          <w:p w14:paraId="6595703F">
            <w:pPr>
              <w:widowControl/>
              <w:jc w:val="center"/>
              <w:rPr>
                <w:sz w:val="21"/>
                <w:szCs w:val="21"/>
              </w:rPr>
            </w:pPr>
            <w:r>
              <w:rPr>
                <w:sz w:val="21"/>
                <w:szCs w:val="21"/>
              </w:rPr>
              <w:t xml:space="preserve">52.59 </w:t>
            </w:r>
          </w:p>
        </w:tc>
        <w:tc>
          <w:tcPr>
            <w:tcW w:w="838" w:type="dxa"/>
            <w:shd w:val="clear" w:color="auto" w:fill="auto"/>
            <w:vAlign w:val="center"/>
          </w:tcPr>
          <w:p w14:paraId="31000315">
            <w:pPr>
              <w:jc w:val="center"/>
              <w:rPr>
                <w:sz w:val="21"/>
                <w:szCs w:val="21"/>
              </w:rPr>
            </w:pPr>
            <w:r>
              <w:rPr>
                <w:sz w:val="21"/>
                <w:szCs w:val="21"/>
              </w:rPr>
              <w:t xml:space="preserve">1.05 </w:t>
            </w:r>
          </w:p>
        </w:tc>
        <w:tc>
          <w:tcPr>
            <w:tcW w:w="718" w:type="dxa"/>
            <w:shd w:val="clear" w:color="auto" w:fill="auto"/>
            <w:vAlign w:val="center"/>
          </w:tcPr>
          <w:p w14:paraId="688304DC">
            <w:pPr>
              <w:jc w:val="center"/>
              <w:rPr>
                <w:sz w:val="21"/>
                <w:szCs w:val="21"/>
              </w:rPr>
            </w:pPr>
            <w:r>
              <w:rPr>
                <w:sz w:val="21"/>
                <w:szCs w:val="21"/>
              </w:rPr>
              <w:t xml:space="preserve">2.84 </w:t>
            </w:r>
          </w:p>
        </w:tc>
        <w:tc>
          <w:tcPr>
            <w:tcW w:w="1502" w:type="dxa"/>
            <w:vMerge w:val="continue"/>
            <w:vAlign w:val="center"/>
          </w:tcPr>
          <w:p w14:paraId="055E49A9">
            <w:pPr>
              <w:autoSpaceDE w:val="0"/>
              <w:autoSpaceDN w:val="0"/>
              <w:jc w:val="center"/>
              <w:rPr>
                <w:sz w:val="21"/>
                <w:szCs w:val="21"/>
              </w:rPr>
            </w:pPr>
          </w:p>
        </w:tc>
        <w:tc>
          <w:tcPr>
            <w:tcW w:w="806" w:type="dxa"/>
            <w:vMerge w:val="continue"/>
            <w:vAlign w:val="center"/>
          </w:tcPr>
          <w:p w14:paraId="0D3C94CA">
            <w:pPr>
              <w:autoSpaceDE w:val="0"/>
              <w:autoSpaceDN w:val="0"/>
              <w:jc w:val="center"/>
              <w:rPr>
                <w:sz w:val="21"/>
                <w:szCs w:val="21"/>
              </w:rPr>
            </w:pPr>
          </w:p>
        </w:tc>
        <w:tc>
          <w:tcPr>
            <w:tcW w:w="507" w:type="dxa"/>
            <w:vMerge w:val="continue"/>
            <w:vAlign w:val="center"/>
          </w:tcPr>
          <w:p w14:paraId="6824CC4B">
            <w:pPr>
              <w:autoSpaceDE w:val="0"/>
              <w:autoSpaceDN w:val="0"/>
              <w:jc w:val="center"/>
              <w:rPr>
                <w:sz w:val="21"/>
                <w:szCs w:val="21"/>
              </w:rPr>
            </w:pPr>
          </w:p>
        </w:tc>
        <w:tc>
          <w:tcPr>
            <w:tcW w:w="510" w:type="dxa"/>
            <w:vMerge w:val="continue"/>
            <w:vAlign w:val="center"/>
          </w:tcPr>
          <w:p w14:paraId="66BE3AF3">
            <w:pPr>
              <w:autoSpaceDE w:val="0"/>
              <w:autoSpaceDN w:val="0"/>
              <w:jc w:val="center"/>
              <w:rPr>
                <w:sz w:val="21"/>
                <w:szCs w:val="21"/>
              </w:rPr>
            </w:pPr>
          </w:p>
        </w:tc>
        <w:tc>
          <w:tcPr>
            <w:tcW w:w="511" w:type="dxa"/>
            <w:vMerge w:val="continue"/>
            <w:vAlign w:val="center"/>
          </w:tcPr>
          <w:p w14:paraId="2AE87716">
            <w:pPr>
              <w:autoSpaceDE w:val="0"/>
              <w:autoSpaceDN w:val="0"/>
              <w:jc w:val="center"/>
              <w:rPr>
                <w:sz w:val="21"/>
                <w:szCs w:val="21"/>
              </w:rPr>
            </w:pPr>
          </w:p>
        </w:tc>
        <w:tc>
          <w:tcPr>
            <w:tcW w:w="868" w:type="dxa"/>
            <w:vMerge w:val="continue"/>
            <w:vAlign w:val="center"/>
          </w:tcPr>
          <w:p w14:paraId="332D55AB">
            <w:pPr>
              <w:autoSpaceDE w:val="0"/>
              <w:autoSpaceDN w:val="0"/>
              <w:jc w:val="center"/>
              <w:rPr>
                <w:sz w:val="21"/>
                <w:szCs w:val="21"/>
              </w:rPr>
            </w:pPr>
          </w:p>
        </w:tc>
        <w:tc>
          <w:tcPr>
            <w:tcW w:w="538" w:type="dxa"/>
            <w:vMerge w:val="continue"/>
            <w:vAlign w:val="center"/>
          </w:tcPr>
          <w:p w14:paraId="6D3C5051">
            <w:pPr>
              <w:autoSpaceDE w:val="0"/>
              <w:autoSpaceDN w:val="0"/>
              <w:jc w:val="center"/>
              <w:rPr>
                <w:sz w:val="21"/>
                <w:szCs w:val="21"/>
              </w:rPr>
            </w:pPr>
          </w:p>
        </w:tc>
        <w:tc>
          <w:tcPr>
            <w:tcW w:w="632" w:type="dxa"/>
            <w:shd w:val="clear" w:color="auto" w:fill="auto"/>
            <w:vAlign w:val="center"/>
          </w:tcPr>
          <w:p w14:paraId="3DE23367">
            <w:pPr>
              <w:widowControl/>
              <w:jc w:val="center"/>
              <w:rPr>
                <w:sz w:val="21"/>
                <w:szCs w:val="21"/>
              </w:rPr>
            </w:pPr>
            <w:r>
              <w:rPr>
                <w:sz w:val="21"/>
                <w:szCs w:val="21"/>
              </w:rPr>
              <w:t xml:space="preserve">52.59 </w:t>
            </w:r>
          </w:p>
        </w:tc>
        <w:tc>
          <w:tcPr>
            <w:tcW w:w="627" w:type="dxa"/>
            <w:shd w:val="clear" w:color="auto" w:fill="auto"/>
            <w:vAlign w:val="center"/>
          </w:tcPr>
          <w:p w14:paraId="29DAD98D">
            <w:pPr>
              <w:jc w:val="center"/>
              <w:rPr>
                <w:sz w:val="21"/>
                <w:szCs w:val="21"/>
              </w:rPr>
            </w:pPr>
            <w:r>
              <w:rPr>
                <w:sz w:val="21"/>
                <w:szCs w:val="21"/>
              </w:rPr>
              <w:t xml:space="preserve">1.05 </w:t>
            </w:r>
          </w:p>
        </w:tc>
        <w:tc>
          <w:tcPr>
            <w:tcW w:w="642" w:type="dxa"/>
            <w:gridSpan w:val="2"/>
            <w:shd w:val="clear" w:color="auto" w:fill="auto"/>
            <w:vAlign w:val="center"/>
          </w:tcPr>
          <w:p w14:paraId="4BD8B59D">
            <w:pPr>
              <w:jc w:val="center"/>
              <w:rPr>
                <w:sz w:val="21"/>
                <w:szCs w:val="21"/>
              </w:rPr>
            </w:pPr>
            <w:r>
              <w:rPr>
                <w:sz w:val="21"/>
                <w:szCs w:val="21"/>
              </w:rPr>
              <w:t xml:space="preserve">2.84 </w:t>
            </w:r>
          </w:p>
        </w:tc>
      </w:tr>
      <w:bookmarkEnd w:id="23"/>
      <w:tr w14:paraId="1FB73C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4FAFA3D5">
            <w:pPr>
              <w:autoSpaceDE w:val="0"/>
              <w:autoSpaceDN w:val="0"/>
              <w:jc w:val="center"/>
              <w:rPr>
                <w:sz w:val="21"/>
                <w:szCs w:val="21"/>
              </w:rPr>
            </w:pPr>
          </w:p>
        </w:tc>
        <w:tc>
          <w:tcPr>
            <w:tcW w:w="709" w:type="dxa"/>
            <w:vMerge w:val="restart"/>
            <w:vAlign w:val="center"/>
          </w:tcPr>
          <w:p w14:paraId="202D152C">
            <w:pPr>
              <w:autoSpaceDE w:val="0"/>
              <w:autoSpaceDN w:val="0"/>
              <w:jc w:val="center"/>
              <w:rPr>
                <w:sz w:val="21"/>
                <w:szCs w:val="21"/>
              </w:rPr>
            </w:pPr>
            <w:r>
              <w:rPr>
                <w:sz w:val="21"/>
                <w:szCs w:val="21"/>
              </w:rPr>
              <w:t>DA003</w:t>
            </w:r>
          </w:p>
        </w:tc>
        <w:tc>
          <w:tcPr>
            <w:tcW w:w="354" w:type="dxa"/>
            <w:vMerge w:val="continue"/>
            <w:vAlign w:val="center"/>
          </w:tcPr>
          <w:p w14:paraId="7C920269">
            <w:pPr>
              <w:autoSpaceDE w:val="0"/>
              <w:autoSpaceDN w:val="0"/>
              <w:jc w:val="center"/>
              <w:rPr>
                <w:sz w:val="21"/>
                <w:szCs w:val="21"/>
              </w:rPr>
            </w:pPr>
          </w:p>
        </w:tc>
        <w:tc>
          <w:tcPr>
            <w:tcW w:w="638" w:type="dxa"/>
            <w:gridSpan w:val="2"/>
            <w:vMerge w:val="restart"/>
            <w:vAlign w:val="center"/>
          </w:tcPr>
          <w:p w14:paraId="087376A6">
            <w:pPr>
              <w:autoSpaceDE w:val="0"/>
              <w:autoSpaceDN w:val="0"/>
              <w:jc w:val="center"/>
              <w:rPr>
                <w:sz w:val="21"/>
                <w:szCs w:val="21"/>
              </w:rPr>
            </w:pPr>
            <w:r>
              <w:rPr>
                <w:sz w:val="21"/>
                <w:szCs w:val="21"/>
              </w:rPr>
              <w:t>沥青加热搅拌废气</w:t>
            </w:r>
          </w:p>
        </w:tc>
        <w:tc>
          <w:tcPr>
            <w:tcW w:w="850" w:type="dxa"/>
            <w:vMerge w:val="restart"/>
            <w:vAlign w:val="center"/>
          </w:tcPr>
          <w:p w14:paraId="2FBF8883">
            <w:pPr>
              <w:autoSpaceDE w:val="0"/>
              <w:autoSpaceDN w:val="0"/>
              <w:jc w:val="center"/>
              <w:rPr>
                <w:sz w:val="21"/>
                <w:szCs w:val="21"/>
              </w:rPr>
            </w:pPr>
            <w:r>
              <w:rPr>
                <w:sz w:val="21"/>
                <w:szCs w:val="21"/>
              </w:rPr>
              <w:t>89°37′23.191″E，44°8′4.909″N</w:t>
            </w:r>
          </w:p>
        </w:tc>
        <w:tc>
          <w:tcPr>
            <w:tcW w:w="851" w:type="dxa"/>
            <w:vMerge w:val="restart"/>
            <w:vAlign w:val="center"/>
          </w:tcPr>
          <w:p w14:paraId="509B8590">
            <w:pPr>
              <w:autoSpaceDE w:val="0"/>
              <w:autoSpaceDN w:val="0"/>
              <w:jc w:val="center"/>
              <w:rPr>
                <w:sz w:val="21"/>
                <w:szCs w:val="21"/>
              </w:rPr>
            </w:pPr>
            <w:r>
              <w:rPr>
                <w:sz w:val="21"/>
                <w:szCs w:val="21"/>
              </w:rPr>
              <w:t>20000</w:t>
            </w:r>
          </w:p>
        </w:tc>
        <w:tc>
          <w:tcPr>
            <w:tcW w:w="568" w:type="dxa"/>
            <w:vAlign w:val="center"/>
          </w:tcPr>
          <w:p w14:paraId="795FB52F">
            <w:pPr>
              <w:autoSpaceDE w:val="0"/>
              <w:autoSpaceDN w:val="0"/>
              <w:jc w:val="center"/>
              <w:rPr>
                <w:sz w:val="21"/>
                <w:szCs w:val="21"/>
              </w:rPr>
            </w:pPr>
            <w:r>
              <w:rPr>
                <w:sz w:val="21"/>
                <w:szCs w:val="21"/>
              </w:rPr>
              <w:t>沥青烟</w:t>
            </w:r>
          </w:p>
        </w:tc>
        <w:tc>
          <w:tcPr>
            <w:tcW w:w="768" w:type="dxa"/>
            <w:shd w:val="clear" w:color="auto" w:fill="auto"/>
            <w:vAlign w:val="center"/>
          </w:tcPr>
          <w:p w14:paraId="67B6BE0A">
            <w:pPr>
              <w:widowControl/>
              <w:jc w:val="center"/>
              <w:rPr>
                <w:kern w:val="0"/>
                <w:sz w:val="21"/>
                <w:szCs w:val="21"/>
              </w:rPr>
            </w:pPr>
            <w:r>
              <w:rPr>
                <w:sz w:val="21"/>
                <w:szCs w:val="21"/>
              </w:rPr>
              <w:t>0.35</w:t>
            </w:r>
          </w:p>
        </w:tc>
        <w:tc>
          <w:tcPr>
            <w:tcW w:w="838" w:type="dxa"/>
            <w:shd w:val="clear" w:color="auto" w:fill="auto"/>
            <w:vAlign w:val="center"/>
          </w:tcPr>
          <w:p w14:paraId="68A56A1C">
            <w:pPr>
              <w:jc w:val="center"/>
              <w:rPr>
                <w:sz w:val="21"/>
                <w:szCs w:val="21"/>
              </w:rPr>
            </w:pPr>
            <w:r>
              <w:rPr>
                <w:sz w:val="21"/>
                <w:szCs w:val="21"/>
              </w:rPr>
              <w:t>0.0070</w:t>
            </w:r>
          </w:p>
        </w:tc>
        <w:tc>
          <w:tcPr>
            <w:tcW w:w="718" w:type="dxa"/>
            <w:shd w:val="clear" w:color="auto" w:fill="auto"/>
            <w:vAlign w:val="center"/>
          </w:tcPr>
          <w:p w14:paraId="2CE4A444">
            <w:pPr>
              <w:jc w:val="center"/>
              <w:rPr>
                <w:sz w:val="21"/>
                <w:szCs w:val="21"/>
              </w:rPr>
            </w:pPr>
            <w:r>
              <w:rPr>
                <w:sz w:val="21"/>
                <w:szCs w:val="21"/>
              </w:rPr>
              <w:t>0.019</w:t>
            </w:r>
          </w:p>
        </w:tc>
        <w:tc>
          <w:tcPr>
            <w:tcW w:w="1502" w:type="dxa"/>
            <w:vMerge w:val="restart"/>
            <w:vAlign w:val="center"/>
          </w:tcPr>
          <w:p w14:paraId="5A7E945A">
            <w:pPr>
              <w:autoSpaceDE w:val="0"/>
              <w:autoSpaceDN w:val="0"/>
              <w:jc w:val="center"/>
              <w:rPr>
                <w:sz w:val="21"/>
                <w:szCs w:val="21"/>
              </w:rPr>
            </w:pPr>
            <w:r>
              <w:rPr>
                <w:sz w:val="21"/>
                <w:szCs w:val="21"/>
              </w:rPr>
              <w:t xml:space="preserve">统一收集，经喷淋塔+电捕焦油器+活性炭吸附处理后，由15m高排气筒排放 </w:t>
            </w:r>
          </w:p>
        </w:tc>
        <w:tc>
          <w:tcPr>
            <w:tcW w:w="806" w:type="dxa"/>
            <w:vMerge w:val="restart"/>
            <w:vAlign w:val="center"/>
          </w:tcPr>
          <w:p w14:paraId="450E1DC2">
            <w:pPr>
              <w:autoSpaceDE w:val="0"/>
              <w:autoSpaceDN w:val="0"/>
              <w:jc w:val="center"/>
              <w:rPr>
                <w:sz w:val="21"/>
                <w:szCs w:val="21"/>
              </w:rPr>
            </w:pPr>
            <w:r>
              <w:rPr>
                <w:sz w:val="21"/>
                <w:szCs w:val="21"/>
              </w:rPr>
              <w:t>60</w:t>
            </w:r>
          </w:p>
        </w:tc>
        <w:tc>
          <w:tcPr>
            <w:tcW w:w="507" w:type="dxa"/>
            <w:vMerge w:val="restart"/>
            <w:vAlign w:val="center"/>
          </w:tcPr>
          <w:p w14:paraId="499865E1">
            <w:pPr>
              <w:autoSpaceDE w:val="0"/>
              <w:autoSpaceDN w:val="0"/>
              <w:jc w:val="center"/>
              <w:rPr>
                <w:sz w:val="21"/>
                <w:szCs w:val="21"/>
              </w:rPr>
            </w:pPr>
            <w:r>
              <w:rPr>
                <w:sz w:val="21"/>
                <w:szCs w:val="21"/>
              </w:rPr>
              <w:t>15</w:t>
            </w:r>
          </w:p>
        </w:tc>
        <w:tc>
          <w:tcPr>
            <w:tcW w:w="510" w:type="dxa"/>
            <w:vMerge w:val="restart"/>
            <w:vAlign w:val="center"/>
          </w:tcPr>
          <w:p w14:paraId="768950BC">
            <w:pPr>
              <w:autoSpaceDE w:val="0"/>
              <w:autoSpaceDN w:val="0"/>
              <w:jc w:val="center"/>
              <w:rPr>
                <w:sz w:val="21"/>
                <w:szCs w:val="21"/>
              </w:rPr>
            </w:pPr>
            <w:r>
              <w:rPr>
                <w:sz w:val="21"/>
                <w:szCs w:val="21"/>
              </w:rPr>
              <w:t>0.5</w:t>
            </w:r>
          </w:p>
        </w:tc>
        <w:tc>
          <w:tcPr>
            <w:tcW w:w="511" w:type="dxa"/>
            <w:vMerge w:val="restart"/>
            <w:vAlign w:val="center"/>
          </w:tcPr>
          <w:p w14:paraId="0CEB4100">
            <w:pPr>
              <w:autoSpaceDE w:val="0"/>
              <w:autoSpaceDN w:val="0"/>
              <w:jc w:val="center"/>
              <w:rPr>
                <w:sz w:val="21"/>
                <w:szCs w:val="21"/>
              </w:rPr>
            </w:pPr>
            <w:r>
              <w:rPr>
                <w:sz w:val="21"/>
                <w:szCs w:val="21"/>
              </w:rPr>
              <w:t>250</w:t>
            </w:r>
          </w:p>
        </w:tc>
        <w:tc>
          <w:tcPr>
            <w:tcW w:w="868" w:type="dxa"/>
            <w:vMerge w:val="restart"/>
            <w:vAlign w:val="center"/>
          </w:tcPr>
          <w:p w14:paraId="3829447D">
            <w:pPr>
              <w:autoSpaceDE w:val="0"/>
              <w:autoSpaceDN w:val="0"/>
              <w:jc w:val="center"/>
              <w:rPr>
                <w:sz w:val="21"/>
                <w:szCs w:val="21"/>
              </w:rPr>
            </w:pPr>
            <w:r>
              <w:rPr>
                <w:sz w:val="21"/>
                <w:szCs w:val="21"/>
              </w:rPr>
              <w:t>点源、连续</w:t>
            </w:r>
          </w:p>
        </w:tc>
        <w:tc>
          <w:tcPr>
            <w:tcW w:w="538" w:type="dxa"/>
            <w:vMerge w:val="restart"/>
            <w:vAlign w:val="center"/>
          </w:tcPr>
          <w:p w14:paraId="22353EB0">
            <w:pPr>
              <w:autoSpaceDE w:val="0"/>
              <w:autoSpaceDN w:val="0"/>
              <w:jc w:val="center"/>
              <w:rPr>
                <w:sz w:val="21"/>
                <w:szCs w:val="21"/>
              </w:rPr>
            </w:pPr>
            <w:r>
              <w:rPr>
                <w:sz w:val="21"/>
                <w:szCs w:val="21"/>
              </w:rPr>
              <w:t>2700</w:t>
            </w:r>
          </w:p>
        </w:tc>
        <w:tc>
          <w:tcPr>
            <w:tcW w:w="632" w:type="dxa"/>
            <w:shd w:val="clear" w:color="auto" w:fill="auto"/>
            <w:vAlign w:val="center"/>
          </w:tcPr>
          <w:p w14:paraId="6FB2A027">
            <w:pPr>
              <w:widowControl/>
              <w:jc w:val="center"/>
              <w:rPr>
                <w:kern w:val="0"/>
                <w:sz w:val="21"/>
                <w:szCs w:val="21"/>
              </w:rPr>
            </w:pPr>
            <w:r>
              <w:rPr>
                <w:sz w:val="21"/>
                <w:szCs w:val="21"/>
              </w:rPr>
              <w:t>0.148</w:t>
            </w:r>
          </w:p>
        </w:tc>
        <w:tc>
          <w:tcPr>
            <w:tcW w:w="627" w:type="dxa"/>
            <w:shd w:val="clear" w:color="auto" w:fill="auto"/>
            <w:vAlign w:val="center"/>
          </w:tcPr>
          <w:p w14:paraId="32B6FD8B">
            <w:pPr>
              <w:jc w:val="center"/>
              <w:rPr>
                <w:sz w:val="21"/>
                <w:szCs w:val="21"/>
              </w:rPr>
            </w:pPr>
            <w:r>
              <w:rPr>
                <w:sz w:val="21"/>
                <w:szCs w:val="21"/>
              </w:rPr>
              <w:t>0.003</w:t>
            </w:r>
          </w:p>
        </w:tc>
        <w:tc>
          <w:tcPr>
            <w:tcW w:w="642" w:type="dxa"/>
            <w:gridSpan w:val="2"/>
            <w:shd w:val="clear" w:color="auto" w:fill="auto"/>
            <w:vAlign w:val="center"/>
          </w:tcPr>
          <w:p w14:paraId="31297D43">
            <w:pPr>
              <w:jc w:val="center"/>
              <w:rPr>
                <w:sz w:val="21"/>
                <w:szCs w:val="21"/>
              </w:rPr>
            </w:pPr>
            <w:r>
              <w:rPr>
                <w:sz w:val="21"/>
                <w:szCs w:val="21"/>
              </w:rPr>
              <w:t>0.008</w:t>
            </w:r>
          </w:p>
        </w:tc>
      </w:tr>
      <w:tr w14:paraId="70A2F8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53A8EB72">
            <w:pPr>
              <w:autoSpaceDE w:val="0"/>
              <w:autoSpaceDN w:val="0"/>
              <w:jc w:val="center"/>
              <w:rPr>
                <w:sz w:val="21"/>
                <w:szCs w:val="21"/>
              </w:rPr>
            </w:pPr>
          </w:p>
        </w:tc>
        <w:tc>
          <w:tcPr>
            <w:tcW w:w="709" w:type="dxa"/>
            <w:vMerge w:val="continue"/>
            <w:vAlign w:val="center"/>
          </w:tcPr>
          <w:p w14:paraId="125D59B8">
            <w:pPr>
              <w:autoSpaceDE w:val="0"/>
              <w:autoSpaceDN w:val="0"/>
              <w:jc w:val="center"/>
              <w:rPr>
                <w:sz w:val="21"/>
                <w:szCs w:val="21"/>
              </w:rPr>
            </w:pPr>
          </w:p>
        </w:tc>
        <w:tc>
          <w:tcPr>
            <w:tcW w:w="354" w:type="dxa"/>
            <w:vMerge w:val="continue"/>
            <w:vAlign w:val="center"/>
          </w:tcPr>
          <w:p w14:paraId="2247B180">
            <w:pPr>
              <w:autoSpaceDE w:val="0"/>
              <w:autoSpaceDN w:val="0"/>
              <w:jc w:val="center"/>
              <w:rPr>
                <w:sz w:val="21"/>
                <w:szCs w:val="21"/>
              </w:rPr>
            </w:pPr>
          </w:p>
        </w:tc>
        <w:tc>
          <w:tcPr>
            <w:tcW w:w="638" w:type="dxa"/>
            <w:gridSpan w:val="2"/>
            <w:vMerge w:val="continue"/>
            <w:vAlign w:val="center"/>
          </w:tcPr>
          <w:p w14:paraId="3371442E">
            <w:pPr>
              <w:autoSpaceDE w:val="0"/>
              <w:autoSpaceDN w:val="0"/>
              <w:jc w:val="center"/>
              <w:rPr>
                <w:sz w:val="21"/>
                <w:szCs w:val="21"/>
              </w:rPr>
            </w:pPr>
          </w:p>
        </w:tc>
        <w:tc>
          <w:tcPr>
            <w:tcW w:w="850" w:type="dxa"/>
            <w:vMerge w:val="continue"/>
            <w:vAlign w:val="center"/>
          </w:tcPr>
          <w:p w14:paraId="255A601C">
            <w:pPr>
              <w:autoSpaceDE w:val="0"/>
              <w:autoSpaceDN w:val="0"/>
              <w:jc w:val="center"/>
              <w:rPr>
                <w:sz w:val="21"/>
                <w:szCs w:val="21"/>
              </w:rPr>
            </w:pPr>
          </w:p>
        </w:tc>
        <w:tc>
          <w:tcPr>
            <w:tcW w:w="851" w:type="dxa"/>
            <w:vMerge w:val="continue"/>
            <w:vAlign w:val="center"/>
          </w:tcPr>
          <w:p w14:paraId="1B5179E5">
            <w:pPr>
              <w:autoSpaceDE w:val="0"/>
              <w:autoSpaceDN w:val="0"/>
              <w:jc w:val="center"/>
              <w:rPr>
                <w:sz w:val="21"/>
                <w:szCs w:val="21"/>
              </w:rPr>
            </w:pPr>
          </w:p>
        </w:tc>
        <w:tc>
          <w:tcPr>
            <w:tcW w:w="568" w:type="dxa"/>
            <w:vAlign w:val="center"/>
          </w:tcPr>
          <w:p w14:paraId="1FBE1039">
            <w:pPr>
              <w:autoSpaceDE w:val="0"/>
              <w:autoSpaceDN w:val="0"/>
              <w:jc w:val="center"/>
              <w:rPr>
                <w:sz w:val="21"/>
                <w:szCs w:val="21"/>
              </w:rPr>
            </w:pPr>
            <w:r>
              <w:rPr>
                <w:sz w:val="21"/>
                <w:szCs w:val="21"/>
              </w:rPr>
              <w:t>苯并[a]芘</w:t>
            </w:r>
          </w:p>
        </w:tc>
        <w:tc>
          <w:tcPr>
            <w:tcW w:w="768" w:type="dxa"/>
            <w:shd w:val="clear" w:color="auto" w:fill="auto"/>
            <w:vAlign w:val="center"/>
          </w:tcPr>
          <w:p w14:paraId="59811FDD">
            <w:pPr>
              <w:jc w:val="center"/>
              <w:rPr>
                <w:sz w:val="21"/>
                <w:szCs w:val="21"/>
              </w:rPr>
            </w:pPr>
            <w:r>
              <w:rPr>
                <w:sz w:val="21"/>
                <w:szCs w:val="21"/>
              </w:rPr>
              <w:t>7.04E-06</w:t>
            </w:r>
          </w:p>
        </w:tc>
        <w:tc>
          <w:tcPr>
            <w:tcW w:w="838" w:type="dxa"/>
            <w:shd w:val="clear" w:color="auto" w:fill="auto"/>
            <w:vAlign w:val="center"/>
          </w:tcPr>
          <w:p w14:paraId="49B0543A">
            <w:pPr>
              <w:jc w:val="center"/>
              <w:rPr>
                <w:sz w:val="21"/>
                <w:szCs w:val="21"/>
              </w:rPr>
            </w:pPr>
            <w:r>
              <w:rPr>
                <w:sz w:val="21"/>
                <w:szCs w:val="21"/>
              </w:rPr>
              <w:t>1.41E-07</w:t>
            </w:r>
          </w:p>
        </w:tc>
        <w:tc>
          <w:tcPr>
            <w:tcW w:w="718" w:type="dxa"/>
            <w:shd w:val="clear" w:color="auto" w:fill="auto"/>
            <w:vAlign w:val="center"/>
          </w:tcPr>
          <w:p w14:paraId="0C9C00FA">
            <w:pPr>
              <w:jc w:val="center"/>
              <w:rPr>
                <w:sz w:val="21"/>
                <w:szCs w:val="21"/>
              </w:rPr>
            </w:pPr>
            <w:r>
              <w:rPr>
                <w:sz w:val="21"/>
                <w:szCs w:val="21"/>
              </w:rPr>
              <w:t>3.80E-07</w:t>
            </w:r>
          </w:p>
        </w:tc>
        <w:tc>
          <w:tcPr>
            <w:tcW w:w="1502" w:type="dxa"/>
            <w:vMerge w:val="continue"/>
            <w:vAlign w:val="center"/>
          </w:tcPr>
          <w:p w14:paraId="57DE2A5F">
            <w:pPr>
              <w:autoSpaceDE w:val="0"/>
              <w:autoSpaceDN w:val="0"/>
              <w:jc w:val="center"/>
              <w:rPr>
                <w:sz w:val="21"/>
                <w:szCs w:val="21"/>
              </w:rPr>
            </w:pPr>
          </w:p>
        </w:tc>
        <w:tc>
          <w:tcPr>
            <w:tcW w:w="806" w:type="dxa"/>
            <w:vMerge w:val="continue"/>
            <w:vAlign w:val="center"/>
          </w:tcPr>
          <w:p w14:paraId="010C5728">
            <w:pPr>
              <w:autoSpaceDE w:val="0"/>
              <w:autoSpaceDN w:val="0"/>
              <w:jc w:val="center"/>
              <w:rPr>
                <w:sz w:val="21"/>
                <w:szCs w:val="21"/>
              </w:rPr>
            </w:pPr>
          </w:p>
        </w:tc>
        <w:tc>
          <w:tcPr>
            <w:tcW w:w="507" w:type="dxa"/>
            <w:vMerge w:val="continue"/>
            <w:vAlign w:val="center"/>
          </w:tcPr>
          <w:p w14:paraId="51784870">
            <w:pPr>
              <w:autoSpaceDE w:val="0"/>
              <w:autoSpaceDN w:val="0"/>
              <w:jc w:val="center"/>
              <w:rPr>
                <w:sz w:val="21"/>
                <w:szCs w:val="21"/>
              </w:rPr>
            </w:pPr>
          </w:p>
        </w:tc>
        <w:tc>
          <w:tcPr>
            <w:tcW w:w="510" w:type="dxa"/>
            <w:vMerge w:val="continue"/>
            <w:vAlign w:val="center"/>
          </w:tcPr>
          <w:p w14:paraId="0E7FBF4B">
            <w:pPr>
              <w:autoSpaceDE w:val="0"/>
              <w:autoSpaceDN w:val="0"/>
              <w:jc w:val="center"/>
              <w:rPr>
                <w:sz w:val="21"/>
                <w:szCs w:val="21"/>
              </w:rPr>
            </w:pPr>
          </w:p>
        </w:tc>
        <w:tc>
          <w:tcPr>
            <w:tcW w:w="511" w:type="dxa"/>
            <w:vMerge w:val="continue"/>
            <w:vAlign w:val="center"/>
          </w:tcPr>
          <w:p w14:paraId="55DA4D94">
            <w:pPr>
              <w:autoSpaceDE w:val="0"/>
              <w:autoSpaceDN w:val="0"/>
              <w:jc w:val="center"/>
              <w:rPr>
                <w:sz w:val="21"/>
                <w:szCs w:val="21"/>
              </w:rPr>
            </w:pPr>
          </w:p>
        </w:tc>
        <w:tc>
          <w:tcPr>
            <w:tcW w:w="868" w:type="dxa"/>
            <w:vMerge w:val="continue"/>
            <w:vAlign w:val="center"/>
          </w:tcPr>
          <w:p w14:paraId="32DEFC7C">
            <w:pPr>
              <w:autoSpaceDE w:val="0"/>
              <w:autoSpaceDN w:val="0"/>
              <w:jc w:val="center"/>
              <w:rPr>
                <w:sz w:val="21"/>
                <w:szCs w:val="21"/>
              </w:rPr>
            </w:pPr>
          </w:p>
        </w:tc>
        <w:tc>
          <w:tcPr>
            <w:tcW w:w="538" w:type="dxa"/>
            <w:vMerge w:val="continue"/>
            <w:vAlign w:val="center"/>
          </w:tcPr>
          <w:p w14:paraId="2F88F318">
            <w:pPr>
              <w:autoSpaceDE w:val="0"/>
              <w:autoSpaceDN w:val="0"/>
              <w:jc w:val="center"/>
              <w:rPr>
                <w:sz w:val="21"/>
                <w:szCs w:val="21"/>
              </w:rPr>
            </w:pPr>
          </w:p>
        </w:tc>
        <w:tc>
          <w:tcPr>
            <w:tcW w:w="632" w:type="dxa"/>
            <w:shd w:val="clear" w:color="auto" w:fill="auto"/>
            <w:vAlign w:val="center"/>
          </w:tcPr>
          <w:p w14:paraId="33E2B596">
            <w:pPr>
              <w:jc w:val="center"/>
              <w:rPr>
                <w:sz w:val="21"/>
                <w:szCs w:val="21"/>
              </w:rPr>
            </w:pPr>
            <w:r>
              <w:rPr>
                <w:sz w:val="21"/>
                <w:szCs w:val="21"/>
              </w:rPr>
              <w:t>7.04E-08</w:t>
            </w:r>
          </w:p>
        </w:tc>
        <w:tc>
          <w:tcPr>
            <w:tcW w:w="627" w:type="dxa"/>
            <w:shd w:val="clear" w:color="auto" w:fill="auto"/>
            <w:vAlign w:val="center"/>
          </w:tcPr>
          <w:p w14:paraId="1B5D1B7A">
            <w:pPr>
              <w:jc w:val="center"/>
              <w:rPr>
                <w:sz w:val="21"/>
                <w:szCs w:val="21"/>
              </w:rPr>
            </w:pPr>
            <w:r>
              <w:rPr>
                <w:sz w:val="21"/>
                <w:szCs w:val="21"/>
              </w:rPr>
              <w:t>1.41E-09</w:t>
            </w:r>
          </w:p>
        </w:tc>
        <w:tc>
          <w:tcPr>
            <w:tcW w:w="642" w:type="dxa"/>
            <w:gridSpan w:val="2"/>
            <w:shd w:val="clear" w:color="auto" w:fill="auto"/>
            <w:vAlign w:val="center"/>
          </w:tcPr>
          <w:p w14:paraId="5DF3E4F2">
            <w:pPr>
              <w:jc w:val="center"/>
              <w:rPr>
                <w:sz w:val="21"/>
                <w:szCs w:val="21"/>
              </w:rPr>
            </w:pPr>
            <w:r>
              <w:rPr>
                <w:sz w:val="21"/>
                <w:szCs w:val="21"/>
              </w:rPr>
              <w:t>3.80E-09</w:t>
            </w:r>
          </w:p>
        </w:tc>
      </w:tr>
      <w:tr w14:paraId="17CB2D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3729BEE3">
            <w:pPr>
              <w:autoSpaceDE w:val="0"/>
              <w:autoSpaceDN w:val="0"/>
              <w:jc w:val="center"/>
              <w:rPr>
                <w:sz w:val="21"/>
                <w:szCs w:val="21"/>
              </w:rPr>
            </w:pPr>
          </w:p>
        </w:tc>
        <w:tc>
          <w:tcPr>
            <w:tcW w:w="709" w:type="dxa"/>
            <w:vMerge w:val="continue"/>
            <w:vAlign w:val="center"/>
          </w:tcPr>
          <w:p w14:paraId="578CE880">
            <w:pPr>
              <w:autoSpaceDE w:val="0"/>
              <w:autoSpaceDN w:val="0"/>
              <w:jc w:val="center"/>
              <w:rPr>
                <w:sz w:val="21"/>
                <w:szCs w:val="21"/>
              </w:rPr>
            </w:pPr>
          </w:p>
        </w:tc>
        <w:tc>
          <w:tcPr>
            <w:tcW w:w="354" w:type="dxa"/>
            <w:vMerge w:val="continue"/>
            <w:vAlign w:val="center"/>
          </w:tcPr>
          <w:p w14:paraId="53C04EC4">
            <w:pPr>
              <w:autoSpaceDE w:val="0"/>
              <w:autoSpaceDN w:val="0"/>
              <w:jc w:val="center"/>
              <w:rPr>
                <w:sz w:val="21"/>
                <w:szCs w:val="21"/>
              </w:rPr>
            </w:pPr>
          </w:p>
        </w:tc>
        <w:tc>
          <w:tcPr>
            <w:tcW w:w="638" w:type="dxa"/>
            <w:gridSpan w:val="2"/>
            <w:vMerge w:val="continue"/>
            <w:vAlign w:val="center"/>
          </w:tcPr>
          <w:p w14:paraId="139A8DFF">
            <w:pPr>
              <w:autoSpaceDE w:val="0"/>
              <w:autoSpaceDN w:val="0"/>
              <w:jc w:val="center"/>
              <w:rPr>
                <w:sz w:val="21"/>
                <w:szCs w:val="21"/>
              </w:rPr>
            </w:pPr>
          </w:p>
        </w:tc>
        <w:tc>
          <w:tcPr>
            <w:tcW w:w="850" w:type="dxa"/>
            <w:vMerge w:val="continue"/>
            <w:vAlign w:val="center"/>
          </w:tcPr>
          <w:p w14:paraId="206C93D9">
            <w:pPr>
              <w:autoSpaceDE w:val="0"/>
              <w:autoSpaceDN w:val="0"/>
              <w:jc w:val="center"/>
              <w:rPr>
                <w:sz w:val="21"/>
                <w:szCs w:val="21"/>
              </w:rPr>
            </w:pPr>
          </w:p>
        </w:tc>
        <w:tc>
          <w:tcPr>
            <w:tcW w:w="851" w:type="dxa"/>
            <w:vMerge w:val="continue"/>
            <w:vAlign w:val="center"/>
          </w:tcPr>
          <w:p w14:paraId="2B462C7B">
            <w:pPr>
              <w:autoSpaceDE w:val="0"/>
              <w:autoSpaceDN w:val="0"/>
              <w:jc w:val="center"/>
              <w:rPr>
                <w:sz w:val="21"/>
                <w:szCs w:val="21"/>
              </w:rPr>
            </w:pPr>
          </w:p>
        </w:tc>
        <w:tc>
          <w:tcPr>
            <w:tcW w:w="568" w:type="dxa"/>
            <w:vAlign w:val="center"/>
          </w:tcPr>
          <w:p w14:paraId="3E25310B">
            <w:pPr>
              <w:autoSpaceDE w:val="0"/>
              <w:autoSpaceDN w:val="0"/>
              <w:jc w:val="center"/>
              <w:rPr>
                <w:sz w:val="21"/>
                <w:szCs w:val="21"/>
              </w:rPr>
            </w:pPr>
            <w:r>
              <w:rPr>
                <w:sz w:val="21"/>
                <w:szCs w:val="21"/>
              </w:rPr>
              <w:t>非甲烷总烃</w:t>
            </w:r>
          </w:p>
        </w:tc>
        <w:tc>
          <w:tcPr>
            <w:tcW w:w="768" w:type="dxa"/>
            <w:shd w:val="clear" w:color="auto" w:fill="auto"/>
            <w:vAlign w:val="center"/>
          </w:tcPr>
          <w:p w14:paraId="33D73BFA">
            <w:pPr>
              <w:jc w:val="center"/>
              <w:rPr>
                <w:sz w:val="21"/>
                <w:szCs w:val="21"/>
              </w:rPr>
            </w:pPr>
            <w:r>
              <w:rPr>
                <w:sz w:val="21"/>
                <w:szCs w:val="21"/>
              </w:rPr>
              <w:t>1.37</w:t>
            </w:r>
          </w:p>
        </w:tc>
        <w:tc>
          <w:tcPr>
            <w:tcW w:w="838" w:type="dxa"/>
            <w:shd w:val="clear" w:color="auto" w:fill="auto"/>
            <w:vAlign w:val="center"/>
          </w:tcPr>
          <w:p w14:paraId="6324BC83">
            <w:pPr>
              <w:jc w:val="center"/>
              <w:rPr>
                <w:sz w:val="21"/>
                <w:szCs w:val="21"/>
              </w:rPr>
            </w:pPr>
            <w:r>
              <w:rPr>
                <w:sz w:val="21"/>
                <w:szCs w:val="21"/>
              </w:rPr>
              <w:t>0.03</w:t>
            </w:r>
          </w:p>
        </w:tc>
        <w:tc>
          <w:tcPr>
            <w:tcW w:w="718" w:type="dxa"/>
            <w:shd w:val="clear" w:color="auto" w:fill="auto"/>
            <w:vAlign w:val="center"/>
          </w:tcPr>
          <w:p w14:paraId="1360CD80">
            <w:pPr>
              <w:jc w:val="center"/>
              <w:rPr>
                <w:sz w:val="21"/>
                <w:szCs w:val="21"/>
              </w:rPr>
            </w:pPr>
            <w:r>
              <w:rPr>
                <w:sz w:val="21"/>
                <w:szCs w:val="21"/>
              </w:rPr>
              <w:t>0.074</w:t>
            </w:r>
          </w:p>
        </w:tc>
        <w:tc>
          <w:tcPr>
            <w:tcW w:w="1502" w:type="dxa"/>
            <w:vMerge w:val="continue"/>
            <w:vAlign w:val="center"/>
          </w:tcPr>
          <w:p w14:paraId="03B86E29">
            <w:pPr>
              <w:autoSpaceDE w:val="0"/>
              <w:autoSpaceDN w:val="0"/>
              <w:jc w:val="center"/>
              <w:rPr>
                <w:sz w:val="21"/>
                <w:szCs w:val="21"/>
              </w:rPr>
            </w:pPr>
          </w:p>
        </w:tc>
        <w:tc>
          <w:tcPr>
            <w:tcW w:w="806" w:type="dxa"/>
            <w:vMerge w:val="continue"/>
            <w:vAlign w:val="center"/>
          </w:tcPr>
          <w:p w14:paraId="5566D962">
            <w:pPr>
              <w:autoSpaceDE w:val="0"/>
              <w:autoSpaceDN w:val="0"/>
              <w:jc w:val="center"/>
              <w:rPr>
                <w:sz w:val="21"/>
                <w:szCs w:val="21"/>
              </w:rPr>
            </w:pPr>
          </w:p>
        </w:tc>
        <w:tc>
          <w:tcPr>
            <w:tcW w:w="507" w:type="dxa"/>
            <w:vMerge w:val="continue"/>
            <w:vAlign w:val="center"/>
          </w:tcPr>
          <w:p w14:paraId="65AE712C">
            <w:pPr>
              <w:autoSpaceDE w:val="0"/>
              <w:autoSpaceDN w:val="0"/>
              <w:jc w:val="center"/>
              <w:rPr>
                <w:sz w:val="21"/>
                <w:szCs w:val="21"/>
              </w:rPr>
            </w:pPr>
          </w:p>
        </w:tc>
        <w:tc>
          <w:tcPr>
            <w:tcW w:w="510" w:type="dxa"/>
            <w:vMerge w:val="continue"/>
            <w:vAlign w:val="center"/>
          </w:tcPr>
          <w:p w14:paraId="70388663">
            <w:pPr>
              <w:autoSpaceDE w:val="0"/>
              <w:autoSpaceDN w:val="0"/>
              <w:jc w:val="center"/>
              <w:rPr>
                <w:sz w:val="21"/>
                <w:szCs w:val="21"/>
              </w:rPr>
            </w:pPr>
          </w:p>
        </w:tc>
        <w:tc>
          <w:tcPr>
            <w:tcW w:w="511" w:type="dxa"/>
            <w:vMerge w:val="continue"/>
            <w:vAlign w:val="center"/>
          </w:tcPr>
          <w:p w14:paraId="43888943">
            <w:pPr>
              <w:autoSpaceDE w:val="0"/>
              <w:autoSpaceDN w:val="0"/>
              <w:jc w:val="center"/>
              <w:rPr>
                <w:sz w:val="21"/>
                <w:szCs w:val="21"/>
              </w:rPr>
            </w:pPr>
          </w:p>
        </w:tc>
        <w:tc>
          <w:tcPr>
            <w:tcW w:w="868" w:type="dxa"/>
            <w:vMerge w:val="continue"/>
            <w:vAlign w:val="center"/>
          </w:tcPr>
          <w:p w14:paraId="6806AE92">
            <w:pPr>
              <w:autoSpaceDE w:val="0"/>
              <w:autoSpaceDN w:val="0"/>
              <w:jc w:val="center"/>
              <w:rPr>
                <w:sz w:val="21"/>
                <w:szCs w:val="21"/>
              </w:rPr>
            </w:pPr>
          </w:p>
        </w:tc>
        <w:tc>
          <w:tcPr>
            <w:tcW w:w="538" w:type="dxa"/>
            <w:vMerge w:val="continue"/>
            <w:vAlign w:val="center"/>
          </w:tcPr>
          <w:p w14:paraId="63641212">
            <w:pPr>
              <w:autoSpaceDE w:val="0"/>
              <w:autoSpaceDN w:val="0"/>
              <w:jc w:val="center"/>
              <w:rPr>
                <w:sz w:val="21"/>
                <w:szCs w:val="21"/>
              </w:rPr>
            </w:pPr>
          </w:p>
        </w:tc>
        <w:tc>
          <w:tcPr>
            <w:tcW w:w="632" w:type="dxa"/>
            <w:shd w:val="clear" w:color="auto" w:fill="auto"/>
            <w:vAlign w:val="center"/>
          </w:tcPr>
          <w:p w14:paraId="1116201F">
            <w:pPr>
              <w:jc w:val="center"/>
              <w:rPr>
                <w:sz w:val="21"/>
                <w:szCs w:val="21"/>
              </w:rPr>
            </w:pPr>
            <w:r>
              <w:rPr>
                <w:sz w:val="21"/>
                <w:szCs w:val="21"/>
              </w:rPr>
              <w:t>0.56</w:t>
            </w:r>
          </w:p>
        </w:tc>
        <w:tc>
          <w:tcPr>
            <w:tcW w:w="627" w:type="dxa"/>
            <w:shd w:val="clear" w:color="auto" w:fill="auto"/>
            <w:vAlign w:val="center"/>
          </w:tcPr>
          <w:p w14:paraId="18DB081A">
            <w:pPr>
              <w:jc w:val="center"/>
              <w:rPr>
                <w:sz w:val="21"/>
                <w:szCs w:val="21"/>
              </w:rPr>
            </w:pPr>
            <w:r>
              <w:rPr>
                <w:sz w:val="21"/>
                <w:szCs w:val="21"/>
              </w:rPr>
              <w:t>0.011</w:t>
            </w:r>
          </w:p>
        </w:tc>
        <w:tc>
          <w:tcPr>
            <w:tcW w:w="642" w:type="dxa"/>
            <w:gridSpan w:val="2"/>
            <w:shd w:val="clear" w:color="auto" w:fill="auto"/>
            <w:vAlign w:val="center"/>
          </w:tcPr>
          <w:p w14:paraId="25D281D2">
            <w:pPr>
              <w:jc w:val="center"/>
              <w:rPr>
                <w:sz w:val="21"/>
                <w:szCs w:val="21"/>
              </w:rPr>
            </w:pPr>
            <w:r>
              <w:rPr>
                <w:sz w:val="21"/>
                <w:szCs w:val="21"/>
              </w:rPr>
              <w:t>0.030</w:t>
            </w:r>
          </w:p>
        </w:tc>
      </w:tr>
      <w:tr w14:paraId="146959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6" w:type="dxa"/>
            <w:vMerge w:val="continue"/>
            <w:vAlign w:val="center"/>
          </w:tcPr>
          <w:p w14:paraId="68AAF8DB">
            <w:pPr>
              <w:autoSpaceDE w:val="0"/>
              <w:autoSpaceDN w:val="0"/>
              <w:jc w:val="center"/>
              <w:rPr>
                <w:sz w:val="21"/>
                <w:szCs w:val="21"/>
              </w:rPr>
            </w:pPr>
          </w:p>
        </w:tc>
        <w:tc>
          <w:tcPr>
            <w:tcW w:w="709" w:type="dxa"/>
            <w:vMerge w:val="restart"/>
            <w:vAlign w:val="center"/>
          </w:tcPr>
          <w:p w14:paraId="0219E2A6">
            <w:pPr>
              <w:autoSpaceDE w:val="0"/>
              <w:autoSpaceDN w:val="0"/>
              <w:jc w:val="center"/>
              <w:rPr>
                <w:sz w:val="21"/>
                <w:szCs w:val="21"/>
              </w:rPr>
            </w:pPr>
            <w:r>
              <w:rPr>
                <w:rFonts w:hint="eastAsia"/>
                <w:sz w:val="21"/>
                <w:szCs w:val="21"/>
              </w:rPr>
              <w:t>D</w:t>
            </w:r>
            <w:r>
              <w:rPr>
                <w:sz w:val="21"/>
                <w:szCs w:val="21"/>
              </w:rPr>
              <w:t>A004</w:t>
            </w:r>
          </w:p>
        </w:tc>
        <w:tc>
          <w:tcPr>
            <w:tcW w:w="354" w:type="dxa"/>
            <w:vMerge w:val="continue"/>
            <w:vAlign w:val="center"/>
          </w:tcPr>
          <w:p w14:paraId="36189BCC">
            <w:pPr>
              <w:autoSpaceDE w:val="0"/>
              <w:autoSpaceDN w:val="0"/>
              <w:jc w:val="center"/>
              <w:rPr>
                <w:sz w:val="21"/>
                <w:szCs w:val="21"/>
              </w:rPr>
            </w:pPr>
          </w:p>
        </w:tc>
        <w:tc>
          <w:tcPr>
            <w:tcW w:w="638" w:type="dxa"/>
            <w:gridSpan w:val="2"/>
            <w:vMerge w:val="restart"/>
            <w:vAlign w:val="center"/>
          </w:tcPr>
          <w:p w14:paraId="691DC25E">
            <w:pPr>
              <w:autoSpaceDE w:val="0"/>
              <w:autoSpaceDN w:val="0"/>
              <w:jc w:val="center"/>
              <w:rPr>
                <w:sz w:val="21"/>
                <w:szCs w:val="21"/>
              </w:rPr>
            </w:pPr>
            <w:r>
              <w:rPr>
                <w:rFonts w:hint="eastAsia"/>
                <w:sz w:val="21"/>
                <w:szCs w:val="21"/>
              </w:rPr>
              <w:t>导热油加热醇醚燃烧废气</w:t>
            </w:r>
          </w:p>
        </w:tc>
        <w:tc>
          <w:tcPr>
            <w:tcW w:w="850" w:type="dxa"/>
            <w:vMerge w:val="restart"/>
            <w:vAlign w:val="center"/>
          </w:tcPr>
          <w:p w14:paraId="7E066F90">
            <w:pPr>
              <w:autoSpaceDE w:val="0"/>
              <w:autoSpaceDN w:val="0"/>
              <w:jc w:val="center"/>
              <w:rPr>
                <w:sz w:val="21"/>
                <w:szCs w:val="21"/>
              </w:rPr>
            </w:pPr>
            <w:r>
              <w:rPr>
                <w:sz w:val="21"/>
                <w:szCs w:val="21"/>
              </w:rPr>
              <w:t>89°37′20.855″E，44°8′5.759″N</w:t>
            </w:r>
          </w:p>
        </w:tc>
        <w:tc>
          <w:tcPr>
            <w:tcW w:w="851" w:type="dxa"/>
            <w:vMerge w:val="restart"/>
            <w:vAlign w:val="center"/>
          </w:tcPr>
          <w:p w14:paraId="35B67826">
            <w:pPr>
              <w:autoSpaceDE w:val="0"/>
              <w:autoSpaceDN w:val="0"/>
              <w:jc w:val="center"/>
              <w:rPr>
                <w:sz w:val="21"/>
                <w:szCs w:val="21"/>
              </w:rPr>
            </w:pPr>
            <w:r>
              <w:rPr>
                <w:rFonts w:hint="eastAsia"/>
                <w:sz w:val="21"/>
                <w:szCs w:val="21"/>
              </w:rPr>
              <w:t>1</w:t>
            </w:r>
            <w:r>
              <w:rPr>
                <w:sz w:val="21"/>
                <w:szCs w:val="21"/>
              </w:rPr>
              <w:t>0000</w:t>
            </w:r>
          </w:p>
        </w:tc>
        <w:tc>
          <w:tcPr>
            <w:tcW w:w="568" w:type="dxa"/>
            <w:vAlign w:val="center"/>
          </w:tcPr>
          <w:p w14:paraId="342C2824">
            <w:pPr>
              <w:autoSpaceDE w:val="0"/>
              <w:autoSpaceDN w:val="0"/>
              <w:jc w:val="center"/>
              <w:rPr>
                <w:sz w:val="21"/>
                <w:szCs w:val="21"/>
              </w:rPr>
            </w:pPr>
            <w:r>
              <w:rPr>
                <w:rFonts w:hint="eastAsia"/>
                <w:sz w:val="21"/>
                <w:szCs w:val="21"/>
              </w:rPr>
              <w:t>颗粒物</w:t>
            </w:r>
          </w:p>
        </w:tc>
        <w:tc>
          <w:tcPr>
            <w:tcW w:w="768" w:type="dxa"/>
            <w:shd w:val="clear" w:color="auto" w:fill="auto"/>
            <w:vAlign w:val="center"/>
          </w:tcPr>
          <w:p w14:paraId="1D0CBADB">
            <w:pPr>
              <w:widowControl/>
              <w:jc w:val="center"/>
              <w:rPr>
                <w:kern w:val="0"/>
                <w:sz w:val="21"/>
                <w:szCs w:val="21"/>
              </w:rPr>
            </w:pPr>
            <w:r>
              <w:rPr>
                <w:sz w:val="21"/>
                <w:szCs w:val="21"/>
              </w:rPr>
              <w:t xml:space="preserve">14.07 </w:t>
            </w:r>
          </w:p>
        </w:tc>
        <w:tc>
          <w:tcPr>
            <w:tcW w:w="838" w:type="dxa"/>
            <w:shd w:val="clear" w:color="auto" w:fill="auto"/>
            <w:vAlign w:val="center"/>
          </w:tcPr>
          <w:p w14:paraId="0C692BDE">
            <w:pPr>
              <w:jc w:val="center"/>
              <w:rPr>
                <w:sz w:val="21"/>
                <w:szCs w:val="21"/>
              </w:rPr>
            </w:pPr>
            <w:r>
              <w:rPr>
                <w:sz w:val="21"/>
                <w:szCs w:val="21"/>
              </w:rPr>
              <w:t xml:space="preserve">0.14 </w:t>
            </w:r>
          </w:p>
        </w:tc>
        <w:tc>
          <w:tcPr>
            <w:tcW w:w="718" w:type="dxa"/>
            <w:shd w:val="clear" w:color="auto" w:fill="auto"/>
            <w:vAlign w:val="center"/>
          </w:tcPr>
          <w:p w14:paraId="39C4A1FD">
            <w:pPr>
              <w:jc w:val="center"/>
              <w:rPr>
                <w:sz w:val="21"/>
                <w:szCs w:val="21"/>
              </w:rPr>
            </w:pPr>
            <w:r>
              <w:rPr>
                <w:sz w:val="21"/>
                <w:szCs w:val="21"/>
              </w:rPr>
              <w:t xml:space="preserve">0.38 </w:t>
            </w:r>
          </w:p>
        </w:tc>
        <w:tc>
          <w:tcPr>
            <w:tcW w:w="1502" w:type="dxa"/>
            <w:vMerge w:val="restart"/>
            <w:shd w:val="clear" w:color="auto" w:fill="auto"/>
            <w:vAlign w:val="center"/>
          </w:tcPr>
          <w:p w14:paraId="4787458B">
            <w:pPr>
              <w:jc w:val="center"/>
              <w:rPr>
                <w:sz w:val="21"/>
                <w:szCs w:val="21"/>
              </w:rPr>
            </w:pPr>
            <w:r>
              <w:rPr>
                <w:rFonts w:hint="eastAsia"/>
                <w:sz w:val="21"/>
                <w:szCs w:val="21"/>
              </w:rPr>
              <w:t>设置低氮燃烧装置处理后通过</w:t>
            </w:r>
            <w:r>
              <w:rPr>
                <w:sz w:val="21"/>
                <w:szCs w:val="21"/>
              </w:rPr>
              <w:t>8</w:t>
            </w:r>
            <w:r>
              <w:rPr>
                <w:rFonts w:hint="eastAsia"/>
                <w:sz w:val="21"/>
                <w:szCs w:val="21"/>
              </w:rPr>
              <w:t>m高排气筒排放</w:t>
            </w:r>
          </w:p>
        </w:tc>
        <w:tc>
          <w:tcPr>
            <w:tcW w:w="806" w:type="dxa"/>
            <w:vMerge w:val="restart"/>
            <w:shd w:val="clear" w:color="auto" w:fill="auto"/>
            <w:vAlign w:val="center"/>
          </w:tcPr>
          <w:p w14:paraId="2B83CF26">
            <w:pPr>
              <w:jc w:val="center"/>
              <w:rPr>
                <w:sz w:val="21"/>
                <w:szCs w:val="21"/>
              </w:rPr>
            </w:pPr>
            <w:r>
              <w:rPr>
                <w:rFonts w:hint="eastAsia"/>
                <w:sz w:val="21"/>
                <w:szCs w:val="21"/>
              </w:rPr>
              <w:t>3</w:t>
            </w:r>
            <w:r>
              <w:rPr>
                <w:sz w:val="21"/>
                <w:szCs w:val="21"/>
              </w:rPr>
              <w:t>0</w:t>
            </w:r>
          </w:p>
        </w:tc>
        <w:tc>
          <w:tcPr>
            <w:tcW w:w="507" w:type="dxa"/>
            <w:vMerge w:val="restart"/>
            <w:shd w:val="clear" w:color="auto" w:fill="auto"/>
            <w:vAlign w:val="center"/>
          </w:tcPr>
          <w:p w14:paraId="7AAE9C9F">
            <w:pPr>
              <w:jc w:val="center"/>
              <w:rPr>
                <w:sz w:val="21"/>
                <w:szCs w:val="21"/>
              </w:rPr>
            </w:pPr>
            <w:r>
              <w:rPr>
                <w:sz w:val="21"/>
                <w:szCs w:val="21"/>
              </w:rPr>
              <w:t>8</w:t>
            </w:r>
          </w:p>
        </w:tc>
        <w:tc>
          <w:tcPr>
            <w:tcW w:w="510" w:type="dxa"/>
            <w:vMerge w:val="restart"/>
            <w:vAlign w:val="center"/>
          </w:tcPr>
          <w:p w14:paraId="17BB8C54">
            <w:pPr>
              <w:autoSpaceDE w:val="0"/>
              <w:autoSpaceDN w:val="0"/>
              <w:jc w:val="center"/>
              <w:rPr>
                <w:sz w:val="21"/>
                <w:szCs w:val="21"/>
              </w:rPr>
            </w:pPr>
            <w:r>
              <w:rPr>
                <w:rFonts w:hint="eastAsia"/>
                <w:sz w:val="21"/>
                <w:szCs w:val="21"/>
              </w:rPr>
              <w:t>0</w:t>
            </w:r>
            <w:r>
              <w:rPr>
                <w:sz w:val="21"/>
                <w:szCs w:val="21"/>
              </w:rPr>
              <w:t>.5</w:t>
            </w:r>
          </w:p>
        </w:tc>
        <w:tc>
          <w:tcPr>
            <w:tcW w:w="511" w:type="dxa"/>
            <w:vMerge w:val="restart"/>
            <w:vAlign w:val="center"/>
          </w:tcPr>
          <w:p w14:paraId="11034311">
            <w:pPr>
              <w:autoSpaceDE w:val="0"/>
              <w:autoSpaceDN w:val="0"/>
              <w:jc w:val="center"/>
              <w:rPr>
                <w:sz w:val="21"/>
                <w:szCs w:val="21"/>
              </w:rPr>
            </w:pPr>
            <w:r>
              <w:rPr>
                <w:sz w:val="21"/>
                <w:szCs w:val="21"/>
              </w:rPr>
              <w:t>800</w:t>
            </w:r>
          </w:p>
        </w:tc>
        <w:tc>
          <w:tcPr>
            <w:tcW w:w="868" w:type="dxa"/>
            <w:vMerge w:val="restart"/>
            <w:vAlign w:val="center"/>
          </w:tcPr>
          <w:p w14:paraId="4530A0C4">
            <w:pPr>
              <w:autoSpaceDE w:val="0"/>
              <w:autoSpaceDN w:val="0"/>
              <w:jc w:val="center"/>
              <w:rPr>
                <w:sz w:val="21"/>
                <w:szCs w:val="21"/>
              </w:rPr>
            </w:pPr>
            <w:r>
              <w:rPr>
                <w:sz w:val="21"/>
                <w:szCs w:val="21"/>
              </w:rPr>
              <w:t>点源、连续</w:t>
            </w:r>
          </w:p>
        </w:tc>
        <w:tc>
          <w:tcPr>
            <w:tcW w:w="538" w:type="dxa"/>
            <w:vMerge w:val="restart"/>
            <w:vAlign w:val="center"/>
          </w:tcPr>
          <w:p w14:paraId="759464E1">
            <w:pPr>
              <w:autoSpaceDE w:val="0"/>
              <w:autoSpaceDN w:val="0"/>
              <w:jc w:val="center"/>
              <w:rPr>
                <w:sz w:val="21"/>
                <w:szCs w:val="21"/>
              </w:rPr>
            </w:pPr>
            <w:r>
              <w:rPr>
                <w:rFonts w:hint="eastAsia"/>
                <w:sz w:val="21"/>
                <w:szCs w:val="21"/>
              </w:rPr>
              <w:t>2</w:t>
            </w:r>
            <w:r>
              <w:rPr>
                <w:sz w:val="21"/>
                <w:szCs w:val="21"/>
              </w:rPr>
              <w:t>700</w:t>
            </w:r>
          </w:p>
        </w:tc>
        <w:tc>
          <w:tcPr>
            <w:tcW w:w="632" w:type="dxa"/>
            <w:shd w:val="clear" w:color="auto" w:fill="auto"/>
            <w:vAlign w:val="center"/>
          </w:tcPr>
          <w:p w14:paraId="58EEF83C">
            <w:pPr>
              <w:widowControl/>
              <w:jc w:val="center"/>
              <w:rPr>
                <w:kern w:val="0"/>
                <w:sz w:val="21"/>
                <w:szCs w:val="21"/>
              </w:rPr>
            </w:pPr>
            <w:r>
              <w:rPr>
                <w:sz w:val="21"/>
                <w:szCs w:val="21"/>
              </w:rPr>
              <w:t xml:space="preserve">14.07 </w:t>
            </w:r>
          </w:p>
        </w:tc>
        <w:tc>
          <w:tcPr>
            <w:tcW w:w="627" w:type="dxa"/>
            <w:shd w:val="clear" w:color="auto" w:fill="auto"/>
            <w:vAlign w:val="center"/>
          </w:tcPr>
          <w:p w14:paraId="62B5F03C">
            <w:pPr>
              <w:jc w:val="center"/>
              <w:rPr>
                <w:sz w:val="21"/>
                <w:szCs w:val="21"/>
              </w:rPr>
            </w:pPr>
            <w:r>
              <w:rPr>
                <w:sz w:val="21"/>
                <w:szCs w:val="21"/>
              </w:rPr>
              <w:t xml:space="preserve">0.14 </w:t>
            </w:r>
          </w:p>
        </w:tc>
        <w:tc>
          <w:tcPr>
            <w:tcW w:w="642" w:type="dxa"/>
            <w:gridSpan w:val="2"/>
            <w:shd w:val="clear" w:color="auto" w:fill="auto"/>
            <w:vAlign w:val="center"/>
          </w:tcPr>
          <w:p w14:paraId="78CE10D9">
            <w:pPr>
              <w:jc w:val="center"/>
              <w:rPr>
                <w:sz w:val="21"/>
                <w:szCs w:val="21"/>
              </w:rPr>
            </w:pPr>
            <w:r>
              <w:rPr>
                <w:sz w:val="21"/>
                <w:szCs w:val="21"/>
              </w:rPr>
              <w:t xml:space="preserve">0.38 </w:t>
            </w:r>
          </w:p>
        </w:tc>
      </w:tr>
      <w:tr w14:paraId="2F16EC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28ADC37C">
            <w:pPr>
              <w:autoSpaceDE w:val="0"/>
              <w:autoSpaceDN w:val="0"/>
              <w:jc w:val="center"/>
              <w:rPr>
                <w:sz w:val="21"/>
                <w:szCs w:val="21"/>
              </w:rPr>
            </w:pPr>
          </w:p>
        </w:tc>
        <w:tc>
          <w:tcPr>
            <w:tcW w:w="709" w:type="dxa"/>
            <w:vMerge w:val="continue"/>
            <w:vAlign w:val="center"/>
          </w:tcPr>
          <w:p w14:paraId="2D312299">
            <w:pPr>
              <w:autoSpaceDE w:val="0"/>
              <w:autoSpaceDN w:val="0"/>
              <w:jc w:val="center"/>
              <w:rPr>
                <w:sz w:val="21"/>
                <w:szCs w:val="21"/>
              </w:rPr>
            </w:pPr>
          </w:p>
        </w:tc>
        <w:tc>
          <w:tcPr>
            <w:tcW w:w="354" w:type="dxa"/>
            <w:vMerge w:val="continue"/>
            <w:vAlign w:val="center"/>
          </w:tcPr>
          <w:p w14:paraId="5109040C">
            <w:pPr>
              <w:autoSpaceDE w:val="0"/>
              <w:autoSpaceDN w:val="0"/>
              <w:jc w:val="center"/>
              <w:rPr>
                <w:sz w:val="21"/>
                <w:szCs w:val="21"/>
              </w:rPr>
            </w:pPr>
          </w:p>
        </w:tc>
        <w:tc>
          <w:tcPr>
            <w:tcW w:w="638" w:type="dxa"/>
            <w:gridSpan w:val="2"/>
            <w:vMerge w:val="continue"/>
            <w:vAlign w:val="center"/>
          </w:tcPr>
          <w:p w14:paraId="61ED309A">
            <w:pPr>
              <w:autoSpaceDE w:val="0"/>
              <w:autoSpaceDN w:val="0"/>
              <w:jc w:val="center"/>
              <w:rPr>
                <w:sz w:val="21"/>
                <w:szCs w:val="21"/>
              </w:rPr>
            </w:pPr>
          </w:p>
        </w:tc>
        <w:tc>
          <w:tcPr>
            <w:tcW w:w="850" w:type="dxa"/>
            <w:vMerge w:val="continue"/>
            <w:vAlign w:val="center"/>
          </w:tcPr>
          <w:p w14:paraId="1C0A7748">
            <w:pPr>
              <w:autoSpaceDE w:val="0"/>
              <w:autoSpaceDN w:val="0"/>
              <w:jc w:val="center"/>
              <w:rPr>
                <w:sz w:val="21"/>
                <w:szCs w:val="21"/>
              </w:rPr>
            </w:pPr>
          </w:p>
        </w:tc>
        <w:tc>
          <w:tcPr>
            <w:tcW w:w="851" w:type="dxa"/>
            <w:vMerge w:val="continue"/>
            <w:vAlign w:val="center"/>
          </w:tcPr>
          <w:p w14:paraId="636E6187">
            <w:pPr>
              <w:autoSpaceDE w:val="0"/>
              <w:autoSpaceDN w:val="0"/>
              <w:jc w:val="center"/>
              <w:rPr>
                <w:sz w:val="21"/>
                <w:szCs w:val="21"/>
              </w:rPr>
            </w:pPr>
          </w:p>
        </w:tc>
        <w:tc>
          <w:tcPr>
            <w:tcW w:w="568" w:type="dxa"/>
            <w:vAlign w:val="center"/>
          </w:tcPr>
          <w:p w14:paraId="1CA0733A">
            <w:pPr>
              <w:autoSpaceDE w:val="0"/>
              <w:autoSpaceDN w:val="0"/>
              <w:jc w:val="center"/>
              <w:rPr>
                <w:sz w:val="21"/>
                <w:szCs w:val="21"/>
              </w:rPr>
            </w:pPr>
            <w:r>
              <w:rPr>
                <w:rFonts w:hint="eastAsia"/>
                <w:sz w:val="21"/>
                <w:szCs w:val="21"/>
              </w:rPr>
              <w:t>氮氧化物</w:t>
            </w:r>
          </w:p>
        </w:tc>
        <w:tc>
          <w:tcPr>
            <w:tcW w:w="768" w:type="dxa"/>
            <w:shd w:val="clear" w:color="auto" w:fill="auto"/>
            <w:vAlign w:val="center"/>
          </w:tcPr>
          <w:p w14:paraId="52714339">
            <w:pPr>
              <w:widowControl/>
              <w:jc w:val="center"/>
              <w:rPr>
                <w:kern w:val="0"/>
                <w:sz w:val="21"/>
                <w:szCs w:val="21"/>
              </w:rPr>
            </w:pPr>
            <w:r>
              <w:rPr>
                <w:sz w:val="21"/>
                <w:szCs w:val="21"/>
              </w:rPr>
              <w:t xml:space="preserve">31.85 </w:t>
            </w:r>
          </w:p>
        </w:tc>
        <w:tc>
          <w:tcPr>
            <w:tcW w:w="838" w:type="dxa"/>
            <w:shd w:val="clear" w:color="auto" w:fill="auto"/>
            <w:vAlign w:val="center"/>
          </w:tcPr>
          <w:p w14:paraId="5E2CC2AA">
            <w:pPr>
              <w:jc w:val="center"/>
              <w:rPr>
                <w:sz w:val="21"/>
                <w:szCs w:val="21"/>
              </w:rPr>
            </w:pPr>
            <w:r>
              <w:rPr>
                <w:sz w:val="21"/>
                <w:szCs w:val="21"/>
              </w:rPr>
              <w:t xml:space="preserve">0.32 </w:t>
            </w:r>
          </w:p>
        </w:tc>
        <w:tc>
          <w:tcPr>
            <w:tcW w:w="718" w:type="dxa"/>
            <w:shd w:val="clear" w:color="auto" w:fill="auto"/>
            <w:vAlign w:val="center"/>
          </w:tcPr>
          <w:p w14:paraId="7634CF3E">
            <w:pPr>
              <w:jc w:val="center"/>
              <w:rPr>
                <w:sz w:val="21"/>
                <w:szCs w:val="21"/>
              </w:rPr>
            </w:pPr>
            <w:r>
              <w:rPr>
                <w:sz w:val="21"/>
                <w:szCs w:val="21"/>
              </w:rPr>
              <w:t xml:space="preserve">0.86 </w:t>
            </w:r>
          </w:p>
        </w:tc>
        <w:tc>
          <w:tcPr>
            <w:tcW w:w="1502" w:type="dxa"/>
            <w:vMerge w:val="continue"/>
            <w:shd w:val="clear" w:color="auto" w:fill="auto"/>
            <w:vAlign w:val="center"/>
          </w:tcPr>
          <w:p w14:paraId="62FF7568">
            <w:pPr>
              <w:jc w:val="center"/>
              <w:rPr>
                <w:sz w:val="21"/>
                <w:szCs w:val="21"/>
              </w:rPr>
            </w:pPr>
          </w:p>
        </w:tc>
        <w:tc>
          <w:tcPr>
            <w:tcW w:w="806" w:type="dxa"/>
            <w:vMerge w:val="continue"/>
            <w:shd w:val="clear" w:color="auto" w:fill="auto"/>
            <w:vAlign w:val="center"/>
          </w:tcPr>
          <w:p w14:paraId="7D480898">
            <w:pPr>
              <w:jc w:val="center"/>
              <w:rPr>
                <w:sz w:val="21"/>
                <w:szCs w:val="21"/>
              </w:rPr>
            </w:pPr>
          </w:p>
        </w:tc>
        <w:tc>
          <w:tcPr>
            <w:tcW w:w="507" w:type="dxa"/>
            <w:vMerge w:val="continue"/>
            <w:shd w:val="clear" w:color="auto" w:fill="auto"/>
            <w:vAlign w:val="center"/>
          </w:tcPr>
          <w:p w14:paraId="4F7EAC0C">
            <w:pPr>
              <w:jc w:val="center"/>
              <w:rPr>
                <w:sz w:val="21"/>
                <w:szCs w:val="21"/>
              </w:rPr>
            </w:pPr>
          </w:p>
        </w:tc>
        <w:tc>
          <w:tcPr>
            <w:tcW w:w="510" w:type="dxa"/>
            <w:vMerge w:val="continue"/>
            <w:vAlign w:val="center"/>
          </w:tcPr>
          <w:p w14:paraId="499B39E0">
            <w:pPr>
              <w:autoSpaceDE w:val="0"/>
              <w:autoSpaceDN w:val="0"/>
              <w:jc w:val="center"/>
              <w:rPr>
                <w:sz w:val="21"/>
                <w:szCs w:val="21"/>
              </w:rPr>
            </w:pPr>
          </w:p>
        </w:tc>
        <w:tc>
          <w:tcPr>
            <w:tcW w:w="511" w:type="dxa"/>
            <w:vMerge w:val="continue"/>
            <w:vAlign w:val="center"/>
          </w:tcPr>
          <w:p w14:paraId="63082755">
            <w:pPr>
              <w:autoSpaceDE w:val="0"/>
              <w:autoSpaceDN w:val="0"/>
              <w:jc w:val="center"/>
              <w:rPr>
                <w:sz w:val="21"/>
                <w:szCs w:val="21"/>
              </w:rPr>
            </w:pPr>
          </w:p>
        </w:tc>
        <w:tc>
          <w:tcPr>
            <w:tcW w:w="868" w:type="dxa"/>
            <w:vMerge w:val="continue"/>
            <w:vAlign w:val="center"/>
          </w:tcPr>
          <w:p w14:paraId="4AD9C35E">
            <w:pPr>
              <w:autoSpaceDE w:val="0"/>
              <w:autoSpaceDN w:val="0"/>
              <w:jc w:val="center"/>
              <w:rPr>
                <w:sz w:val="21"/>
                <w:szCs w:val="21"/>
              </w:rPr>
            </w:pPr>
          </w:p>
        </w:tc>
        <w:tc>
          <w:tcPr>
            <w:tcW w:w="538" w:type="dxa"/>
            <w:vMerge w:val="continue"/>
            <w:vAlign w:val="center"/>
          </w:tcPr>
          <w:p w14:paraId="1F28BEAC">
            <w:pPr>
              <w:autoSpaceDE w:val="0"/>
              <w:autoSpaceDN w:val="0"/>
              <w:jc w:val="center"/>
              <w:rPr>
                <w:sz w:val="21"/>
                <w:szCs w:val="21"/>
              </w:rPr>
            </w:pPr>
          </w:p>
        </w:tc>
        <w:tc>
          <w:tcPr>
            <w:tcW w:w="632" w:type="dxa"/>
            <w:shd w:val="clear" w:color="auto" w:fill="auto"/>
            <w:vAlign w:val="center"/>
          </w:tcPr>
          <w:p w14:paraId="792797EF">
            <w:pPr>
              <w:widowControl/>
              <w:jc w:val="center"/>
              <w:rPr>
                <w:kern w:val="0"/>
                <w:sz w:val="21"/>
                <w:szCs w:val="21"/>
              </w:rPr>
            </w:pPr>
            <w:r>
              <w:rPr>
                <w:sz w:val="21"/>
                <w:szCs w:val="21"/>
              </w:rPr>
              <w:t xml:space="preserve">22.22 </w:t>
            </w:r>
          </w:p>
        </w:tc>
        <w:tc>
          <w:tcPr>
            <w:tcW w:w="627" w:type="dxa"/>
            <w:shd w:val="clear" w:color="auto" w:fill="auto"/>
            <w:vAlign w:val="center"/>
          </w:tcPr>
          <w:p w14:paraId="7EFCA8A7">
            <w:pPr>
              <w:jc w:val="center"/>
              <w:rPr>
                <w:sz w:val="21"/>
                <w:szCs w:val="21"/>
              </w:rPr>
            </w:pPr>
            <w:r>
              <w:rPr>
                <w:sz w:val="21"/>
                <w:szCs w:val="21"/>
              </w:rPr>
              <w:t xml:space="preserve">0.22 </w:t>
            </w:r>
          </w:p>
        </w:tc>
        <w:tc>
          <w:tcPr>
            <w:tcW w:w="642" w:type="dxa"/>
            <w:gridSpan w:val="2"/>
            <w:shd w:val="clear" w:color="auto" w:fill="auto"/>
            <w:vAlign w:val="center"/>
          </w:tcPr>
          <w:p w14:paraId="3DDF002F">
            <w:pPr>
              <w:jc w:val="center"/>
              <w:rPr>
                <w:sz w:val="21"/>
                <w:szCs w:val="21"/>
              </w:rPr>
            </w:pPr>
            <w:r>
              <w:rPr>
                <w:sz w:val="21"/>
                <w:szCs w:val="21"/>
              </w:rPr>
              <w:t xml:space="preserve">0.60 </w:t>
            </w:r>
          </w:p>
        </w:tc>
      </w:tr>
      <w:tr w14:paraId="1E7E4E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1D6CAA44">
            <w:pPr>
              <w:autoSpaceDE w:val="0"/>
              <w:autoSpaceDN w:val="0"/>
              <w:jc w:val="center"/>
              <w:rPr>
                <w:sz w:val="21"/>
                <w:szCs w:val="21"/>
              </w:rPr>
            </w:pPr>
          </w:p>
        </w:tc>
        <w:tc>
          <w:tcPr>
            <w:tcW w:w="709" w:type="dxa"/>
            <w:vAlign w:val="center"/>
          </w:tcPr>
          <w:p w14:paraId="6CCCC01A">
            <w:pPr>
              <w:autoSpaceDE w:val="0"/>
              <w:autoSpaceDN w:val="0"/>
              <w:jc w:val="center"/>
              <w:rPr>
                <w:sz w:val="21"/>
                <w:szCs w:val="21"/>
              </w:rPr>
            </w:pPr>
            <w:r>
              <w:rPr>
                <w:rFonts w:hint="eastAsia"/>
                <w:sz w:val="21"/>
                <w:szCs w:val="21"/>
              </w:rPr>
              <w:t>D</w:t>
            </w:r>
            <w:r>
              <w:rPr>
                <w:sz w:val="21"/>
                <w:szCs w:val="21"/>
              </w:rPr>
              <w:t>A005</w:t>
            </w:r>
          </w:p>
        </w:tc>
        <w:tc>
          <w:tcPr>
            <w:tcW w:w="354" w:type="dxa"/>
            <w:vAlign w:val="center"/>
          </w:tcPr>
          <w:p w14:paraId="05F297A4">
            <w:pPr>
              <w:autoSpaceDE w:val="0"/>
              <w:autoSpaceDN w:val="0"/>
              <w:jc w:val="center"/>
              <w:rPr>
                <w:sz w:val="21"/>
                <w:szCs w:val="21"/>
              </w:rPr>
            </w:pPr>
            <w:r>
              <w:rPr>
                <w:rFonts w:hint="eastAsia"/>
                <w:bCs/>
                <w:sz w:val="21"/>
                <w:szCs w:val="21"/>
              </w:rPr>
              <w:t>水泥混凝土生产线</w:t>
            </w:r>
          </w:p>
        </w:tc>
        <w:tc>
          <w:tcPr>
            <w:tcW w:w="638" w:type="dxa"/>
            <w:gridSpan w:val="2"/>
            <w:vAlign w:val="center"/>
          </w:tcPr>
          <w:p w14:paraId="46B01B29">
            <w:pPr>
              <w:autoSpaceDE w:val="0"/>
              <w:autoSpaceDN w:val="0"/>
              <w:jc w:val="center"/>
              <w:rPr>
                <w:sz w:val="21"/>
                <w:szCs w:val="21"/>
              </w:rPr>
            </w:pPr>
            <w:r>
              <w:rPr>
                <w:rFonts w:hint="eastAsia"/>
                <w:bCs/>
                <w:sz w:val="21"/>
                <w:szCs w:val="21"/>
              </w:rPr>
              <w:t>搅拌粉尘</w:t>
            </w:r>
          </w:p>
        </w:tc>
        <w:tc>
          <w:tcPr>
            <w:tcW w:w="850" w:type="dxa"/>
            <w:vAlign w:val="center"/>
          </w:tcPr>
          <w:p w14:paraId="32F92C2F">
            <w:pPr>
              <w:widowControl/>
              <w:jc w:val="center"/>
              <w:rPr>
                <w:sz w:val="21"/>
                <w:szCs w:val="21"/>
              </w:rPr>
            </w:pPr>
            <w:r>
              <w:rPr>
                <w:sz w:val="21"/>
                <w:szCs w:val="21"/>
              </w:rPr>
              <w:t>89°37′24.794″E，44°8′19.663″N</w:t>
            </w:r>
          </w:p>
        </w:tc>
        <w:tc>
          <w:tcPr>
            <w:tcW w:w="851" w:type="dxa"/>
            <w:shd w:val="clear" w:color="auto" w:fill="auto"/>
            <w:vAlign w:val="center"/>
          </w:tcPr>
          <w:p w14:paraId="6D0ED0A7">
            <w:pPr>
              <w:widowControl/>
              <w:jc w:val="center"/>
              <w:rPr>
                <w:kern w:val="0"/>
                <w:sz w:val="21"/>
                <w:szCs w:val="21"/>
              </w:rPr>
            </w:pPr>
            <w:r>
              <w:rPr>
                <w:sz w:val="21"/>
                <w:szCs w:val="21"/>
              </w:rPr>
              <w:t>10000</w:t>
            </w:r>
          </w:p>
        </w:tc>
        <w:tc>
          <w:tcPr>
            <w:tcW w:w="568" w:type="dxa"/>
            <w:shd w:val="clear" w:color="auto" w:fill="auto"/>
            <w:vAlign w:val="center"/>
          </w:tcPr>
          <w:p w14:paraId="6C6791EC">
            <w:pPr>
              <w:jc w:val="center"/>
              <w:rPr>
                <w:sz w:val="21"/>
                <w:szCs w:val="21"/>
              </w:rPr>
            </w:pPr>
            <w:r>
              <w:rPr>
                <w:sz w:val="21"/>
                <w:szCs w:val="21"/>
              </w:rPr>
              <w:t>颗粒物</w:t>
            </w:r>
          </w:p>
        </w:tc>
        <w:tc>
          <w:tcPr>
            <w:tcW w:w="768" w:type="dxa"/>
            <w:shd w:val="clear" w:color="auto" w:fill="auto"/>
            <w:vAlign w:val="center"/>
          </w:tcPr>
          <w:p w14:paraId="5C56034B">
            <w:pPr>
              <w:jc w:val="center"/>
              <w:rPr>
                <w:sz w:val="21"/>
                <w:szCs w:val="21"/>
              </w:rPr>
            </w:pPr>
            <w:r>
              <w:rPr>
                <w:sz w:val="21"/>
                <w:szCs w:val="21"/>
              </w:rPr>
              <w:t>831.85</w:t>
            </w:r>
          </w:p>
        </w:tc>
        <w:tc>
          <w:tcPr>
            <w:tcW w:w="838" w:type="dxa"/>
            <w:shd w:val="clear" w:color="auto" w:fill="auto"/>
            <w:vAlign w:val="center"/>
          </w:tcPr>
          <w:p w14:paraId="6AC93820">
            <w:pPr>
              <w:jc w:val="center"/>
              <w:rPr>
                <w:sz w:val="21"/>
                <w:szCs w:val="21"/>
              </w:rPr>
            </w:pPr>
            <w:r>
              <w:rPr>
                <w:sz w:val="21"/>
                <w:szCs w:val="21"/>
              </w:rPr>
              <w:t>8.32</w:t>
            </w:r>
          </w:p>
        </w:tc>
        <w:tc>
          <w:tcPr>
            <w:tcW w:w="718" w:type="dxa"/>
            <w:shd w:val="clear" w:color="auto" w:fill="auto"/>
            <w:vAlign w:val="center"/>
          </w:tcPr>
          <w:p w14:paraId="447B0256">
            <w:pPr>
              <w:jc w:val="center"/>
              <w:rPr>
                <w:sz w:val="21"/>
                <w:szCs w:val="21"/>
              </w:rPr>
            </w:pPr>
            <w:r>
              <w:rPr>
                <w:sz w:val="21"/>
                <w:szCs w:val="21"/>
              </w:rPr>
              <w:t>22.46</w:t>
            </w:r>
          </w:p>
        </w:tc>
        <w:tc>
          <w:tcPr>
            <w:tcW w:w="1502" w:type="dxa"/>
            <w:shd w:val="clear" w:color="auto" w:fill="auto"/>
            <w:vAlign w:val="center"/>
          </w:tcPr>
          <w:p w14:paraId="3E15677F">
            <w:pPr>
              <w:jc w:val="center"/>
              <w:rPr>
                <w:sz w:val="21"/>
                <w:szCs w:val="21"/>
              </w:rPr>
            </w:pPr>
            <w:r>
              <w:rPr>
                <w:sz w:val="21"/>
                <w:szCs w:val="21"/>
              </w:rPr>
              <w:t>设置一套袋式除尘器，处理后经一根15m高排气筒排放</w:t>
            </w:r>
          </w:p>
        </w:tc>
        <w:tc>
          <w:tcPr>
            <w:tcW w:w="806" w:type="dxa"/>
            <w:shd w:val="clear" w:color="auto" w:fill="auto"/>
            <w:vAlign w:val="center"/>
          </w:tcPr>
          <w:p w14:paraId="56304D33">
            <w:pPr>
              <w:jc w:val="center"/>
              <w:rPr>
                <w:sz w:val="21"/>
                <w:szCs w:val="21"/>
              </w:rPr>
            </w:pPr>
            <w:r>
              <w:rPr>
                <w:rFonts w:hint="eastAsia"/>
                <w:sz w:val="21"/>
                <w:szCs w:val="21"/>
              </w:rPr>
              <w:t>9</w:t>
            </w:r>
            <w:r>
              <w:rPr>
                <w:sz w:val="21"/>
                <w:szCs w:val="21"/>
              </w:rPr>
              <w:t>9.7</w:t>
            </w:r>
          </w:p>
        </w:tc>
        <w:tc>
          <w:tcPr>
            <w:tcW w:w="507" w:type="dxa"/>
            <w:vAlign w:val="center"/>
          </w:tcPr>
          <w:p w14:paraId="160E841B">
            <w:pPr>
              <w:autoSpaceDE w:val="0"/>
              <w:autoSpaceDN w:val="0"/>
              <w:jc w:val="center"/>
              <w:rPr>
                <w:sz w:val="21"/>
                <w:szCs w:val="21"/>
              </w:rPr>
            </w:pPr>
            <w:r>
              <w:rPr>
                <w:rFonts w:hint="eastAsia"/>
                <w:sz w:val="21"/>
                <w:szCs w:val="21"/>
              </w:rPr>
              <w:t>1</w:t>
            </w:r>
            <w:r>
              <w:rPr>
                <w:sz w:val="21"/>
                <w:szCs w:val="21"/>
              </w:rPr>
              <w:t>5</w:t>
            </w:r>
          </w:p>
        </w:tc>
        <w:tc>
          <w:tcPr>
            <w:tcW w:w="510" w:type="dxa"/>
            <w:vAlign w:val="center"/>
          </w:tcPr>
          <w:p w14:paraId="45EECCD6">
            <w:pPr>
              <w:autoSpaceDE w:val="0"/>
              <w:autoSpaceDN w:val="0"/>
              <w:jc w:val="center"/>
              <w:rPr>
                <w:sz w:val="21"/>
                <w:szCs w:val="21"/>
              </w:rPr>
            </w:pPr>
            <w:r>
              <w:rPr>
                <w:sz w:val="21"/>
                <w:szCs w:val="21"/>
              </w:rPr>
              <w:t>0.5</w:t>
            </w:r>
          </w:p>
        </w:tc>
        <w:tc>
          <w:tcPr>
            <w:tcW w:w="511" w:type="dxa"/>
            <w:vAlign w:val="center"/>
          </w:tcPr>
          <w:p w14:paraId="7534FD17">
            <w:pPr>
              <w:autoSpaceDE w:val="0"/>
              <w:autoSpaceDN w:val="0"/>
              <w:jc w:val="center"/>
              <w:rPr>
                <w:sz w:val="21"/>
                <w:szCs w:val="21"/>
              </w:rPr>
            </w:pPr>
            <w:r>
              <w:rPr>
                <w:rFonts w:hint="eastAsia"/>
                <w:sz w:val="21"/>
                <w:szCs w:val="21"/>
              </w:rPr>
              <w:t>2</w:t>
            </w:r>
            <w:r>
              <w:rPr>
                <w:sz w:val="21"/>
                <w:szCs w:val="21"/>
              </w:rPr>
              <w:t>5</w:t>
            </w:r>
          </w:p>
        </w:tc>
        <w:tc>
          <w:tcPr>
            <w:tcW w:w="868" w:type="dxa"/>
            <w:vAlign w:val="center"/>
          </w:tcPr>
          <w:p w14:paraId="0CDE42E9">
            <w:pPr>
              <w:autoSpaceDE w:val="0"/>
              <w:autoSpaceDN w:val="0"/>
              <w:jc w:val="center"/>
              <w:rPr>
                <w:sz w:val="21"/>
                <w:szCs w:val="21"/>
              </w:rPr>
            </w:pPr>
            <w:r>
              <w:rPr>
                <w:sz w:val="21"/>
                <w:szCs w:val="21"/>
              </w:rPr>
              <w:t>点源、连续</w:t>
            </w:r>
          </w:p>
        </w:tc>
        <w:tc>
          <w:tcPr>
            <w:tcW w:w="538" w:type="dxa"/>
            <w:vAlign w:val="center"/>
          </w:tcPr>
          <w:p w14:paraId="45B99952">
            <w:pPr>
              <w:autoSpaceDE w:val="0"/>
              <w:autoSpaceDN w:val="0"/>
              <w:jc w:val="center"/>
              <w:rPr>
                <w:sz w:val="21"/>
                <w:szCs w:val="21"/>
              </w:rPr>
            </w:pPr>
            <w:r>
              <w:rPr>
                <w:rFonts w:hint="eastAsia"/>
                <w:sz w:val="21"/>
                <w:szCs w:val="21"/>
              </w:rPr>
              <w:t>2</w:t>
            </w:r>
            <w:r>
              <w:rPr>
                <w:sz w:val="21"/>
                <w:szCs w:val="21"/>
              </w:rPr>
              <w:t>700</w:t>
            </w:r>
          </w:p>
        </w:tc>
        <w:tc>
          <w:tcPr>
            <w:tcW w:w="632" w:type="dxa"/>
            <w:shd w:val="clear" w:color="auto" w:fill="auto"/>
            <w:vAlign w:val="center"/>
          </w:tcPr>
          <w:p w14:paraId="7C3BACDC">
            <w:pPr>
              <w:jc w:val="center"/>
              <w:rPr>
                <w:sz w:val="21"/>
                <w:szCs w:val="21"/>
              </w:rPr>
            </w:pPr>
            <w:r>
              <w:rPr>
                <w:sz w:val="21"/>
                <w:szCs w:val="21"/>
              </w:rPr>
              <w:t>2.48</w:t>
            </w:r>
          </w:p>
        </w:tc>
        <w:tc>
          <w:tcPr>
            <w:tcW w:w="627" w:type="dxa"/>
            <w:shd w:val="clear" w:color="auto" w:fill="auto"/>
            <w:vAlign w:val="center"/>
          </w:tcPr>
          <w:p w14:paraId="18637E78">
            <w:pPr>
              <w:jc w:val="center"/>
              <w:rPr>
                <w:sz w:val="21"/>
                <w:szCs w:val="21"/>
              </w:rPr>
            </w:pPr>
            <w:r>
              <w:rPr>
                <w:sz w:val="21"/>
                <w:szCs w:val="21"/>
              </w:rPr>
              <w:t>0.025</w:t>
            </w:r>
          </w:p>
        </w:tc>
        <w:tc>
          <w:tcPr>
            <w:tcW w:w="642" w:type="dxa"/>
            <w:gridSpan w:val="2"/>
            <w:shd w:val="clear" w:color="auto" w:fill="auto"/>
            <w:vAlign w:val="center"/>
          </w:tcPr>
          <w:p w14:paraId="3BF76F86">
            <w:pPr>
              <w:jc w:val="center"/>
              <w:rPr>
                <w:sz w:val="21"/>
                <w:szCs w:val="21"/>
              </w:rPr>
            </w:pPr>
            <w:r>
              <w:rPr>
                <w:sz w:val="21"/>
                <w:szCs w:val="21"/>
              </w:rPr>
              <w:t>0.067</w:t>
            </w:r>
          </w:p>
        </w:tc>
      </w:tr>
      <w:tr w14:paraId="3CD903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EA12618">
            <w:pPr>
              <w:autoSpaceDE w:val="0"/>
              <w:autoSpaceDN w:val="0"/>
              <w:jc w:val="center"/>
              <w:rPr>
                <w:sz w:val="21"/>
                <w:szCs w:val="21"/>
              </w:rPr>
            </w:pPr>
          </w:p>
        </w:tc>
        <w:tc>
          <w:tcPr>
            <w:tcW w:w="709" w:type="dxa"/>
            <w:vAlign w:val="center"/>
          </w:tcPr>
          <w:p w14:paraId="373F65F3">
            <w:pPr>
              <w:autoSpaceDE w:val="0"/>
              <w:autoSpaceDN w:val="0"/>
              <w:jc w:val="center"/>
              <w:rPr>
                <w:sz w:val="21"/>
                <w:szCs w:val="21"/>
              </w:rPr>
            </w:pPr>
            <w:r>
              <w:rPr>
                <w:sz w:val="21"/>
                <w:szCs w:val="21"/>
              </w:rPr>
              <w:t>DA006</w:t>
            </w:r>
          </w:p>
        </w:tc>
        <w:tc>
          <w:tcPr>
            <w:tcW w:w="992" w:type="dxa"/>
            <w:gridSpan w:val="3"/>
            <w:vAlign w:val="center"/>
          </w:tcPr>
          <w:p w14:paraId="504CD56D">
            <w:pPr>
              <w:autoSpaceDE w:val="0"/>
              <w:autoSpaceDN w:val="0"/>
              <w:jc w:val="center"/>
              <w:rPr>
                <w:sz w:val="21"/>
                <w:szCs w:val="21"/>
              </w:rPr>
            </w:pPr>
            <w:r>
              <w:rPr>
                <w:sz w:val="21"/>
                <w:szCs w:val="21"/>
              </w:rPr>
              <w:t>食堂油烟</w:t>
            </w:r>
          </w:p>
        </w:tc>
        <w:tc>
          <w:tcPr>
            <w:tcW w:w="850" w:type="dxa"/>
            <w:vAlign w:val="center"/>
          </w:tcPr>
          <w:p w14:paraId="3E67D699">
            <w:pPr>
              <w:autoSpaceDE w:val="0"/>
              <w:autoSpaceDN w:val="0"/>
              <w:jc w:val="center"/>
              <w:rPr>
                <w:sz w:val="21"/>
                <w:szCs w:val="21"/>
              </w:rPr>
            </w:pPr>
            <w:r>
              <w:rPr>
                <w:sz w:val="21"/>
                <w:szCs w:val="21"/>
              </w:rPr>
              <w:t>89°37′24.697″E,44°8′15.646″N</w:t>
            </w:r>
          </w:p>
        </w:tc>
        <w:tc>
          <w:tcPr>
            <w:tcW w:w="851" w:type="dxa"/>
            <w:vAlign w:val="center"/>
          </w:tcPr>
          <w:p w14:paraId="1636DF3D">
            <w:pPr>
              <w:autoSpaceDE w:val="0"/>
              <w:autoSpaceDN w:val="0"/>
              <w:jc w:val="center"/>
              <w:rPr>
                <w:sz w:val="21"/>
                <w:szCs w:val="21"/>
              </w:rPr>
            </w:pPr>
            <w:r>
              <w:rPr>
                <w:rFonts w:hint="eastAsia"/>
                <w:sz w:val="21"/>
                <w:szCs w:val="21"/>
              </w:rPr>
              <w:t>1</w:t>
            </w:r>
            <w:r>
              <w:rPr>
                <w:sz w:val="21"/>
                <w:szCs w:val="21"/>
              </w:rPr>
              <w:t>2000</w:t>
            </w:r>
          </w:p>
        </w:tc>
        <w:tc>
          <w:tcPr>
            <w:tcW w:w="568" w:type="dxa"/>
            <w:shd w:val="clear" w:color="auto" w:fill="auto"/>
            <w:vAlign w:val="center"/>
          </w:tcPr>
          <w:p w14:paraId="521EF755">
            <w:pPr>
              <w:widowControl/>
              <w:jc w:val="center"/>
              <w:rPr>
                <w:kern w:val="0"/>
                <w:sz w:val="21"/>
                <w:szCs w:val="21"/>
              </w:rPr>
            </w:pPr>
            <w:r>
              <w:rPr>
                <w:rFonts w:hint="eastAsia"/>
                <w:kern w:val="0"/>
                <w:sz w:val="21"/>
                <w:szCs w:val="21"/>
              </w:rPr>
              <w:t>油烟</w:t>
            </w:r>
          </w:p>
        </w:tc>
        <w:tc>
          <w:tcPr>
            <w:tcW w:w="768" w:type="dxa"/>
            <w:shd w:val="clear" w:color="auto" w:fill="auto"/>
            <w:vAlign w:val="center"/>
          </w:tcPr>
          <w:p w14:paraId="09035F5C">
            <w:pPr>
              <w:widowControl/>
              <w:jc w:val="center"/>
              <w:rPr>
                <w:kern w:val="0"/>
                <w:sz w:val="21"/>
                <w:szCs w:val="21"/>
              </w:rPr>
            </w:pPr>
            <w:r>
              <w:rPr>
                <w:sz w:val="21"/>
                <w:szCs w:val="21"/>
              </w:rPr>
              <w:t>0.82</w:t>
            </w:r>
          </w:p>
        </w:tc>
        <w:tc>
          <w:tcPr>
            <w:tcW w:w="838" w:type="dxa"/>
            <w:shd w:val="clear" w:color="auto" w:fill="auto"/>
            <w:vAlign w:val="center"/>
          </w:tcPr>
          <w:p w14:paraId="616DF9FA">
            <w:pPr>
              <w:jc w:val="center"/>
              <w:rPr>
                <w:sz w:val="21"/>
                <w:szCs w:val="21"/>
              </w:rPr>
            </w:pPr>
            <w:r>
              <w:rPr>
                <w:sz w:val="21"/>
                <w:szCs w:val="21"/>
              </w:rPr>
              <w:t>0.010</w:t>
            </w:r>
          </w:p>
        </w:tc>
        <w:tc>
          <w:tcPr>
            <w:tcW w:w="718" w:type="dxa"/>
            <w:shd w:val="clear" w:color="auto" w:fill="auto"/>
            <w:vAlign w:val="center"/>
          </w:tcPr>
          <w:p w14:paraId="531BD671">
            <w:pPr>
              <w:jc w:val="center"/>
              <w:rPr>
                <w:sz w:val="21"/>
                <w:szCs w:val="21"/>
              </w:rPr>
            </w:pPr>
            <w:r>
              <w:rPr>
                <w:sz w:val="21"/>
                <w:szCs w:val="21"/>
              </w:rPr>
              <w:t>0.016</w:t>
            </w:r>
          </w:p>
        </w:tc>
        <w:tc>
          <w:tcPr>
            <w:tcW w:w="5242" w:type="dxa"/>
            <w:gridSpan w:val="7"/>
            <w:vAlign w:val="center"/>
          </w:tcPr>
          <w:p w14:paraId="6DFE9918">
            <w:pPr>
              <w:autoSpaceDE w:val="0"/>
              <w:autoSpaceDN w:val="0"/>
              <w:jc w:val="center"/>
              <w:rPr>
                <w:sz w:val="21"/>
                <w:szCs w:val="21"/>
              </w:rPr>
            </w:pPr>
            <w:r>
              <w:rPr>
                <w:rFonts w:hint="eastAsia"/>
                <w:sz w:val="21"/>
                <w:szCs w:val="21"/>
              </w:rPr>
              <w:t>经油烟净化器处理后排放</w:t>
            </w:r>
          </w:p>
        </w:tc>
        <w:tc>
          <w:tcPr>
            <w:tcW w:w="632" w:type="dxa"/>
            <w:shd w:val="clear" w:color="auto" w:fill="auto"/>
            <w:vAlign w:val="center"/>
          </w:tcPr>
          <w:p w14:paraId="5B442B13">
            <w:pPr>
              <w:widowControl/>
              <w:jc w:val="center"/>
              <w:rPr>
                <w:kern w:val="0"/>
                <w:sz w:val="21"/>
                <w:szCs w:val="21"/>
              </w:rPr>
            </w:pPr>
            <w:r>
              <w:rPr>
                <w:sz w:val="21"/>
                <w:szCs w:val="21"/>
              </w:rPr>
              <w:t>0.21</w:t>
            </w:r>
          </w:p>
        </w:tc>
        <w:tc>
          <w:tcPr>
            <w:tcW w:w="627" w:type="dxa"/>
            <w:shd w:val="clear" w:color="auto" w:fill="auto"/>
            <w:vAlign w:val="center"/>
          </w:tcPr>
          <w:p w14:paraId="61354D65">
            <w:pPr>
              <w:jc w:val="center"/>
              <w:rPr>
                <w:sz w:val="21"/>
                <w:szCs w:val="21"/>
              </w:rPr>
            </w:pPr>
            <w:r>
              <w:rPr>
                <w:sz w:val="21"/>
                <w:szCs w:val="21"/>
              </w:rPr>
              <w:t>0.002</w:t>
            </w:r>
          </w:p>
        </w:tc>
        <w:tc>
          <w:tcPr>
            <w:tcW w:w="642" w:type="dxa"/>
            <w:gridSpan w:val="2"/>
            <w:shd w:val="clear" w:color="auto" w:fill="auto"/>
            <w:vAlign w:val="center"/>
          </w:tcPr>
          <w:p w14:paraId="54E6FF32">
            <w:pPr>
              <w:jc w:val="center"/>
              <w:rPr>
                <w:sz w:val="21"/>
                <w:szCs w:val="21"/>
              </w:rPr>
            </w:pPr>
            <w:r>
              <w:rPr>
                <w:sz w:val="21"/>
                <w:szCs w:val="21"/>
              </w:rPr>
              <w:t>0.004</w:t>
            </w:r>
          </w:p>
        </w:tc>
      </w:tr>
      <w:tr w14:paraId="2690AD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restart"/>
            <w:vAlign w:val="center"/>
          </w:tcPr>
          <w:p w14:paraId="6C64188C">
            <w:pPr>
              <w:autoSpaceDE w:val="0"/>
              <w:autoSpaceDN w:val="0"/>
              <w:jc w:val="center"/>
              <w:rPr>
                <w:sz w:val="21"/>
                <w:szCs w:val="21"/>
              </w:rPr>
            </w:pPr>
            <w:r>
              <w:rPr>
                <w:rFonts w:hint="eastAsia"/>
                <w:sz w:val="21"/>
                <w:szCs w:val="21"/>
              </w:rPr>
              <w:t>无组织</w:t>
            </w:r>
          </w:p>
        </w:tc>
        <w:tc>
          <w:tcPr>
            <w:tcW w:w="709" w:type="dxa"/>
            <w:vMerge w:val="restart"/>
            <w:vAlign w:val="center"/>
          </w:tcPr>
          <w:p w14:paraId="570EB16A">
            <w:pPr>
              <w:autoSpaceDE w:val="0"/>
              <w:autoSpaceDN w:val="0"/>
              <w:jc w:val="center"/>
              <w:rPr>
                <w:sz w:val="21"/>
                <w:szCs w:val="21"/>
              </w:rPr>
            </w:pPr>
            <w:r>
              <w:rPr>
                <w:bCs/>
                <w:sz w:val="21"/>
                <w:szCs w:val="21"/>
              </w:rPr>
              <w:t>水泥稳定土生产线</w:t>
            </w:r>
          </w:p>
        </w:tc>
        <w:tc>
          <w:tcPr>
            <w:tcW w:w="2693" w:type="dxa"/>
            <w:gridSpan w:val="5"/>
            <w:vAlign w:val="center"/>
          </w:tcPr>
          <w:p w14:paraId="69B90167">
            <w:pPr>
              <w:autoSpaceDE w:val="0"/>
              <w:autoSpaceDN w:val="0"/>
              <w:jc w:val="center"/>
              <w:rPr>
                <w:sz w:val="21"/>
                <w:szCs w:val="21"/>
              </w:rPr>
            </w:pPr>
            <w:r>
              <w:rPr>
                <w:sz w:val="21"/>
                <w:szCs w:val="21"/>
              </w:rPr>
              <w:t>水</w:t>
            </w:r>
            <w:r>
              <w:rPr>
                <w:rFonts w:hint="eastAsia"/>
                <w:sz w:val="21"/>
                <w:szCs w:val="21"/>
              </w:rPr>
              <w:t>泥</w:t>
            </w:r>
            <w:r>
              <w:rPr>
                <w:sz w:val="21"/>
                <w:szCs w:val="21"/>
              </w:rPr>
              <w:t>筒仓</w:t>
            </w:r>
            <w:r>
              <w:rPr>
                <w:rFonts w:hint="eastAsia"/>
                <w:sz w:val="21"/>
                <w:szCs w:val="21"/>
              </w:rPr>
              <w:t>废气</w:t>
            </w:r>
          </w:p>
        </w:tc>
        <w:tc>
          <w:tcPr>
            <w:tcW w:w="568" w:type="dxa"/>
            <w:shd w:val="clear" w:color="auto" w:fill="auto"/>
            <w:vAlign w:val="center"/>
          </w:tcPr>
          <w:p w14:paraId="7977BAB6">
            <w:pPr>
              <w:widowControl/>
              <w:jc w:val="center"/>
              <w:rPr>
                <w:kern w:val="0"/>
                <w:sz w:val="21"/>
                <w:szCs w:val="21"/>
              </w:rPr>
            </w:pPr>
            <w:r>
              <w:rPr>
                <w:sz w:val="21"/>
                <w:szCs w:val="21"/>
              </w:rPr>
              <w:t>颗粒物</w:t>
            </w:r>
          </w:p>
        </w:tc>
        <w:tc>
          <w:tcPr>
            <w:tcW w:w="768" w:type="dxa"/>
            <w:shd w:val="clear" w:color="auto" w:fill="auto"/>
            <w:vAlign w:val="center"/>
          </w:tcPr>
          <w:p w14:paraId="0142C059">
            <w:pPr>
              <w:widowControl/>
              <w:jc w:val="center"/>
              <w:rPr>
                <w:sz w:val="21"/>
                <w:szCs w:val="21"/>
              </w:rPr>
            </w:pPr>
            <w:r>
              <w:rPr>
                <w:rFonts w:hint="eastAsia"/>
                <w:sz w:val="21"/>
                <w:szCs w:val="21"/>
              </w:rPr>
              <w:t>/</w:t>
            </w:r>
          </w:p>
        </w:tc>
        <w:tc>
          <w:tcPr>
            <w:tcW w:w="838" w:type="dxa"/>
            <w:shd w:val="clear" w:color="auto" w:fill="auto"/>
            <w:vAlign w:val="center"/>
          </w:tcPr>
          <w:p w14:paraId="78D9BCEB">
            <w:pPr>
              <w:widowControl/>
              <w:jc w:val="center"/>
              <w:rPr>
                <w:kern w:val="0"/>
                <w:sz w:val="21"/>
                <w:szCs w:val="21"/>
              </w:rPr>
            </w:pPr>
            <w:r>
              <w:rPr>
                <w:sz w:val="21"/>
                <w:szCs w:val="21"/>
              </w:rPr>
              <w:t>1.69</w:t>
            </w:r>
          </w:p>
        </w:tc>
        <w:tc>
          <w:tcPr>
            <w:tcW w:w="718" w:type="dxa"/>
            <w:shd w:val="clear" w:color="auto" w:fill="auto"/>
            <w:vAlign w:val="center"/>
          </w:tcPr>
          <w:p w14:paraId="5431721E">
            <w:pPr>
              <w:jc w:val="center"/>
              <w:rPr>
                <w:sz w:val="21"/>
                <w:szCs w:val="21"/>
              </w:rPr>
            </w:pPr>
            <w:r>
              <w:rPr>
                <w:sz w:val="21"/>
                <w:szCs w:val="21"/>
              </w:rPr>
              <w:t>4.56</w:t>
            </w:r>
          </w:p>
        </w:tc>
        <w:tc>
          <w:tcPr>
            <w:tcW w:w="1502" w:type="dxa"/>
            <w:vAlign w:val="center"/>
          </w:tcPr>
          <w:p w14:paraId="07F3B9C0">
            <w:pPr>
              <w:autoSpaceDE w:val="0"/>
              <w:autoSpaceDN w:val="0"/>
              <w:ind w:left="86" w:leftChars="36"/>
              <w:jc w:val="center"/>
              <w:rPr>
                <w:sz w:val="21"/>
                <w:szCs w:val="21"/>
              </w:rPr>
            </w:pPr>
            <w:r>
              <w:rPr>
                <w:rFonts w:hint="eastAsia"/>
                <w:sz w:val="21"/>
                <w:szCs w:val="21"/>
              </w:rPr>
              <w:t>经由仓顶滤芯式除尘器排放</w:t>
            </w:r>
          </w:p>
        </w:tc>
        <w:tc>
          <w:tcPr>
            <w:tcW w:w="3740" w:type="dxa"/>
            <w:gridSpan w:val="6"/>
            <w:vMerge w:val="restart"/>
            <w:vAlign w:val="center"/>
          </w:tcPr>
          <w:p w14:paraId="2C29ADDA">
            <w:pPr>
              <w:autoSpaceDE w:val="0"/>
              <w:autoSpaceDN w:val="0"/>
              <w:jc w:val="center"/>
              <w:rPr>
                <w:sz w:val="21"/>
                <w:szCs w:val="21"/>
              </w:rPr>
            </w:pPr>
            <w:r>
              <w:rPr>
                <w:sz w:val="21"/>
                <w:szCs w:val="21"/>
              </w:rPr>
              <w:t>面源，无组织</w:t>
            </w:r>
          </w:p>
        </w:tc>
        <w:tc>
          <w:tcPr>
            <w:tcW w:w="632" w:type="dxa"/>
            <w:shd w:val="clear" w:color="auto" w:fill="auto"/>
            <w:vAlign w:val="center"/>
          </w:tcPr>
          <w:p w14:paraId="55FF5963">
            <w:pPr>
              <w:widowControl/>
              <w:jc w:val="center"/>
              <w:rPr>
                <w:sz w:val="21"/>
                <w:szCs w:val="21"/>
              </w:rPr>
            </w:pPr>
            <w:r>
              <w:rPr>
                <w:rFonts w:hint="eastAsia"/>
                <w:sz w:val="21"/>
                <w:szCs w:val="21"/>
              </w:rPr>
              <w:t>/</w:t>
            </w:r>
          </w:p>
        </w:tc>
        <w:tc>
          <w:tcPr>
            <w:tcW w:w="627" w:type="dxa"/>
            <w:shd w:val="clear" w:color="auto" w:fill="auto"/>
            <w:vAlign w:val="center"/>
          </w:tcPr>
          <w:p w14:paraId="401518F6">
            <w:pPr>
              <w:widowControl/>
              <w:jc w:val="center"/>
              <w:rPr>
                <w:kern w:val="0"/>
                <w:sz w:val="21"/>
                <w:szCs w:val="21"/>
              </w:rPr>
            </w:pPr>
            <w:r>
              <w:rPr>
                <w:sz w:val="21"/>
                <w:szCs w:val="21"/>
              </w:rPr>
              <w:t>0.017</w:t>
            </w:r>
          </w:p>
        </w:tc>
        <w:tc>
          <w:tcPr>
            <w:tcW w:w="642" w:type="dxa"/>
            <w:gridSpan w:val="2"/>
            <w:shd w:val="clear" w:color="auto" w:fill="auto"/>
            <w:vAlign w:val="center"/>
          </w:tcPr>
          <w:p w14:paraId="046B61B9">
            <w:pPr>
              <w:jc w:val="center"/>
              <w:rPr>
                <w:sz w:val="21"/>
                <w:szCs w:val="21"/>
              </w:rPr>
            </w:pPr>
            <w:r>
              <w:rPr>
                <w:sz w:val="21"/>
                <w:szCs w:val="21"/>
              </w:rPr>
              <w:t>0.046</w:t>
            </w:r>
          </w:p>
        </w:tc>
      </w:tr>
      <w:tr w14:paraId="63C01B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17518A2C">
            <w:pPr>
              <w:autoSpaceDE w:val="0"/>
              <w:autoSpaceDN w:val="0"/>
              <w:jc w:val="center"/>
              <w:rPr>
                <w:sz w:val="21"/>
                <w:szCs w:val="21"/>
              </w:rPr>
            </w:pPr>
          </w:p>
        </w:tc>
        <w:tc>
          <w:tcPr>
            <w:tcW w:w="709" w:type="dxa"/>
            <w:vMerge w:val="continue"/>
            <w:vAlign w:val="center"/>
          </w:tcPr>
          <w:p w14:paraId="2E2E6B24">
            <w:pPr>
              <w:autoSpaceDE w:val="0"/>
              <w:autoSpaceDN w:val="0"/>
              <w:jc w:val="center"/>
              <w:rPr>
                <w:sz w:val="21"/>
                <w:szCs w:val="21"/>
              </w:rPr>
            </w:pPr>
          </w:p>
        </w:tc>
        <w:tc>
          <w:tcPr>
            <w:tcW w:w="2693" w:type="dxa"/>
            <w:gridSpan w:val="5"/>
            <w:vAlign w:val="center"/>
          </w:tcPr>
          <w:p w14:paraId="45D0FD8C">
            <w:pPr>
              <w:autoSpaceDE w:val="0"/>
              <w:autoSpaceDN w:val="0"/>
              <w:jc w:val="center"/>
              <w:rPr>
                <w:sz w:val="21"/>
                <w:szCs w:val="21"/>
              </w:rPr>
            </w:pPr>
            <w:r>
              <w:rPr>
                <w:rFonts w:hint="eastAsia"/>
                <w:sz w:val="21"/>
                <w:szCs w:val="21"/>
              </w:rPr>
              <w:t>粉煤灰筒仓废气</w:t>
            </w:r>
          </w:p>
        </w:tc>
        <w:tc>
          <w:tcPr>
            <w:tcW w:w="568" w:type="dxa"/>
            <w:shd w:val="clear" w:color="auto" w:fill="auto"/>
            <w:vAlign w:val="center"/>
          </w:tcPr>
          <w:p w14:paraId="7D9BC9E9">
            <w:pPr>
              <w:widowControl/>
              <w:jc w:val="center"/>
              <w:rPr>
                <w:kern w:val="0"/>
                <w:sz w:val="21"/>
                <w:szCs w:val="21"/>
              </w:rPr>
            </w:pPr>
            <w:r>
              <w:rPr>
                <w:sz w:val="21"/>
                <w:szCs w:val="21"/>
              </w:rPr>
              <w:t>颗粒物</w:t>
            </w:r>
          </w:p>
        </w:tc>
        <w:tc>
          <w:tcPr>
            <w:tcW w:w="768" w:type="dxa"/>
            <w:shd w:val="clear" w:color="auto" w:fill="auto"/>
            <w:vAlign w:val="center"/>
          </w:tcPr>
          <w:p w14:paraId="5C9DD89E">
            <w:pPr>
              <w:widowControl/>
              <w:jc w:val="center"/>
              <w:rPr>
                <w:sz w:val="21"/>
                <w:szCs w:val="21"/>
              </w:rPr>
            </w:pPr>
            <w:r>
              <w:rPr>
                <w:rFonts w:hint="eastAsia"/>
                <w:sz w:val="21"/>
                <w:szCs w:val="21"/>
              </w:rPr>
              <w:t>/</w:t>
            </w:r>
          </w:p>
        </w:tc>
        <w:tc>
          <w:tcPr>
            <w:tcW w:w="838" w:type="dxa"/>
            <w:shd w:val="clear" w:color="auto" w:fill="auto"/>
            <w:vAlign w:val="center"/>
          </w:tcPr>
          <w:p w14:paraId="2E8C11AC">
            <w:pPr>
              <w:jc w:val="center"/>
              <w:rPr>
                <w:sz w:val="21"/>
                <w:szCs w:val="21"/>
              </w:rPr>
            </w:pPr>
            <w:r>
              <w:rPr>
                <w:sz w:val="21"/>
                <w:szCs w:val="21"/>
              </w:rPr>
              <w:t>4.23</w:t>
            </w:r>
          </w:p>
        </w:tc>
        <w:tc>
          <w:tcPr>
            <w:tcW w:w="718" w:type="dxa"/>
            <w:shd w:val="clear" w:color="auto" w:fill="auto"/>
            <w:vAlign w:val="center"/>
          </w:tcPr>
          <w:p w14:paraId="4E8EB904">
            <w:pPr>
              <w:jc w:val="center"/>
              <w:rPr>
                <w:sz w:val="21"/>
                <w:szCs w:val="21"/>
              </w:rPr>
            </w:pPr>
            <w:r>
              <w:rPr>
                <w:sz w:val="21"/>
                <w:szCs w:val="21"/>
              </w:rPr>
              <w:t>11.41</w:t>
            </w:r>
          </w:p>
        </w:tc>
        <w:tc>
          <w:tcPr>
            <w:tcW w:w="1502" w:type="dxa"/>
            <w:vAlign w:val="center"/>
          </w:tcPr>
          <w:p w14:paraId="545CBDDF">
            <w:pPr>
              <w:autoSpaceDE w:val="0"/>
              <w:autoSpaceDN w:val="0"/>
              <w:jc w:val="center"/>
              <w:rPr>
                <w:sz w:val="21"/>
                <w:szCs w:val="21"/>
              </w:rPr>
            </w:pPr>
            <w:r>
              <w:rPr>
                <w:rFonts w:hint="eastAsia"/>
                <w:sz w:val="21"/>
                <w:szCs w:val="21"/>
              </w:rPr>
              <w:t>经由仓顶滤芯式除尘器排放</w:t>
            </w:r>
          </w:p>
        </w:tc>
        <w:tc>
          <w:tcPr>
            <w:tcW w:w="3740" w:type="dxa"/>
            <w:gridSpan w:val="6"/>
            <w:vMerge w:val="continue"/>
            <w:vAlign w:val="center"/>
          </w:tcPr>
          <w:p w14:paraId="04ECF1AD">
            <w:pPr>
              <w:autoSpaceDE w:val="0"/>
              <w:autoSpaceDN w:val="0"/>
              <w:jc w:val="center"/>
              <w:rPr>
                <w:sz w:val="21"/>
                <w:szCs w:val="21"/>
              </w:rPr>
            </w:pPr>
          </w:p>
        </w:tc>
        <w:tc>
          <w:tcPr>
            <w:tcW w:w="632" w:type="dxa"/>
            <w:shd w:val="clear" w:color="auto" w:fill="auto"/>
            <w:vAlign w:val="center"/>
          </w:tcPr>
          <w:p w14:paraId="11002F46">
            <w:pPr>
              <w:widowControl/>
              <w:jc w:val="center"/>
              <w:rPr>
                <w:sz w:val="21"/>
                <w:szCs w:val="21"/>
              </w:rPr>
            </w:pPr>
            <w:r>
              <w:rPr>
                <w:rFonts w:hint="eastAsia"/>
                <w:sz w:val="21"/>
                <w:szCs w:val="21"/>
              </w:rPr>
              <w:t>/</w:t>
            </w:r>
          </w:p>
        </w:tc>
        <w:tc>
          <w:tcPr>
            <w:tcW w:w="627" w:type="dxa"/>
            <w:shd w:val="clear" w:color="auto" w:fill="auto"/>
            <w:vAlign w:val="center"/>
          </w:tcPr>
          <w:p w14:paraId="4F225776">
            <w:pPr>
              <w:jc w:val="center"/>
              <w:rPr>
                <w:sz w:val="21"/>
                <w:szCs w:val="21"/>
              </w:rPr>
            </w:pPr>
            <w:r>
              <w:rPr>
                <w:sz w:val="21"/>
                <w:szCs w:val="21"/>
              </w:rPr>
              <w:t>0.042</w:t>
            </w:r>
          </w:p>
        </w:tc>
        <w:tc>
          <w:tcPr>
            <w:tcW w:w="642" w:type="dxa"/>
            <w:gridSpan w:val="2"/>
            <w:shd w:val="clear" w:color="auto" w:fill="auto"/>
            <w:vAlign w:val="center"/>
          </w:tcPr>
          <w:p w14:paraId="73822B32">
            <w:pPr>
              <w:jc w:val="center"/>
              <w:rPr>
                <w:sz w:val="21"/>
                <w:szCs w:val="21"/>
              </w:rPr>
            </w:pPr>
            <w:r>
              <w:rPr>
                <w:sz w:val="21"/>
                <w:szCs w:val="21"/>
              </w:rPr>
              <w:t>0.114</w:t>
            </w:r>
          </w:p>
        </w:tc>
      </w:tr>
      <w:tr w14:paraId="0A5CBC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5BEB9434">
            <w:pPr>
              <w:autoSpaceDE w:val="0"/>
              <w:autoSpaceDN w:val="0"/>
              <w:jc w:val="center"/>
              <w:rPr>
                <w:sz w:val="21"/>
                <w:szCs w:val="21"/>
              </w:rPr>
            </w:pPr>
          </w:p>
        </w:tc>
        <w:tc>
          <w:tcPr>
            <w:tcW w:w="709" w:type="dxa"/>
            <w:vAlign w:val="center"/>
          </w:tcPr>
          <w:p w14:paraId="77A16A26">
            <w:pPr>
              <w:autoSpaceDE w:val="0"/>
              <w:autoSpaceDN w:val="0"/>
              <w:jc w:val="center"/>
              <w:rPr>
                <w:sz w:val="21"/>
                <w:szCs w:val="21"/>
              </w:rPr>
            </w:pPr>
            <w:r>
              <w:rPr>
                <w:rFonts w:hint="eastAsia"/>
                <w:sz w:val="21"/>
                <w:szCs w:val="21"/>
              </w:rPr>
              <w:t>沥青混凝土生产线</w:t>
            </w:r>
          </w:p>
        </w:tc>
        <w:tc>
          <w:tcPr>
            <w:tcW w:w="2693" w:type="dxa"/>
            <w:gridSpan w:val="5"/>
            <w:vAlign w:val="center"/>
          </w:tcPr>
          <w:p w14:paraId="06723D27">
            <w:pPr>
              <w:autoSpaceDE w:val="0"/>
              <w:autoSpaceDN w:val="0"/>
              <w:jc w:val="center"/>
              <w:rPr>
                <w:sz w:val="21"/>
                <w:szCs w:val="21"/>
              </w:rPr>
            </w:pPr>
            <w:r>
              <w:rPr>
                <w:rFonts w:hint="eastAsia"/>
                <w:sz w:val="21"/>
                <w:szCs w:val="21"/>
              </w:rPr>
              <w:t>矿粉筒仓废气</w:t>
            </w:r>
          </w:p>
        </w:tc>
        <w:tc>
          <w:tcPr>
            <w:tcW w:w="568" w:type="dxa"/>
            <w:shd w:val="clear" w:color="auto" w:fill="auto"/>
            <w:vAlign w:val="center"/>
          </w:tcPr>
          <w:p w14:paraId="67A0B2B2">
            <w:pPr>
              <w:widowControl/>
              <w:jc w:val="center"/>
              <w:rPr>
                <w:sz w:val="21"/>
                <w:szCs w:val="21"/>
              </w:rPr>
            </w:pPr>
            <w:r>
              <w:rPr>
                <w:sz w:val="21"/>
                <w:szCs w:val="21"/>
              </w:rPr>
              <w:t>颗粒物</w:t>
            </w:r>
          </w:p>
        </w:tc>
        <w:tc>
          <w:tcPr>
            <w:tcW w:w="768" w:type="dxa"/>
            <w:shd w:val="clear" w:color="auto" w:fill="auto"/>
            <w:vAlign w:val="center"/>
          </w:tcPr>
          <w:p w14:paraId="1AF432FA">
            <w:pPr>
              <w:widowControl/>
              <w:jc w:val="center"/>
              <w:rPr>
                <w:sz w:val="21"/>
                <w:szCs w:val="21"/>
              </w:rPr>
            </w:pPr>
            <w:r>
              <w:rPr>
                <w:rFonts w:hint="eastAsia"/>
                <w:sz w:val="21"/>
                <w:szCs w:val="21"/>
              </w:rPr>
              <w:t>/</w:t>
            </w:r>
          </w:p>
        </w:tc>
        <w:tc>
          <w:tcPr>
            <w:tcW w:w="838" w:type="dxa"/>
            <w:shd w:val="clear" w:color="auto" w:fill="auto"/>
            <w:vAlign w:val="center"/>
          </w:tcPr>
          <w:p w14:paraId="25547245">
            <w:pPr>
              <w:jc w:val="center"/>
              <w:rPr>
                <w:sz w:val="21"/>
                <w:szCs w:val="21"/>
              </w:rPr>
            </w:pPr>
            <w:r>
              <w:rPr>
                <w:sz w:val="21"/>
                <w:szCs w:val="21"/>
              </w:rPr>
              <w:t>0.81</w:t>
            </w:r>
          </w:p>
        </w:tc>
        <w:tc>
          <w:tcPr>
            <w:tcW w:w="718" w:type="dxa"/>
            <w:shd w:val="clear" w:color="auto" w:fill="auto"/>
            <w:vAlign w:val="center"/>
          </w:tcPr>
          <w:p w14:paraId="33B0858D">
            <w:pPr>
              <w:jc w:val="center"/>
              <w:rPr>
                <w:sz w:val="21"/>
                <w:szCs w:val="21"/>
              </w:rPr>
            </w:pPr>
            <w:r>
              <w:rPr>
                <w:sz w:val="21"/>
                <w:szCs w:val="21"/>
              </w:rPr>
              <w:t>2.19</w:t>
            </w:r>
          </w:p>
        </w:tc>
        <w:tc>
          <w:tcPr>
            <w:tcW w:w="1502" w:type="dxa"/>
            <w:vAlign w:val="center"/>
          </w:tcPr>
          <w:p w14:paraId="16004CD0">
            <w:pPr>
              <w:autoSpaceDE w:val="0"/>
              <w:autoSpaceDN w:val="0"/>
              <w:ind w:left="86" w:leftChars="36"/>
              <w:jc w:val="center"/>
              <w:rPr>
                <w:sz w:val="21"/>
                <w:szCs w:val="21"/>
              </w:rPr>
            </w:pPr>
            <w:r>
              <w:rPr>
                <w:rFonts w:hint="eastAsia"/>
                <w:sz w:val="21"/>
                <w:szCs w:val="21"/>
              </w:rPr>
              <w:t>经由仓顶滤芯式除尘器排放</w:t>
            </w:r>
          </w:p>
        </w:tc>
        <w:tc>
          <w:tcPr>
            <w:tcW w:w="3740" w:type="dxa"/>
            <w:gridSpan w:val="6"/>
            <w:vMerge w:val="continue"/>
            <w:vAlign w:val="center"/>
          </w:tcPr>
          <w:p w14:paraId="248F9231">
            <w:pPr>
              <w:autoSpaceDE w:val="0"/>
              <w:autoSpaceDN w:val="0"/>
              <w:jc w:val="center"/>
              <w:rPr>
                <w:sz w:val="21"/>
                <w:szCs w:val="21"/>
              </w:rPr>
            </w:pPr>
          </w:p>
        </w:tc>
        <w:tc>
          <w:tcPr>
            <w:tcW w:w="632" w:type="dxa"/>
            <w:shd w:val="clear" w:color="auto" w:fill="auto"/>
            <w:vAlign w:val="center"/>
          </w:tcPr>
          <w:p w14:paraId="32E83858">
            <w:pPr>
              <w:widowControl/>
              <w:jc w:val="center"/>
              <w:rPr>
                <w:sz w:val="21"/>
                <w:szCs w:val="21"/>
              </w:rPr>
            </w:pPr>
            <w:r>
              <w:rPr>
                <w:rFonts w:hint="eastAsia"/>
                <w:sz w:val="21"/>
                <w:szCs w:val="21"/>
              </w:rPr>
              <w:t>/</w:t>
            </w:r>
          </w:p>
        </w:tc>
        <w:tc>
          <w:tcPr>
            <w:tcW w:w="627" w:type="dxa"/>
            <w:shd w:val="clear" w:color="auto" w:fill="auto"/>
            <w:vAlign w:val="center"/>
          </w:tcPr>
          <w:p w14:paraId="11C659F2">
            <w:pPr>
              <w:jc w:val="center"/>
              <w:rPr>
                <w:sz w:val="21"/>
                <w:szCs w:val="21"/>
              </w:rPr>
            </w:pPr>
            <w:r>
              <w:rPr>
                <w:sz w:val="21"/>
                <w:szCs w:val="21"/>
              </w:rPr>
              <w:t>0.008</w:t>
            </w:r>
          </w:p>
        </w:tc>
        <w:tc>
          <w:tcPr>
            <w:tcW w:w="642" w:type="dxa"/>
            <w:gridSpan w:val="2"/>
            <w:shd w:val="clear" w:color="auto" w:fill="auto"/>
            <w:vAlign w:val="center"/>
          </w:tcPr>
          <w:p w14:paraId="01754174">
            <w:pPr>
              <w:jc w:val="center"/>
              <w:rPr>
                <w:sz w:val="21"/>
                <w:szCs w:val="21"/>
              </w:rPr>
            </w:pPr>
            <w:r>
              <w:rPr>
                <w:sz w:val="21"/>
                <w:szCs w:val="21"/>
              </w:rPr>
              <w:t>0.022</w:t>
            </w:r>
          </w:p>
        </w:tc>
      </w:tr>
      <w:tr w14:paraId="02D613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22C6F75B">
            <w:pPr>
              <w:autoSpaceDE w:val="0"/>
              <w:autoSpaceDN w:val="0"/>
              <w:jc w:val="center"/>
              <w:rPr>
                <w:sz w:val="21"/>
                <w:szCs w:val="21"/>
              </w:rPr>
            </w:pPr>
          </w:p>
        </w:tc>
        <w:tc>
          <w:tcPr>
            <w:tcW w:w="709" w:type="dxa"/>
            <w:vMerge w:val="restart"/>
            <w:vAlign w:val="center"/>
          </w:tcPr>
          <w:p w14:paraId="460C2773">
            <w:pPr>
              <w:autoSpaceDE w:val="0"/>
              <w:autoSpaceDN w:val="0"/>
              <w:jc w:val="center"/>
              <w:rPr>
                <w:sz w:val="21"/>
                <w:szCs w:val="21"/>
              </w:rPr>
            </w:pPr>
            <w:r>
              <w:rPr>
                <w:rFonts w:hint="eastAsia"/>
                <w:bCs/>
                <w:sz w:val="21"/>
                <w:szCs w:val="21"/>
              </w:rPr>
              <w:t>水泥混凝土生产线</w:t>
            </w:r>
          </w:p>
        </w:tc>
        <w:tc>
          <w:tcPr>
            <w:tcW w:w="2693" w:type="dxa"/>
            <w:gridSpan w:val="5"/>
            <w:vAlign w:val="center"/>
          </w:tcPr>
          <w:p w14:paraId="5B52509D">
            <w:pPr>
              <w:autoSpaceDE w:val="0"/>
              <w:autoSpaceDN w:val="0"/>
              <w:jc w:val="center"/>
              <w:rPr>
                <w:sz w:val="21"/>
                <w:szCs w:val="21"/>
              </w:rPr>
            </w:pPr>
            <w:r>
              <w:rPr>
                <w:sz w:val="21"/>
                <w:szCs w:val="21"/>
              </w:rPr>
              <w:t>水</w:t>
            </w:r>
            <w:r>
              <w:rPr>
                <w:rFonts w:hint="eastAsia"/>
                <w:sz w:val="21"/>
                <w:szCs w:val="21"/>
              </w:rPr>
              <w:t>泥</w:t>
            </w:r>
            <w:r>
              <w:rPr>
                <w:sz w:val="21"/>
                <w:szCs w:val="21"/>
              </w:rPr>
              <w:t>筒仓</w:t>
            </w:r>
            <w:r>
              <w:rPr>
                <w:rFonts w:hint="eastAsia"/>
                <w:sz w:val="21"/>
                <w:szCs w:val="21"/>
              </w:rPr>
              <w:t>废气</w:t>
            </w:r>
          </w:p>
        </w:tc>
        <w:tc>
          <w:tcPr>
            <w:tcW w:w="568" w:type="dxa"/>
            <w:shd w:val="clear" w:color="auto" w:fill="auto"/>
            <w:vAlign w:val="center"/>
          </w:tcPr>
          <w:p w14:paraId="7FEB737E">
            <w:pPr>
              <w:widowControl/>
              <w:jc w:val="center"/>
              <w:rPr>
                <w:sz w:val="21"/>
                <w:szCs w:val="21"/>
              </w:rPr>
            </w:pPr>
            <w:r>
              <w:rPr>
                <w:sz w:val="21"/>
                <w:szCs w:val="21"/>
              </w:rPr>
              <w:t>颗粒物</w:t>
            </w:r>
          </w:p>
        </w:tc>
        <w:tc>
          <w:tcPr>
            <w:tcW w:w="768" w:type="dxa"/>
            <w:shd w:val="clear" w:color="auto" w:fill="auto"/>
            <w:vAlign w:val="center"/>
          </w:tcPr>
          <w:p w14:paraId="06BAAE86">
            <w:pPr>
              <w:widowControl/>
              <w:jc w:val="center"/>
              <w:rPr>
                <w:sz w:val="21"/>
                <w:szCs w:val="21"/>
              </w:rPr>
            </w:pPr>
            <w:r>
              <w:rPr>
                <w:rFonts w:hint="eastAsia"/>
                <w:sz w:val="21"/>
                <w:szCs w:val="21"/>
              </w:rPr>
              <w:t>/</w:t>
            </w:r>
          </w:p>
        </w:tc>
        <w:tc>
          <w:tcPr>
            <w:tcW w:w="838" w:type="dxa"/>
            <w:shd w:val="clear" w:color="auto" w:fill="auto"/>
            <w:vAlign w:val="center"/>
          </w:tcPr>
          <w:p w14:paraId="42C606FF">
            <w:pPr>
              <w:widowControl/>
              <w:jc w:val="center"/>
              <w:rPr>
                <w:kern w:val="0"/>
                <w:sz w:val="21"/>
                <w:szCs w:val="21"/>
              </w:rPr>
            </w:pPr>
            <w:r>
              <w:rPr>
                <w:sz w:val="21"/>
                <w:szCs w:val="21"/>
              </w:rPr>
              <w:t>2.14</w:t>
            </w:r>
          </w:p>
        </w:tc>
        <w:tc>
          <w:tcPr>
            <w:tcW w:w="718" w:type="dxa"/>
            <w:shd w:val="clear" w:color="auto" w:fill="auto"/>
            <w:vAlign w:val="center"/>
          </w:tcPr>
          <w:p w14:paraId="420746F1">
            <w:pPr>
              <w:jc w:val="center"/>
              <w:rPr>
                <w:sz w:val="21"/>
                <w:szCs w:val="21"/>
              </w:rPr>
            </w:pPr>
            <w:r>
              <w:rPr>
                <w:sz w:val="21"/>
                <w:szCs w:val="21"/>
              </w:rPr>
              <w:t>5.78</w:t>
            </w:r>
          </w:p>
        </w:tc>
        <w:tc>
          <w:tcPr>
            <w:tcW w:w="1502" w:type="dxa"/>
            <w:vAlign w:val="center"/>
          </w:tcPr>
          <w:p w14:paraId="2C397161">
            <w:pPr>
              <w:autoSpaceDE w:val="0"/>
              <w:autoSpaceDN w:val="0"/>
              <w:jc w:val="center"/>
              <w:rPr>
                <w:sz w:val="21"/>
                <w:szCs w:val="21"/>
              </w:rPr>
            </w:pPr>
            <w:r>
              <w:rPr>
                <w:rFonts w:hint="eastAsia"/>
                <w:sz w:val="21"/>
                <w:szCs w:val="21"/>
              </w:rPr>
              <w:t>经由仓顶滤芯式除尘器排放</w:t>
            </w:r>
          </w:p>
        </w:tc>
        <w:tc>
          <w:tcPr>
            <w:tcW w:w="3740" w:type="dxa"/>
            <w:gridSpan w:val="6"/>
            <w:vMerge w:val="continue"/>
            <w:vAlign w:val="center"/>
          </w:tcPr>
          <w:p w14:paraId="32BF6A4F">
            <w:pPr>
              <w:autoSpaceDE w:val="0"/>
              <w:autoSpaceDN w:val="0"/>
              <w:jc w:val="center"/>
              <w:rPr>
                <w:sz w:val="21"/>
                <w:szCs w:val="21"/>
              </w:rPr>
            </w:pPr>
          </w:p>
        </w:tc>
        <w:tc>
          <w:tcPr>
            <w:tcW w:w="632" w:type="dxa"/>
            <w:shd w:val="clear" w:color="auto" w:fill="auto"/>
            <w:vAlign w:val="center"/>
          </w:tcPr>
          <w:p w14:paraId="745E2AE5">
            <w:pPr>
              <w:widowControl/>
              <w:jc w:val="center"/>
              <w:rPr>
                <w:sz w:val="21"/>
                <w:szCs w:val="21"/>
              </w:rPr>
            </w:pPr>
            <w:r>
              <w:rPr>
                <w:rFonts w:hint="eastAsia"/>
                <w:sz w:val="21"/>
                <w:szCs w:val="21"/>
              </w:rPr>
              <w:t>/</w:t>
            </w:r>
          </w:p>
        </w:tc>
        <w:tc>
          <w:tcPr>
            <w:tcW w:w="627" w:type="dxa"/>
            <w:shd w:val="clear" w:color="auto" w:fill="auto"/>
            <w:vAlign w:val="center"/>
          </w:tcPr>
          <w:p w14:paraId="5BA076FF">
            <w:pPr>
              <w:widowControl/>
              <w:jc w:val="center"/>
              <w:rPr>
                <w:kern w:val="0"/>
                <w:sz w:val="21"/>
                <w:szCs w:val="21"/>
              </w:rPr>
            </w:pPr>
            <w:r>
              <w:rPr>
                <w:sz w:val="21"/>
                <w:szCs w:val="21"/>
              </w:rPr>
              <w:t>0.021</w:t>
            </w:r>
          </w:p>
        </w:tc>
        <w:tc>
          <w:tcPr>
            <w:tcW w:w="642" w:type="dxa"/>
            <w:gridSpan w:val="2"/>
            <w:shd w:val="clear" w:color="auto" w:fill="auto"/>
            <w:vAlign w:val="center"/>
          </w:tcPr>
          <w:p w14:paraId="3601EC61">
            <w:pPr>
              <w:jc w:val="center"/>
              <w:rPr>
                <w:sz w:val="21"/>
                <w:szCs w:val="21"/>
              </w:rPr>
            </w:pPr>
            <w:r>
              <w:rPr>
                <w:sz w:val="21"/>
                <w:szCs w:val="21"/>
              </w:rPr>
              <w:t>0.058</w:t>
            </w:r>
          </w:p>
        </w:tc>
      </w:tr>
      <w:tr w14:paraId="4A0651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9BB47B9">
            <w:pPr>
              <w:autoSpaceDE w:val="0"/>
              <w:autoSpaceDN w:val="0"/>
              <w:jc w:val="center"/>
              <w:rPr>
                <w:sz w:val="21"/>
                <w:szCs w:val="21"/>
              </w:rPr>
            </w:pPr>
          </w:p>
        </w:tc>
        <w:tc>
          <w:tcPr>
            <w:tcW w:w="709" w:type="dxa"/>
            <w:vMerge w:val="continue"/>
            <w:vAlign w:val="center"/>
          </w:tcPr>
          <w:p w14:paraId="50BB6E4F">
            <w:pPr>
              <w:autoSpaceDE w:val="0"/>
              <w:autoSpaceDN w:val="0"/>
              <w:jc w:val="center"/>
              <w:rPr>
                <w:sz w:val="21"/>
                <w:szCs w:val="21"/>
              </w:rPr>
            </w:pPr>
          </w:p>
        </w:tc>
        <w:tc>
          <w:tcPr>
            <w:tcW w:w="2693" w:type="dxa"/>
            <w:gridSpan w:val="5"/>
            <w:vAlign w:val="center"/>
          </w:tcPr>
          <w:p w14:paraId="41839EF9">
            <w:pPr>
              <w:autoSpaceDE w:val="0"/>
              <w:autoSpaceDN w:val="0"/>
              <w:jc w:val="center"/>
              <w:rPr>
                <w:sz w:val="21"/>
                <w:szCs w:val="21"/>
              </w:rPr>
            </w:pPr>
            <w:r>
              <w:rPr>
                <w:rFonts w:hint="eastAsia"/>
                <w:sz w:val="21"/>
                <w:szCs w:val="21"/>
              </w:rPr>
              <w:t>粉煤灰筒仓废气</w:t>
            </w:r>
          </w:p>
        </w:tc>
        <w:tc>
          <w:tcPr>
            <w:tcW w:w="568" w:type="dxa"/>
            <w:shd w:val="clear" w:color="auto" w:fill="auto"/>
            <w:vAlign w:val="center"/>
          </w:tcPr>
          <w:p w14:paraId="71767ADD">
            <w:pPr>
              <w:widowControl/>
              <w:jc w:val="center"/>
              <w:rPr>
                <w:sz w:val="21"/>
                <w:szCs w:val="21"/>
              </w:rPr>
            </w:pPr>
            <w:r>
              <w:rPr>
                <w:sz w:val="21"/>
                <w:szCs w:val="21"/>
              </w:rPr>
              <w:t>颗粒物</w:t>
            </w:r>
          </w:p>
        </w:tc>
        <w:tc>
          <w:tcPr>
            <w:tcW w:w="768" w:type="dxa"/>
            <w:shd w:val="clear" w:color="auto" w:fill="auto"/>
            <w:vAlign w:val="center"/>
          </w:tcPr>
          <w:p w14:paraId="69546A44">
            <w:pPr>
              <w:widowControl/>
              <w:jc w:val="center"/>
              <w:rPr>
                <w:sz w:val="21"/>
                <w:szCs w:val="21"/>
              </w:rPr>
            </w:pPr>
            <w:r>
              <w:rPr>
                <w:rFonts w:hint="eastAsia"/>
                <w:sz w:val="21"/>
                <w:szCs w:val="21"/>
              </w:rPr>
              <w:t>/</w:t>
            </w:r>
          </w:p>
        </w:tc>
        <w:tc>
          <w:tcPr>
            <w:tcW w:w="838" w:type="dxa"/>
            <w:shd w:val="clear" w:color="auto" w:fill="auto"/>
            <w:vAlign w:val="center"/>
          </w:tcPr>
          <w:p w14:paraId="667DA7D0">
            <w:pPr>
              <w:jc w:val="center"/>
              <w:rPr>
                <w:sz w:val="21"/>
                <w:szCs w:val="21"/>
              </w:rPr>
            </w:pPr>
            <w:r>
              <w:rPr>
                <w:sz w:val="21"/>
                <w:szCs w:val="21"/>
              </w:rPr>
              <w:t>0.69</w:t>
            </w:r>
          </w:p>
        </w:tc>
        <w:tc>
          <w:tcPr>
            <w:tcW w:w="718" w:type="dxa"/>
            <w:shd w:val="clear" w:color="auto" w:fill="auto"/>
            <w:vAlign w:val="center"/>
          </w:tcPr>
          <w:p w14:paraId="7D9BD317">
            <w:pPr>
              <w:jc w:val="center"/>
              <w:rPr>
                <w:sz w:val="21"/>
                <w:szCs w:val="21"/>
              </w:rPr>
            </w:pPr>
            <w:r>
              <w:rPr>
                <w:sz w:val="21"/>
                <w:szCs w:val="21"/>
              </w:rPr>
              <w:t>1.85</w:t>
            </w:r>
          </w:p>
        </w:tc>
        <w:tc>
          <w:tcPr>
            <w:tcW w:w="1502" w:type="dxa"/>
            <w:vAlign w:val="center"/>
          </w:tcPr>
          <w:p w14:paraId="5DFE1536">
            <w:pPr>
              <w:autoSpaceDE w:val="0"/>
              <w:autoSpaceDN w:val="0"/>
              <w:jc w:val="center"/>
              <w:rPr>
                <w:sz w:val="21"/>
                <w:szCs w:val="21"/>
              </w:rPr>
            </w:pPr>
            <w:r>
              <w:rPr>
                <w:rFonts w:hint="eastAsia"/>
                <w:sz w:val="21"/>
                <w:szCs w:val="21"/>
              </w:rPr>
              <w:t>经由仓顶滤芯式除尘器排放</w:t>
            </w:r>
          </w:p>
        </w:tc>
        <w:tc>
          <w:tcPr>
            <w:tcW w:w="3740" w:type="dxa"/>
            <w:gridSpan w:val="6"/>
            <w:vMerge w:val="continue"/>
            <w:vAlign w:val="center"/>
          </w:tcPr>
          <w:p w14:paraId="77809C32">
            <w:pPr>
              <w:autoSpaceDE w:val="0"/>
              <w:autoSpaceDN w:val="0"/>
              <w:jc w:val="center"/>
              <w:rPr>
                <w:sz w:val="21"/>
                <w:szCs w:val="21"/>
              </w:rPr>
            </w:pPr>
          </w:p>
        </w:tc>
        <w:tc>
          <w:tcPr>
            <w:tcW w:w="632" w:type="dxa"/>
            <w:shd w:val="clear" w:color="auto" w:fill="auto"/>
            <w:vAlign w:val="center"/>
          </w:tcPr>
          <w:p w14:paraId="1BF5135E">
            <w:pPr>
              <w:widowControl/>
              <w:jc w:val="center"/>
              <w:rPr>
                <w:sz w:val="21"/>
                <w:szCs w:val="21"/>
              </w:rPr>
            </w:pPr>
            <w:r>
              <w:rPr>
                <w:rFonts w:hint="eastAsia"/>
                <w:sz w:val="21"/>
                <w:szCs w:val="21"/>
              </w:rPr>
              <w:t>/</w:t>
            </w:r>
          </w:p>
        </w:tc>
        <w:tc>
          <w:tcPr>
            <w:tcW w:w="627" w:type="dxa"/>
            <w:shd w:val="clear" w:color="auto" w:fill="auto"/>
            <w:vAlign w:val="center"/>
          </w:tcPr>
          <w:p w14:paraId="23F4B186">
            <w:pPr>
              <w:jc w:val="center"/>
              <w:rPr>
                <w:sz w:val="21"/>
                <w:szCs w:val="21"/>
              </w:rPr>
            </w:pPr>
            <w:r>
              <w:rPr>
                <w:sz w:val="21"/>
                <w:szCs w:val="21"/>
              </w:rPr>
              <w:t>0.007</w:t>
            </w:r>
          </w:p>
        </w:tc>
        <w:tc>
          <w:tcPr>
            <w:tcW w:w="642" w:type="dxa"/>
            <w:gridSpan w:val="2"/>
            <w:shd w:val="clear" w:color="auto" w:fill="auto"/>
            <w:vAlign w:val="center"/>
          </w:tcPr>
          <w:p w14:paraId="7D4B3A3E">
            <w:pPr>
              <w:jc w:val="center"/>
              <w:rPr>
                <w:sz w:val="21"/>
                <w:szCs w:val="21"/>
              </w:rPr>
            </w:pPr>
            <w:r>
              <w:rPr>
                <w:sz w:val="21"/>
                <w:szCs w:val="21"/>
              </w:rPr>
              <w:t>0.019</w:t>
            </w:r>
          </w:p>
        </w:tc>
      </w:tr>
      <w:tr w14:paraId="1B90AE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F65713B">
            <w:pPr>
              <w:autoSpaceDE w:val="0"/>
              <w:autoSpaceDN w:val="0"/>
              <w:jc w:val="center"/>
              <w:rPr>
                <w:sz w:val="21"/>
                <w:szCs w:val="21"/>
              </w:rPr>
            </w:pPr>
          </w:p>
        </w:tc>
        <w:tc>
          <w:tcPr>
            <w:tcW w:w="1559" w:type="dxa"/>
            <w:gridSpan w:val="3"/>
            <w:vMerge w:val="restart"/>
            <w:vAlign w:val="center"/>
          </w:tcPr>
          <w:p w14:paraId="0FB980C8">
            <w:pPr>
              <w:autoSpaceDE w:val="0"/>
              <w:autoSpaceDN w:val="0"/>
              <w:jc w:val="center"/>
              <w:rPr>
                <w:sz w:val="21"/>
                <w:szCs w:val="21"/>
              </w:rPr>
            </w:pPr>
            <w:r>
              <w:rPr>
                <w:rFonts w:hint="eastAsia"/>
                <w:sz w:val="21"/>
                <w:szCs w:val="21"/>
              </w:rPr>
              <w:t>堆场及装卸扬尘</w:t>
            </w:r>
          </w:p>
        </w:tc>
        <w:tc>
          <w:tcPr>
            <w:tcW w:w="1843" w:type="dxa"/>
            <w:gridSpan w:val="3"/>
            <w:vAlign w:val="center"/>
          </w:tcPr>
          <w:p w14:paraId="21B5D9A0">
            <w:pPr>
              <w:autoSpaceDE w:val="0"/>
              <w:autoSpaceDN w:val="0"/>
              <w:jc w:val="center"/>
              <w:rPr>
                <w:sz w:val="21"/>
                <w:szCs w:val="21"/>
              </w:rPr>
            </w:pPr>
            <w:r>
              <w:rPr>
                <w:rFonts w:hint="eastAsia"/>
                <w:sz w:val="21"/>
                <w:szCs w:val="21"/>
              </w:rPr>
              <w:t>碎石</w:t>
            </w:r>
          </w:p>
        </w:tc>
        <w:tc>
          <w:tcPr>
            <w:tcW w:w="568" w:type="dxa"/>
            <w:vAlign w:val="center"/>
          </w:tcPr>
          <w:p w14:paraId="586A85E5">
            <w:pPr>
              <w:autoSpaceDE w:val="0"/>
              <w:autoSpaceDN w:val="0"/>
              <w:jc w:val="center"/>
              <w:rPr>
                <w:sz w:val="21"/>
                <w:szCs w:val="21"/>
              </w:rPr>
            </w:pPr>
            <w:r>
              <w:rPr>
                <w:sz w:val="21"/>
                <w:szCs w:val="21"/>
              </w:rPr>
              <w:t>颗粒物</w:t>
            </w:r>
          </w:p>
        </w:tc>
        <w:tc>
          <w:tcPr>
            <w:tcW w:w="768" w:type="dxa"/>
            <w:shd w:val="clear" w:color="auto" w:fill="auto"/>
            <w:vAlign w:val="center"/>
          </w:tcPr>
          <w:p w14:paraId="099F99EE">
            <w:pPr>
              <w:pStyle w:val="63"/>
            </w:pPr>
            <w:r>
              <w:rPr>
                <w:rFonts w:hint="eastAsia"/>
              </w:rPr>
              <w:t>/</w:t>
            </w:r>
          </w:p>
        </w:tc>
        <w:tc>
          <w:tcPr>
            <w:tcW w:w="838" w:type="dxa"/>
            <w:shd w:val="clear" w:color="auto" w:fill="auto"/>
            <w:vAlign w:val="center"/>
          </w:tcPr>
          <w:p w14:paraId="4AE0FCFA">
            <w:pPr>
              <w:pStyle w:val="63"/>
            </w:pPr>
            <w:r>
              <w:t>31.47</w:t>
            </w:r>
          </w:p>
        </w:tc>
        <w:tc>
          <w:tcPr>
            <w:tcW w:w="718" w:type="dxa"/>
            <w:shd w:val="clear" w:color="auto" w:fill="auto"/>
            <w:vAlign w:val="center"/>
          </w:tcPr>
          <w:p w14:paraId="3455E188">
            <w:pPr>
              <w:pStyle w:val="63"/>
            </w:pPr>
            <w:r>
              <w:t>203.91</w:t>
            </w:r>
          </w:p>
        </w:tc>
        <w:tc>
          <w:tcPr>
            <w:tcW w:w="1502" w:type="dxa"/>
            <w:vAlign w:val="center"/>
          </w:tcPr>
          <w:p w14:paraId="5DB9E8A9">
            <w:pPr>
              <w:autoSpaceDE w:val="0"/>
              <w:autoSpaceDN w:val="0"/>
              <w:jc w:val="center"/>
              <w:rPr>
                <w:sz w:val="21"/>
                <w:szCs w:val="21"/>
              </w:rPr>
            </w:pPr>
            <w:r>
              <w:rPr>
                <w:rFonts w:hint="eastAsia"/>
                <w:sz w:val="21"/>
                <w:szCs w:val="21"/>
              </w:rPr>
              <w:t>半封闭料仓堆存效率</w:t>
            </w:r>
            <w:r>
              <w:rPr>
                <w:sz w:val="21"/>
                <w:szCs w:val="21"/>
              </w:rPr>
              <w:t>60%</w:t>
            </w:r>
            <w:r>
              <w:rPr>
                <w:rFonts w:hint="eastAsia"/>
                <w:sz w:val="21"/>
                <w:szCs w:val="21"/>
              </w:rPr>
              <w:t>，防尘网苫盖</w:t>
            </w:r>
            <w:r>
              <w:rPr>
                <w:sz w:val="21"/>
                <w:szCs w:val="21"/>
              </w:rPr>
              <w:t>86%</w:t>
            </w:r>
          </w:p>
        </w:tc>
        <w:tc>
          <w:tcPr>
            <w:tcW w:w="3740" w:type="dxa"/>
            <w:gridSpan w:val="6"/>
            <w:vMerge w:val="continue"/>
            <w:vAlign w:val="center"/>
          </w:tcPr>
          <w:p w14:paraId="401F7575">
            <w:pPr>
              <w:autoSpaceDE w:val="0"/>
              <w:autoSpaceDN w:val="0"/>
              <w:jc w:val="center"/>
              <w:rPr>
                <w:sz w:val="21"/>
                <w:szCs w:val="21"/>
              </w:rPr>
            </w:pPr>
          </w:p>
        </w:tc>
        <w:tc>
          <w:tcPr>
            <w:tcW w:w="632" w:type="dxa"/>
            <w:shd w:val="clear" w:color="auto" w:fill="auto"/>
            <w:vAlign w:val="center"/>
          </w:tcPr>
          <w:p w14:paraId="11E9F015">
            <w:pPr>
              <w:pStyle w:val="63"/>
            </w:pPr>
            <w:r>
              <w:rPr>
                <w:rFonts w:hint="eastAsia"/>
              </w:rPr>
              <w:t>/</w:t>
            </w:r>
          </w:p>
        </w:tc>
        <w:tc>
          <w:tcPr>
            <w:tcW w:w="627" w:type="dxa"/>
            <w:shd w:val="clear" w:color="auto" w:fill="auto"/>
            <w:vAlign w:val="center"/>
          </w:tcPr>
          <w:p w14:paraId="56AC22A7">
            <w:pPr>
              <w:pStyle w:val="63"/>
            </w:pPr>
            <w:r>
              <w:t>1.76</w:t>
            </w:r>
          </w:p>
        </w:tc>
        <w:tc>
          <w:tcPr>
            <w:tcW w:w="642" w:type="dxa"/>
            <w:gridSpan w:val="2"/>
            <w:shd w:val="clear" w:color="auto" w:fill="auto"/>
            <w:vAlign w:val="center"/>
          </w:tcPr>
          <w:p w14:paraId="24BA5662">
            <w:pPr>
              <w:pStyle w:val="63"/>
            </w:pPr>
            <w:r>
              <w:t>11.42</w:t>
            </w:r>
          </w:p>
        </w:tc>
      </w:tr>
      <w:tr w14:paraId="50F618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15D59F3A">
            <w:pPr>
              <w:autoSpaceDE w:val="0"/>
              <w:autoSpaceDN w:val="0"/>
              <w:jc w:val="center"/>
              <w:rPr>
                <w:sz w:val="21"/>
                <w:szCs w:val="21"/>
              </w:rPr>
            </w:pPr>
          </w:p>
        </w:tc>
        <w:tc>
          <w:tcPr>
            <w:tcW w:w="1559" w:type="dxa"/>
            <w:gridSpan w:val="3"/>
            <w:vMerge w:val="continue"/>
            <w:vAlign w:val="center"/>
          </w:tcPr>
          <w:p w14:paraId="76A22CB2">
            <w:pPr>
              <w:autoSpaceDE w:val="0"/>
              <w:autoSpaceDN w:val="0"/>
              <w:jc w:val="center"/>
              <w:rPr>
                <w:sz w:val="21"/>
                <w:szCs w:val="21"/>
              </w:rPr>
            </w:pPr>
          </w:p>
        </w:tc>
        <w:tc>
          <w:tcPr>
            <w:tcW w:w="1843" w:type="dxa"/>
            <w:gridSpan w:val="3"/>
            <w:vAlign w:val="center"/>
          </w:tcPr>
          <w:p w14:paraId="3F4A3E1A">
            <w:pPr>
              <w:autoSpaceDE w:val="0"/>
              <w:autoSpaceDN w:val="0"/>
              <w:jc w:val="center"/>
              <w:rPr>
                <w:sz w:val="21"/>
                <w:szCs w:val="21"/>
              </w:rPr>
            </w:pPr>
            <w:r>
              <w:rPr>
                <w:rFonts w:hint="eastAsia"/>
                <w:sz w:val="21"/>
                <w:szCs w:val="21"/>
              </w:rPr>
              <w:t>砂</w:t>
            </w:r>
          </w:p>
        </w:tc>
        <w:tc>
          <w:tcPr>
            <w:tcW w:w="568" w:type="dxa"/>
            <w:vAlign w:val="center"/>
          </w:tcPr>
          <w:p w14:paraId="1E3D309B">
            <w:pPr>
              <w:autoSpaceDE w:val="0"/>
              <w:autoSpaceDN w:val="0"/>
              <w:jc w:val="center"/>
              <w:rPr>
                <w:sz w:val="21"/>
                <w:szCs w:val="21"/>
              </w:rPr>
            </w:pPr>
            <w:r>
              <w:rPr>
                <w:sz w:val="21"/>
                <w:szCs w:val="21"/>
              </w:rPr>
              <w:t>颗粒物</w:t>
            </w:r>
          </w:p>
        </w:tc>
        <w:tc>
          <w:tcPr>
            <w:tcW w:w="768" w:type="dxa"/>
            <w:shd w:val="clear" w:color="auto" w:fill="auto"/>
            <w:vAlign w:val="center"/>
          </w:tcPr>
          <w:p w14:paraId="2C7E76E3">
            <w:pPr>
              <w:pStyle w:val="63"/>
            </w:pPr>
            <w:r>
              <w:rPr>
                <w:rFonts w:hint="eastAsia"/>
              </w:rPr>
              <w:t>/</w:t>
            </w:r>
          </w:p>
        </w:tc>
        <w:tc>
          <w:tcPr>
            <w:tcW w:w="838" w:type="dxa"/>
            <w:shd w:val="clear" w:color="auto" w:fill="auto"/>
            <w:vAlign w:val="center"/>
          </w:tcPr>
          <w:p w14:paraId="0AA3AE5F">
            <w:pPr>
              <w:pStyle w:val="63"/>
            </w:pPr>
            <w:r>
              <w:t>0.75</w:t>
            </w:r>
          </w:p>
        </w:tc>
        <w:tc>
          <w:tcPr>
            <w:tcW w:w="718" w:type="dxa"/>
            <w:shd w:val="clear" w:color="auto" w:fill="auto"/>
            <w:vAlign w:val="center"/>
          </w:tcPr>
          <w:p w14:paraId="44652610">
            <w:pPr>
              <w:pStyle w:val="63"/>
            </w:pPr>
            <w:r>
              <w:t>4.84</w:t>
            </w:r>
          </w:p>
        </w:tc>
        <w:tc>
          <w:tcPr>
            <w:tcW w:w="1502" w:type="dxa"/>
            <w:vAlign w:val="center"/>
          </w:tcPr>
          <w:p w14:paraId="77720C73">
            <w:pPr>
              <w:autoSpaceDE w:val="0"/>
              <w:autoSpaceDN w:val="0"/>
              <w:jc w:val="center"/>
              <w:rPr>
                <w:sz w:val="21"/>
                <w:szCs w:val="21"/>
              </w:rPr>
            </w:pPr>
            <w:r>
              <w:rPr>
                <w:rFonts w:hint="eastAsia"/>
                <w:sz w:val="21"/>
                <w:szCs w:val="21"/>
              </w:rPr>
              <w:t>封闭料仓堆存效率</w:t>
            </w:r>
            <w:r>
              <w:rPr>
                <w:sz w:val="21"/>
                <w:szCs w:val="21"/>
              </w:rPr>
              <w:t>99%</w:t>
            </w:r>
            <w:r>
              <w:rPr>
                <w:rFonts w:hint="eastAsia"/>
                <w:sz w:val="21"/>
                <w:szCs w:val="21"/>
              </w:rPr>
              <w:t>，</w:t>
            </w:r>
            <w:r>
              <w:rPr>
                <w:sz w:val="21"/>
                <w:szCs w:val="21"/>
              </w:rPr>
              <w:t>洒水降尘效率74%</w:t>
            </w:r>
          </w:p>
        </w:tc>
        <w:tc>
          <w:tcPr>
            <w:tcW w:w="3740" w:type="dxa"/>
            <w:gridSpan w:val="6"/>
            <w:vMerge w:val="continue"/>
            <w:vAlign w:val="center"/>
          </w:tcPr>
          <w:p w14:paraId="6D549368">
            <w:pPr>
              <w:autoSpaceDE w:val="0"/>
              <w:autoSpaceDN w:val="0"/>
              <w:jc w:val="center"/>
              <w:rPr>
                <w:sz w:val="21"/>
                <w:szCs w:val="21"/>
              </w:rPr>
            </w:pPr>
          </w:p>
        </w:tc>
        <w:tc>
          <w:tcPr>
            <w:tcW w:w="632" w:type="dxa"/>
            <w:shd w:val="clear" w:color="auto" w:fill="auto"/>
            <w:vAlign w:val="center"/>
          </w:tcPr>
          <w:p w14:paraId="60A7F1E4">
            <w:pPr>
              <w:pStyle w:val="63"/>
            </w:pPr>
            <w:r>
              <w:rPr>
                <w:rFonts w:hint="eastAsia"/>
              </w:rPr>
              <w:t>/</w:t>
            </w:r>
          </w:p>
        </w:tc>
        <w:tc>
          <w:tcPr>
            <w:tcW w:w="627" w:type="dxa"/>
            <w:shd w:val="clear" w:color="auto" w:fill="auto"/>
            <w:vAlign w:val="center"/>
          </w:tcPr>
          <w:p w14:paraId="25F7B470">
            <w:pPr>
              <w:pStyle w:val="63"/>
            </w:pPr>
            <w:r>
              <w:t>0.002</w:t>
            </w:r>
          </w:p>
        </w:tc>
        <w:tc>
          <w:tcPr>
            <w:tcW w:w="642" w:type="dxa"/>
            <w:gridSpan w:val="2"/>
            <w:shd w:val="clear" w:color="auto" w:fill="auto"/>
            <w:vAlign w:val="center"/>
          </w:tcPr>
          <w:p w14:paraId="2AD1E2CA">
            <w:pPr>
              <w:pStyle w:val="63"/>
            </w:pPr>
            <w:r>
              <w:t>0.013</w:t>
            </w:r>
          </w:p>
        </w:tc>
      </w:tr>
      <w:tr w14:paraId="7EC6E1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188E5646">
            <w:pPr>
              <w:autoSpaceDE w:val="0"/>
              <w:autoSpaceDN w:val="0"/>
              <w:jc w:val="center"/>
              <w:rPr>
                <w:sz w:val="21"/>
                <w:szCs w:val="21"/>
              </w:rPr>
            </w:pPr>
          </w:p>
        </w:tc>
        <w:tc>
          <w:tcPr>
            <w:tcW w:w="3402" w:type="dxa"/>
            <w:gridSpan w:val="6"/>
            <w:vAlign w:val="center"/>
          </w:tcPr>
          <w:p w14:paraId="27907B92">
            <w:pPr>
              <w:autoSpaceDE w:val="0"/>
              <w:autoSpaceDN w:val="0"/>
              <w:jc w:val="center"/>
              <w:rPr>
                <w:sz w:val="21"/>
                <w:szCs w:val="21"/>
              </w:rPr>
            </w:pPr>
            <w:r>
              <w:rPr>
                <w:rFonts w:hint="eastAsia"/>
                <w:sz w:val="21"/>
                <w:szCs w:val="21"/>
              </w:rPr>
              <w:t>切割废气</w:t>
            </w:r>
          </w:p>
        </w:tc>
        <w:tc>
          <w:tcPr>
            <w:tcW w:w="568" w:type="dxa"/>
            <w:vAlign w:val="center"/>
          </w:tcPr>
          <w:p w14:paraId="6CE15618">
            <w:pPr>
              <w:autoSpaceDE w:val="0"/>
              <w:autoSpaceDN w:val="0"/>
              <w:jc w:val="center"/>
              <w:rPr>
                <w:sz w:val="21"/>
                <w:szCs w:val="21"/>
              </w:rPr>
            </w:pPr>
            <w:r>
              <w:rPr>
                <w:sz w:val="21"/>
                <w:szCs w:val="21"/>
              </w:rPr>
              <w:t>颗粒物</w:t>
            </w:r>
          </w:p>
        </w:tc>
        <w:tc>
          <w:tcPr>
            <w:tcW w:w="768" w:type="dxa"/>
            <w:shd w:val="clear" w:color="auto" w:fill="auto"/>
            <w:vAlign w:val="center"/>
          </w:tcPr>
          <w:p w14:paraId="1BB0D08E">
            <w:pPr>
              <w:pStyle w:val="63"/>
            </w:pPr>
            <w:r>
              <w:rPr>
                <w:rFonts w:hint="eastAsia"/>
              </w:rPr>
              <w:t>/</w:t>
            </w:r>
          </w:p>
        </w:tc>
        <w:tc>
          <w:tcPr>
            <w:tcW w:w="838" w:type="dxa"/>
            <w:shd w:val="clear" w:color="auto" w:fill="auto"/>
            <w:vAlign w:val="center"/>
          </w:tcPr>
          <w:p w14:paraId="693D988C">
            <w:pPr>
              <w:pStyle w:val="63"/>
            </w:pPr>
            <w:r>
              <w:rPr>
                <w:rFonts w:hint="eastAsia"/>
              </w:rPr>
              <w:t>9</w:t>
            </w:r>
            <w:r>
              <w:t>.87</w:t>
            </w:r>
          </w:p>
        </w:tc>
        <w:tc>
          <w:tcPr>
            <w:tcW w:w="718" w:type="dxa"/>
            <w:shd w:val="clear" w:color="auto" w:fill="auto"/>
            <w:vAlign w:val="center"/>
          </w:tcPr>
          <w:p w14:paraId="7B121F34">
            <w:pPr>
              <w:pStyle w:val="63"/>
            </w:pPr>
            <w:r>
              <w:rPr>
                <w:rFonts w:hint="eastAsia"/>
              </w:rPr>
              <w:t>5</w:t>
            </w:r>
            <w:r>
              <w:t>.33</w:t>
            </w:r>
          </w:p>
        </w:tc>
        <w:tc>
          <w:tcPr>
            <w:tcW w:w="1502" w:type="dxa"/>
            <w:vAlign w:val="center"/>
          </w:tcPr>
          <w:p w14:paraId="014400C3">
            <w:pPr>
              <w:autoSpaceDE w:val="0"/>
              <w:autoSpaceDN w:val="0"/>
              <w:jc w:val="center"/>
              <w:rPr>
                <w:sz w:val="21"/>
                <w:szCs w:val="21"/>
              </w:rPr>
            </w:pPr>
            <w:r>
              <w:rPr>
                <w:rFonts w:hint="eastAsia"/>
                <w:sz w:val="21"/>
                <w:szCs w:val="21"/>
              </w:rPr>
              <w:t>厂房沉降效率90%</w:t>
            </w:r>
          </w:p>
        </w:tc>
        <w:tc>
          <w:tcPr>
            <w:tcW w:w="3740" w:type="dxa"/>
            <w:gridSpan w:val="6"/>
            <w:vMerge w:val="continue"/>
            <w:vAlign w:val="center"/>
          </w:tcPr>
          <w:p w14:paraId="28DDD77D">
            <w:pPr>
              <w:autoSpaceDE w:val="0"/>
              <w:autoSpaceDN w:val="0"/>
              <w:jc w:val="center"/>
              <w:rPr>
                <w:sz w:val="21"/>
                <w:szCs w:val="21"/>
              </w:rPr>
            </w:pPr>
          </w:p>
        </w:tc>
        <w:tc>
          <w:tcPr>
            <w:tcW w:w="632" w:type="dxa"/>
            <w:shd w:val="clear" w:color="auto" w:fill="auto"/>
            <w:vAlign w:val="center"/>
          </w:tcPr>
          <w:p w14:paraId="61A0950D">
            <w:pPr>
              <w:pStyle w:val="63"/>
            </w:pPr>
            <w:r>
              <w:rPr>
                <w:rFonts w:hint="eastAsia"/>
              </w:rPr>
              <w:t>/</w:t>
            </w:r>
          </w:p>
        </w:tc>
        <w:tc>
          <w:tcPr>
            <w:tcW w:w="627" w:type="dxa"/>
            <w:shd w:val="clear" w:color="auto" w:fill="auto"/>
            <w:vAlign w:val="center"/>
          </w:tcPr>
          <w:p w14:paraId="6882F35E">
            <w:pPr>
              <w:pStyle w:val="63"/>
            </w:pPr>
            <w:r>
              <w:rPr>
                <w:rFonts w:hint="eastAsia"/>
              </w:rPr>
              <w:t>0</w:t>
            </w:r>
            <w:r>
              <w:t>.987</w:t>
            </w:r>
          </w:p>
        </w:tc>
        <w:tc>
          <w:tcPr>
            <w:tcW w:w="642" w:type="dxa"/>
            <w:gridSpan w:val="2"/>
            <w:shd w:val="clear" w:color="auto" w:fill="auto"/>
            <w:vAlign w:val="center"/>
          </w:tcPr>
          <w:p w14:paraId="02BF4501">
            <w:pPr>
              <w:pStyle w:val="63"/>
            </w:pPr>
            <w:r>
              <w:rPr>
                <w:rFonts w:hint="eastAsia"/>
              </w:rPr>
              <w:t>0</w:t>
            </w:r>
            <w:r>
              <w:t>.533</w:t>
            </w:r>
          </w:p>
        </w:tc>
      </w:tr>
      <w:tr w14:paraId="611AFD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2EC1DC13">
            <w:pPr>
              <w:autoSpaceDE w:val="0"/>
              <w:autoSpaceDN w:val="0"/>
              <w:jc w:val="center"/>
              <w:rPr>
                <w:sz w:val="21"/>
                <w:szCs w:val="21"/>
              </w:rPr>
            </w:pPr>
          </w:p>
        </w:tc>
        <w:tc>
          <w:tcPr>
            <w:tcW w:w="3402" w:type="dxa"/>
            <w:gridSpan w:val="6"/>
            <w:vAlign w:val="center"/>
          </w:tcPr>
          <w:p w14:paraId="5E24A389">
            <w:pPr>
              <w:autoSpaceDE w:val="0"/>
              <w:autoSpaceDN w:val="0"/>
              <w:jc w:val="center"/>
              <w:rPr>
                <w:sz w:val="21"/>
                <w:szCs w:val="21"/>
              </w:rPr>
            </w:pPr>
            <w:r>
              <w:rPr>
                <w:rFonts w:hint="eastAsia"/>
                <w:sz w:val="21"/>
                <w:szCs w:val="21"/>
              </w:rPr>
              <w:t>焊接废气</w:t>
            </w:r>
          </w:p>
        </w:tc>
        <w:tc>
          <w:tcPr>
            <w:tcW w:w="568" w:type="dxa"/>
            <w:vAlign w:val="center"/>
          </w:tcPr>
          <w:p w14:paraId="3EA2A86B">
            <w:pPr>
              <w:autoSpaceDE w:val="0"/>
              <w:autoSpaceDN w:val="0"/>
              <w:jc w:val="center"/>
              <w:rPr>
                <w:sz w:val="21"/>
                <w:szCs w:val="21"/>
              </w:rPr>
            </w:pPr>
            <w:r>
              <w:rPr>
                <w:sz w:val="21"/>
                <w:szCs w:val="21"/>
              </w:rPr>
              <w:t>颗粒物</w:t>
            </w:r>
          </w:p>
        </w:tc>
        <w:tc>
          <w:tcPr>
            <w:tcW w:w="768" w:type="dxa"/>
            <w:shd w:val="clear" w:color="auto" w:fill="auto"/>
            <w:vAlign w:val="center"/>
          </w:tcPr>
          <w:p w14:paraId="0123EF0F">
            <w:pPr>
              <w:pStyle w:val="63"/>
            </w:pPr>
            <w:r>
              <w:rPr>
                <w:rFonts w:hint="eastAsia"/>
              </w:rPr>
              <w:t>/</w:t>
            </w:r>
          </w:p>
        </w:tc>
        <w:tc>
          <w:tcPr>
            <w:tcW w:w="838" w:type="dxa"/>
            <w:shd w:val="clear" w:color="auto" w:fill="auto"/>
            <w:vAlign w:val="center"/>
          </w:tcPr>
          <w:p w14:paraId="5A96D249">
            <w:pPr>
              <w:pStyle w:val="63"/>
            </w:pPr>
            <w:r>
              <w:rPr>
                <w:rFonts w:hint="eastAsia"/>
              </w:rPr>
              <w:t>0</w:t>
            </w:r>
            <w:r>
              <w:t>.22</w:t>
            </w:r>
          </w:p>
        </w:tc>
        <w:tc>
          <w:tcPr>
            <w:tcW w:w="718" w:type="dxa"/>
            <w:shd w:val="clear" w:color="auto" w:fill="auto"/>
            <w:vAlign w:val="center"/>
          </w:tcPr>
          <w:p w14:paraId="670E316E">
            <w:pPr>
              <w:pStyle w:val="63"/>
            </w:pPr>
            <w:r>
              <w:rPr>
                <w:rFonts w:hint="eastAsia"/>
              </w:rPr>
              <w:t>0</w:t>
            </w:r>
            <w:r>
              <w:t>.06</w:t>
            </w:r>
          </w:p>
        </w:tc>
        <w:tc>
          <w:tcPr>
            <w:tcW w:w="1502" w:type="dxa"/>
            <w:vAlign w:val="center"/>
          </w:tcPr>
          <w:p w14:paraId="268B3862">
            <w:pPr>
              <w:autoSpaceDE w:val="0"/>
              <w:autoSpaceDN w:val="0"/>
              <w:jc w:val="center"/>
              <w:rPr>
                <w:sz w:val="21"/>
                <w:szCs w:val="21"/>
              </w:rPr>
            </w:pPr>
            <w:r>
              <w:rPr>
                <w:rFonts w:hint="eastAsia"/>
                <w:sz w:val="21"/>
                <w:szCs w:val="21"/>
              </w:rPr>
              <w:t>移动式烟尘净化器处理效率为95%</w:t>
            </w:r>
          </w:p>
        </w:tc>
        <w:tc>
          <w:tcPr>
            <w:tcW w:w="3740" w:type="dxa"/>
            <w:gridSpan w:val="6"/>
            <w:vMerge w:val="continue"/>
            <w:vAlign w:val="center"/>
          </w:tcPr>
          <w:p w14:paraId="45FEBEE6">
            <w:pPr>
              <w:autoSpaceDE w:val="0"/>
              <w:autoSpaceDN w:val="0"/>
              <w:jc w:val="center"/>
              <w:rPr>
                <w:sz w:val="21"/>
                <w:szCs w:val="21"/>
              </w:rPr>
            </w:pPr>
          </w:p>
        </w:tc>
        <w:tc>
          <w:tcPr>
            <w:tcW w:w="632" w:type="dxa"/>
            <w:shd w:val="clear" w:color="auto" w:fill="auto"/>
            <w:vAlign w:val="center"/>
          </w:tcPr>
          <w:p w14:paraId="58EE5957">
            <w:pPr>
              <w:pStyle w:val="63"/>
            </w:pPr>
            <w:r>
              <w:rPr>
                <w:rFonts w:hint="eastAsia"/>
              </w:rPr>
              <w:t>/</w:t>
            </w:r>
          </w:p>
        </w:tc>
        <w:tc>
          <w:tcPr>
            <w:tcW w:w="627" w:type="dxa"/>
            <w:shd w:val="clear" w:color="auto" w:fill="auto"/>
            <w:vAlign w:val="center"/>
          </w:tcPr>
          <w:p w14:paraId="4AE64C00">
            <w:pPr>
              <w:pStyle w:val="63"/>
            </w:pPr>
            <w:r>
              <w:rPr>
                <w:rFonts w:hint="eastAsia"/>
              </w:rPr>
              <w:t>0</w:t>
            </w:r>
            <w:r>
              <w:t>.011</w:t>
            </w:r>
          </w:p>
        </w:tc>
        <w:tc>
          <w:tcPr>
            <w:tcW w:w="642" w:type="dxa"/>
            <w:gridSpan w:val="2"/>
            <w:shd w:val="clear" w:color="auto" w:fill="auto"/>
            <w:vAlign w:val="center"/>
          </w:tcPr>
          <w:p w14:paraId="7FFE7D54">
            <w:pPr>
              <w:pStyle w:val="63"/>
            </w:pPr>
            <w:r>
              <w:rPr>
                <w:rFonts w:hint="eastAsia"/>
              </w:rPr>
              <w:t>0</w:t>
            </w:r>
            <w:r>
              <w:t>.003</w:t>
            </w:r>
          </w:p>
        </w:tc>
      </w:tr>
      <w:tr w14:paraId="2E4071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0D8FF9D9">
            <w:pPr>
              <w:autoSpaceDE w:val="0"/>
              <w:autoSpaceDN w:val="0"/>
              <w:jc w:val="center"/>
              <w:rPr>
                <w:sz w:val="21"/>
                <w:szCs w:val="21"/>
              </w:rPr>
            </w:pPr>
          </w:p>
        </w:tc>
        <w:tc>
          <w:tcPr>
            <w:tcW w:w="3402" w:type="dxa"/>
            <w:gridSpan w:val="6"/>
            <w:vAlign w:val="center"/>
          </w:tcPr>
          <w:p w14:paraId="6770BD57">
            <w:pPr>
              <w:autoSpaceDE w:val="0"/>
              <w:autoSpaceDN w:val="0"/>
              <w:jc w:val="center"/>
              <w:rPr>
                <w:sz w:val="21"/>
                <w:szCs w:val="21"/>
              </w:rPr>
            </w:pPr>
            <w:r>
              <w:rPr>
                <w:rFonts w:hint="eastAsia"/>
                <w:sz w:val="21"/>
                <w:szCs w:val="21"/>
              </w:rPr>
              <w:t>水泥稳定土生产线搅拌粉尘无组织逸散</w:t>
            </w:r>
          </w:p>
        </w:tc>
        <w:tc>
          <w:tcPr>
            <w:tcW w:w="568" w:type="dxa"/>
            <w:vAlign w:val="center"/>
          </w:tcPr>
          <w:p w14:paraId="6B1CA5B1">
            <w:pPr>
              <w:autoSpaceDE w:val="0"/>
              <w:autoSpaceDN w:val="0"/>
              <w:jc w:val="center"/>
              <w:rPr>
                <w:sz w:val="21"/>
                <w:szCs w:val="21"/>
              </w:rPr>
            </w:pPr>
            <w:r>
              <w:rPr>
                <w:rFonts w:hint="eastAsia"/>
                <w:sz w:val="21"/>
                <w:szCs w:val="21"/>
              </w:rPr>
              <w:t>颗粒物</w:t>
            </w:r>
          </w:p>
        </w:tc>
        <w:tc>
          <w:tcPr>
            <w:tcW w:w="768" w:type="dxa"/>
            <w:shd w:val="clear" w:color="auto" w:fill="auto"/>
            <w:vAlign w:val="center"/>
          </w:tcPr>
          <w:p w14:paraId="450D7781">
            <w:pPr>
              <w:pStyle w:val="63"/>
            </w:pPr>
            <w:r>
              <w:rPr>
                <w:rFonts w:hint="eastAsia"/>
              </w:rPr>
              <w:t>/</w:t>
            </w:r>
          </w:p>
        </w:tc>
        <w:tc>
          <w:tcPr>
            <w:tcW w:w="838" w:type="dxa"/>
            <w:shd w:val="clear" w:color="auto" w:fill="auto"/>
            <w:vAlign w:val="center"/>
          </w:tcPr>
          <w:p w14:paraId="30AE619C">
            <w:pPr>
              <w:pStyle w:val="63"/>
            </w:pPr>
            <w:r>
              <w:rPr>
                <w:rFonts w:hint="eastAsia"/>
              </w:rPr>
              <w:t>4</w:t>
            </w:r>
            <w:r>
              <w:t>.81</w:t>
            </w:r>
          </w:p>
        </w:tc>
        <w:tc>
          <w:tcPr>
            <w:tcW w:w="718" w:type="dxa"/>
            <w:shd w:val="clear" w:color="auto" w:fill="auto"/>
            <w:vAlign w:val="center"/>
          </w:tcPr>
          <w:p w14:paraId="2CE37E08">
            <w:pPr>
              <w:pStyle w:val="63"/>
            </w:pPr>
            <w:r>
              <w:rPr>
                <w:rFonts w:hint="eastAsia"/>
              </w:rPr>
              <w:t>1</w:t>
            </w:r>
            <w:r>
              <w:t>3.0</w:t>
            </w:r>
          </w:p>
        </w:tc>
        <w:tc>
          <w:tcPr>
            <w:tcW w:w="1502" w:type="dxa"/>
            <w:vAlign w:val="center"/>
          </w:tcPr>
          <w:p w14:paraId="2E66C303">
            <w:pPr>
              <w:autoSpaceDE w:val="0"/>
              <w:autoSpaceDN w:val="0"/>
              <w:jc w:val="center"/>
              <w:rPr>
                <w:sz w:val="21"/>
                <w:szCs w:val="21"/>
              </w:rPr>
            </w:pPr>
            <w:r>
              <w:rPr>
                <w:rFonts w:hint="eastAsia"/>
                <w:sz w:val="21"/>
                <w:szCs w:val="21"/>
              </w:rPr>
              <w:t>/</w:t>
            </w:r>
          </w:p>
        </w:tc>
        <w:tc>
          <w:tcPr>
            <w:tcW w:w="3740" w:type="dxa"/>
            <w:gridSpan w:val="6"/>
            <w:vMerge w:val="continue"/>
            <w:vAlign w:val="center"/>
          </w:tcPr>
          <w:p w14:paraId="37541638">
            <w:pPr>
              <w:autoSpaceDE w:val="0"/>
              <w:autoSpaceDN w:val="0"/>
              <w:jc w:val="center"/>
              <w:rPr>
                <w:sz w:val="21"/>
                <w:szCs w:val="21"/>
              </w:rPr>
            </w:pPr>
          </w:p>
        </w:tc>
        <w:tc>
          <w:tcPr>
            <w:tcW w:w="632" w:type="dxa"/>
            <w:shd w:val="clear" w:color="auto" w:fill="auto"/>
            <w:vAlign w:val="center"/>
          </w:tcPr>
          <w:p w14:paraId="2FE52ACD">
            <w:pPr>
              <w:pStyle w:val="63"/>
            </w:pPr>
            <w:r>
              <w:rPr>
                <w:rFonts w:hint="eastAsia"/>
              </w:rPr>
              <w:t>/</w:t>
            </w:r>
          </w:p>
        </w:tc>
        <w:tc>
          <w:tcPr>
            <w:tcW w:w="627" w:type="dxa"/>
            <w:shd w:val="clear" w:color="auto" w:fill="auto"/>
            <w:vAlign w:val="center"/>
          </w:tcPr>
          <w:p w14:paraId="05A7C6C1">
            <w:pPr>
              <w:pStyle w:val="63"/>
            </w:pPr>
            <w:r>
              <w:rPr>
                <w:rFonts w:hint="eastAsia"/>
              </w:rPr>
              <w:t>4</w:t>
            </w:r>
            <w:r>
              <w:t>.81</w:t>
            </w:r>
          </w:p>
        </w:tc>
        <w:tc>
          <w:tcPr>
            <w:tcW w:w="642" w:type="dxa"/>
            <w:gridSpan w:val="2"/>
            <w:shd w:val="clear" w:color="auto" w:fill="auto"/>
            <w:vAlign w:val="center"/>
          </w:tcPr>
          <w:p w14:paraId="10808A25">
            <w:pPr>
              <w:pStyle w:val="63"/>
            </w:pPr>
            <w:r>
              <w:rPr>
                <w:rFonts w:hint="eastAsia"/>
              </w:rPr>
              <w:t>1</w:t>
            </w:r>
            <w:r>
              <w:t>3.0</w:t>
            </w:r>
          </w:p>
        </w:tc>
      </w:tr>
      <w:tr w14:paraId="274130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F2FB29B">
            <w:pPr>
              <w:autoSpaceDE w:val="0"/>
              <w:autoSpaceDN w:val="0"/>
              <w:jc w:val="center"/>
              <w:rPr>
                <w:sz w:val="21"/>
                <w:szCs w:val="21"/>
              </w:rPr>
            </w:pPr>
          </w:p>
        </w:tc>
        <w:tc>
          <w:tcPr>
            <w:tcW w:w="3402" w:type="dxa"/>
            <w:gridSpan w:val="6"/>
            <w:vAlign w:val="center"/>
          </w:tcPr>
          <w:p w14:paraId="13E3CABD">
            <w:pPr>
              <w:autoSpaceDE w:val="0"/>
              <w:autoSpaceDN w:val="0"/>
              <w:jc w:val="center"/>
              <w:rPr>
                <w:sz w:val="21"/>
                <w:szCs w:val="21"/>
              </w:rPr>
            </w:pPr>
            <w:r>
              <w:rPr>
                <w:rFonts w:hint="eastAsia"/>
                <w:sz w:val="21"/>
                <w:szCs w:val="21"/>
              </w:rPr>
              <w:t>水泥混凝土生产线搅拌粉尘无组织逸散</w:t>
            </w:r>
          </w:p>
        </w:tc>
        <w:tc>
          <w:tcPr>
            <w:tcW w:w="568" w:type="dxa"/>
            <w:vAlign w:val="center"/>
          </w:tcPr>
          <w:p w14:paraId="24E573D4">
            <w:pPr>
              <w:autoSpaceDE w:val="0"/>
              <w:autoSpaceDN w:val="0"/>
              <w:jc w:val="center"/>
              <w:rPr>
                <w:sz w:val="21"/>
                <w:szCs w:val="21"/>
              </w:rPr>
            </w:pPr>
            <w:r>
              <w:rPr>
                <w:rFonts w:hint="eastAsia"/>
                <w:sz w:val="21"/>
                <w:szCs w:val="21"/>
              </w:rPr>
              <w:t>颗粒物</w:t>
            </w:r>
          </w:p>
        </w:tc>
        <w:tc>
          <w:tcPr>
            <w:tcW w:w="768" w:type="dxa"/>
            <w:shd w:val="clear" w:color="auto" w:fill="auto"/>
            <w:vAlign w:val="center"/>
          </w:tcPr>
          <w:p w14:paraId="11994437">
            <w:pPr>
              <w:pStyle w:val="63"/>
            </w:pPr>
            <w:r>
              <w:rPr>
                <w:rFonts w:hint="eastAsia"/>
              </w:rPr>
              <w:t>/</w:t>
            </w:r>
          </w:p>
        </w:tc>
        <w:tc>
          <w:tcPr>
            <w:tcW w:w="838" w:type="dxa"/>
            <w:shd w:val="clear" w:color="auto" w:fill="auto"/>
            <w:vAlign w:val="center"/>
          </w:tcPr>
          <w:p w14:paraId="3FDAAE4C">
            <w:pPr>
              <w:pStyle w:val="63"/>
            </w:pPr>
            <w:r>
              <w:t>0.926</w:t>
            </w:r>
          </w:p>
        </w:tc>
        <w:tc>
          <w:tcPr>
            <w:tcW w:w="718" w:type="dxa"/>
            <w:shd w:val="clear" w:color="auto" w:fill="auto"/>
            <w:vAlign w:val="center"/>
          </w:tcPr>
          <w:p w14:paraId="435D7BEA">
            <w:pPr>
              <w:pStyle w:val="63"/>
            </w:pPr>
            <w:r>
              <w:t>2.5</w:t>
            </w:r>
          </w:p>
        </w:tc>
        <w:tc>
          <w:tcPr>
            <w:tcW w:w="1502" w:type="dxa"/>
            <w:vAlign w:val="center"/>
          </w:tcPr>
          <w:p w14:paraId="7467A5D5">
            <w:pPr>
              <w:autoSpaceDE w:val="0"/>
              <w:autoSpaceDN w:val="0"/>
              <w:jc w:val="center"/>
              <w:rPr>
                <w:sz w:val="21"/>
                <w:szCs w:val="21"/>
              </w:rPr>
            </w:pPr>
            <w:r>
              <w:rPr>
                <w:rFonts w:hint="eastAsia"/>
                <w:sz w:val="21"/>
                <w:szCs w:val="21"/>
              </w:rPr>
              <w:t>/</w:t>
            </w:r>
          </w:p>
        </w:tc>
        <w:tc>
          <w:tcPr>
            <w:tcW w:w="3740" w:type="dxa"/>
            <w:gridSpan w:val="6"/>
            <w:vMerge w:val="continue"/>
            <w:vAlign w:val="center"/>
          </w:tcPr>
          <w:p w14:paraId="4751D6D0">
            <w:pPr>
              <w:autoSpaceDE w:val="0"/>
              <w:autoSpaceDN w:val="0"/>
              <w:jc w:val="center"/>
              <w:rPr>
                <w:sz w:val="21"/>
                <w:szCs w:val="21"/>
              </w:rPr>
            </w:pPr>
          </w:p>
        </w:tc>
        <w:tc>
          <w:tcPr>
            <w:tcW w:w="632" w:type="dxa"/>
            <w:shd w:val="clear" w:color="auto" w:fill="auto"/>
            <w:vAlign w:val="center"/>
          </w:tcPr>
          <w:p w14:paraId="29AABBE9">
            <w:pPr>
              <w:pStyle w:val="63"/>
            </w:pPr>
            <w:r>
              <w:rPr>
                <w:rFonts w:hint="eastAsia"/>
              </w:rPr>
              <w:t>/</w:t>
            </w:r>
          </w:p>
        </w:tc>
        <w:tc>
          <w:tcPr>
            <w:tcW w:w="627" w:type="dxa"/>
            <w:shd w:val="clear" w:color="auto" w:fill="auto"/>
            <w:vAlign w:val="center"/>
          </w:tcPr>
          <w:p w14:paraId="15F7A506">
            <w:pPr>
              <w:pStyle w:val="63"/>
            </w:pPr>
            <w:r>
              <w:t>0.926</w:t>
            </w:r>
          </w:p>
        </w:tc>
        <w:tc>
          <w:tcPr>
            <w:tcW w:w="642" w:type="dxa"/>
            <w:gridSpan w:val="2"/>
            <w:shd w:val="clear" w:color="auto" w:fill="auto"/>
            <w:vAlign w:val="center"/>
          </w:tcPr>
          <w:p w14:paraId="5882A6AD">
            <w:pPr>
              <w:pStyle w:val="63"/>
            </w:pPr>
            <w:r>
              <w:t>2.5</w:t>
            </w:r>
          </w:p>
        </w:tc>
      </w:tr>
      <w:tr w14:paraId="0F6739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63892AE6">
            <w:pPr>
              <w:autoSpaceDE w:val="0"/>
              <w:autoSpaceDN w:val="0"/>
              <w:jc w:val="center"/>
              <w:rPr>
                <w:sz w:val="21"/>
                <w:szCs w:val="21"/>
              </w:rPr>
            </w:pPr>
          </w:p>
        </w:tc>
        <w:tc>
          <w:tcPr>
            <w:tcW w:w="3402" w:type="dxa"/>
            <w:gridSpan w:val="6"/>
            <w:vMerge w:val="restart"/>
            <w:vAlign w:val="center"/>
          </w:tcPr>
          <w:p w14:paraId="203F94D2">
            <w:pPr>
              <w:autoSpaceDE w:val="0"/>
              <w:autoSpaceDN w:val="0"/>
              <w:jc w:val="center"/>
              <w:rPr>
                <w:sz w:val="21"/>
                <w:szCs w:val="21"/>
              </w:rPr>
            </w:pPr>
            <w:r>
              <w:rPr>
                <w:rFonts w:hint="eastAsia"/>
                <w:sz w:val="21"/>
                <w:szCs w:val="21"/>
              </w:rPr>
              <w:t>沥青混凝土生产线沥青加热搅拌</w:t>
            </w:r>
            <w:r>
              <w:rPr>
                <w:sz w:val="21"/>
                <w:szCs w:val="21"/>
              </w:rPr>
              <w:t>无组织逸散</w:t>
            </w:r>
          </w:p>
        </w:tc>
        <w:tc>
          <w:tcPr>
            <w:tcW w:w="568" w:type="dxa"/>
            <w:vAlign w:val="center"/>
          </w:tcPr>
          <w:p w14:paraId="423CF8E8">
            <w:pPr>
              <w:autoSpaceDE w:val="0"/>
              <w:autoSpaceDN w:val="0"/>
              <w:jc w:val="center"/>
              <w:rPr>
                <w:sz w:val="21"/>
                <w:szCs w:val="21"/>
              </w:rPr>
            </w:pPr>
            <w:r>
              <w:rPr>
                <w:sz w:val="21"/>
                <w:szCs w:val="21"/>
              </w:rPr>
              <w:t>沥青烟</w:t>
            </w:r>
          </w:p>
        </w:tc>
        <w:tc>
          <w:tcPr>
            <w:tcW w:w="768" w:type="dxa"/>
            <w:vAlign w:val="center"/>
          </w:tcPr>
          <w:p w14:paraId="3825B419">
            <w:pPr>
              <w:autoSpaceDE w:val="0"/>
              <w:autoSpaceDN w:val="0"/>
              <w:jc w:val="center"/>
              <w:rPr>
                <w:sz w:val="21"/>
                <w:szCs w:val="21"/>
              </w:rPr>
            </w:pPr>
            <w:r>
              <w:rPr>
                <w:sz w:val="21"/>
                <w:szCs w:val="21"/>
              </w:rPr>
              <w:t>/</w:t>
            </w:r>
          </w:p>
        </w:tc>
        <w:tc>
          <w:tcPr>
            <w:tcW w:w="838" w:type="dxa"/>
            <w:shd w:val="clear" w:color="auto" w:fill="auto"/>
            <w:vAlign w:val="center"/>
          </w:tcPr>
          <w:p w14:paraId="197AF86E">
            <w:pPr>
              <w:widowControl/>
              <w:jc w:val="center"/>
              <w:rPr>
                <w:kern w:val="0"/>
                <w:sz w:val="21"/>
                <w:szCs w:val="21"/>
              </w:rPr>
            </w:pPr>
            <w:r>
              <w:rPr>
                <w:sz w:val="21"/>
                <w:szCs w:val="21"/>
              </w:rPr>
              <w:t>0.0007</w:t>
            </w:r>
          </w:p>
        </w:tc>
        <w:tc>
          <w:tcPr>
            <w:tcW w:w="718" w:type="dxa"/>
            <w:shd w:val="clear" w:color="auto" w:fill="auto"/>
            <w:vAlign w:val="center"/>
          </w:tcPr>
          <w:p w14:paraId="1D99432B">
            <w:pPr>
              <w:jc w:val="center"/>
              <w:rPr>
                <w:sz w:val="21"/>
                <w:szCs w:val="21"/>
              </w:rPr>
            </w:pPr>
            <w:r>
              <w:rPr>
                <w:sz w:val="21"/>
                <w:szCs w:val="21"/>
              </w:rPr>
              <w:t>0.002</w:t>
            </w:r>
          </w:p>
        </w:tc>
        <w:tc>
          <w:tcPr>
            <w:tcW w:w="1502" w:type="dxa"/>
            <w:vMerge w:val="restart"/>
            <w:vAlign w:val="center"/>
          </w:tcPr>
          <w:p w14:paraId="1BB28CBC">
            <w:pPr>
              <w:autoSpaceDE w:val="0"/>
              <w:autoSpaceDN w:val="0"/>
              <w:jc w:val="center"/>
              <w:rPr>
                <w:sz w:val="21"/>
                <w:szCs w:val="21"/>
              </w:rPr>
            </w:pPr>
            <w:r>
              <w:rPr>
                <w:sz w:val="21"/>
                <w:szCs w:val="21"/>
              </w:rPr>
              <w:t>/</w:t>
            </w:r>
          </w:p>
        </w:tc>
        <w:tc>
          <w:tcPr>
            <w:tcW w:w="3740" w:type="dxa"/>
            <w:gridSpan w:val="6"/>
            <w:vMerge w:val="continue"/>
            <w:vAlign w:val="center"/>
          </w:tcPr>
          <w:p w14:paraId="2BCDC00C">
            <w:pPr>
              <w:autoSpaceDE w:val="0"/>
              <w:autoSpaceDN w:val="0"/>
              <w:jc w:val="center"/>
              <w:rPr>
                <w:sz w:val="21"/>
                <w:szCs w:val="21"/>
              </w:rPr>
            </w:pPr>
          </w:p>
        </w:tc>
        <w:tc>
          <w:tcPr>
            <w:tcW w:w="632" w:type="dxa"/>
            <w:vAlign w:val="center"/>
          </w:tcPr>
          <w:p w14:paraId="0F4D453C">
            <w:pPr>
              <w:autoSpaceDE w:val="0"/>
              <w:autoSpaceDN w:val="0"/>
              <w:jc w:val="center"/>
              <w:rPr>
                <w:sz w:val="21"/>
                <w:szCs w:val="21"/>
              </w:rPr>
            </w:pPr>
            <w:r>
              <w:rPr>
                <w:sz w:val="21"/>
                <w:szCs w:val="21"/>
              </w:rPr>
              <w:t>/</w:t>
            </w:r>
          </w:p>
        </w:tc>
        <w:tc>
          <w:tcPr>
            <w:tcW w:w="635" w:type="dxa"/>
            <w:gridSpan w:val="2"/>
            <w:shd w:val="clear" w:color="auto" w:fill="auto"/>
            <w:vAlign w:val="center"/>
          </w:tcPr>
          <w:p w14:paraId="2265BD1B">
            <w:pPr>
              <w:widowControl/>
              <w:jc w:val="center"/>
              <w:rPr>
                <w:kern w:val="0"/>
                <w:sz w:val="21"/>
                <w:szCs w:val="21"/>
              </w:rPr>
            </w:pPr>
            <w:r>
              <w:rPr>
                <w:sz w:val="21"/>
                <w:szCs w:val="21"/>
              </w:rPr>
              <w:t>0.0007</w:t>
            </w:r>
          </w:p>
        </w:tc>
        <w:tc>
          <w:tcPr>
            <w:tcW w:w="634" w:type="dxa"/>
            <w:shd w:val="clear" w:color="auto" w:fill="auto"/>
            <w:vAlign w:val="center"/>
          </w:tcPr>
          <w:p w14:paraId="34147207">
            <w:pPr>
              <w:jc w:val="center"/>
              <w:rPr>
                <w:sz w:val="21"/>
                <w:szCs w:val="21"/>
              </w:rPr>
            </w:pPr>
            <w:r>
              <w:rPr>
                <w:sz w:val="21"/>
                <w:szCs w:val="21"/>
              </w:rPr>
              <w:t>0.002</w:t>
            </w:r>
          </w:p>
        </w:tc>
      </w:tr>
      <w:tr w14:paraId="23865A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061118FB">
            <w:pPr>
              <w:autoSpaceDE w:val="0"/>
              <w:autoSpaceDN w:val="0"/>
              <w:jc w:val="center"/>
              <w:rPr>
                <w:sz w:val="21"/>
                <w:szCs w:val="21"/>
              </w:rPr>
            </w:pPr>
          </w:p>
        </w:tc>
        <w:tc>
          <w:tcPr>
            <w:tcW w:w="3402" w:type="dxa"/>
            <w:gridSpan w:val="6"/>
            <w:vMerge w:val="continue"/>
            <w:vAlign w:val="center"/>
          </w:tcPr>
          <w:p w14:paraId="58F80762">
            <w:pPr>
              <w:autoSpaceDE w:val="0"/>
              <w:autoSpaceDN w:val="0"/>
              <w:jc w:val="center"/>
              <w:rPr>
                <w:sz w:val="21"/>
                <w:szCs w:val="21"/>
              </w:rPr>
            </w:pPr>
          </w:p>
        </w:tc>
        <w:tc>
          <w:tcPr>
            <w:tcW w:w="568" w:type="dxa"/>
            <w:vAlign w:val="center"/>
          </w:tcPr>
          <w:p w14:paraId="3E402F44">
            <w:pPr>
              <w:autoSpaceDE w:val="0"/>
              <w:autoSpaceDN w:val="0"/>
              <w:jc w:val="center"/>
              <w:rPr>
                <w:sz w:val="21"/>
                <w:szCs w:val="21"/>
              </w:rPr>
            </w:pPr>
            <w:r>
              <w:rPr>
                <w:sz w:val="21"/>
                <w:szCs w:val="21"/>
              </w:rPr>
              <w:t>苯并[a]芘</w:t>
            </w:r>
          </w:p>
        </w:tc>
        <w:tc>
          <w:tcPr>
            <w:tcW w:w="768" w:type="dxa"/>
            <w:vAlign w:val="center"/>
          </w:tcPr>
          <w:p w14:paraId="3F62166D">
            <w:pPr>
              <w:autoSpaceDE w:val="0"/>
              <w:autoSpaceDN w:val="0"/>
              <w:jc w:val="center"/>
              <w:rPr>
                <w:sz w:val="21"/>
                <w:szCs w:val="21"/>
              </w:rPr>
            </w:pPr>
            <w:r>
              <w:rPr>
                <w:sz w:val="21"/>
                <w:szCs w:val="21"/>
              </w:rPr>
              <w:t>/</w:t>
            </w:r>
          </w:p>
        </w:tc>
        <w:tc>
          <w:tcPr>
            <w:tcW w:w="838" w:type="dxa"/>
            <w:shd w:val="clear" w:color="auto" w:fill="auto"/>
            <w:vAlign w:val="center"/>
          </w:tcPr>
          <w:p w14:paraId="31031B75">
            <w:pPr>
              <w:jc w:val="center"/>
              <w:rPr>
                <w:sz w:val="21"/>
                <w:szCs w:val="21"/>
              </w:rPr>
            </w:pPr>
            <w:r>
              <w:rPr>
                <w:sz w:val="21"/>
                <w:szCs w:val="21"/>
              </w:rPr>
              <w:t>1.48E-08</w:t>
            </w:r>
          </w:p>
        </w:tc>
        <w:tc>
          <w:tcPr>
            <w:tcW w:w="718" w:type="dxa"/>
            <w:shd w:val="clear" w:color="auto" w:fill="auto"/>
            <w:vAlign w:val="center"/>
          </w:tcPr>
          <w:p w14:paraId="5F411265">
            <w:pPr>
              <w:jc w:val="center"/>
              <w:rPr>
                <w:sz w:val="21"/>
                <w:szCs w:val="21"/>
              </w:rPr>
            </w:pPr>
            <w:r>
              <w:rPr>
                <w:sz w:val="21"/>
                <w:szCs w:val="21"/>
              </w:rPr>
              <w:t>4.0E-08</w:t>
            </w:r>
          </w:p>
        </w:tc>
        <w:tc>
          <w:tcPr>
            <w:tcW w:w="1502" w:type="dxa"/>
            <w:vMerge w:val="continue"/>
            <w:vAlign w:val="center"/>
          </w:tcPr>
          <w:p w14:paraId="5E6BA40D">
            <w:pPr>
              <w:autoSpaceDE w:val="0"/>
              <w:autoSpaceDN w:val="0"/>
              <w:jc w:val="center"/>
              <w:rPr>
                <w:sz w:val="21"/>
                <w:szCs w:val="21"/>
              </w:rPr>
            </w:pPr>
          </w:p>
        </w:tc>
        <w:tc>
          <w:tcPr>
            <w:tcW w:w="3740" w:type="dxa"/>
            <w:gridSpan w:val="6"/>
            <w:vMerge w:val="continue"/>
            <w:vAlign w:val="center"/>
          </w:tcPr>
          <w:p w14:paraId="62816E1F">
            <w:pPr>
              <w:autoSpaceDE w:val="0"/>
              <w:autoSpaceDN w:val="0"/>
              <w:jc w:val="center"/>
              <w:rPr>
                <w:sz w:val="21"/>
                <w:szCs w:val="21"/>
              </w:rPr>
            </w:pPr>
          </w:p>
        </w:tc>
        <w:tc>
          <w:tcPr>
            <w:tcW w:w="632" w:type="dxa"/>
            <w:vAlign w:val="center"/>
          </w:tcPr>
          <w:p w14:paraId="1A6A8E94">
            <w:pPr>
              <w:autoSpaceDE w:val="0"/>
              <w:autoSpaceDN w:val="0"/>
              <w:jc w:val="center"/>
              <w:rPr>
                <w:sz w:val="21"/>
                <w:szCs w:val="21"/>
              </w:rPr>
            </w:pPr>
            <w:r>
              <w:rPr>
                <w:sz w:val="21"/>
                <w:szCs w:val="21"/>
              </w:rPr>
              <w:t>/</w:t>
            </w:r>
          </w:p>
        </w:tc>
        <w:tc>
          <w:tcPr>
            <w:tcW w:w="635" w:type="dxa"/>
            <w:gridSpan w:val="2"/>
            <w:shd w:val="clear" w:color="auto" w:fill="auto"/>
            <w:vAlign w:val="center"/>
          </w:tcPr>
          <w:p w14:paraId="04EC8C26">
            <w:pPr>
              <w:jc w:val="center"/>
              <w:rPr>
                <w:sz w:val="21"/>
                <w:szCs w:val="21"/>
              </w:rPr>
            </w:pPr>
            <w:r>
              <w:rPr>
                <w:sz w:val="21"/>
                <w:szCs w:val="21"/>
              </w:rPr>
              <w:t>1.48E-08</w:t>
            </w:r>
          </w:p>
        </w:tc>
        <w:tc>
          <w:tcPr>
            <w:tcW w:w="634" w:type="dxa"/>
            <w:shd w:val="clear" w:color="auto" w:fill="auto"/>
            <w:vAlign w:val="center"/>
          </w:tcPr>
          <w:p w14:paraId="01C9531E">
            <w:pPr>
              <w:jc w:val="center"/>
              <w:rPr>
                <w:sz w:val="21"/>
                <w:szCs w:val="21"/>
              </w:rPr>
            </w:pPr>
            <w:r>
              <w:rPr>
                <w:sz w:val="21"/>
                <w:szCs w:val="21"/>
              </w:rPr>
              <w:t>4.0E-08</w:t>
            </w:r>
          </w:p>
        </w:tc>
      </w:tr>
      <w:tr w14:paraId="2F71D7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74396862">
            <w:pPr>
              <w:autoSpaceDE w:val="0"/>
              <w:autoSpaceDN w:val="0"/>
              <w:jc w:val="center"/>
              <w:rPr>
                <w:sz w:val="21"/>
                <w:szCs w:val="21"/>
              </w:rPr>
            </w:pPr>
          </w:p>
        </w:tc>
        <w:tc>
          <w:tcPr>
            <w:tcW w:w="3402" w:type="dxa"/>
            <w:gridSpan w:val="6"/>
            <w:vMerge w:val="continue"/>
            <w:vAlign w:val="center"/>
          </w:tcPr>
          <w:p w14:paraId="59666944">
            <w:pPr>
              <w:autoSpaceDE w:val="0"/>
              <w:autoSpaceDN w:val="0"/>
              <w:jc w:val="center"/>
              <w:rPr>
                <w:sz w:val="21"/>
                <w:szCs w:val="21"/>
              </w:rPr>
            </w:pPr>
          </w:p>
        </w:tc>
        <w:tc>
          <w:tcPr>
            <w:tcW w:w="568" w:type="dxa"/>
            <w:vAlign w:val="center"/>
          </w:tcPr>
          <w:p w14:paraId="48E144AC">
            <w:pPr>
              <w:autoSpaceDE w:val="0"/>
              <w:autoSpaceDN w:val="0"/>
              <w:jc w:val="center"/>
              <w:rPr>
                <w:sz w:val="21"/>
                <w:szCs w:val="21"/>
              </w:rPr>
            </w:pPr>
            <w:r>
              <w:rPr>
                <w:sz w:val="21"/>
                <w:szCs w:val="21"/>
              </w:rPr>
              <w:t>非甲烷总烃</w:t>
            </w:r>
          </w:p>
        </w:tc>
        <w:tc>
          <w:tcPr>
            <w:tcW w:w="768" w:type="dxa"/>
            <w:vAlign w:val="center"/>
          </w:tcPr>
          <w:p w14:paraId="051454B4">
            <w:pPr>
              <w:autoSpaceDE w:val="0"/>
              <w:autoSpaceDN w:val="0"/>
              <w:jc w:val="center"/>
              <w:rPr>
                <w:sz w:val="21"/>
                <w:szCs w:val="21"/>
              </w:rPr>
            </w:pPr>
            <w:r>
              <w:rPr>
                <w:sz w:val="21"/>
                <w:szCs w:val="21"/>
              </w:rPr>
              <w:t>/</w:t>
            </w:r>
          </w:p>
        </w:tc>
        <w:tc>
          <w:tcPr>
            <w:tcW w:w="838" w:type="dxa"/>
            <w:shd w:val="clear" w:color="auto" w:fill="auto"/>
            <w:vAlign w:val="center"/>
          </w:tcPr>
          <w:p w14:paraId="7802252D">
            <w:pPr>
              <w:jc w:val="center"/>
              <w:rPr>
                <w:sz w:val="21"/>
                <w:szCs w:val="21"/>
              </w:rPr>
            </w:pPr>
            <w:r>
              <w:rPr>
                <w:sz w:val="21"/>
                <w:szCs w:val="21"/>
              </w:rPr>
              <w:t>0.0030</w:t>
            </w:r>
          </w:p>
        </w:tc>
        <w:tc>
          <w:tcPr>
            <w:tcW w:w="718" w:type="dxa"/>
            <w:shd w:val="clear" w:color="auto" w:fill="auto"/>
            <w:vAlign w:val="center"/>
          </w:tcPr>
          <w:p w14:paraId="05591A80">
            <w:pPr>
              <w:jc w:val="center"/>
              <w:rPr>
                <w:sz w:val="21"/>
                <w:szCs w:val="21"/>
              </w:rPr>
            </w:pPr>
            <w:r>
              <w:rPr>
                <w:sz w:val="21"/>
                <w:szCs w:val="21"/>
              </w:rPr>
              <w:t>0.008</w:t>
            </w:r>
          </w:p>
        </w:tc>
        <w:tc>
          <w:tcPr>
            <w:tcW w:w="1502" w:type="dxa"/>
            <w:vMerge w:val="continue"/>
            <w:vAlign w:val="center"/>
          </w:tcPr>
          <w:p w14:paraId="465A4A63">
            <w:pPr>
              <w:autoSpaceDE w:val="0"/>
              <w:autoSpaceDN w:val="0"/>
              <w:jc w:val="center"/>
              <w:rPr>
                <w:sz w:val="21"/>
                <w:szCs w:val="21"/>
              </w:rPr>
            </w:pPr>
          </w:p>
        </w:tc>
        <w:tc>
          <w:tcPr>
            <w:tcW w:w="3740" w:type="dxa"/>
            <w:gridSpan w:val="6"/>
            <w:vMerge w:val="continue"/>
            <w:vAlign w:val="center"/>
          </w:tcPr>
          <w:p w14:paraId="10E4800D">
            <w:pPr>
              <w:autoSpaceDE w:val="0"/>
              <w:autoSpaceDN w:val="0"/>
              <w:jc w:val="center"/>
              <w:rPr>
                <w:sz w:val="21"/>
                <w:szCs w:val="21"/>
              </w:rPr>
            </w:pPr>
          </w:p>
        </w:tc>
        <w:tc>
          <w:tcPr>
            <w:tcW w:w="632" w:type="dxa"/>
            <w:vAlign w:val="center"/>
          </w:tcPr>
          <w:p w14:paraId="29111C29">
            <w:pPr>
              <w:autoSpaceDE w:val="0"/>
              <w:autoSpaceDN w:val="0"/>
              <w:jc w:val="center"/>
              <w:rPr>
                <w:sz w:val="21"/>
                <w:szCs w:val="21"/>
              </w:rPr>
            </w:pPr>
            <w:r>
              <w:rPr>
                <w:sz w:val="21"/>
                <w:szCs w:val="21"/>
              </w:rPr>
              <w:t>/</w:t>
            </w:r>
          </w:p>
        </w:tc>
        <w:tc>
          <w:tcPr>
            <w:tcW w:w="635" w:type="dxa"/>
            <w:gridSpan w:val="2"/>
            <w:shd w:val="clear" w:color="auto" w:fill="auto"/>
            <w:vAlign w:val="center"/>
          </w:tcPr>
          <w:p w14:paraId="10721588">
            <w:pPr>
              <w:jc w:val="center"/>
              <w:rPr>
                <w:sz w:val="21"/>
                <w:szCs w:val="21"/>
              </w:rPr>
            </w:pPr>
            <w:r>
              <w:rPr>
                <w:sz w:val="21"/>
                <w:szCs w:val="21"/>
              </w:rPr>
              <w:t>0.0030</w:t>
            </w:r>
          </w:p>
        </w:tc>
        <w:tc>
          <w:tcPr>
            <w:tcW w:w="634" w:type="dxa"/>
            <w:shd w:val="clear" w:color="auto" w:fill="auto"/>
            <w:vAlign w:val="center"/>
          </w:tcPr>
          <w:p w14:paraId="03B0C492">
            <w:pPr>
              <w:jc w:val="center"/>
              <w:rPr>
                <w:sz w:val="21"/>
                <w:szCs w:val="21"/>
              </w:rPr>
            </w:pPr>
            <w:r>
              <w:rPr>
                <w:sz w:val="21"/>
                <w:szCs w:val="21"/>
              </w:rPr>
              <w:t>0.008</w:t>
            </w:r>
          </w:p>
        </w:tc>
      </w:tr>
      <w:tr w14:paraId="68EE41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6" w:type="dxa"/>
            <w:vMerge w:val="continue"/>
            <w:vAlign w:val="center"/>
          </w:tcPr>
          <w:p w14:paraId="3D6247E4">
            <w:pPr>
              <w:autoSpaceDE w:val="0"/>
              <w:autoSpaceDN w:val="0"/>
              <w:jc w:val="center"/>
              <w:rPr>
                <w:sz w:val="21"/>
                <w:szCs w:val="21"/>
              </w:rPr>
            </w:pPr>
          </w:p>
        </w:tc>
        <w:tc>
          <w:tcPr>
            <w:tcW w:w="3402" w:type="dxa"/>
            <w:gridSpan w:val="6"/>
            <w:vAlign w:val="center"/>
          </w:tcPr>
          <w:p w14:paraId="7E6CC0C1">
            <w:pPr>
              <w:autoSpaceDE w:val="0"/>
              <w:autoSpaceDN w:val="0"/>
              <w:jc w:val="center"/>
              <w:rPr>
                <w:sz w:val="21"/>
                <w:szCs w:val="21"/>
              </w:rPr>
            </w:pPr>
            <w:r>
              <w:rPr>
                <w:sz w:val="21"/>
                <w:szCs w:val="21"/>
              </w:rPr>
              <w:t>道路运输扬尘</w:t>
            </w:r>
          </w:p>
        </w:tc>
        <w:tc>
          <w:tcPr>
            <w:tcW w:w="568" w:type="dxa"/>
            <w:vAlign w:val="center"/>
          </w:tcPr>
          <w:p w14:paraId="2D2B9E88">
            <w:pPr>
              <w:autoSpaceDE w:val="0"/>
              <w:autoSpaceDN w:val="0"/>
              <w:jc w:val="center"/>
              <w:rPr>
                <w:sz w:val="21"/>
                <w:szCs w:val="21"/>
              </w:rPr>
            </w:pPr>
            <w:r>
              <w:rPr>
                <w:sz w:val="21"/>
                <w:szCs w:val="21"/>
              </w:rPr>
              <w:t>颗粒物</w:t>
            </w:r>
          </w:p>
        </w:tc>
        <w:tc>
          <w:tcPr>
            <w:tcW w:w="768" w:type="dxa"/>
            <w:vAlign w:val="center"/>
          </w:tcPr>
          <w:p w14:paraId="7D6D88F7">
            <w:pPr>
              <w:autoSpaceDE w:val="0"/>
              <w:autoSpaceDN w:val="0"/>
              <w:jc w:val="center"/>
              <w:rPr>
                <w:sz w:val="21"/>
                <w:szCs w:val="21"/>
              </w:rPr>
            </w:pPr>
            <w:r>
              <w:rPr>
                <w:sz w:val="21"/>
                <w:szCs w:val="21"/>
              </w:rPr>
              <w:t>/</w:t>
            </w:r>
          </w:p>
        </w:tc>
        <w:tc>
          <w:tcPr>
            <w:tcW w:w="838" w:type="dxa"/>
            <w:vAlign w:val="center"/>
          </w:tcPr>
          <w:p w14:paraId="6E2C6975">
            <w:pPr>
              <w:autoSpaceDE w:val="0"/>
              <w:autoSpaceDN w:val="0"/>
              <w:jc w:val="center"/>
              <w:rPr>
                <w:sz w:val="21"/>
                <w:szCs w:val="21"/>
              </w:rPr>
            </w:pPr>
            <w:r>
              <w:rPr>
                <w:rFonts w:hint="eastAsia"/>
                <w:sz w:val="21"/>
                <w:szCs w:val="21"/>
              </w:rPr>
              <w:t>/</w:t>
            </w:r>
          </w:p>
        </w:tc>
        <w:tc>
          <w:tcPr>
            <w:tcW w:w="718" w:type="dxa"/>
            <w:vAlign w:val="center"/>
          </w:tcPr>
          <w:p w14:paraId="38D6A5EA">
            <w:pPr>
              <w:autoSpaceDE w:val="0"/>
              <w:autoSpaceDN w:val="0"/>
              <w:jc w:val="center"/>
              <w:rPr>
                <w:sz w:val="21"/>
                <w:szCs w:val="21"/>
              </w:rPr>
            </w:pPr>
            <w:r>
              <w:rPr>
                <w:sz w:val="21"/>
                <w:szCs w:val="21"/>
              </w:rPr>
              <w:t>22.26</w:t>
            </w:r>
          </w:p>
        </w:tc>
        <w:tc>
          <w:tcPr>
            <w:tcW w:w="1502" w:type="dxa"/>
            <w:vAlign w:val="center"/>
          </w:tcPr>
          <w:p w14:paraId="1DA7D7F4">
            <w:pPr>
              <w:autoSpaceDE w:val="0"/>
              <w:autoSpaceDN w:val="0"/>
              <w:jc w:val="center"/>
              <w:rPr>
                <w:sz w:val="21"/>
                <w:szCs w:val="21"/>
              </w:rPr>
            </w:pPr>
            <w:r>
              <w:rPr>
                <w:sz w:val="21"/>
                <w:szCs w:val="21"/>
              </w:rPr>
              <w:t>洒水降尘，效率60%</w:t>
            </w:r>
          </w:p>
        </w:tc>
        <w:tc>
          <w:tcPr>
            <w:tcW w:w="3740" w:type="dxa"/>
            <w:gridSpan w:val="6"/>
            <w:vMerge w:val="continue"/>
            <w:vAlign w:val="center"/>
          </w:tcPr>
          <w:p w14:paraId="4B146C3A">
            <w:pPr>
              <w:autoSpaceDE w:val="0"/>
              <w:autoSpaceDN w:val="0"/>
              <w:jc w:val="center"/>
              <w:rPr>
                <w:sz w:val="21"/>
                <w:szCs w:val="21"/>
              </w:rPr>
            </w:pPr>
          </w:p>
        </w:tc>
        <w:tc>
          <w:tcPr>
            <w:tcW w:w="632" w:type="dxa"/>
            <w:vAlign w:val="center"/>
          </w:tcPr>
          <w:p w14:paraId="6988DCF0">
            <w:pPr>
              <w:autoSpaceDE w:val="0"/>
              <w:autoSpaceDN w:val="0"/>
              <w:jc w:val="center"/>
              <w:rPr>
                <w:sz w:val="21"/>
                <w:szCs w:val="21"/>
              </w:rPr>
            </w:pPr>
            <w:r>
              <w:rPr>
                <w:sz w:val="21"/>
                <w:szCs w:val="21"/>
              </w:rPr>
              <w:t>/</w:t>
            </w:r>
          </w:p>
        </w:tc>
        <w:tc>
          <w:tcPr>
            <w:tcW w:w="635" w:type="dxa"/>
            <w:gridSpan w:val="2"/>
            <w:vAlign w:val="center"/>
          </w:tcPr>
          <w:p w14:paraId="4290C44B">
            <w:pPr>
              <w:autoSpaceDE w:val="0"/>
              <w:autoSpaceDN w:val="0"/>
              <w:jc w:val="center"/>
              <w:rPr>
                <w:sz w:val="21"/>
                <w:szCs w:val="21"/>
              </w:rPr>
            </w:pPr>
            <w:r>
              <w:rPr>
                <w:sz w:val="21"/>
                <w:szCs w:val="21"/>
              </w:rPr>
              <w:t>/</w:t>
            </w:r>
          </w:p>
        </w:tc>
        <w:tc>
          <w:tcPr>
            <w:tcW w:w="634" w:type="dxa"/>
            <w:vAlign w:val="center"/>
          </w:tcPr>
          <w:p w14:paraId="46C75AAC">
            <w:pPr>
              <w:autoSpaceDE w:val="0"/>
              <w:autoSpaceDN w:val="0"/>
              <w:jc w:val="center"/>
              <w:rPr>
                <w:sz w:val="21"/>
                <w:szCs w:val="21"/>
              </w:rPr>
            </w:pPr>
            <w:r>
              <w:rPr>
                <w:sz w:val="21"/>
                <w:szCs w:val="21"/>
              </w:rPr>
              <w:t>8.904</w:t>
            </w:r>
          </w:p>
        </w:tc>
      </w:tr>
      <w:bookmarkEnd w:id="22"/>
    </w:tbl>
    <w:p w14:paraId="175DC868">
      <w:pPr>
        <w:ind w:firstLine="422" w:firstLineChars="200"/>
        <w:rPr>
          <w:b/>
          <w:bCs/>
          <w:sz w:val="21"/>
          <w:szCs w:val="21"/>
        </w:rPr>
      </w:pPr>
    </w:p>
    <w:p w14:paraId="03DE0D36">
      <w:pPr>
        <w:rPr>
          <w:sz w:val="21"/>
          <w:szCs w:val="21"/>
        </w:rPr>
      </w:pPr>
    </w:p>
    <w:p w14:paraId="78AD7268">
      <w:pPr>
        <w:sectPr>
          <w:pgSz w:w="16840" w:h="11907" w:orient="landscape"/>
          <w:pgMar w:top="1531" w:right="1701" w:bottom="1531" w:left="2127" w:header="851" w:footer="851" w:gutter="0"/>
          <w:cols w:space="720" w:num="1"/>
          <w:docGrid w:linePitch="326" w:charSpace="0"/>
        </w:sectPr>
      </w:pPr>
    </w:p>
    <w:p w14:paraId="310AFCEA"/>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8"/>
        <w:gridCol w:w="8633"/>
      </w:tblGrid>
      <w:tr w14:paraId="624D6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348" w:type="dxa"/>
            <w:tcMar>
              <w:left w:w="28" w:type="dxa"/>
              <w:right w:w="28" w:type="dxa"/>
            </w:tcMar>
            <w:vAlign w:val="center"/>
          </w:tcPr>
          <w:p w14:paraId="0D955DAD">
            <w:pPr>
              <w:adjustRightInd w:val="0"/>
              <w:snapToGrid w:val="0"/>
              <w:jc w:val="center"/>
              <w:rPr>
                <w:bCs/>
                <w:szCs w:val="21"/>
              </w:rPr>
            </w:pPr>
            <w:r>
              <w:rPr>
                <w:bCs/>
                <w:szCs w:val="21"/>
              </w:rPr>
              <w:t>运营</w:t>
            </w:r>
          </w:p>
          <w:p w14:paraId="36375FF5">
            <w:pPr>
              <w:adjustRightInd w:val="0"/>
              <w:snapToGrid w:val="0"/>
              <w:jc w:val="center"/>
              <w:rPr>
                <w:bCs/>
                <w:szCs w:val="21"/>
              </w:rPr>
            </w:pPr>
            <w:r>
              <w:rPr>
                <w:bCs/>
                <w:szCs w:val="21"/>
              </w:rPr>
              <w:t>期环</w:t>
            </w:r>
          </w:p>
          <w:p w14:paraId="056916FE">
            <w:pPr>
              <w:adjustRightInd w:val="0"/>
              <w:snapToGrid w:val="0"/>
              <w:jc w:val="center"/>
              <w:rPr>
                <w:bCs/>
                <w:szCs w:val="21"/>
              </w:rPr>
            </w:pPr>
            <w:r>
              <w:rPr>
                <w:bCs/>
                <w:szCs w:val="21"/>
              </w:rPr>
              <w:t>境影</w:t>
            </w:r>
          </w:p>
          <w:p w14:paraId="2BA3D1B6">
            <w:pPr>
              <w:adjustRightInd w:val="0"/>
              <w:snapToGrid w:val="0"/>
              <w:jc w:val="center"/>
              <w:rPr>
                <w:bCs/>
                <w:szCs w:val="21"/>
              </w:rPr>
            </w:pPr>
            <w:r>
              <w:rPr>
                <w:bCs/>
                <w:szCs w:val="21"/>
              </w:rPr>
              <w:t>响和</w:t>
            </w:r>
          </w:p>
          <w:p w14:paraId="46B0F8E0">
            <w:pPr>
              <w:adjustRightInd w:val="0"/>
              <w:snapToGrid w:val="0"/>
              <w:jc w:val="center"/>
              <w:rPr>
                <w:bCs/>
                <w:szCs w:val="21"/>
              </w:rPr>
            </w:pPr>
            <w:r>
              <w:rPr>
                <w:bCs/>
                <w:szCs w:val="21"/>
              </w:rPr>
              <w:t>保护</w:t>
            </w:r>
          </w:p>
          <w:p w14:paraId="0E488757">
            <w:pPr>
              <w:adjustRightInd w:val="0"/>
              <w:snapToGrid w:val="0"/>
              <w:jc w:val="center"/>
              <w:rPr>
                <w:bCs/>
                <w:szCs w:val="21"/>
              </w:rPr>
            </w:pPr>
            <w:r>
              <w:rPr>
                <w:bCs/>
                <w:szCs w:val="21"/>
              </w:rPr>
              <w:t>措施</w:t>
            </w:r>
          </w:p>
        </w:tc>
        <w:tc>
          <w:tcPr>
            <w:tcW w:w="8633" w:type="dxa"/>
            <w:vAlign w:val="center"/>
          </w:tcPr>
          <w:p w14:paraId="0F7CBF8B">
            <w:pPr>
              <w:pStyle w:val="76"/>
              <w:ind w:firstLine="630" w:firstLineChars="300"/>
              <w:rPr>
                <w:color w:val="auto"/>
              </w:rPr>
            </w:pPr>
            <w:r>
              <w:rPr>
                <w:color w:val="auto"/>
              </w:rPr>
              <w:t>表4-12              项目事故状态下大气污染物排放情况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811"/>
              <w:gridCol w:w="875"/>
              <w:gridCol w:w="1146"/>
              <w:gridCol w:w="949"/>
              <w:gridCol w:w="1219"/>
              <w:gridCol w:w="1029"/>
              <w:gridCol w:w="1093"/>
              <w:gridCol w:w="566"/>
            </w:tblGrid>
            <w:tr w14:paraId="582277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14" w:type="pct"/>
                  <w:gridSpan w:val="2"/>
                  <w:shd w:val="clear" w:color="auto" w:fill="auto"/>
                  <w:vAlign w:val="center"/>
                </w:tcPr>
                <w:p w14:paraId="4CD54843">
                  <w:pPr>
                    <w:widowControl/>
                    <w:jc w:val="center"/>
                    <w:rPr>
                      <w:rFonts w:ascii="宋体" w:hAnsi="宋体" w:cs="宋体"/>
                      <w:kern w:val="0"/>
                      <w:sz w:val="21"/>
                      <w:szCs w:val="21"/>
                    </w:rPr>
                  </w:pPr>
                  <w:r>
                    <w:rPr>
                      <w:rFonts w:hint="eastAsia" w:ascii="宋体" w:hAnsi="宋体" w:cs="宋体"/>
                      <w:kern w:val="0"/>
                      <w:sz w:val="21"/>
                      <w:szCs w:val="21"/>
                    </w:rPr>
                    <w:t>非正常排放源</w:t>
                  </w:r>
                </w:p>
              </w:tc>
              <w:tc>
                <w:tcPr>
                  <w:tcW w:w="520" w:type="pct"/>
                  <w:shd w:val="clear" w:color="auto" w:fill="auto"/>
                  <w:vAlign w:val="center"/>
                </w:tcPr>
                <w:p w14:paraId="2D42074F">
                  <w:pPr>
                    <w:widowControl/>
                    <w:jc w:val="center"/>
                    <w:rPr>
                      <w:rFonts w:ascii="宋体" w:hAnsi="宋体" w:cs="宋体"/>
                      <w:kern w:val="0"/>
                      <w:sz w:val="21"/>
                      <w:szCs w:val="21"/>
                    </w:rPr>
                  </w:pPr>
                  <w:r>
                    <w:rPr>
                      <w:rFonts w:hint="eastAsia" w:ascii="宋体" w:hAnsi="宋体" w:cs="宋体"/>
                      <w:kern w:val="0"/>
                      <w:sz w:val="21"/>
                      <w:szCs w:val="21"/>
                    </w:rPr>
                    <w:t>年发生频次（次）</w:t>
                  </w:r>
                </w:p>
              </w:tc>
              <w:tc>
                <w:tcPr>
                  <w:tcW w:w="681" w:type="pct"/>
                  <w:shd w:val="clear" w:color="auto" w:fill="auto"/>
                  <w:vAlign w:val="center"/>
                </w:tcPr>
                <w:p w14:paraId="591F3ACA">
                  <w:pPr>
                    <w:widowControl/>
                    <w:jc w:val="center"/>
                    <w:rPr>
                      <w:rFonts w:ascii="宋体" w:hAnsi="宋体" w:cs="宋体"/>
                      <w:kern w:val="0"/>
                      <w:sz w:val="21"/>
                      <w:szCs w:val="21"/>
                    </w:rPr>
                  </w:pPr>
                  <w:r>
                    <w:rPr>
                      <w:rFonts w:hint="eastAsia" w:ascii="宋体" w:hAnsi="宋体" w:cs="宋体"/>
                      <w:kern w:val="0"/>
                      <w:sz w:val="21"/>
                      <w:szCs w:val="21"/>
                    </w:rPr>
                    <w:t>非正常排放原因</w:t>
                  </w:r>
                  <w:r>
                    <w:rPr>
                      <w:kern w:val="0"/>
                      <w:sz w:val="21"/>
                      <w:szCs w:val="21"/>
                    </w:rPr>
                    <w:t> </w:t>
                  </w:r>
                </w:p>
              </w:tc>
              <w:tc>
                <w:tcPr>
                  <w:tcW w:w="564" w:type="pct"/>
                  <w:shd w:val="clear" w:color="auto" w:fill="auto"/>
                  <w:vAlign w:val="center"/>
                </w:tcPr>
                <w:p w14:paraId="1E1F301A">
                  <w:pPr>
                    <w:widowControl/>
                    <w:jc w:val="center"/>
                    <w:rPr>
                      <w:rFonts w:ascii="宋体" w:hAnsi="宋体" w:cs="宋体"/>
                      <w:kern w:val="0"/>
                      <w:sz w:val="21"/>
                      <w:szCs w:val="21"/>
                    </w:rPr>
                  </w:pPr>
                  <w:r>
                    <w:rPr>
                      <w:rFonts w:hint="eastAsia" w:ascii="宋体" w:hAnsi="宋体" w:cs="宋体"/>
                      <w:kern w:val="0"/>
                      <w:sz w:val="21"/>
                      <w:szCs w:val="21"/>
                    </w:rPr>
                    <w:t>污染物</w:t>
                  </w:r>
                </w:p>
              </w:tc>
              <w:tc>
                <w:tcPr>
                  <w:tcW w:w="724" w:type="pct"/>
                  <w:shd w:val="clear" w:color="auto" w:fill="auto"/>
                  <w:vAlign w:val="center"/>
                </w:tcPr>
                <w:p w14:paraId="2D850B52">
                  <w:pPr>
                    <w:widowControl/>
                    <w:jc w:val="center"/>
                    <w:rPr>
                      <w:rFonts w:ascii="宋体" w:hAnsi="宋体" w:cs="宋体"/>
                      <w:kern w:val="0"/>
                      <w:sz w:val="21"/>
                      <w:szCs w:val="21"/>
                    </w:rPr>
                  </w:pPr>
                  <w:r>
                    <w:rPr>
                      <w:rFonts w:hint="eastAsia" w:ascii="宋体" w:hAnsi="宋体" w:cs="宋体"/>
                      <w:kern w:val="0"/>
                      <w:sz w:val="21"/>
                      <w:szCs w:val="21"/>
                    </w:rPr>
                    <w:t>排放浓度（</w:t>
                  </w:r>
                  <w:r>
                    <w:rPr>
                      <w:kern w:val="0"/>
                      <w:sz w:val="21"/>
                      <w:szCs w:val="21"/>
                    </w:rPr>
                    <w:t>mg/m</w:t>
                  </w:r>
                  <w:r>
                    <w:rPr>
                      <w:kern w:val="0"/>
                      <w:sz w:val="21"/>
                      <w:szCs w:val="21"/>
                      <w:vertAlign w:val="superscript"/>
                    </w:rPr>
                    <w:t>3</w:t>
                  </w:r>
                  <w:r>
                    <w:rPr>
                      <w:rFonts w:hint="eastAsia" w:ascii="宋体" w:hAnsi="宋体" w:cs="宋体"/>
                      <w:kern w:val="0"/>
                      <w:sz w:val="21"/>
                      <w:szCs w:val="21"/>
                    </w:rPr>
                    <w:t>）</w:t>
                  </w:r>
                </w:p>
              </w:tc>
              <w:tc>
                <w:tcPr>
                  <w:tcW w:w="611" w:type="pct"/>
                  <w:shd w:val="clear" w:color="auto" w:fill="auto"/>
                  <w:vAlign w:val="center"/>
                </w:tcPr>
                <w:p w14:paraId="64101344">
                  <w:pPr>
                    <w:widowControl/>
                    <w:jc w:val="center"/>
                    <w:rPr>
                      <w:rFonts w:ascii="宋体" w:hAnsi="宋体" w:cs="宋体"/>
                      <w:kern w:val="0"/>
                      <w:sz w:val="21"/>
                      <w:szCs w:val="21"/>
                    </w:rPr>
                  </w:pPr>
                  <w:r>
                    <w:rPr>
                      <w:rFonts w:hint="eastAsia" w:ascii="宋体" w:hAnsi="宋体" w:cs="宋体"/>
                      <w:kern w:val="0"/>
                      <w:sz w:val="21"/>
                      <w:szCs w:val="21"/>
                    </w:rPr>
                    <w:t>非正常排放量（</w:t>
                  </w:r>
                  <w:r>
                    <w:rPr>
                      <w:kern w:val="0"/>
                      <w:sz w:val="21"/>
                      <w:szCs w:val="21"/>
                    </w:rPr>
                    <w:t>kg/h</w:t>
                  </w:r>
                  <w:r>
                    <w:rPr>
                      <w:rFonts w:hint="eastAsia" w:ascii="宋体" w:hAnsi="宋体" w:cs="宋体"/>
                      <w:kern w:val="0"/>
                      <w:sz w:val="21"/>
                      <w:szCs w:val="21"/>
                    </w:rPr>
                    <w:t>）</w:t>
                  </w:r>
                </w:p>
              </w:tc>
              <w:tc>
                <w:tcPr>
                  <w:tcW w:w="649" w:type="pct"/>
                  <w:shd w:val="clear" w:color="auto" w:fill="auto"/>
                  <w:vAlign w:val="center"/>
                </w:tcPr>
                <w:p w14:paraId="57C006AC">
                  <w:pPr>
                    <w:widowControl/>
                    <w:jc w:val="center"/>
                    <w:rPr>
                      <w:rFonts w:ascii="宋体" w:hAnsi="宋体" w:cs="宋体"/>
                      <w:kern w:val="0"/>
                      <w:sz w:val="21"/>
                      <w:szCs w:val="21"/>
                    </w:rPr>
                  </w:pPr>
                  <w:r>
                    <w:rPr>
                      <w:rFonts w:hint="eastAsia" w:ascii="宋体" w:hAnsi="宋体" w:cs="宋体"/>
                      <w:kern w:val="0"/>
                      <w:sz w:val="21"/>
                      <w:szCs w:val="21"/>
                    </w:rPr>
                    <w:t>措施</w:t>
                  </w:r>
                </w:p>
              </w:tc>
              <w:tc>
                <w:tcPr>
                  <w:tcW w:w="336" w:type="pct"/>
                  <w:shd w:val="clear" w:color="auto" w:fill="auto"/>
                  <w:vAlign w:val="center"/>
                </w:tcPr>
                <w:p w14:paraId="7CCCCEB2">
                  <w:pPr>
                    <w:widowControl/>
                    <w:jc w:val="center"/>
                    <w:rPr>
                      <w:rFonts w:ascii="宋体" w:hAnsi="宋体" w:cs="宋体"/>
                      <w:kern w:val="0"/>
                      <w:sz w:val="21"/>
                      <w:szCs w:val="21"/>
                    </w:rPr>
                  </w:pPr>
                  <w:r>
                    <w:rPr>
                      <w:rFonts w:hint="eastAsia" w:ascii="宋体" w:hAnsi="宋体" w:cs="宋体"/>
                      <w:kern w:val="0"/>
                      <w:sz w:val="21"/>
                      <w:szCs w:val="21"/>
                    </w:rPr>
                    <w:t>单次持续时间</w:t>
                  </w:r>
                  <w:r>
                    <w:rPr>
                      <w:kern w:val="0"/>
                      <w:sz w:val="21"/>
                      <w:szCs w:val="21"/>
                    </w:rPr>
                    <w:t>/h</w:t>
                  </w:r>
                </w:p>
              </w:tc>
            </w:tr>
            <w:tr w14:paraId="59AE8B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33" w:type="pct"/>
                  <w:shd w:val="clear" w:color="auto" w:fill="auto"/>
                  <w:vAlign w:val="center"/>
                </w:tcPr>
                <w:p w14:paraId="3D42E492">
                  <w:pPr>
                    <w:widowControl/>
                    <w:jc w:val="center"/>
                    <w:rPr>
                      <w:rFonts w:ascii="宋体" w:hAnsi="宋体" w:cs="宋体"/>
                      <w:kern w:val="0"/>
                      <w:sz w:val="21"/>
                      <w:szCs w:val="21"/>
                    </w:rPr>
                  </w:pPr>
                  <w:r>
                    <w:rPr>
                      <w:rFonts w:hint="eastAsia" w:ascii="宋体" w:hAnsi="宋体" w:cs="宋体"/>
                      <w:kern w:val="0"/>
                      <w:sz w:val="21"/>
                      <w:szCs w:val="21"/>
                    </w:rPr>
                    <w:t>水泥稳定土生产线</w:t>
                  </w:r>
                </w:p>
              </w:tc>
              <w:tc>
                <w:tcPr>
                  <w:tcW w:w="482" w:type="pct"/>
                  <w:shd w:val="clear" w:color="auto" w:fill="auto"/>
                  <w:vAlign w:val="center"/>
                </w:tcPr>
                <w:p w14:paraId="4A478C1B">
                  <w:pPr>
                    <w:widowControl/>
                    <w:jc w:val="center"/>
                    <w:rPr>
                      <w:rFonts w:ascii="宋体" w:hAnsi="宋体" w:cs="宋体"/>
                      <w:kern w:val="0"/>
                      <w:sz w:val="21"/>
                      <w:szCs w:val="21"/>
                    </w:rPr>
                  </w:pPr>
                  <w:r>
                    <w:rPr>
                      <w:rFonts w:hint="eastAsia" w:ascii="宋体" w:hAnsi="宋体" w:cs="宋体"/>
                      <w:kern w:val="0"/>
                      <w:sz w:val="21"/>
                      <w:szCs w:val="21"/>
                    </w:rPr>
                    <w:t>搅拌粉尘</w:t>
                  </w:r>
                </w:p>
              </w:tc>
              <w:tc>
                <w:tcPr>
                  <w:tcW w:w="520" w:type="pct"/>
                  <w:shd w:val="clear" w:color="auto" w:fill="auto"/>
                  <w:vAlign w:val="center"/>
                </w:tcPr>
                <w:p w14:paraId="35D6C432">
                  <w:pPr>
                    <w:widowControl/>
                    <w:jc w:val="center"/>
                    <w:rPr>
                      <w:kern w:val="0"/>
                      <w:sz w:val="21"/>
                      <w:szCs w:val="21"/>
                    </w:rPr>
                  </w:pPr>
                  <w:r>
                    <w:rPr>
                      <w:kern w:val="0"/>
                      <w:sz w:val="21"/>
                      <w:szCs w:val="21"/>
                    </w:rPr>
                    <w:t>1</w:t>
                  </w:r>
                </w:p>
              </w:tc>
              <w:tc>
                <w:tcPr>
                  <w:tcW w:w="681" w:type="pct"/>
                  <w:shd w:val="clear" w:color="auto" w:fill="auto"/>
                  <w:vAlign w:val="center"/>
                </w:tcPr>
                <w:p w14:paraId="0B318A95">
                  <w:pPr>
                    <w:widowControl/>
                    <w:jc w:val="center"/>
                    <w:rPr>
                      <w:rFonts w:ascii="宋体" w:hAnsi="宋体" w:cs="宋体"/>
                      <w:kern w:val="0"/>
                      <w:sz w:val="21"/>
                      <w:szCs w:val="21"/>
                    </w:rPr>
                  </w:pPr>
                  <w:r>
                    <w:rPr>
                      <w:rFonts w:hint="eastAsia" w:ascii="宋体" w:hAnsi="宋体" w:cs="宋体"/>
                      <w:kern w:val="0"/>
                      <w:sz w:val="21"/>
                      <w:szCs w:val="21"/>
                    </w:rPr>
                    <w:t>袋式除尘器破损</w:t>
                  </w:r>
                </w:p>
              </w:tc>
              <w:tc>
                <w:tcPr>
                  <w:tcW w:w="564" w:type="pct"/>
                  <w:shd w:val="clear" w:color="auto" w:fill="auto"/>
                  <w:vAlign w:val="center"/>
                </w:tcPr>
                <w:p w14:paraId="069E367F">
                  <w:pPr>
                    <w:widowControl/>
                    <w:jc w:val="center"/>
                    <w:rPr>
                      <w:rFonts w:ascii="宋体" w:hAnsi="宋体" w:cs="宋体"/>
                      <w:kern w:val="0"/>
                      <w:sz w:val="21"/>
                      <w:szCs w:val="21"/>
                    </w:rPr>
                  </w:pPr>
                  <w:r>
                    <w:rPr>
                      <w:rFonts w:hint="eastAsia" w:ascii="宋体" w:hAnsi="宋体" w:cs="宋体"/>
                      <w:kern w:val="0"/>
                      <w:sz w:val="21"/>
                      <w:szCs w:val="21"/>
                    </w:rPr>
                    <w:t>颗粒物</w:t>
                  </w:r>
                </w:p>
              </w:tc>
              <w:tc>
                <w:tcPr>
                  <w:tcW w:w="724" w:type="pct"/>
                  <w:shd w:val="clear" w:color="auto" w:fill="auto"/>
                  <w:vAlign w:val="center"/>
                </w:tcPr>
                <w:p w14:paraId="7E9D5ABC">
                  <w:pPr>
                    <w:widowControl/>
                    <w:jc w:val="center"/>
                    <w:rPr>
                      <w:kern w:val="0"/>
                      <w:sz w:val="21"/>
                      <w:szCs w:val="21"/>
                    </w:rPr>
                  </w:pPr>
                  <w:r>
                    <w:rPr>
                      <w:kern w:val="0"/>
                      <w:sz w:val="21"/>
                      <w:szCs w:val="21"/>
                    </w:rPr>
                    <w:t>936.00</w:t>
                  </w:r>
                </w:p>
              </w:tc>
              <w:tc>
                <w:tcPr>
                  <w:tcW w:w="611" w:type="pct"/>
                  <w:shd w:val="clear" w:color="auto" w:fill="auto"/>
                  <w:vAlign w:val="center"/>
                </w:tcPr>
                <w:p w14:paraId="75AECBC4">
                  <w:pPr>
                    <w:widowControl/>
                    <w:jc w:val="center"/>
                    <w:rPr>
                      <w:kern w:val="0"/>
                      <w:sz w:val="21"/>
                      <w:szCs w:val="21"/>
                    </w:rPr>
                  </w:pPr>
                  <w:r>
                    <w:rPr>
                      <w:kern w:val="0"/>
                      <w:sz w:val="21"/>
                      <w:szCs w:val="21"/>
                    </w:rPr>
                    <w:t>18.72</w:t>
                  </w:r>
                </w:p>
              </w:tc>
              <w:tc>
                <w:tcPr>
                  <w:tcW w:w="649" w:type="pct"/>
                  <w:vMerge w:val="restart"/>
                  <w:shd w:val="clear" w:color="auto" w:fill="auto"/>
                  <w:vAlign w:val="center"/>
                </w:tcPr>
                <w:p w14:paraId="4DCC0694">
                  <w:pPr>
                    <w:widowControl/>
                    <w:jc w:val="center"/>
                    <w:rPr>
                      <w:rFonts w:ascii="宋体" w:hAnsi="宋体" w:cs="宋体"/>
                      <w:kern w:val="0"/>
                      <w:sz w:val="21"/>
                      <w:szCs w:val="21"/>
                    </w:rPr>
                  </w:pPr>
                  <w:r>
                    <w:rPr>
                      <w:rFonts w:hint="eastAsia" w:ascii="宋体" w:hAnsi="宋体" w:cs="宋体"/>
                      <w:kern w:val="0"/>
                      <w:sz w:val="21"/>
                      <w:szCs w:val="21"/>
                    </w:rPr>
                    <w:t>及时停止生产，对故障部位进行维修</w:t>
                  </w:r>
                </w:p>
              </w:tc>
              <w:tc>
                <w:tcPr>
                  <w:tcW w:w="336" w:type="pct"/>
                  <w:shd w:val="clear" w:color="auto" w:fill="auto"/>
                  <w:vAlign w:val="center"/>
                </w:tcPr>
                <w:p w14:paraId="272536A8">
                  <w:pPr>
                    <w:widowControl/>
                    <w:jc w:val="center"/>
                    <w:rPr>
                      <w:kern w:val="0"/>
                      <w:sz w:val="21"/>
                      <w:szCs w:val="21"/>
                    </w:rPr>
                  </w:pPr>
                  <w:r>
                    <w:rPr>
                      <w:kern w:val="0"/>
                      <w:sz w:val="21"/>
                      <w:szCs w:val="21"/>
                    </w:rPr>
                    <w:t>2</w:t>
                  </w:r>
                </w:p>
              </w:tc>
            </w:tr>
            <w:tr w14:paraId="336056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33" w:type="pct"/>
                  <w:vMerge w:val="restart"/>
                  <w:shd w:val="clear" w:color="auto" w:fill="auto"/>
                  <w:vAlign w:val="center"/>
                </w:tcPr>
                <w:p w14:paraId="181DDD0C">
                  <w:pPr>
                    <w:widowControl/>
                    <w:jc w:val="center"/>
                    <w:rPr>
                      <w:rFonts w:ascii="宋体" w:hAnsi="宋体" w:cs="宋体"/>
                      <w:kern w:val="0"/>
                      <w:sz w:val="21"/>
                      <w:szCs w:val="21"/>
                    </w:rPr>
                  </w:pPr>
                  <w:r>
                    <w:rPr>
                      <w:rFonts w:hint="eastAsia" w:ascii="宋体" w:hAnsi="宋体" w:cs="宋体"/>
                      <w:kern w:val="0"/>
                      <w:sz w:val="21"/>
                      <w:szCs w:val="21"/>
                    </w:rPr>
                    <w:t>沥青混凝土生产线</w:t>
                  </w:r>
                </w:p>
              </w:tc>
              <w:tc>
                <w:tcPr>
                  <w:tcW w:w="482" w:type="pct"/>
                  <w:vMerge w:val="restart"/>
                  <w:shd w:val="clear" w:color="auto" w:fill="auto"/>
                  <w:vAlign w:val="center"/>
                </w:tcPr>
                <w:p w14:paraId="4CB5C277">
                  <w:pPr>
                    <w:widowControl/>
                    <w:jc w:val="center"/>
                    <w:rPr>
                      <w:rFonts w:ascii="宋体" w:hAnsi="宋体" w:cs="宋体"/>
                      <w:kern w:val="0"/>
                      <w:sz w:val="21"/>
                      <w:szCs w:val="21"/>
                    </w:rPr>
                  </w:pPr>
                  <w:r>
                    <w:rPr>
                      <w:rFonts w:hint="eastAsia" w:ascii="宋体" w:hAnsi="宋体" w:cs="宋体"/>
                      <w:kern w:val="0"/>
                      <w:sz w:val="21"/>
                      <w:szCs w:val="21"/>
                    </w:rPr>
                    <w:t>骨料烘干废气</w:t>
                  </w:r>
                </w:p>
              </w:tc>
              <w:tc>
                <w:tcPr>
                  <w:tcW w:w="520" w:type="pct"/>
                  <w:vMerge w:val="restart"/>
                  <w:shd w:val="clear" w:color="auto" w:fill="auto"/>
                  <w:vAlign w:val="center"/>
                </w:tcPr>
                <w:p w14:paraId="73F23667">
                  <w:pPr>
                    <w:widowControl/>
                    <w:jc w:val="center"/>
                    <w:rPr>
                      <w:kern w:val="0"/>
                      <w:sz w:val="21"/>
                      <w:szCs w:val="21"/>
                    </w:rPr>
                  </w:pPr>
                  <w:r>
                    <w:rPr>
                      <w:kern w:val="0"/>
                      <w:sz w:val="21"/>
                      <w:szCs w:val="21"/>
                    </w:rPr>
                    <w:t>1</w:t>
                  </w:r>
                </w:p>
              </w:tc>
              <w:tc>
                <w:tcPr>
                  <w:tcW w:w="681" w:type="pct"/>
                  <w:shd w:val="clear" w:color="auto" w:fill="auto"/>
                  <w:vAlign w:val="center"/>
                </w:tcPr>
                <w:p w14:paraId="2E1E1231">
                  <w:pPr>
                    <w:widowControl/>
                    <w:jc w:val="center"/>
                    <w:rPr>
                      <w:rFonts w:ascii="宋体" w:hAnsi="宋体" w:cs="宋体"/>
                      <w:kern w:val="0"/>
                      <w:sz w:val="21"/>
                      <w:szCs w:val="21"/>
                    </w:rPr>
                  </w:pPr>
                  <w:r>
                    <w:rPr>
                      <w:rFonts w:hint="eastAsia" w:ascii="宋体" w:hAnsi="宋体" w:cs="宋体"/>
                      <w:kern w:val="0"/>
                      <w:sz w:val="21"/>
                      <w:szCs w:val="21"/>
                    </w:rPr>
                    <w:t>袋式除尘器破损</w:t>
                  </w:r>
                </w:p>
              </w:tc>
              <w:tc>
                <w:tcPr>
                  <w:tcW w:w="564" w:type="pct"/>
                  <w:shd w:val="clear" w:color="auto" w:fill="auto"/>
                  <w:vAlign w:val="center"/>
                </w:tcPr>
                <w:p w14:paraId="52ACB68B">
                  <w:pPr>
                    <w:widowControl/>
                    <w:jc w:val="center"/>
                    <w:rPr>
                      <w:rFonts w:ascii="宋体" w:hAnsi="宋体" w:cs="宋体"/>
                      <w:kern w:val="0"/>
                      <w:sz w:val="21"/>
                      <w:szCs w:val="21"/>
                    </w:rPr>
                  </w:pPr>
                  <w:r>
                    <w:rPr>
                      <w:rFonts w:hint="eastAsia" w:ascii="宋体" w:hAnsi="宋体" w:cs="宋体"/>
                      <w:kern w:val="0"/>
                      <w:sz w:val="21"/>
                      <w:szCs w:val="21"/>
                    </w:rPr>
                    <w:t>颗粒物</w:t>
                  </w:r>
                </w:p>
              </w:tc>
              <w:tc>
                <w:tcPr>
                  <w:tcW w:w="724" w:type="pct"/>
                  <w:shd w:val="clear" w:color="auto" w:fill="auto"/>
                  <w:vAlign w:val="center"/>
                </w:tcPr>
                <w:p w14:paraId="46E3DD0B">
                  <w:pPr>
                    <w:widowControl/>
                    <w:jc w:val="center"/>
                    <w:rPr>
                      <w:kern w:val="0"/>
                      <w:sz w:val="21"/>
                      <w:szCs w:val="21"/>
                    </w:rPr>
                  </w:pPr>
                  <w:r>
                    <w:rPr>
                      <w:kern w:val="0"/>
                      <w:sz w:val="21"/>
                      <w:szCs w:val="21"/>
                    </w:rPr>
                    <w:t>677.00</w:t>
                  </w:r>
                </w:p>
              </w:tc>
              <w:tc>
                <w:tcPr>
                  <w:tcW w:w="611" w:type="pct"/>
                  <w:shd w:val="clear" w:color="auto" w:fill="auto"/>
                  <w:vAlign w:val="center"/>
                </w:tcPr>
                <w:p w14:paraId="2EA3D413">
                  <w:pPr>
                    <w:widowControl/>
                    <w:jc w:val="center"/>
                    <w:rPr>
                      <w:kern w:val="0"/>
                      <w:sz w:val="21"/>
                      <w:szCs w:val="21"/>
                    </w:rPr>
                  </w:pPr>
                  <w:r>
                    <w:rPr>
                      <w:kern w:val="0"/>
                      <w:sz w:val="21"/>
                      <w:szCs w:val="21"/>
                    </w:rPr>
                    <w:t>13.54</w:t>
                  </w:r>
                </w:p>
              </w:tc>
              <w:tc>
                <w:tcPr>
                  <w:tcW w:w="649" w:type="pct"/>
                  <w:vMerge w:val="continue"/>
                  <w:vAlign w:val="center"/>
                </w:tcPr>
                <w:p w14:paraId="5E0BB803">
                  <w:pPr>
                    <w:widowControl/>
                    <w:jc w:val="left"/>
                    <w:rPr>
                      <w:rFonts w:ascii="宋体" w:hAnsi="宋体" w:cs="宋体"/>
                      <w:kern w:val="0"/>
                      <w:sz w:val="21"/>
                      <w:szCs w:val="21"/>
                    </w:rPr>
                  </w:pPr>
                </w:p>
              </w:tc>
              <w:tc>
                <w:tcPr>
                  <w:tcW w:w="336" w:type="pct"/>
                  <w:shd w:val="clear" w:color="auto" w:fill="auto"/>
                  <w:vAlign w:val="center"/>
                </w:tcPr>
                <w:p w14:paraId="029F4680">
                  <w:pPr>
                    <w:widowControl/>
                    <w:jc w:val="center"/>
                    <w:rPr>
                      <w:kern w:val="0"/>
                      <w:sz w:val="21"/>
                      <w:szCs w:val="21"/>
                    </w:rPr>
                  </w:pPr>
                  <w:r>
                    <w:rPr>
                      <w:kern w:val="0"/>
                      <w:sz w:val="21"/>
                      <w:szCs w:val="21"/>
                    </w:rPr>
                    <w:t>2</w:t>
                  </w:r>
                </w:p>
              </w:tc>
            </w:tr>
            <w:tr w14:paraId="7DDDE5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11D790C3">
                  <w:pPr>
                    <w:widowControl/>
                    <w:jc w:val="left"/>
                    <w:rPr>
                      <w:rFonts w:ascii="宋体" w:hAnsi="宋体" w:cs="宋体"/>
                      <w:kern w:val="0"/>
                      <w:sz w:val="21"/>
                      <w:szCs w:val="21"/>
                    </w:rPr>
                  </w:pPr>
                </w:p>
              </w:tc>
              <w:tc>
                <w:tcPr>
                  <w:tcW w:w="482" w:type="pct"/>
                  <w:vMerge w:val="continue"/>
                  <w:vAlign w:val="center"/>
                </w:tcPr>
                <w:p w14:paraId="15D95618">
                  <w:pPr>
                    <w:widowControl/>
                    <w:jc w:val="left"/>
                    <w:rPr>
                      <w:rFonts w:ascii="宋体" w:hAnsi="宋体" w:cs="宋体"/>
                      <w:kern w:val="0"/>
                      <w:sz w:val="21"/>
                      <w:szCs w:val="21"/>
                    </w:rPr>
                  </w:pPr>
                </w:p>
              </w:tc>
              <w:tc>
                <w:tcPr>
                  <w:tcW w:w="520" w:type="pct"/>
                  <w:vMerge w:val="continue"/>
                  <w:vAlign w:val="center"/>
                </w:tcPr>
                <w:p w14:paraId="4DC8949C">
                  <w:pPr>
                    <w:widowControl/>
                    <w:jc w:val="left"/>
                    <w:rPr>
                      <w:kern w:val="0"/>
                      <w:sz w:val="21"/>
                      <w:szCs w:val="21"/>
                    </w:rPr>
                  </w:pPr>
                </w:p>
              </w:tc>
              <w:tc>
                <w:tcPr>
                  <w:tcW w:w="681" w:type="pct"/>
                  <w:shd w:val="clear" w:color="auto" w:fill="auto"/>
                  <w:vAlign w:val="center"/>
                </w:tcPr>
                <w:p w14:paraId="22F9FFDD">
                  <w:pPr>
                    <w:widowControl/>
                    <w:jc w:val="center"/>
                    <w:rPr>
                      <w:rFonts w:ascii="宋体" w:hAnsi="宋体" w:cs="宋体"/>
                      <w:kern w:val="0"/>
                      <w:sz w:val="21"/>
                      <w:szCs w:val="21"/>
                    </w:rPr>
                  </w:pPr>
                  <w:r>
                    <w:rPr>
                      <w:rFonts w:hint="eastAsia" w:ascii="宋体" w:hAnsi="宋体" w:cs="宋体"/>
                      <w:kern w:val="0"/>
                      <w:sz w:val="21"/>
                      <w:szCs w:val="21"/>
                    </w:rPr>
                    <w:t>低氮燃烧故障</w:t>
                  </w:r>
                </w:p>
              </w:tc>
              <w:tc>
                <w:tcPr>
                  <w:tcW w:w="564" w:type="pct"/>
                  <w:shd w:val="clear" w:color="auto" w:fill="auto"/>
                  <w:vAlign w:val="center"/>
                </w:tcPr>
                <w:p w14:paraId="6BD976EE">
                  <w:pPr>
                    <w:widowControl/>
                    <w:jc w:val="center"/>
                    <w:rPr>
                      <w:rFonts w:ascii="宋体" w:hAnsi="宋体" w:cs="宋体"/>
                      <w:kern w:val="0"/>
                      <w:sz w:val="21"/>
                      <w:szCs w:val="21"/>
                    </w:rPr>
                  </w:pPr>
                  <w:r>
                    <w:rPr>
                      <w:rFonts w:hint="eastAsia" w:ascii="宋体" w:hAnsi="宋体" w:cs="宋体"/>
                      <w:kern w:val="0"/>
                      <w:sz w:val="21"/>
                      <w:szCs w:val="21"/>
                    </w:rPr>
                    <w:t>氮氧化物</w:t>
                  </w:r>
                </w:p>
              </w:tc>
              <w:tc>
                <w:tcPr>
                  <w:tcW w:w="724" w:type="pct"/>
                  <w:shd w:val="clear" w:color="auto" w:fill="auto"/>
                  <w:vAlign w:val="center"/>
                </w:tcPr>
                <w:p w14:paraId="10B48AC4">
                  <w:pPr>
                    <w:widowControl/>
                    <w:jc w:val="center"/>
                    <w:rPr>
                      <w:kern w:val="0"/>
                      <w:sz w:val="21"/>
                      <w:szCs w:val="21"/>
                    </w:rPr>
                  </w:pPr>
                  <w:r>
                    <w:rPr>
                      <w:kern w:val="0"/>
                      <w:sz w:val="21"/>
                      <w:szCs w:val="21"/>
                    </w:rPr>
                    <w:t>150.00</w:t>
                  </w:r>
                </w:p>
              </w:tc>
              <w:tc>
                <w:tcPr>
                  <w:tcW w:w="611" w:type="pct"/>
                  <w:shd w:val="clear" w:color="auto" w:fill="auto"/>
                  <w:vAlign w:val="center"/>
                </w:tcPr>
                <w:p w14:paraId="793C2FE1">
                  <w:pPr>
                    <w:widowControl/>
                    <w:jc w:val="center"/>
                    <w:rPr>
                      <w:kern w:val="0"/>
                      <w:sz w:val="21"/>
                      <w:szCs w:val="21"/>
                    </w:rPr>
                  </w:pPr>
                  <w:r>
                    <w:rPr>
                      <w:kern w:val="0"/>
                      <w:sz w:val="21"/>
                      <w:szCs w:val="21"/>
                    </w:rPr>
                    <w:t>1.50</w:t>
                  </w:r>
                </w:p>
              </w:tc>
              <w:tc>
                <w:tcPr>
                  <w:tcW w:w="649" w:type="pct"/>
                  <w:vMerge w:val="continue"/>
                  <w:vAlign w:val="center"/>
                </w:tcPr>
                <w:p w14:paraId="1505D12A">
                  <w:pPr>
                    <w:widowControl/>
                    <w:jc w:val="left"/>
                    <w:rPr>
                      <w:rFonts w:ascii="宋体" w:hAnsi="宋体" w:cs="宋体"/>
                      <w:kern w:val="0"/>
                      <w:sz w:val="21"/>
                      <w:szCs w:val="21"/>
                    </w:rPr>
                  </w:pPr>
                </w:p>
              </w:tc>
              <w:tc>
                <w:tcPr>
                  <w:tcW w:w="336" w:type="pct"/>
                  <w:shd w:val="clear" w:color="auto" w:fill="auto"/>
                  <w:vAlign w:val="center"/>
                </w:tcPr>
                <w:p w14:paraId="1B35E6A4">
                  <w:pPr>
                    <w:widowControl/>
                    <w:jc w:val="center"/>
                    <w:rPr>
                      <w:kern w:val="0"/>
                      <w:sz w:val="21"/>
                      <w:szCs w:val="21"/>
                    </w:rPr>
                  </w:pPr>
                  <w:r>
                    <w:rPr>
                      <w:kern w:val="0"/>
                      <w:sz w:val="21"/>
                      <w:szCs w:val="21"/>
                    </w:rPr>
                    <w:t>2</w:t>
                  </w:r>
                </w:p>
              </w:tc>
            </w:tr>
            <w:tr w14:paraId="4E4365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44C44EEB">
                  <w:pPr>
                    <w:widowControl/>
                    <w:jc w:val="left"/>
                    <w:rPr>
                      <w:rFonts w:ascii="宋体" w:hAnsi="宋体" w:cs="宋体"/>
                      <w:kern w:val="0"/>
                      <w:sz w:val="21"/>
                      <w:szCs w:val="21"/>
                    </w:rPr>
                  </w:pPr>
                </w:p>
              </w:tc>
              <w:tc>
                <w:tcPr>
                  <w:tcW w:w="482" w:type="pct"/>
                  <w:vMerge w:val="restart"/>
                  <w:shd w:val="clear" w:color="auto" w:fill="auto"/>
                  <w:vAlign w:val="center"/>
                </w:tcPr>
                <w:p w14:paraId="3A14688F">
                  <w:pPr>
                    <w:widowControl/>
                    <w:jc w:val="center"/>
                    <w:rPr>
                      <w:rFonts w:ascii="宋体" w:hAnsi="宋体" w:cs="宋体"/>
                      <w:kern w:val="0"/>
                      <w:sz w:val="21"/>
                      <w:szCs w:val="21"/>
                    </w:rPr>
                  </w:pPr>
                  <w:r>
                    <w:rPr>
                      <w:rFonts w:hint="eastAsia" w:ascii="宋体" w:hAnsi="宋体" w:cs="宋体"/>
                      <w:kern w:val="0"/>
                      <w:sz w:val="21"/>
                      <w:szCs w:val="21"/>
                    </w:rPr>
                    <w:t>沥青加热搅拌废气</w:t>
                  </w:r>
                </w:p>
              </w:tc>
              <w:tc>
                <w:tcPr>
                  <w:tcW w:w="520" w:type="pct"/>
                  <w:vMerge w:val="restart"/>
                  <w:shd w:val="clear" w:color="auto" w:fill="auto"/>
                  <w:vAlign w:val="center"/>
                </w:tcPr>
                <w:p w14:paraId="3BFC11F6">
                  <w:pPr>
                    <w:widowControl/>
                    <w:jc w:val="center"/>
                    <w:rPr>
                      <w:kern w:val="0"/>
                      <w:sz w:val="21"/>
                      <w:szCs w:val="21"/>
                    </w:rPr>
                  </w:pPr>
                  <w:r>
                    <w:rPr>
                      <w:kern w:val="0"/>
                      <w:sz w:val="21"/>
                      <w:szCs w:val="21"/>
                    </w:rPr>
                    <w:t>1</w:t>
                  </w:r>
                </w:p>
              </w:tc>
              <w:tc>
                <w:tcPr>
                  <w:tcW w:w="681" w:type="pct"/>
                  <w:vMerge w:val="restart"/>
                  <w:shd w:val="clear" w:color="auto" w:fill="auto"/>
                  <w:vAlign w:val="center"/>
                </w:tcPr>
                <w:p w14:paraId="5049E64E">
                  <w:pPr>
                    <w:widowControl/>
                    <w:jc w:val="center"/>
                    <w:rPr>
                      <w:rFonts w:ascii="宋体" w:hAnsi="宋体" w:cs="宋体"/>
                      <w:kern w:val="0"/>
                      <w:sz w:val="21"/>
                      <w:szCs w:val="21"/>
                    </w:rPr>
                  </w:pPr>
                  <w:r>
                    <w:rPr>
                      <w:rFonts w:hint="eastAsia" w:ascii="宋体" w:hAnsi="宋体" w:cs="宋体"/>
                      <w:kern w:val="0"/>
                      <w:sz w:val="21"/>
                      <w:szCs w:val="21"/>
                    </w:rPr>
                    <w:t>喷淋塔</w:t>
                  </w:r>
                  <w:r>
                    <w:rPr>
                      <w:kern w:val="0"/>
                      <w:sz w:val="21"/>
                      <w:szCs w:val="21"/>
                    </w:rPr>
                    <w:t>+</w:t>
                  </w:r>
                  <w:r>
                    <w:rPr>
                      <w:rFonts w:hint="eastAsia" w:ascii="宋体" w:hAnsi="宋体" w:cs="宋体"/>
                      <w:kern w:val="0"/>
                      <w:sz w:val="21"/>
                      <w:szCs w:val="21"/>
                    </w:rPr>
                    <w:t>电捕焦油器</w:t>
                  </w:r>
                  <w:r>
                    <w:rPr>
                      <w:kern w:val="0"/>
                      <w:sz w:val="21"/>
                      <w:szCs w:val="21"/>
                    </w:rPr>
                    <w:t>+</w:t>
                  </w:r>
                  <w:r>
                    <w:rPr>
                      <w:rFonts w:hint="eastAsia" w:ascii="宋体" w:hAnsi="宋体" w:cs="宋体"/>
                      <w:kern w:val="0"/>
                      <w:sz w:val="21"/>
                      <w:szCs w:val="21"/>
                    </w:rPr>
                    <w:t>活性炭吸附装置故障</w:t>
                  </w:r>
                </w:p>
              </w:tc>
              <w:tc>
                <w:tcPr>
                  <w:tcW w:w="564" w:type="pct"/>
                  <w:shd w:val="clear" w:color="auto" w:fill="auto"/>
                  <w:vAlign w:val="center"/>
                </w:tcPr>
                <w:p w14:paraId="3E15134E">
                  <w:pPr>
                    <w:widowControl/>
                    <w:jc w:val="center"/>
                    <w:rPr>
                      <w:rFonts w:ascii="宋体" w:hAnsi="宋体" w:cs="宋体"/>
                      <w:kern w:val="0"/>
                      <w:sz w:val="21"/>
                      <w:szCs w:val="21"/>
                    </w:rPr>
                  </w:pPr>
                  <w:r>
                    <w:rPr>
                      <w:rFonts w:hint="eastAsia" w:ascii="宋体" w:hAnsi="宋体" w:cs="宋体"/>
                      <w:kern w:val="0"/>
                      <w:sz w:val="21"/>
                      <w:szCs w:val="21"/>
                    </w:rPr>
                    <w:t>沥青烟</w:t>
                  </w:r>
                </w:p>
              </w:tc>
              <w:tc>
                <w:tcPr>
                  <w:tcW w:w="724" w:type="pct"/>
                  <w:shd w:val="clear" w:color="auto" w:fill="auto"/>
                  <w:vAlign w:val="center"/>
                </w:tcPr>
                <w:p w14:paraId="4992706D">
                  <w:pPr>
                    <w:widowControl/>
                    <w:jc w:val="center"/>
                    <w:rPr>
                      <w:kern w:val="0"/>
                      <w:sz w:val="21"/>
                      <w:szCs w:val="21"/>
                    </w:rPr>
                  </w:pPr>
                  <w:r>
                    <w:rPr>
                      <w:kern w:val="0"/>
                      <w:sz w:val="21"/>
                      <w:szCs w:val="21"/>
                    </w:rPr>
                    <w:t>0.25</w:t>
                  </w:r>
                </w:p>
              </w:tc>
              <w:tc>
                <w:tcPr>
                  <w:tcW w:w="611" w:type="pct"/>
                  <w:shd w:val="clear" w:color="auto" w:fill="auto"/>
                  <w:vAlign w:val="center"/>
                </w:tcPr>
                <w:p w14:paraId="11EFDE51">
                  <w:pPr>
                    <w:widowControl/>
                    <w:jc w:val="center"/>
                    <w:rPr>
                      <w:kern w:val="0"/>
                      <w:sz w:val="21"/>
                      <w:szCs w:val="21"/>
                    </w:rPr>
                  </w:pPr>
                  <w:r>
                    <w:rPr>
                      <w:kern w:val="0"/>
                      <w:sz w:val="21"/>
                      <w:szCs w:val="21"/>
                    </w:rPr>
                    <w:t>0.005</w:t>
                  </w:r>
                </w:p>
              </w:tc>
              <w:tc>
                <w:tcPr>
                  <w:tcW w:w="649" w:type="pct"/>
                  <w:vMerge w:val="continue"/>
                  <w:vAlign w:val="center"/>
                </w:tcPr>
                <w:p w14:paraId="3A307F4D">
                  <w:pPr>
                    <w:widowControl/>
                    <w:jc w:val="left"/>
                    <w:rPr>
                      <w:rFonts w:ascii="宋体" w:hAnsi="宋体" w:cs="宋体"/>
                      <w:kern w:val="0"/>
                      <w:sz w:val="21"/>
                      <w:szCs w:val="21"/>
                    </w:rPr>
                  </w:pPr>
                </w:p>
              </w:tc>
              <w:tc>
                <w:tcPr>
                  <w:tcW w:w="336" w:type="pct"/>
                  <w:shd w:val="clear" w:color="auto" w:fill="auto"/>
                  <w:vAlign w:val="center"/>
                </w:tcPr>
                <w:p w14:paraId="71907773">
                  <w:pPr>
                    <w:widowControl/>
                    <w:jc w:val="center"/>
                    <w:rPr>
                      <w:kern w:val="0"/>
                      <w:sz w:val="21"/>
                      <w:szCs w:val="21"/>
                    </w:rPr>
                  </w:pPr>
                  <w:r>
                    <w:rPr>
                      <w:kern w:val="0"/>
                      <w:sz w:val="21"/>
                      <w:szCs w:val="21"/>
                    </w:rPr>
                    <w:t>2</w:t>
                  </w:r>
                </w:p>
              </w:tc>
            </w:tr>
            <w:tr w14:paraId="7E012D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0AA32AAE">
                  <w:pPr>
                    <w:widowControl/>
                    <w:jc w:val="left"/>
                    <w:rPr>
                      <w:rFonts w:ascii="宋体" w:hAnsi="宋体" w:cs="宋体"/>
                      <w:kern w:val="0"/>
                      <w:sz w:val="21"/>
                      <w:szCs w:val="21"/>
                    </w:rPr>
                  </w:pPr>
                </w:p>
              </w:tc>
              <w:tc>
                <w:tcPr>
                  <w:tcW w:w="482" w:type="pct"/>
                  <w:vMerge w:val="continue"/>
                  <w:vAlign w:val="center"/>
                </w:tcPr>
                <w:p w14:paraId="30A903F8">
                  <w:pPr>
                    <w:widowControl/>
                    <w:jc w:val="left"/>
                    <w:rPr>
                      <w:rFonts w:ascii="宋体" w:hAnsi="宋体" w:cs="宋体"/>
                      <w:kern w:val="0"/>
                      <w:sz w:val="21"/>
                      <w:szCs w:val="21"/>
                    </w:rPr>
                  </w:pPr>
                </w:p>
              </w:tc>
              <w:tc>
                <w:tcPr>
                  <w:tcW w:w="520" w:type="pct"/>
                  <w:vMerge w:val="continue"/>
                  <w:vAlign w:val="center"/>
                </w:tcPr>
                <w:p w14:paraId="5F0A01C1">
                  <w:pPr>
                    <w:widowControl/>
                    <w:jc w:val="left"/>
                    <w:rPr>
                      <w:kern w:val="0"/>
                      <w:sz w:val="21"/>
                      <w:szCs w:val="21"/>
                    </w:rPr>
                  </w:pPr>
                </w:p>
              </w:tc>
              <w:tc>
                <w:tcPr>
                  <w:tcW w:w="681" w:type="pct"/>
                  <w:vMerge w:val="continue"/>
                  <w:vAlign w:val="center"/>
                </w:tcPr>
                <w:p w14:paraId="1DF23FF4">
                  <w:pPr>
                    <w:widowControl/>
                    <w:jc w:val="left"/>
                    <w:rPr>
                      <w:rFonts w:ascii="宋体" w:hAnsi="宋体" w:cs="宋体"/>
                      <w:kern w:val="0"/>
                      <w:sz w:val="21"/>
                      <w:szCs w:val="21"/>
                    </w:rPr>
                  </w:pPr>
                </w:p>
              </w:tc>
              <w:tc>
                <w:tcPr>
                  <w:tcW w:w="564" w:type="pct"/>
                  <w:shd w:val="clear" w:color="auto" w:fill="auto"/>
                  <w:vAlign w:val="center"/>
                </w:tcPr>
                <w:p w14:paraId="718C2A43">
                  <w:pPr>
                    <w:widowControl/>
                    <w:jc w:val="center"/>
                    <w:rPr>
                      <w:rFonts w:ascii="宋体" w:hAnsi="宋体" w:cs="宋体"/>
                      <w:kern w:val="0"/>
                      <w:sz w:val="21"/>
                      <w:szCs w:val="21"/>
                    </w:rPr>
                  </w:pPr>
                  <w:r>
                    <w:rPr>
                      <w:rFonts w:hint="eastAsia" w:ascii="宋体" w:hAnsi="宋体" w:cs="宋体"/>
                      <w:kern w:val="0"/>
                      <w:sz w:val="21"/>
                      <w:szCs w:val="21"/>
                    </w:rPr>
                    <w:t>苯并</w:t>
                  </w:r>
                  <w:r>
                    <w:rPr>
                      <w:kern w:val="0"/>
                      <w:sz w:val="21"/>
                      <w:szCs w:val="21"/>
                    </w:rPr>
                    <w:t>[a]</w:t>
                  </w:r>
                  <w:r>
                    <w:rPr>
                      <w:rFonts w:hint="eastAsia" w:ascii="宋体" w:hAnsi="宋体" w:cs="宋体"/>
                      <w:kern w:val="0"/>
                      <w:sz w:val="21"/>
                      <w:szCs w:val="21"/>
                    </w:rPr>
                    <w:t>芘</w:t>
                  </w:r>
                </w:p>
              </w:tc>
              <w:tc>
                <w:tcPr>
                  <w:tcW w:w="724" w:type="pct"/>
                  <w:shd w:val="clear" w:color="auto" w:fill="auto"/>
                  <w:vAlign w:val="center"/>
                </w:tcPr>
                <w:p w14:paraId="293E3624">
                  <w:pPr>
                    <w:widowControl/>
                    <w:jc w:val="center"/>
                    <w:rPr>
                      <w:kern w:val="0"/>
                      <w:sz w:val="21"/>
                      <w:szCs w:val="21"/>
                    </w:rPr>
                  </w:pPr>
                  <w:r>
                    <w:rPr>
                      <w:kern w:val="0"/>
                      <w:sz w:val="21"/>
                      <w:szCs w:val="21"/>
                    </w:rPr>
                    <w:t>4.93E-06</w:t>
                  </w:r>
                </w:p>
              </w:tc>
              <w:tc>
                <w:tcPr>
                  <w:tcW w:w="611" w:type="pct"/>
                  <w:shd w:val="clear" w:color="auto" w:fill="auto"/>
                  <w:vAlign w:val="center"/>
                </w:tcPr>
                <w:p w14:paraId="52AFC8D6">
                  <w:pPr>
                    <w:widowControl/>
                    <w:jc w:val="center"/>
                    <w:rPr>
                      <w:kern w:val="0"/>
                      <w:sz w:val="21"/>
                      <w:szCs w:val="21"/>
                    </w:rPr>
                  </w:pPr>
                  <w:r>
                    <w:rPr>
                      <w:kern w:val="0"/>
                      <w:sz w:val="21"/>
                      <w:szCs w:val="21"/>
                    </w:rPr>
                    <w:t>9.87E-08</w:t>
                  </w:r>
                </w:p>
              </w:tc>
              <w:tc>
                <w:tcPr>
                  <w:tcW w:w="649" w:type="pct"/>
                  <w:vMerge w:val="continue"/>
                  <w:vAlign w:val="center"/>
                </w:tcPr>
                <w:p w14:paraId="3CB897B4">
                  <w:pPr>
                    <w:widowControl/>
                    <w:jc w:val="left"/>
                    <w:rPr>
                      <w:rFonts w:ascii="宋体" w:hAnsi="宋体" w:cs="宋体"/>
                      <w:kern w:val="0"/>
                      <w:sz w:val="21"/>
                      <w:szCs w:val="21"/>
                    </w:rPr>
                  </w:pPr>
                </w:p>
              </w:tc>
              <w:tc>
                <w:tcPr>
                  <w:tcW w:w="336" w:type="pct"/>
                  <w:shd w:val="clear" w:color="auto" w:fill="auto"/>
                  <w:vAlign w:val="center"/>
                </w:tcPr>
                <w:p w14:paraId="10A0A5B1">
                  <w:pPr>
                    <w:widowControl/>
                    <w:jc w:val="center"/>
                    <w:rPr>
                      <w:kern w:val="0"/>
                      <w:sz w:val="21"/>
                      <w:szCs w:val="21"/>
                    </w:rPr>
                  </w:pPr>
                  <w:r>
                    <w:rPr>
                      <w:kern w:val="0"/>
                      <w:sz w:val="21"/>
                      <w:szCs w:val="21"/>
                    </w:rPr>
                    <w:t>2</w:t>
                  </w:r>
                </w:p>
              </w:tc>
            </w:tr>
            <w:tr w14:paraId="0A03B6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0E48C0AA">
                  <w:pPr>
                    <w:widowControl/>
                    <w:jc w:val="left"/>
                    <w:rPr>
                      <w:rFonts w:ascii="宋体" w:hAnsi="宋体" w:cs="宋体"/>
                      <w:kern w:val="0"/>
                      <w:sz w:val="21"/>
                      <w:szCs w:val="21"/>
                    </w:rPr>
                  </w:pPr>
                </w:p>
              </w:tc>
              <w:tc>
                <w:tcPr>
                  <w:tcW w:w="482" w:type="pct"/>
                  <w:vMerge w:val="continue"/>
                  <w:vAlign w:val="center"/>
                </w:tcPr>
                <w:p w14:paraId="181403B7">
                  <w:pPr>
                    <w:widowControl/>
                    <w:jc w:val="left"/>
                    <w:rPr>
                      <w:rFonts w:ascii="宋体" w:hAnsi="宋体" w:cs="宋体"/>
                      <w:kern w:val="0"/>
                      <w:sz w:val="21"/>
                      <w:szCs w:val="21"/>
                    </w:rPr>
                  </w:pPr>
                </w:p>
              </w:tc>
              <w:tc>
                <w:tcPr>
                  <w:tcW w:w="520" w:type="pct"/>
                  <w:vMerge w:val="continue"/>
                  <w:vAlign w:val="center"/>
                </w:tcPr>
                <w:p w14:paraId="52DF41AC">
                  <w:pPr>
                    <w:widowControl/>
                    <w:jc w:val="left"/>
                    <w:rPr>
                      <w:kern w:val="0"/>
                      <w:sz w:val="21"/>
                      <w:szCs w:val="21"/>
                    </w:rPr>
                  </w:pPr>
                </w:p>
              </w:tc>
              <w:tc>
                <w:tcPr>
                  <w:tcW w:w="681" w:type="pct"/>
                  <w:vMerge w:val="continue"/>
                  <w:vAlign w:val="center"/>
                </w:tcPr>
                <w:p w14:paraId="59E7342E">
                  <w:pPr>
                    <w:widowControl/>
                    <w:jc w:val="left"/>
                    <w:rPr>
                      <w:rFonts w:ascii="宋体" w:hAnsi="宋体" w:cs="宋体"/>
                      <w:kern w:val="0"/>
                      <w:sz w:val="21"/>
                      <w:szCs w:val="21"/>
                    </w:rPr>
                  </w:pPr>
                </w:p>
              </w:tc>
              <w:tc>
                <w:tcPr>
                  <w:tcW w:w="564" w:type="pct"/>
                  <w:shd w:val="clear" w:color="auto" w:fill="auto"/>
                  <w:vAlign w:val="center"/>
                </w:tcPr>
                <w:p w14:paraId="15C9BA9B">
                  <w:pPr>
                    <w:widowControl/>
                    <w:jc w:val="center"/>
                    <w:rPr>
                      <w:rFonts w:ascii="宋体" w:hAnsi="宋体" w:cs="宋体"/>
                      <w:kern w:val="0"/>
                      <w:sz w:val="21"/>
                      <w:szCs w:val="21"/>
                    </w:rPr>
                  </w:pPr>
                  <w:r>
                    <w:rPr>
                      <w:rFonts w:hint="eastAsia" w:ascii="宋体" w:hAnsi="宋体" w:cs="宋体"/>
                      <w:kern w:val="0"/>
                      <w:sz w:val="21"/>
                      <w:szCs w:val="21"/>
                    </w:rPr>
                    <w:t>非甲烷总烃</w:t>
                  </w:r>
                </w:p>
              </w:tc>
              <w:tc>
                <w:tcPr>
                  <w:tcW w:w="724" w:type="pct"/>
                  <w:shd w:val="clear" w:color="auto" w:fill="auto"/>
                  <w:vAlign w:val="center"/>
                </w:tcPr>
                <w:p w14:paraId="77088361">
                  <w:pPr>
                    <w:widowControl/>
                    <w:jc w:val="center"/>
                    <w:rPr>
                      <w:kern w:val="0"/>
                      <w:sz w:val="21"/>
                      <w:szCs w:val="21"/>
                    </w:rPr>
                  </w:pPr>
                  <w:r>
                    <w:rPr>
                      <w:kern w:val="0"/>
                      <w:sz w:val="21"/>
                      <w:szCs w:val="21"/>
                    </w:rPr>
                    <w:t>0.96</w:t>
                  </w:r>
                </w:p>
              </w:tc>
              <w:tc>
                <w:tcPr>
                  <w:tcW w:w="611" w:type="pct"/>
                  <w:shd w:val="clear" w:color="auto" w:fill="auto"/>
                  <w:vAlign w:val="center"/>
                </w:tcPr>
                <w:p w14:paraId="1CA50D7C">
                  <w:pPr>
                    <w:widowControl/>
                    <w:jc w:val="center"/>
                    <w:rPr>
                      <w:kern w:val="0"/>
                      <w:sz w:val="21"/>
                      <w:szCs w:val="21"/>
                    </w:rPr>
                  </w:pPr>
                  <w:r>
                    <w:rPr>
                      <w:kern w:val="0"/>
                      <w:sz w:val="21"/>
                      <w:szCs w:val="21"/>
                    </w:rPr>
                    <w:t>0.021</w:t>
                  </w:r>
                </w:p>
              </w:tc>
              <w:tc>
                <w:tcPr>
                  <w:tcW w:w="649" w:type="pct"/>
                  <w:vMerge w:val="continue"/>
                  <w:vAlign w:val="center"/>
                </w:tcPr>
                <w:p w14:paraId="03032199">
                  <w:pPr>
                    <w:widowControl/>
                    <w:jc w:val="left"/>
                    <w:rPr>
                      <w:rFonts w:ascii="宋体" w:hAnsi="宋体" w:cs="宋体"/>
                      <w:kern w:val="0"/>
                      <w:sz w:val="21"/>
                      <w:szCs w:val="21"/>
                    </w:rPr>
                  </w:pPr>
                </w:p>
              </w:tc>
              <w:tc>
                <w:tcPr>
                  <w:tcW w:w="336" w:type="pct"/>
                  <w:shd w:val="clear" w:color="auto" w:fill="auto"/>
                  <w:vAlign w:val="center"/>
                </w:tcPr>
                <w:p w14:paraId="2A2C8C00">
                  <w:pPr>
                    <w:widowControl/>
                    <w:jc w:val="center"/>
                    <w:rPr>
                      <w:kern w:val="0"/>
                      <w:sz w:val="21"/>
                      <w:szCs w:val="21"/>
                    </w:rPr>
                  </w:pPr>
                  <w:r>
                    <w:rPr>
                      <w:kern w:val="0"/>
                      <w:sz w:val="21"/>
                      <w:szCs w:val="21"/>
                    </w:rPr>
                    <w:t>2</w:t>
                  </w:r>
                </w:p>
              </w:tc>
            </w:tr>
            <w:tr w14:paraId="1236410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4B752101">
                  <w:pPr>
                    <w:widowControl/>
                    <w:jc w:val="left"/>
                    <w:rPr>
                      <w:rFonts w:ascii="宋体" w:hAnsi="宋体" w:cs="宋体"/>
                      <w:kern w:val="0"/>
                      <w:sz w:val="21"/>
                      <w:szCs w:val="21"/>
                    </w:rPr>
                  </w:pPr>
                </w:p>
              </w:tc>
              <w:tc>
                <w:tcPr>
                  <w:tcW w:w="482" w:type="pct"/>
                  <w:vMerge w:val="restart"/>
                  <w:shd w:val="clear" w:color="auto" w:fill="auto"/>
                  <w:vAlign w:val="center"/>
                </w:tcPr>
                <w:p w14:paraId="67800152">
                  <w:pPr>
                    <w:widowControl/>
                    <w:jc w:val="center"/>
                    <w:rPr>
                      <w:rFonts w:ascii="宋体" w:hAnsi="宋体" w:cs="宋体"/>
                      <w:kern w:val="0"/>
                      <w:sz w:val="21"/>
                      <w:szCs w:val="21"/>
                    </w:rPr>
                  </w:pPr>
                  <w:r>
                    <w:rPr>
                      <w:rFonts w:hint="eastAsia" w:ascii="宋体" w:hAnsi="宋体" w:cs="宋体"/>
                      <w:kern w:val="0"/>
                      <w:sz w:val="21"/>
                      <w:szCs w:val="21"/>
                    </w:rPr>
                    <w:t>导热油加热醇醚燃烧废气</w:t>
                  </w:r>
                </w:p>
              </w:tc>
              <w:tc>
                <w:tcPr>
                  <w:tcW w:w="520" w:type="pct"/>
                  <w:vMerge w:val="restart"/>
                  <w:shd w:val="clear" w:color="auto" w:fill="auto"/>
                  <w:vAlign w:val="center"/>
                </w:tcPr>
                <w:p w14:paraId="34BF9E73">
                  <w:pPr>
                    <w:widowControl/>
                    <w:jc w:val="center"/>
                    <w:rPr>
                      <w:kern w:val="0"/>
                      <w:sz w:val="21"/>
                      <w:szCs w:val="21"/>
                    </w:rPr>
                  </w:pPr>
                  <w:r>
                    <w:rPr>
                      <w:kern w:val="0"/>
                      <w:sz w:val="21"/>
                      <w:szCs w:val="21"/>
                    </w:rPr>
                    <w:t>1</w:t>
                  </w:r>
                </w:p>
              </w:tc>
              <w:tc>
                <w:tcPr>
                  <w:tcW w:w="681" w:type="pct"/>
                  <w:vMerge w:val="restart"/>
                  <w:shd w:val="clear" w:color="auto" w:fill="auto"/>
                  <w:vAlign w:val="center"/>
                </w:tcPr>
                <w:p w14:paraId="362E7EB0">
                  <w:pPr>
                    <w:widowControl/>
                    <w:jc w:val="center"/>
                    <w:rPr>
                      <w:rFonts w:ascii="宋体" w:hAnsi="宋体" w:cs="宋体"/>
                      <w:kern w:val="0"/>
                      <w:sz w:val="21"/>
                      <w:szCs w:val="21"/>
                    </w:rPr>
                  </w:pPr>
                  <w:r>
                    <w:rPr>
                      <w:rFonts w:hint="eastAsia" w:ascii="宋体" w:hAnsi="宋体" w:cs="宋体"/>
                      <w:kern w:val="0"/>
                      <w:sz w:val="21"/>
                      <w:szCs w:val="21"/>
                    </w:rPr>
                    <w:t>低氮燃烧故障</w:t>
                  </w:r>
                </w:p>
              </w:tc>
              <w:tc>
                <w:tcPr>
                  <w:tcW w:w="564" w:type="pct"/>
                  <w:shd w:val="clear" w:color="auto" w:fill="auto"/>
                  <w:vAlign w:val="center"/>
                </w:tcPr>
                <w:p w14:paraId="30BF08C5">
                  <w:pPr>
                    <w:widowControl/>
                    <w:jc w:val="center"/>
                    <w:rPr>
                      <w:rFonts w:ascii="宋体" w:hAnsi="宋体" w:cs="宋体"/>
                      <w:kern w:val="0"/>
                      <w:sz w:val="21"/>
                      <w:szCs w:val="21"/>
                    </w:rPr>
                  </w:pPr>
                  <w:r>
                    <w:rPr>
                      <w:rFonts w:hint="eastAsia" w:ascii="宋体" w:hAnsi="宋体" w:cs="宋体"/>
                      <w:kern w:val="0"/>
                      <w:sz w:val="21"/>
                      <w:szCs w:val="21"/>
                    </w:rPr>
                    <w:t>氮氧化物</w:t>
                  </w:r>
                </w:p>
              </w:tc>
              <w:tc>
                <w:tcPr>
                  <w:tcW w:w="724" w:type="pct"/>
                  <w:shd w:val="clear" w:color="auto" w:fill="auto"/>
                  <w:vAlign w:val="center"/>
                </w:tcPr>
                <w:p w14:paraId="2BC03772">
                  <w:pPr>
                    <w:widowControl/>
                    <w:jc w:val="center"/>
                    <w:rPr>
                      <w:kern w:val="0"/>
                      <w:sz w:val="21"/>
                      <w:szCs w:val="21"/>
                    </w:rPr>
                  </w:pPr>
                  <w:r>
                    <w:rPr>
                      <w:kern w:val="0"/>
                      <w:sz w:val="21"/>
                      <w:szCs w:val="21"/>
                    </w:rPr>
                    <w:t xml:space="preserve">31.85 </w:t>
                  </w:r>
                </w:p>
              </w:tc>
              <w:tc>
                <w:tcPr>
                  <w:tcW w:w="611" w:type="pct"/>
                  <w:shd w:val="clear" w:color="auto" w:fill="auto"/>
                  <w:vAlign w:val="center"/>
                </w:tcPr>
                <w:p w14:paraId="081BEE01">
                  <w:pPr>
                    <w:widowControl/>
                    <w:jc w:val="center"/>
                    <w:rPr>
                      <w:kern w:val="0"/>
                      <w:sz w:val="21"/>
                      <w:szCs w:val="21"/>
                    </w:rPr>
                  </w:pPr>
                  <w:r>
                    <w:rPr>
                      <w:kern w:val="0"/>
                      <w:sz w:val="21"/>
                      <w:szCs w:val="21"/>
                    </w:rPr>
                    <w:t xml:space="preserve">0.32 </w:t>
                  </w:r>
                </w:p>
              </w:tc>
              <w:tc>
                <w:tcPr>
                  <w:tcW w:w="649" w:type="pct"/>
                  <w:vMerge w:val="continue"/>
                  <w:vAlign w:val="center"/>
                </w:tcPr>
                <w:p w14:paraId="32864AD2">
                  <w:pPr>
                    <w:widowControl/>
                    <w:jc w:val="left"/>
                    <w:rPr>
                      <w:rFonts w:ascii="宋体" w:hAnsi="宋体" w:cs="宋体"/>
                      <w:kern w:val="0"/>
                      <w:sz w:val="21"/>
                      <w:szCs w:val="21"/>
                    </w:rPr>
                  </w:pPr>
                </w:p>
              </w:tc>
              <w:tc>
                <w:tcPr>
                  <w:tcW w:w="336" w:type="pct"/>
                  <w:shd w:val="clear" w:color="auto" w:fill="auto"/>
                  <w:vAlign w:val="center"/>
                </w:tcPr>
                <w:p w14:paraId="64F12571">
                  <w:pPr>
                    <w:widowControl/>
                    <w:jc w:val="center"/>
                    <w:rPr>
                      <w:kern w:val="0"/>
                      <w:sz w:val="21"/>
                      <w:szCs w:val="21"/>
                    </w:rPr>
                  </w:pPr>
                  <w:r>
                    <w:rPr>
                      <w:kern w:val="0"/>
                      <w:sz w:val="21"/>
                      <w:szCs w:val="21"/>
                    </w:rPr>
                    <w:t>2</w:t>
                  </w:r>
                </w:p>
              </w:tc>
            </w:tr>
            <w:tr w14:paraId="2388E6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33" w:type="pct"/>
                  <w:vMerge w:val="continue"/>
                  <w:vAlign w:val="center"/>
                </w:tcPr>
                <w:p w14:paraId="4668C537">
                  <w:pPr>
                    <w:widowControl/>
                    <w:jc w:val="left"/>
                    <w:rPr>
                      <w:rFonts w:ascii="宋体" w:hAnsi="宋体" w:cs="宋体"/>
                      <w:kern w:val="0"/>
                      <w:sz w:val="21"/>
                      <w:szCs w:val="21"/>
                    </w:rPr>
                  </w:pPr>
                </w:p>
              </w:tc>
              <w:tc>
                <w:tcPr>
                  <w:tcW w:w="482" w:type="pct"/>
                  <w:vMerge w:val="continue"/>
                  <w:vAlign w:val="center"/>
                </w:tcPr>
                <w:p w14:paraId="3C62A081">
                  <w:pPr>
                    <w:widowControl/>
                    <w:jc w:val="left"/>
                    <w:rPr>
                      <w:rFonts w:ascii="宋体" w:hAnsi="宋体" w:cs="宋体"/>
                      <w:kern w:val="0"/>
                      <w:sz w:val="21"/>
                      <w:szCs w:val="21"/>
                    </w:rPr>
                  </w:pPr>
                </w:p>
              </w:tc>
              <w:tc>
                <w:tcPr>
                  <w:tcW w:w="520" w:type="pct"/>
                  <w:vMerge w:val="continue"/>
                  <w:vAlign w:val="center"/>
                </w:tcPr>
                <w:p w14:paraId="2EB44051">
                  <w:pPr>
                    <w:widowControl/>
                    <w:jc w:val="left"/>
                    <w:rPr>
                      <w:kern w:val="0"/>
                      <w:sz w:val="21"/>
                      <w:szCs w:val="21"/>
                    </w:rPr>
                  </w:pPr>
                </w:p>
              </w:tc>
              <w:tc>
                <w:tcPr>
                  <w:tcW w:w="681" w:type="pct"/>
                  <w:vMerge w:val="continue"/>
                  <w:vAlign w:val="center"/>
                </w:tcPr>
                <w:p w14:paraId="541439E4">
                  <w:pPr>
                    <w:widowControl/>
                    <w:jc w:val="left"/>
                    <w:rPr>
                      <w:rFonts w:ascii="宋体" w:hAnsi="宋体" w:cs="宋体"/>
                      <w:kern w:val="0"/>
                      <w:sz w:val="21"/>
                      <w:szCs w:val="21"/>
                    </w:rPr>
                  </w:pPr>
                </w:p>
              </w:tc>
              <w:tc>
                <w:tcPr>
                  <w:tcW w:w="564" w:type="pct"/>
                  <w:shd w:val="clear" w:color="auto" w:fill="auto"/>
                  <w:vAlign w:val="center"/>
                </w:tcPr>
                <w:p w14:paraId="26FDD132">
                  <w:pPr>
                    <w:widowControl/>
                    <w:jc w:val="center"/>
                    <w:rPr>
                      <w:rFonts w:ascii="宋体" w:hAnsi="宋体" w:cs="宋体"/>
                      <w:kern w:val="0"/>
                      <w:sz w:val="21"/>
                      <w:szCs w:val="21"/>
                    </w:rPr>
                  </w:pPr>
                  <w:r>
                    <w:rPr>
                      <w:rFonts w:hint="eastAsia" w:ascii="宋体" w:hAnsi="宋体" w:cs="宋体"/>
                      <w:kern w:val="0"/>
                      <w:sz w:val="21"/>
                      <w:szCs w:val="21"/>
                    </w:rPr>
                    <w:t>颗粒物</w:t>
                  </w:r>
                </w:p>
              </w:tc>
              <w:tc>
                <w:tcPr>
                  <w:tcW w:w="724" w:type="pct"/>
                  <w:shd w:val="clear" w:color="auto" w:fill="auto"/>
                  <w:vAlign w:val="center"/>
                </w:tcPr>
                <w:p w14:paraId="724F3E2F">
                  <w:pPr>
                    <w:widowControl/>
                    <w:jc w:val="center"/>
                    <w:rPr>
                      <w:kern w:val="0"/>
                      <w:sz w:val="21"/>
                      <w:szCs w:val="21"/>
                    </w:rPr>
                  </w:pPr>
                  <w:r>
                    <w:rPr>
                      <w:kern w:val="0"/>
                      <w:sz w:val="21"/>
                      <w:szCs w:val="21"/>
                    </w:rPr>
                    <w:t xml:space="preserve">14.07 </w:t>
                  </w:r>
                </w:p>
              </w:tc>
              <w:tc>
                <w:tcPr>
                  <w:tcW w:w="611" w:type="pct"/>
                  <w:shd w:val="clear" w:color="auto" w:fill="auto"/>
                  <w:vAlign w:val="center"/>
                </w:tcPr>
                <w:p w14:paraId="651174CD">
                  <w:pPr>
                    <w:widowControl/>
                    <w:jc w:val="center"/>
                    <w:rPr>
                      <w:kern w:val="0"/>
                      <w:sz w:val="21"/>
                      <w:szCs w:val="21"/>
                    </w:rPr>
                  </w:pPr>
                  <w:r>
                    <w:rPr>
                      <w:kern w:val="0"/>
                      <w:sz w:val="21"/>
                      <w:szCs w:val="21"/>
                    </w:rPr>
                    <w:t xml:space="preserve">0.14 </w:t>
                  </w:r>
                </w:p>
              </w:tc>
              <w:tc>
                <w:tcPr>
                  <w:tcW w:w="649" w:type="pct"/>
                  <w:vMerge w:val="continue"/>
                  <w:vAlign w:val="center"/>
                </w:tcPr>
                <w:p w14:paraId="69BAD3AE">
                  <w:pPr>
                    <w:widowControl/>
                    <w:jc w:val="left"/>
                    <w:rPr>
                      <w:rFonts w:ascii="宋体" w:hAnsi="宋体" w:cs="宋体"/>
                      <w:kern w:val="0"/>
                      <w:sz w:val="21"/>
                      <w:szCs w:val="21"/>
                    </w:rPr>
                  </w:pPr>
                </w:p>
              </w:tc>
              <w:tc>
                <w:tcPr>
                  <w:tcW w:w="336" w:type="pct"/>
                  <w:shd w:val="clear" w:color="auto" w:fill="auto"/>
                  <w:vAlign w:val="center"/>
                </w:tcPr>
                <w:p w14:paraId="3F57BA0A">
                  <w:pPr>
                    <w:widowControl/>
                    <w:jc w:val="center"/>
                    <w:rPr>
                      <w:kern w:val="0"/>
                      <w:sz w:val="21"/>
                      <w:szCs w:val="21"/>
                    </w:rPr>
                  </w:pPr>
                  <w:r>
                    <w:rPr>
                      <w:kern w:val="0"/>
                      <w:sz w:val="21"/>
                      <w:szCs w:val="21"/>
                    </w:rPr>
                    <w:t>2</w:t>
                  </w:r>
                </w:p>
              </w:tc>
            </w:tr>
            <w:tr w14:paraId="001E6F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33" w:type="pct"/>
                  <w:shd w:val="clear" w:color="auto" w:fill="auto"/>
                  <w:vAlign w:val="center"/>
                </w:tcPr>
                <w:p w14:paraId="560C1AA5">
                  <w:pPr>
                    <w:widowControl/>
                    <w:jc w:val="center"/>
                    <w:rPr>
                      <w:rFonts w:ascii="宋体" w:hAnsi="宋体" w:cs="宋体"/>
                      <w:kern w:val="0"/>
                      <w:sz w:val="21"/>
                      <w:szCs w:val="21"/>
                    </w:rPr>
                  </w:pPr>
                  <w:r>
                    <w:rPr>
                      <w:rFonts w:hint="eastAsia" w:ascii="宋体" w:hAnsi="宋体" w:cs="宋体"/>
                      <w:kern w:val="0"/>
                      <w:sz w:val="21"/>
                      <w:szCs w:val="21"/>
                    </w:rPr>
                    <w:t>水泥混凝土生产线</w:t>
                  </w:r>
                </w:p>
              </w:tc>
              <w:tc>
                <w:tcPr>
                  <w:tcW w:w="482" w:type="pct"/>
                  <w:shd w:val="clear" w:color="auto" w:fill="auto"/>
                  <w:vAlign w:val="center"/>
                </w:tcPr>
                <w:p w14:paraId="29671EA9">
                  <w:pPr>
                    <w:widowControl/>
                    <w:jc w:val="center"/>
                    <w:rPr>
                      <w:rFonts w:ascii="宋体" w:hAnsi="宋体" w:cs="宋体"/>
                      <w:kern w:val="0"/>
                      <w:sz w:val="21"/>
                      <w:szCs w:val="21"/>
                    </w:rPr>
                  </w:pPr>
                  <w:r>
                    <w:rPr>
                      <w:rFonts w:hint="eastAsia" w:ascii="宋体" w:hAnsi="宋体" w:cs="宋体"/>
                      <w:kern w:val="0"/>
                      <w:sz w:val="21"/>
                      <w:szCs w:val="21"/>
                    </w:rPr>
                    <w:t>搅拌粉尘</w:t>
                  </w:r>
                </w:p>
              </w:tc>
              <w:tc>
                <w:tcPr>
                  <w:tcW w:w="520" w:type="pct"/>
                  <w:shd w:val="clear" w:color="auto" w:fill="auto"/>
                  <w:vAlign w:val="center"/>
                </w:tcPr>
                <w:p w14:paraId="740FF064">
                  <w:pPr>
                    <w:widowControl/>
                    <w:jc w:val="center"/>
                    <w:rPr>
                      <w:kern w:val="0"/>
                      <w:sz w:val="21"/>
                      <w:szCs w:val="21"/>
                    </w:rPr>
                  </w:pPr>
                  <w:r>
                    <w:rPr>
                      <w:kern w:val="0"/>
                      <w:sz w:val="21"/>
                      <w:szCs w:val="21"/>
                    </w:rPr>
                    <w:t>1</w:t>
                  </w:r>
                </w:p>
              </w:tc>
              <w:tc>
                <w:tcPr>
                  <w:tcW w:w="681" w:type="pct"/>
                  <w:shd w:val="clear" w:color="auto" w:fill="auto"/>
                  <w:vAlign w:val="center"/>
                </w:tcPr>
                <w:p w14:paraId="2286129B">
                  <w:pPr>
                    <w:widowControl/>
                    <w:jc w:val="center"/>
                    <w:rPr>
                      <w:rFonts w:ascii="宋体" w:hAnsi="宋体" w:cs="宋体"/>
                      <w:kern w:val="0"/>
                      <w:sz w:val="21"/>
                      <w:szCs w:val="21"/>
                    </w:rPr>
                  </w:pPr>
                  <w:r>
                    <w:rPr>
                      <w:rFonts w:hint="eastAsia" w:ascii="宋体" w:hAnsi="宋体" w:cs="宋体"/>
                      <w:kern w:val="0"/>
                      <w:sz w:val="21"/>
                      <w:szCs w:val="21"/>
                    </w:rPr>
                    <w:t>袋式除尘器破损</w:t>
                  </w:r>
                </w:p>
              </w:tc>
              <w:tc>
                <w:tcPr>
                  <w:tcW w:w="564" w:type="pct"/>
                  <w:shd w:val="clear" w:color="auto" w:fill="auto"/>
                  <w:vAlign w:val="center"/>
                </w:tcPr>
                <w:p w14:paraId="0C849BE7">
                  <w:pPr>
                    <w:widowControl/>
                    <w:jc w:val="center"/>
                    <w:rPr>
                      <w:rFonts w:ascii="宋体" w:hAnsi="宋体" w:cs="宋体"/>
                      <w:kern w:val="0"/>
                      <w:sz w:val="21"/>
                      <w:szCs w:val="21"/>
                    </w:rPr>
                  </w:pPr>
                  <w:r>
                    <w:rPr>
                      <w:rFonts w:hint="eastAsia" w:ascii="宋体" w:hAnsi="宋体" w:cs="宋体"/>
                      <w:kern w:val="0"/>
                      <w:sz w:val="21"/>
                      <w:szCs w:val="21"/>
                    </w:rPr>
                    <w:t>颗粒物</w:t>
                  </w:r>
                </w:p>
              </w:tc>
              <w:tc>
                <w:tcPr>
                  <w:tcW w:w="724" w:type="pct"/>
                  <w:shd w:val="clear" w:color="auto" w:fill="auto"/>
                  <w:vAlign w:val="center"/>
                </w:tcPr>
                <w:p w14:paraId="565DAD5B">
                  <w:pPr>
                    <w:widowControl/>
                    <w:jc w:val="center"/>
                    <w:rPr>
                      <w:kern w:val="0"/>
                      <w:sz w:val="21"/>
                      <w:szCs w:val="21"/>
                    </w:rPr>
                  </w:pPr>
                  <w:r>
                    <w:rPr>
                      <w:kern w:val="0"/>
                      <w:sz w:val="21"/>
                      <w:szCs w:val="21"/>
                    </w:rPr>
                    <w:t>359.00</w:t>
                  </w:r>
                </w:p>
              </w:tc>
              <w:tc>
                <w:tcPr>
                  <w:tcW w:w="611" w:type="pct"/>
                  <w:shd w:val="clear" w:color="auto" w:fill="auto"/>
                  <w:vAlign w:val="center"/>
                </w:tcPr>
                <w:p w14:paraId="62D05DFD">
                  <w:pPr>
                    <w:widowControl/>
                    <w:jc w:val="center"/>
                    <w:rPr>
                      <w:kern w:val="0"/>
                      <w:sz w:val="21"/>
                      <w:szCs w:val="21"/>
                    </w:rPr>
                  </w:pPr>
                  <w:r>
                    <w:rPr>
                      <w:kern w:val="0"/>
                      <w:sz w:val="21"/>
                      <w:szCs w:val="21"/>
                    </w:rPr>
                    <w:t>3.59</w:t>
                  </w:r>
                </w:p>
              </w:tc>
              <w:tc>
                <w:tcPr>
                  <w:tcW w:w="649" w:type="pct"/>
                  <w:vMerge w:val="continue"/>
                  <w:vAlign w:val="center"/>
                </w:tcPr>
                <w:p w14:paraId="6EB29C42">
                  <w:pPr>
                    <w:widowControl/>
                    <w:jc w:val="left"/>
                    <w:rPr>
                      <w:rFonts w:ascii="宋体" w:hAnsi="宋体" w:cs="宋体"/>
                      <w:kern w:val="0"/>
                      <w:sz w:val="21"/>
                      <w:szCs w:val="21"/>
                    </w:rPr>
                  </w:pPr>
                </w:p>
              </w:tc>
              <w:tc>
                <w:tcPr>
                  <w:tcW w:w="336" w:type="pct"/>
                  <w:shd w:val="clear" w:color="auto" w:fill="auto"/>
                  <w:vAlign w:val="center"/>
                </w:tcPr>
                <w:p w14:paraId="552178A7">
                  <w:pPr>
                    <w:widowControl/>
                    <w:jc w:val="center"/>
                    <w:rPr>
                      <w:kern w:val="0"/>
                      <w:sz w:val="21"/>
                      <w:szCs w:val="21"/>
                    </w:rPr>
                  </w:pPr>
                  <w:r>
                    <w:rPr>
                      <w:kern w:val="0"/>
                      <w:sz w:val="21"/>
                      <w:szCs w:val="21"/>
                    </w:rPr>
                    <w:t>2</w:t>
                  </w:r>
                </w:p>
              </w:tc>
            </w:tr>
          </w:tbl>
          <w:p w14:paraId="230E1FF8">
            <w:pPr>
              <w:keepNext/>
              <w:keepLines/>
              <w:spacing w:line="460" w:lineRule="exact"/>
              <w:ind w:firstLine="482" w:firstLineChars="200"/>
              <w:rPr>
                <w:b/>
                <w:bCs/>
              </w:rPr>
            </w:pPr>
            <w:r>
              <w:rPr>
                <w:b/>
                <w:bCs/>
              </w:rPr>
              <w:t>1.3</w:t>
            </w:r>
            <w:r>
              <w:rPr>
                <w:rFonts w:hint="eastAsia"/>
                <w:b/>
                <w:bCs/>
              </w:rPr>
              <w:t>污染治理设施</w:t>
            </w:r>
            <w:r>
              <w:rPr>
                <w:b/>
                <w:bCs/>
              </w:rPr>
              <w:t>可行性分析</w:t>
            </w:r>
          </w:p>
          <w:p w14:paraId="66D569BB">
            <w:pPr>
              <w:keepNext/>
              <w:keepLines/>
              <w:spacing w:line="460" w:lineRule="exact"/>
              <w:ind w:firstLine="480" w:firstLineChars="200"/>
            </w:pPr>
            <w:r>
              <w:rPr>
                <w:rFonts w:hint="eastAsia"/>
              </w:rPr>
              <w:t>（1）“喷淋塔+电捕焦油器+活性炭吸附”措施</w:t>
            </w:r>
          </w:p>
          <w:p w14:paraId="6FED2450">
            <w:pPr>
              <w:keepNext/>
              <w:keepLines/>
              <w:spacing w:line="460" w:lineRule="exact"/>
              <w:ind w:firstLine="480" w:firstLineChars="200"/>
            </w:pPr>
            <w:r>
              <w:rPr>
                <w:rFonts w:hint="eastAsia"/>
              </w:rPr>
              <w:t>沥青</w:t>
            </w:r>
            <w:r>
              <w:t>非生产时间，沥青储罐处于密封状态，电加热系统不对沥青储罐加热，此时沥青挥发性极低，基本不产生呼吸废气。生产时加热沥青产生温度的变化和罐内压力的变化，使得罐内沥青烟气逸出。加热时逸出的沥青烟和充装时罐内的沥青烟气通过储罐呼吸口管道引至沥青烟气净化装置。</w:t>
            </w:r>
          </w:p>
          <w:p w14:paraId="77970C3E">
            <w:pPr>
              <w:keepNext/>
              <w:keepLines/>
              <w:spacing w:line="460" w:lineRule="exact"/>
              <w:ind w:firstLine="480" w:firstLineChars="200"/>
            </w:pPr>
            <w:r>
              <w:t>项目拌锅均为密闭设备，在成品卸料时卸料装车车道延伸封闭</w:t>
            </w:r>
            <w:r>
              <w:rPr>
                <w:rFonts w:hint="eastAsia"/>
              </w:rPr>
              <w:t>（配有卷帘门）</w:t>
            </w:r>
            <w:r>
              <w:t>,当装运车进入卸料车道进行卸料装车时，卷帘门放下关闭，车道内形成一个密闭空间。生产出料过程为间断式，整个卸料过程在封闭车道内进行，卸料完成后出料口关闭。</w:t>
            </w:r>
          </w:p>
          <w:p w14:paraId="78BD9809">
            <w:pPr>
              <w:keepNext/>
              <w:keepLines/>
              <w:spacing w:line="460" w:lineRule="exact"/>
              <w:ind w:firstLine="480" w:firstLineChars="200"/>
            </w:pPr>
            <w:r>
              <w:t>项目拟在拌锅和卸料区设置密闭管道，在成品卸料时卷帘门放下关闭，车道内形成一个密闭空间，卸料口设置集气罩，废气收集后汇集至废气主干管</w:t>
            </w:r>
            <w:r>
              <w:rPr>
                <w:rFonts w:hint="eastAsia"/>
              </w:rPr>
              <w:t>（收集效率为90%）</w:t>
            </w:r>
            <w:r>
              <w:t>，采用</w:t>
            </w:r>
            <w:r>
              <w:rPr>
                <w:rFonts w:ascii="宋体" w:hAnsi="宋体"/>
              </w:rPr>
              <w:t>“喷淋塔+电捕焦油器+活性炭吸附”</w:t>
            </w:r>
            <w:r>
              <w:t>处理后，经15m高排气筒排放。</w:t>
            </w:r>
          </w:p>
          <w:p w14:paraId="1C7E98AB">
            <w:pPr>
              <w:keepNext/>
              <w:keepLines/>
              <w:spacing w:line="460" w:lineRule="exact"/>
              <w:ind w:firstLine="480" w:firstLineChars="200"/>
            </w:pPr>
            <w:r>
              <w:t>沥青烟气本质属于挥发出来的油状的沥青雾并伴有颗粒物</w:t>
            </w:r>
            <w:r>
              <w:rPr>
                <w:rFonts w:ascii="宋体" w:hAnsi="宋体"/>
              </w:rPr>
              <w:t>，“喷淋塔+电捕焦油器+活性炭吸附”</w:t>
            </w:r>
            <w:r>
              <w:t>工艺有效的去除沥青烟气中的大部分油雾状的沥青和颗粒物，其沥青烟气中主要污染物</w:t>
            </w:r>
            <w:r>
              <w:rPr>
                <w:rFonts w:hint="eastAsia"/>
              </w:rPr>
              <w:t>（包含沥青烟、苯并[a]芘和VOCs）</w:t>
            </w:r>
            <w:r>
              <w:t>也随着前端工序大量去除，末端再配备活性炭箱吸附少量挥发性有机气体，根据相关经验，整体沥青烟和挥发性有机物设计去除效率在60-90%以上</w:t>
            </w:r>
            <w:r>
              <w:rPr>
                <w:rFonts w:hint="eastAsia"/>
              </w:rPr>
              <w:t>（本评价保守源强核算保守取值60%）</w:t>
            </w:r>
            <w:r>
              <w:t>。</w:t>
            </w:r>
          </w:p>
          <w:p w14:paraId="3FB3944A">
            <w:pPr>
              <w:autoSpaceDE w:val="0"/>
              <w:autoSpaceDN w:val="0"/>
              <w:spacing w:line="480" w:lineRule="exact"/>
              <w:ind w:firstLine="480" w:firstLineChars="200"/>
              <w:textAlignment w:val="baseline"/>
            </w:pPr>
            <w:r>
              <w:t>根据核算，经处理后，沥青烟净化设施排气筒中主要污染物沥青烟和苯并[a]芘、VOCs排放浓度、速率均</w:t>
            </w:r>
            <w:r>
              <w:rPr>
                <w:rFonts w:hint="eastAsia"/>
              </w:rPr>
              <w:t>小</w:t>
            </w:r>
            <w:r>
              <w:t>于《大气污染物综合排放标准》（GB16297-1996）</w:t>
            </w:r>
            <w:r>
              <w:rPr>
                <w:rFonts w:hint="eastAsia"/>
              </w:rPr>
              <w:t>表2新污染大气污染物排放限值中二级标准要求</w:t>
            </w:r>
            <w:r>
              <w:t>，</w:t>
            </w:r>
            <w:r>
              <w:rPr>
                <w:rFonts w:hint="eastAsia"/>
              </w:rPr>
              <w:t>参照《排污许可证申请与核发技术规范 总则》（HJ942-2018）、</w:t>
            </w:r>
            <w:r>
              <w:rPr>
                <w:rFonts w:eastAsia="Calibri"/>
              </w:rPr>
              <w:t>《</w:t>
            </w:r>
            <w:r>
              <w:rPr>
                <w:rFonts w:ascii="宋体" w:hAnsi="宋体"/>
              </w:rPr>
              <w:t>排污许可证申请与核发技术规范</w:t>
            </w:r>
            <w:r>
              <w:rPr>
                <w:rFonts w:hint="eastAsia" w:ascii="宋体" w:hAnsi="宋体"/>
              </w:rPr>
              <w:t xml:space="preserve"> </w:t>
            </w:r>
            <w:r>
              <w:rPr>
                <w:rFonts w:hint="eastAsia" w:ascii="宋体" w:hAnsi="宋体" w:cs="微软雅黑"/>
              </w:rPr>
              <w:t>石墨及其他非金属矿物制品制造</w:t>
            </w:r>
            <w:r>
              <w:rPr>
                <w:rFonts w:eastAsia="Calibri"/>
              </w:rPr>
              <w:t>》（HJ1119-2020）</w:t>
            </w:r>
            <w:r>
              <w:rPr>
                <w:rFonts w:hint="eastAsia"/>
              </w:rPr>
              <w:t>，项目采用的废气处理方式均为可行技术，即</w:t>
            </w:r>
            <w:r>
              <w:rPr>
                <w:rFonts w:hint="eastAsia"/>
                <w:bCs/>
              </w:rPr>
              <w:t>项目采取的废气治理</w:t>
            </w:r>
            <w:r>
              <w:rPr>
                <w:rFonts w:hint="eastAsia"/>
              </w:rPr>
              <w:t>措施可行。</w:t>
            </w:r>
          </w:p>
          <w:p w14:paraId="674CAF40">
            <w:pPr>
              <w:pStyle w:val="59"/>
              <w:ind w:firstLine="480"/>
            </w:pPr>
            <w:r>
              <w:t>综上所述，本项目沥青烟气治理措施可行。</w:t>
            </w:r>
          </w:p>
          <w:p w14:paraId="3BEAB7EA">
            <w:pPr>
              <w:pStyle w:val="59"/>
              <w:ind w:firstLine="480"/>
            </w:pPr>
            <w:r>
              <w:rPr>
                <w:rFonts w:hint="eastAsia"/>
              </w:rPr>
              <w:t>（2）除尘器措施</w:t>
            </w:r>
          </w:p>
          <w:p w14:paraId="3676B710">
            <w:pPr>
              <w:pStyle w:val="59"/>
              <w:ind w:firstLine="480"/>
            </w:pPr>
            <w:r>
              <w:rPr>
                <w:rFonts w:hint="eastAsia"/>
              </w:rPr>
              <w:t>袋式除尘器：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除尘效率一般在99%以上，在我国各行业已经得到广泛的应用。</w:t>
            </w:r>
          </w:p>
          <w:p w14:paraId="0359BF27">
            <w:pPr>
              <w:pStyle w:val="59"/>
              <w:ind w:firstLine="480"/>
            </w:pPr>
            <w:r>
              <w:rPr>
                <w:rFonts w:hint="eastAsia"/>
              </w:rPr>
              <w:t>仓顶滤芯除尘器：</w:t>
            </w:r>
            <w:r>
              <w:rPr>
                <w:rFonts w:hint="eastAsia" w:ascii="MS Gothic" w:hAnsi="MS Gothic" w:eastAsia="MS Gothic" w:cs="MS Gothic"/>
              </w:rPr>
              <w:t>‌</w:t>
            </w:r>
            <w:r>
              <w:rPr>
                <w:rFonts w:hint="eastAsia" w:ascii="宋体" w:hAnsi="宋体"/>
              </w:rPr>
              <w:t>主要包括过滤和清灰两个主要过程</w:t>
            </w:r>
            <w:r>
              <w:rPr>
                <w:rFonts w:hint="eastAsia" w:ascii="MS Gothic" w:hAnsi="MS Gothic" w:eastAsia="MS Gothic" w:cs="MS Gothic"/>
              </w:rPr>
              <w:t>‌</w:t>
            </w:r>
            <w:r>
              <w:rPr>
                <w:rFonts w:hint="eastAsia" w:ascii="宋体" w:hAnsi="宋体"/>
              </w:rPr>
              <w:t>。含尘气体从进风口进入除尘器后，通过滤芯（通常为滤袋或滤筒）时，粉尘颗粒</w:t>
            </w:r>
            <w:r>
              <w:rPr>
                <w:rFonts w:hint="eastAsia"/>
              </w:rPr>
              <w:t>由于惯性碰撞、扩散吸附和筛分效应等被截留在滤芯外表面，而净化后的气体则通过滤芯内部排出。随着滤芯表面粉尘层的增厚，设备阻力增加，当达到设定阈值时，清灰系统启动</w:t>
            </w:r>
            <w:r>
              <w:t>。</w:t>
            </w:r>
          </w:p>
          <w:p w14:paraId="2506E295">
            <w:pPr>
              <w:pStyle w:val="59"/>
              <w:ind w:firstLine="480"/>
            </w:pPr>
            <w:r>
              <w:rPr>
                <w:rFonts w:hint="eastAsia"/>
              </w:rPr>
              <w:t>根据《排污许可证申请与核发技术规范 总则》（HJ942-2018）4.5.2.1 废气污染治理设施工艺包括除尘设施包含：袋式除尘器、电除尘器、电袋复合除尘器、其他，本项目袋式除尘器以及仓顶滤芯除尘器均属于可行性技术。</w:t>
            </w:r>
          </w:p>
          <w:p w14:paraId="03EC1853">
            <w:pPr>
              <w:pStyle w:val="59"/>
              <w:spacing w:line="460" w:lineRule="exact"/>
              <w:ind w:firstLine="0" w:firstLineChars="0"/>
              <w:rPr>
                <w:b/>
              </w:rPr>
            </w:pPr>
            <w:r>
              <w:rPr>
                <w:b/>
              </w:rPr>
              <w:t>1.4监测方案</w:t>
            </w:r>
          </w:p>
          <w:p w14:paraId="136DD51D">
            <w:pPr>
              <w:keepNext/>
              <w:keepLines/>
              <w:spacing w:line="460" w:lineRule="exact"/>
              <w:ind w:firstLine="480" w:firstLineChars="200"/>
            </w:pPr>
            <w:r>
              <w:t>根据《排污单位自行监测技术指南</w:t>
            </w:r>
            <w:r>
              <w:rPr>
                <w:rFonts w:hint="eastAsia"/>
              </w:rPr>
              <w:t xml:space="preserve"> </w:t>
            </w:r>
            <w:r>
              <w:t>总则》（HJ819- 2017）、《排污许可</w:t>
            </w:r>
            <w:r>
              <w:rPr>
                <w:rFonts w:hint="eastAsia"/>
              </w:rPr>
              <w:t>证</w:t>
            </w:r>
            <w:r>
              <w:t>申请与核发技术规范</w:t>
            </w:r>
            <w:r>
              <w:rPr>
                <w:rFonts w:hint="eastAsia"/>
              </w:rPr>
              <w:t xml:space="preserve"> </w:t>
            </w:r>
            <w:r>
              <w:t>总则》</w:t>
            </w:r>
            <w:r>
              <w:rPr>
                <w:rFonts w:hint="eastAsia"/>
              </w:rPr>
              <w:t>（</w:t>
            </w:r>
            <w:r>
              <w:t>HJ942-2018</w:t>
            </w:r>
            <w:r>
              <w:rPr>
                <w:rFonts w:hint="eastAsia"/>
              </w:rPr>
              <w:t>）、</w:t>
            </w:r>
            <w:bookmarkStart w:id="24" w:name="OLE_LINK77"/>
            <w:r>
              <w:rPr>
                <w:spacing w:val="7"/>
              </w:rPr>
              <w:t>《排污许可证申请与核发技术规范 石墨及其他非金属矿物制品制造》</w:t>
            </w:r>
            <w:bookmarkEnd w:id="24"/>
            <w:r>
              <w:rPr>
                <w:spacing w:val="7"/>
              </w:rPr>
              <w:t>（HJ1119-2020）</w:t>
            </w:r>
            <w:r>
              <w:rPr>
                <w:rFonts w:hint="eastAsia"/>
              </w:rPr>
              <w:t>、</w:t>
            </w:r>
            <w:r>
              <w:rPr>
                <w:rFonts w:hint="eastAsia"/>
                <w:snapToGrid w:val="0"/>
              </w:rPr>
              <w:t>《</w:t>
            </w:r>
            <w:r>
              <w:rPr>
                <w:snapToGrid w:val="0"/>
              </w:rPr>
              <w:t>排污单位自行监测技术指南 水泥工业</w:t>
            </w:r>
            <w:r>
              <w:rPr>
                <w:rFonts w:hint="eastAsia"/>
                <w:snapToGrid w:val="0"/>
              </w:rPr>
              <w:t>》（</w:t>
            </w:r>
            <w:r>
              <w:rPr>
                <w:snapToGrid w:val="0"/>
              </w:rPr>
              <w:t>HJ848-2017</w:t>
            </w:r>
            <w:r>
              <w:rPr>
                <w:rFonts w:hint="eastAsia"/>
                <w:snapToGrid w:val="0"/>
              </w:rPr>
              <w:t>）、</w:t>
            </w:r>
            <w:r>
              <w:rPr>
                <w:bCs/>
              </w:rPr>
              <w:t>《排污单位自行监测技术指南</w:t>
            </w:r>
            <w:r>
              <w:rPr>
                <w:rFonts w:hint="eastAsia"/>
                <w:bCs/>
              </w:rPr>
              <w:t xml:space="preserve"> </w:t>
            </w:r>
            <w:r>
              <w:rPr>
                <w:bCs/>
              </w:rPr>
              <w:t>火力发电及锅炉》</w:t>
            </w:r>
            <w:r>
              <w:rPr>
                <w:rFonts w:hint="eastAsia"/>
                <w:bCs/>
              </w:rPr>
              <w:t>（</w:t>
            </w:r>
            <w:r>
              <w:rPr>
                <w:bCs/>
              </w:rPr>
              <w:t>HJ 820-2017</w:t>
            </w:r>
            <w:r>
              <w:rPr>
                <w:rFonts w:hint="eastAsia"/>
                <w:bCs/>
              </w:rPr>
              <w:t>）</w:t>
            </w:r>
            <w:r>
              <w:t>。项目应对主要排放源定期进行自行监测，并委托有资质的检测单位定期进行监测。本项目运营期环境监测计划见下表</w:t>
            </w:r>
            <w:r>
              <w:rPr>
                <w:rFonts w:hint="eastAsia"/>
              </w:rPr>
              <w:t>4</w:t>
            </w:r>
            <w:r>
              <w:t>-13</w:t>
            </w:r>
            <w:r>
              <w:rPr>
                <w:rFonts w:hint="eastAsia"/>
              </w:rPr>
              <w:t>。</w:t>
            </w:r>
          </w:p>
          <w:p w14:paraId="77956C69">
            <w:pPr>
              <w:pStyle w:val="76"/>
              <w:ind w:firstLine="420"/>
              <w:rPr>
                <w:color w:val="auto"/>
              </w:rPr>
            </w:pPr>
            <w:r>
              <w:rPr>
                <w:color w:val="auto"/>
              </w:rPr>
              <w:t xml:space="preserve">表4-13                 </w:t>
            </w:r>
            <w:r>
              <w:rPr>
                <w:rFonts w:hint="eastAsia"/>
                <w:color w:val="auto"/>
              </w:rPr>
              <w:t>废气监测计划一览表</w:t>
            </w:r>
          </w:p>
          <w:tbl>
            <w:tblPr>
              <w:tblStyle w:val="24"/>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212"/>
              <w:gridCol w:w="1255"/>
              <w:gridCol w:w="991"/>
              <w:gridCol w:w="747"/>
              <w:gridCol w:w="725"/>
              <w:gridCol w:w="2448"/>
            </w:tblGrid>
            <w:tr w14:paraId="171D8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881" w:type="dxa"/>
                  <w:tcBorders>
                    <w:tl2br w:val="nil"/>
                    <w:tr2bl w:val="nil"/>
                  </w:tcBorders>
                  <w:vAlign w:val="center"/>
                </w:tcPr>
                <w:p w14:paraId="3A6CDECC">
                  <w:pPr>
                    <w:jc w:val="center"/>
                    <w:rPr>
                      <w:sz w:val="21"/>
                      <w:szCs w:val="21"/>
                    </w:rPr>
                  </w:pPr>
                  <w:r>
                    <w:rPr>
                      <w:rFonts w:hint="eastAsia"/>
                      <w:sz w:val="21"/>
                      <w:szCs w:val="21"/>
                    </w:rPr>
                    <w:t>排放形式</w:t>
                  </w:r>
                </w:p>
              </w:tc>
              <w:tc>
                <w:tcPr>
                  <w:tcW w:w="1212" w:type="dxa"/>
                  <w:tcBorders>
                    <w:tl2br w:val="nil"/>
                    <w:tr2bl w:val="nil"/>
                  </w:tcBorders>
                  <w:vAlign w:val="center"/>
                </w:tcPr>
                <w:p w14:paraId="7DAC0C40">
                  <w:pPr>
                    <w:jc w:val="center"/>
                    <w:rPr>
                      <w:sz w:val="21"/>
                      <w:szCs w:val="21"/>
                    </w:rPr>
                  </w:pPr>
                  <w:r>
                    <w:rPr>
                      <w:rFonts w:hint="eastAsia"/>
                      <w:sz w:val="21"/>
                      <w:szCs w:val="21"/>
                    </w:rPr>
                    <w:t>排放口类型</w:t>
                  </w:r>
                </w:p>
              </w:tc>
              <w:tc>
                <w:tcPr>
                  <w:tcW w:w="1255" w:type="dxa"/>
                  <w:tcBorders>
                    <w:tl2br w:val="nil"/>
                    <w:tr2bl w:val="nil"/>
                  </w:tcBorders>
                  <w:shd w:val="clear" w:color="auto" w:fill="auto"/>
                  <w:vAlign w:val="center"/>
                </w:tcPr>
                <w:p w14:paraId="4C5EF2C7">
                  <w:pPr>
                    <w:jc w:val="center"/>
                    <w:rPr>
                      <w:sz w:val="21"/>
                      <w:szCs w:val="21"/>
                    </w:rPr>
                  </w:pPr>
                  <w:r>
                    <w:rPr>
                      <w:sz w:val="21"/>
                      <w:szCs w:val="21"/>
                    </w:rPr>
                    <w:t>监测位置</w:t>
                  </w:r>
                </w:p>
              </w:tc>
              <w:tc>
                <w:tcPr>
                  <w:tcW w:w="991" w:type="dxa"/>
                  <w:tcBorders>
                    <w:tl2br w:val="nil"/>
                    <w:tr2bl w:val="nil"/>
                  </w:tcBorders>
                  <w:shd w:val="clear" w:color="auto" w:fill="auto"/>
                  <w:vAlign w:val="center"/>
                </w:tcPr>
                <w:p w14:paraId="71949C20">
                  <w:pPr>
                    <w:jc w:val="center"/>
                    <w:rPr>
                      <w:sz w:val="21"/>
                      <w:szCs w:val="21"/>
                    </w:rPr>
                  </w:pPr>
                  <w:r>
                    <w:rPr>
                      <w:sz w:val="21"/>
                      <w:szCs w:val="21"/>
                    </w:rPr>
                    <w:t>监测项目</w:t>
                  </w:r>
                </w:p>
              </w:tc>
              <w:tc>
                <w:tcPr>
                  <w:tcW w:w="747" w:type="dxa"/>
                  <w:tcBorders>
                    <w:tl2br w:val="nil"/>
                    <w:tr2bl w:val="nil"/>
                  </w:tcBorders>
                  <w:shd w:val="clear" w:color="auto" w:fill="auto"/>
                  <w:vAlign w:val="center"/>
                </w:tcPr>
                <w:p w14:paraId="6D365DAD">
                  <w:pPr>
                    <w:jc w:val="center"/>
                    <w:rPr>
                      <w:sz w:val="21"/>
                      <w:szCs w:val="21"/>
                    </w:rPr>
                  </w:pPr>
                  <w:r>
                    <w:rPr>
                      <w:sz w:val="21"/>
                      <w:szCs w:val="21"/>
                    </w:rPr>
                    <w:t>监测频次</w:t>
                  </w:r>
                </w:p>
              </w:tc>
              <w:tc>
                <w:tcPr>
                  <w:tcW w:w="725" w:type="dxa"/>
                  <w:tcBorders>
                    <w:tl2br w:val="nil"/>
                    <w:tr2bl w:val="nil"/>
                  </w:tcBorders>
                  <w:shd w:val="clear" w:color="auto" w:fill="auto"/>
                  <w:vAlign w:val="center"/>
                </w:tcPr>
                <w:p w14:paraId="59B49EF9">
                  <w:pPr>
                    <w:jc w:val="center"/>
                    <w:rPr>
                      <w:sz w:val="21"/>
                      <w:szCs w:val="21"/>
                    </w:rPr>
                  </w:pPr>
                  <w:r>
                    <w:rPr>
                      <w:sz w:val="21"/>
                      <w:szCs w:val="21"/>
                    </w:rPr>
                    <w:t>监测单位</w:t>
                  </w:r>
                </w:p>
              </w:tc>
              <w:tc>
                <w:tcPr>
                  <w:tcW w:w="2448" w:type="dxa"/>
                  <w:tcBorders>
                    <w:tl2br w:val="nil"/>
                    <w:tr2bl w:val="nil"/>
                  </w:tcBorders>
                  <w:shd w:val="clear" w:color="auto" w:fill="auto"/>
                  <w:vAlign w:val="center"/>
                </w:tcPr>
                <w:p w14:paraId="01438A4E">
                  <w:pPr>
                    <w:jc w:val="center"/>
                    <w:rPr>
                      <w:sz w:val="21"/>
                      <w:szCs w:val="21"/>
                    </w:rPr>
                  </w:pPr>
                  <w:r>
                    <w:rPr>
                      <w:sz w:val="21"/>
                      <w:szCs w:val="21"/>
                    </w:rPr>
                    <w:t>执行标准</w:t>
                  </w:r>
                </w:p>
              </w:tc>
            </w:tr>
            <w:tr w14:paraId="48C19D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Merge w:val="restart"/>
                  <w:tcBorders>
                    <w:tl2br w:val="nil"/>
                    <w:tr2bl w:val="nil"/>
                  </w:tcBorders>
                  <w:vAlign w:val="center"/>
                </w:tcPr>
                <w:p w14:paraId="641BDD4B">
                  <w:pPr>
                    <w:jc w:val="center"/>
                    <w:rPr>
                      <w:sz w:val="21"/>
                      <w:szCs w:val="21"/>
                    </w:rPr>
                  </w:pPr>
                  <w:r>
                    <w:rPr>
                      <w:rFonts w:hint="eastAsia"/>
                      <w:sz w:val="21"/>
                      <w:szCs w:val="21"/>
                    </w:rPr>
                    <w:t>有组织</w:t>
                  </w:r>
                </w:p>
              </w:tc>
              <w:tc>
                <w:tcPr>
                  <w:tcW w:w="1212" w:type="dxa"/>
                  <w:tcBorders>
                    <w:tl2br w:val="nil"/>
                    <w:tr2bl w:val="nil"/>
                  </w:tcBorders>
                  <w:vAlign w:val="center"/>
                </w:tcPr>
                <w:p w14:paraId="1C05685E">
                  <w:pPr>
                    <w:jc w:val="center"/>
                    <w:rPr>
                      <w:sz w:val="21"/>
                      <w:szCs w:val="21"/>
                    </w:rPr>
                  </w:pPr>
                  <w:r>
                    <w:rPr>
                      <w:kern w:val="0"/>
                      <w:sz w:val="21"/>
                      <w:szCs w:val="21"/>
                    </w:rPr>
                    <w:t>一般排放口</w:t>
                  </w:r>
                </w:p>
              </w:tc>
              <w:tc>
                <w:tcPr>
                  <w:tcW w:w="1255" w:type="dxa"/>
                  <w:tcBorders>
                    <w:tl2br w:val="nil"/>
                    <w:tr2bl w:val="nil"/>
                  </w:tcBorders>
                  <w:shd w:val="clear" w:color="auto" w:fill="auto"/>
                  <w:vAlign w:val="center"/>
                </w:tcPr>
                <w:p w14:paraId="16819F57">
                  <w:pPr>
                    <w:jc w:val="center"/>
                    <w:rPr>
                      <w:sz w:val="21"/>
                      <w:szCs w:val="21"/>
                    </w:rPr>
                  </w:pPr>
                  <w:r>
                    <w:rPr>
                      <w:rFonts w:hint="eastAsia"/>
                      <w:sz w:val="21"/>
                      <w:szCs w:val="21"/>
                    </w:rPr>
                    <w:t>水泥稳定土生产线搅拌粉尘排气筒（</w:t>
                  </w:r>
                  <w:r>
                    <w:rPr>
                      <w:sz w:val="21"/>
                      <w:szCs w:val="21"/>
                    </w:rPr>
                    <w:t>DA001</w:t>
                  </w:r>
                  <w:r>
                    <w:rPr>
                      <w:rFonts w:hint="eastAsia"/>
                      <w:sz w:val="21"/>
                      <w:szCs w:val="21"/>
                    </w:rPr>
                    <w:t>）</w:t>
                  </w:r>
                </w:p>
              </w:tc>
              <w:tc>
                <w:tcPr>
                  <w:tcW w:w="991" w:type="dxa"/>
                  <w:tcBorders>
                    <w:tl2br w:val="nil"/>
                    <w:tr2bl w:val="nil"/>
                  </w:tcBorders>
                  <w:shd w:val="clear" w:color="auto" w:fill="auto"/>
                  <w:vAlign w:val="center"/>
                </w:tcPr>
                <w:p w14:paraId="05CA8122">
                  <w:pPr>
                    <w:jc w:val="center"/>
                    <w:rPr>
                      <w:sz w:val="21"/>
                      <w:szCs w:val="21"/>
                    </w:rPr>
                  </w:pPr>
                  <w:r>
                    <w:rPr>
                      <w:rFonts w:hint="eastAsia"/>
                      <w:sz w:val="21"/>
                      <w:szCs w:val="21"/>
                    </w:rPr>
                    <w:t>颗粒物</w:t>
                  </w:r>
                </w:p>
              </w:tc>
              <w:tc>
                <w:tcPr>
                  <w:tcW w:w="747" w:type="dxa"/>
                  <w:tcBorders>
                    <w:tl2br w:val="nil"/>
                    <w:tr2bl w:val="nil"/>
                  </w:tcBorders>
                  <w:shd w:val="clear" w:color="auto" w:fill="auto"/>
                  <w:vAlign w:val="center"/>
                </w:tcPr>
                <w:p w14:paraId="44C8B57D">
                  <w:pPr>
                    <w:jc w:val="center"/>
                    <w:rPr>
                      <w:sz w:val="21"/>
                      <w:szCs w:val="21"/>
                    </w:rPr>
                  </w:pPr>
                  <w:r>
                    <w:rPr>
                      <w:rFonts w:hint="eastAsia"/>
                      <w:sz w:val="21"/>
                      <w:szCs w:val="21"/>
                    </w:rPr>
                    <w:t>1次/</w:t>
                  </w:r>
                  <w:r>
                    <w:rPr>
                      <w:sz w:val="21"/>
                      <w:szCs w:val="21"/>
                    </w:rPr>
                    <w:t>2</w:t>
                  </w:r>
                  <w:r>
                    <w:rPr>
                      <w:rFonts w:hint="eastAsia"/>
                      <w:sz w:val="21"/>
                      <w:szCs w:val="21"/>
                    </w:rPr>
                    <w:t>年</w:t>
                  </w:r>
                </w:p>
              </w:tc>
              <w:tc>
                <w:tcPr>
                  <w:tcW w:w="725" w:type="dxa"/>
                  <w:vMerge w:val="restart"/>
                  <w:tcBorders>
                    <w:tl2br w:val="nil"/>
                    <w:tr2bl w:val="nil"/>
                  </w:tcBorders>
                  <w:shd w:val="clear" w:color="auto" w:fill="auto"/>
                  <w:vAlign w:val="center"/>
                </w:tcPr>
                <w:p w14:paraId="62E768D4">
                  <w:pPr>
                    <w:jc w:val="center"/>
                    <w:rPr>
                      <w:sz w:val="21"/>
                      <w:szCs w:val="21"/>
                    </w:rPr>
                  </w:pPr>
                  <w:r>
                    <w:rPr>
                      <w:rFonts w:hint="eastAsia"/>
                      <w:sz w:val="21"/>
                      <w:szCs w:val="21"/>
                    </w:rPr>
                    <w:t>委托</w:t>
                  </w:r>
                  <w:r>
                    <w:rPr>
                      <w:sz w:val="21"/>
                      <w:szCs w:val="21"/>
                    </w:rPr>
                    <w:t>有资质的单位</w:t>
                  </w:r>
                </w:p>
              </w:tc>
              <w:tc>
                <w:tcPr>
                  <w:tcW w:w="2448" w:type="dxa"/>
                  <w:tcBorders>
                    <w:tl2br w:val="nil"/>
                    <w:tr2bl w:val="nil"/>
                  </w:tcBorders>
                  <w:shd w:val="clear" w:color="auto" w:fill="auto"/>
                  <w:vAlign w:val="center"/>
                </w:tcPr>
                <w:p w14:paraId="62AD86D9">
                  <w:pPr>
                    <w:jc w:val="center"/>
                    <w:rPr>
                      <w:sz w:val="21"/>
                      <w:szCs w:val="21"/>
                    </w:rPr>
                  </w:pPr>
                  <w:r>
                    <w:rPr>
                      <w:sz w:val="21"/>
                      <w:szCs w:val="21"/>
                    </w:rPr>
                    <w:t>《水泥工业大气污染物排放标准》</w:t>
                  </w:r>
                </w:p>
                <w:p w14:paraId="361B1A02">
                  <w:pPr>
                    <w:jc w:val="center"/>
                    <w:rPr>
                      <w:sz w:val="21"/>
                      <w:szCs w:val="21"/>
                    </w:rPr>
                  </w:pPr>
                  <w:r>
                    <w:rPr>
                      <w:sz w:val="21"/>
                      <w:szCs w:val="21"/>
                    </w:rPr>
                    <w:t>（GB4915-2013</w:t>
                  </w:r>
                  <w:r>
                    <w:rPr>
                      <w:rFonts w:hint="eastAsia"/>
                      <w:sz w:val="21"/>
                      <w:szCs w:val="21"/>
                    </w:rPr>
                    <w:t>）大气污染物</w:t>
                  </w:r>
                  <w:r>
                    <w:rPr>
                      <w:sz w:val="21"/>
                      <w:szCs w:val="21"/>
                    </w:rPr>
                    <w:t>排放限值</w:t>
                  </w:r>
                  <w:r>
                    <w:rPr>
                      <w:rFonts w:hint="eastAsia"/>
                      <w:sz w:val="21"/>
                      <w:szCs w:val="21"/>
                    </w:rPr>
                    <w:t>2</w:t>
                  </w:r>
                  <w:r>
                    <w:rPr>
                      <w:sz w:val="21"/>
                      <w:szCs w:val="21"/>
                    </w:rPr>
                    <w:t>0mg/m</w:t>
                  </w:r>
                  <w:r>
                    <w:rPr>
                      <w:sz w:val="21"/>
                      <w:szCs w:val="21"/>
                      <w:vertAlign w:val="superscript"/>
                    </w:rPr>
                    <w:t>3</w:t>
                  </w:r>
                  <w:r>
                    <w:rPr>
                      <w:rFonts w:hint="eastAsia"/>
                      <w:sz w:val="21"/>
                      <w:szCs w:val="21"/>
                    </w:rPr>
                    <w:t>要求</w:t>
                  </w:r>
                </w:p>
              </w:tc>
            </w:tr>
            <w:tr w14:paraId="5E583B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Merge w:val="continue"/>
                  <w:tcBorders>
                    <w:tl2br w:val="nil"/>
                    <w:tr2bl w:val="nil"/>
                  </w:tcBorders>
                  <w:vAlign w:val="center"/>
                </w:tcPr>
                <w:p w14:paraId="46B61C75">
                  <w:pPr>
                    <w:jc w:val="center"/>
                    <w:rPr>
                      <w:sz w:val="21"/>
                      <w:szCs w:val="21"/>
                    </w:rPr>
                  </w:pPr>
                </w:p>
              </w:tc>
              <w:tc>
                <w:tcPr>
                  <w:tcW w:w="1212" w:type="dxa"/>
                  <w:tcBorders>
                    <w:tl2br w:val="nil"/>
                    <w:tr2bl w:val="nil"/>
                  </w:tcBorders>
                  <w:vAlign w:val="center"/>
                </w:tcPr>
                <w:p w14:paraId="536E9F0D">
                  <w:pPr>
                    <w:jc w:val="center"/>
                    <w:rPr>
                      <w:sz w:val="21"/>
                      <w:szCs w:val="21"/>
                    </w:rPr>
                  </w:pPr>
                  <w:r>
                    <w:rPr>
                      <w:sz w:val="21"/>
                      <w:szCs w:val="21"/>
                    </w:rPr>
                    <w:t>一般排放口</w:t>
                  </w:r>
                </w:p>
              </w:tc>
              <w:tc>
                <w:tcPr>
                  <w:tcW w:w="1255" w:type="dxa"/>
                  <w:tcBorders>
                    <w:tl2br w:val="nil"/>
                    <w:tr2bl w:val="nil"/>
                  </w:tcBorders>
                  <w:shd w:val="clear" w:color="auto" w:fill="auto"/>
                  <w:vAlign w:val="center"/>
                </w:tcPr>
                <w:p w14:paraId="55D89ACD">
                  <w:pPr>
                    <w:jc w:val="center"/>
                    <w:rPr>
                      <w:sz w:val="21"/>
                      <w:szCs w:val="21"/>
                    </w:rPr>
                  </w:pPr>
                  <w:r>
                    <w:rPr>
                      <w:rFonts w:hint="eastAsia"/>
                      <w:sz w:val="21"/>
                      <w:szCs w:val="21"/>
                    </w:rPr>
                    <w:t>沥青混凝土生产线骨料烘干废气排气筒（</w:t>
                  </w:r>
                  <w:r>
                    <w:rPr>
                      <w:sz w:val="21"/>
                      <w:szCs w:val="21"/>
                    </w:rPr>
                    <w:t>DA002</w:t>
                  </w:r>
                  <w:r>
                    <w:rPr>
                      <w:rFonts w:hint="eastAsia"/>
                      <w:sz w:val="21"/>
                      <w:szCs w:val="21"/>
                    </w:rPr>
                    <w:t>）</w:t>
                  </w:r>
                </w:p>
              </w:tc>
              <w:tc>
                <w:tcPr>
                  <w:tcW w:w="991" w:type="dxa"/>
                  <w:shd w:val="clear" w:color="auto" w:fill="auto"/>
                  <w:vAlign w:val="center"/>
                </w:tcPr>
                <w:p w14:paraId="71B78595">
                  <w:pPr>
                    <w:jc w:val="center"/>
                    <w:rPr>
                      <w:sz w:val="21"/>
                      <w:szCs w:val="21"/>
                    </w:rPr>
                  </w:pPr>
                  <w:r>
                    <w:rPr>
                      <w:rFonts w:hint="eastAsia"/>
                      <w:sz w:val="21"/>
                      <w:szCs w:val="21"/>
                    </w:rPr>
                    <w:t>颗粒物、氮氧化物</w:t>
                  </w:r>
                </w:p>
              </w:tc>
              <w:tc>
                <w:tcPr>
                  <w:tcW w:w="747" w:type="dxa"/>
                  <w:tcBorders>
                    <w:tl2br w:val="nil"/>
                    <w:tr2bl w:val="nil"/>
                  </w:tcBorders>
                  <w:shd w:val="clear" w:color="auto" w:fill="auto"/>
                  <w:vAlign w:val="center"/>
                </w:tcPr>
                <w:p w14:paraId="288CA08A">
                  <w:pPr>
                    <w:jc w:val="center"/>
                    <w:rPr>
                      <w:sz w:val="21"/>
                      <w:szCs w:val="21"/>
                    </w:rPr>
                  </w:pPr>
                  <w:r>
                    <w:rPr>
                      <w:rFonts w:hint="eastAsia"/>
                      <w:sz w:val="21"/>
                      <w:szCs w:val="21"/>
                    </w:rPr>
                    <w:t>1次/年</w:t>
                  </w:r>
                </w:p>
              </w:tc>
              <w:tc>
                <w:tcPr>
                  <w:tcW w:w="725" w:type="dxa"/>
                  <w:vMerge w:val="continue"/>
                  <w:tcBorders>
                    <w:tl2br w:val="nil"/>
                    <w:tr2bl w:val="nil"/>
                  </w:tcBorders>
                  <w:shd w:val="clear" w:color="auto" w:fill="auto"/>
                  <w:vAlign w:val="center"/>
                </w:tcPr>
                <w:p w14:paraId="35F787E7">
                  <w:pPr>
                    <w:jc w:val="center"/>
                    <w:rPr>
                      <w:sz w:val="21"/>
                      <w:szCs w:val="21"/>
                    </w:rPr>
                  </w:pPr>
                </w:p>
              </w:tc>
              <w:tc>
                <w:tcPr>
                  <w:tcW w:w="2448" w:type="dxa"/>
                  <w:tcBorders>
                    <w:tl2br w:val="nil"/>
                    <w:tr2bl w:val="nil"/>
                  </w:tcBorders>
                  <w:shd w:val="clear" w:color="auto" w:fill="auto"/>
                  <w:vAlign w:val="center"/>
                </w:tcPr>
                <w:p w14:paraId="7425847A">
                  <w:pPr>
                    <w:jc w:val="center"/>
                    <w:rPr>
                      <w:sz w:val="21"/>
                      <w:szCs w:val="21"/>
                    </w:rPr>
                  </w:pPr>
                  <w:r>
                    <w:rPr>
                      <w:sz w:val="21"/>
                      <w:szCs w:val="21"/>
                    </w:rPr>
                    <w:t>《</w:t>
                  </w:r>
                  <w:r>
                    <w:rPr>
                      <w:rFonts w:hint="eastAsia"/>
                      <w:sz w:val="21"/>
                      <w:szCs w:val="21"/>
                    </w:rPr>
                    <w:t>新疆维吾尔自治区工业炉窑大气污染综合治理实施方案</w:t>
                  </w:r>
                  <w:r>
                    <w:rPr>
                      <w:sz w:val="21"/>
                      <w:szCs w:val="21"/>
                    </w:rPr>
                    <w:t>》</w:t>
                  </w:r>
                  <w:r>
                    <w:rPr>
                      <w:rFonts w:hint="eastAsia"/>
                      <w:sz w:val="21"/>
                      <w:szCs w:val="21"/>
                    </w:rPr>
                    <w:t>（颗粒物排放浓度3</w:t>
                  </w:r>
                  <w:r>
                    <w:rPr>
                      <w:sz w:val="21"/>
                      <w:szCs w:val="21"/>
                    </w:rPr>
                    <w:t>0mg/m</w:t>
                  </w:r>
                  <w:r>
                    <w:rPr>
                      <w:sz w:val="21"/>
                      <w:szCs w:val="21"/>
                      <w:vertAlign w:val="superscript"/>
                    </w:rPr>
                    <w:t>3</w:t>
                  </w:r>
                  <w:r>
                    <w:rPr>
                      <w:rFonts w:hint="eastAsia"/>
                      <w:sz w:val="21"/>
                      <w:szCs w:val="21"/>
                    </w:rPr>
                    <w:t>、氮氧化物排放浓度</w:t>
                  </w:r>
                  <w:r>
                    <w:rPr>
                      <w:sz w:val="21"/>
                      <w:szCs w:val="21"/>
                    </w:rPr>
                    <w:t>300mg/m</w:t>
                  </w:r>
                  <w:r>
                    <w:rPr>
                      <w:sz w:val="21"/>
                      <w:szCs w:val="21"/>
                      <w:vertAlign w:val="superscript"/>
                    </w:rPr>
                    <w:t>3</w:t>
                  </w:r>
                  <w:r>
                    <w:rPr>
                      <w:rFonts w:hint="eastAsia"/>
                      <w:sz w:val="21"/>
                      <w:szCs w:val="21"/>
                    </w:rPr>
                    <w:t>）</w:t>
                  </w:r>
                </w:p>
              </w:tc>
            </w:tr>
            <w:tr w14:paraId="165009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1" w:type="dxa"/>
                  <w:vMerge w:val="continue"/>
                  <w:tcBorders>
                    <w:tl2br w:val="nil"/>
                    <w:tr2bl w:val="nil"/>
                  </w:tcBorders>
                  <w:vAlign w:val="center"/>
                </w:tcPr>
                <w:p w14:paraId="79E2F4C0">
                  <w:pPr>
                    <w:jc w:val="center"/>
                    <w:rPr>
                      <w:sz w:val="21"/>
                      <w:szCs w:val="21"/>
                    </w:rPr>
                  </w:pPr>
                </w:p>
              </w:tc>
              <w:tc>
                <w:tcPr>
                  <w:tcW w:w="1212" w:type="dxa"/>
                  <w:vMerge w:val="restart"/>
                  <w:tcBorders>
                    <w:tl2br w:val="nil"/>
                    <w:tr2bl w:val="nil"/>
                  </w:tcBorders>
                  <w:vAlign w:val="center"/>
                </w:tcPr>
                <w:p w14:paraId="12D46DED">
                  <w:pPr>
                    <w:jc w:val="center"/>
                    <w:rPr>
                      <w:sz w:val="21"/>
                      <w:szCs w:val="21"/>
                    </w:rPr>
                  </w:pPr>
                  <w:r>
                    <w:rPr>
                      <w:kern w:val="0"/>
                      <w:sz w:val="21"/>
                      <w:szCs w:val="21"/>
                    </w:rPr>
                    <w:t>一般排放口</w:t>
                  </w:r>
                </w:p>
              </w:tc>
              <w:tc>
                <w:tcPr>
                  <w:tcW w:w="1255" w:type="dxa"/>
                  <w:vMerge w:val="restart"/>
                  <w:tcBorders>
                    <w:tl2br w:val="nil"/>
                    <w:tr2bl w:val="nil"/>
                  </w:tcBorders>
                  <w:shd w:val="clear" w:color="auto" w:fill="auto"/>
                  <w:vAlign w:val="center"/>
                </w:tcPr>
                <w:p w14:paraId="7A89E074">
                  <w:pPr>
                    <w:jc w:val="center"/>
                    <w:rPr>
                      <w:sz w:val="21"/>
                      <w:szCs w:val="21"/>
                    </w:rPr>
                  </w:pPr>
                  <w:r>
                    <w:rPr>
                      <w:rFonts w:hint="eastAsia"/>
                      <w:sz w:val="21"/>
                      <w:szCs w:val="21"/>
                    </w:rPr>
                    <w:t>沥青混凝土生产线</w:t>
                  </w:r>
                  <w:r>
                    <w:rPr>
                      <w:sz w:val="21"/>
                      <w:szCs w:val="21"/>
                    </w:rPr>
                    <w:t>沥青加热搅拌废气</w:t>
                  </w:r>
                  <w:r>
                    <w:rPr>
                      <w:rFonts w:hint="eastAsia"/>
                      <w:sz w:val="21"/>
                      <w:szCs w:val="21"/>
                    </w:rPr>
                    <w:t>排气筒（</w:t>
                  </w:r>
                  <w:r>
                    <w:rPr>
                      <w:sz w:val="21"/>
                      <w:szCs w:val="21"/>
                    </w:rPr>
                    <w:t>DA003</w:t>
                  </w:r>
                  <w:r>
                    <w:rPr>
                      <w:rFonts w:hint="eastAsia"/>
                      <w:sz w:val="21"/>
                      <w:szCs w:val="21"/>
                    </w:rPr>
                    <w:t>）</w:t>
                  </w:r>
                </w:p>
              </w:tc>
              <w:tc>
                <w:tcPr>
                  <w:tcW w:w="991" w:type="dxa"/>
                  <w:shd w:val="clear" w:color="auto" w:fill="auto"/>
                  <w:vAlign w:val="center"/>
                </w:tcPr>
                <w:p w14:paraId="1674CDA9">
                  <w:pPr>
                    <w:autoSpaceDE w:val="0"/>
                    <w:autoSpaceDN w:val="0"/>
                    <w:jc w:val="center"/>
                    <w:rPr>
                      <w:sz w:val="21"/>
                      <w:szCs w:val="21"/>
                    </w:rPr>
                  </w:pPr>
                  <w:r>
                    <w:rPr>
                      <w:sz w:val="21"/>
                      <w:szCs w:val="21"/>
                    </w:rPr>
                    <w:t>沥青烟</w:t>
                  </w:r>
                </w:p>
              </w:tc>
              <w:tc>
                <w:tcPr>
                  <w:tcW w:w="747" w:type="dxa"/>
                  <w:vMerge w:val="restart"/>
                  <w:tcBorders>
                    <w:tl2br w:val="nil"/>
                    <w:tr2bl w:val="nil"/>
                  </w:tcBorders>
                  <w:shd w:val="clear" w:color="auto" w:fill="auto"/>
                  <w:vAlign w:val="center"/>
                </w:tcPr>
                <w:p w14:paraId="1A028844">
                  <w:pPr>
                    <w:jc w:val="center"/>
                    <w:rPr>
                      <w:sz w:val="21"/>
                      <w:szCs w:val="21"/>
                    </w:rPr>
                  </w:pPr>
                  <w:r>
                    <w:rPr>
                      <w:rFonts w:hint="eastAsia"/>
                      <w:sz w:val="21"/>
                      <w:szCs w:val="21"/>
                    </w:rPr>
                    <w:t>1次/年</w:t>
                  </w:r>
                </w:p>
              </w:tc>
              <w:tc>
                <w:tcPr>
                  <w:tcW w:w="725" w:type="dxa"/>
                  <w:vMerge w:val="continue"/>
                  <w:tcBorders>
                    <w:tl2br w:val="nil"/>
                    <w:tr2bl w:val="nil"/>
                  </w:tcBorders>
                  <w:shd w:val="clear" w:color="auto" w:fill="auto"/>
                  <w:vAlign w:val="center"/>
                </w:tcPr>
                <w:p w14:paraId="6E325132">
                  <w:pPr>
                    <w:jc w:val="center"/>
                    <w:rPr>
                      <w:sz w:val="21"/>
                      <w:szCs w:val="21"/>
                    </w:rPr>
                  </w:pPr>
                </w:p>
              </w:tc>
              <w:tc>
                <w:tcPr>
                  <w:tcW w:w="2448" w:type="dxa"/>
                  <w:vMerge w:val="restart"/>
                  <w:tcBorders>
                    <w:tl2br w:val="nil"/>
                    <w:tr2bl w:val="nil"/>
                  </w:tcBorders>
                  <w:shd w:val="clear" w:color="auto" w:fill="auto"/>
                  <w:vAlign w:val="center"/>
                </w:tcPr>
                <w:p w14:paraId="1B61E9B8">
                  <w:pPr>
                    <w:jc w:val="center"/>
                    <w:rPr>
                      <w:sz w:val="21"/>
                      <w:szCs w:val="21"/>
                    </w:rPr>
                  </w:pPr>
                  <w:r>
                    <w:rPr>
                      <w:rFonts w:hint="eastAsia"/>
                      <w:sz w:val="21"/>
                      <w:szCs w:val="21"/>
                    </w:rPr>
                    <w:t>《大气污染物</w:t>
                  </w:r>
                  <w:r>
                    <w:rPr>
                      <w:sz w:val="21"/>
                      <w:szCs w:val="21"/>
                    </w:rPr>
                    <w:t>综合排放标准</w:t>
                  </w:r>
                  <w:r>
                    <w:rPr>
                      <w:rFonts w:hint="eastAsia"/>
                      <w:sz w:val="21"/>
                      <w:szCs w:val="21"/>
                    </w:rPr>
                    <w:t>》（GB16297-1996）表2</w:t>
                  </w:r>
                  <w:r>
                    <w:rPr>
                      <w:snapToGrid w:val="0"/>
                      <w:sz w:val="21"/>
                      <w:szCs w:val="21"/>
                    </w:rPr>
                    <w:t>新污染源大气污染物排放限值</w:t>
                  </w:r>
                  <w:r>
                    <w:rPr>
                      <w:rFonts w:hint="eastAsia"/>
                      <w:snapToGrid w:val="0"/>
                      <w:sz w:val="21"/>
                      <w:szCs w:val="21"/>
                    </w:rPr>
                    <w:t>沥青烟（</w:t>
                  </w:r>
                  <w:r>
                    <w:rPr>
                      <w:rFonts w:hint="eastAsia"/>
                      <w:sz w:val="21"/>
                      <w:szCs w:val="21"/>
                    </w:rPr>
                    <w:t>排放浓度</w:t>
                  </w:r>
                  <w:r>
                    <w:rPr>
                      <w:sz w:val="21"/>
                      <w:szCs w:val="21"/>
                    </w:rPr>
                    <w:t>75mg/m</w:t>
                  </w:r>
                  <w:r>
                    <w:rPr>
                      <w:sz w:val="21"/>
                      <w:szCs w:val="21"/>
                      <w:vertAlign w:val="superscript"/>
                    </w:rPr>
                    <w:t>3</w:t>
                  </w:r>
                  <w:r>
                    <w:rPr>
                      <w:rFonts w:hint="eastAsia"/>
                      <w:sz w:val="21"/>
                      <w:szCs w:val="21"/>
                    </w:rPr>
                    <w:t>、排放速率</w:t>
                  </w:r>
                  <w:r>
                    <w:rPr>
                      <w:sz w:val="21"/>
                      <w:szCs w:val="21"/>
                    </w:rPr>
                    <w:t>0.18kg/h</w:t>
                  </w:r>
                  <w:r>
                    <w:rPr>
                      <w:rFonts w:hint="eastAsia"/>
                      <w:snapToGrid w:val="0"/>
                      <w:sz w:val="21"/>
                      <w:szCs w:val="21"/>
                    </w:rPr>
                    <w:t>）、苯并[a]芘（</w:t>
                  </w:r>
                  <w:r>
                    <w:rPr>
                      <w:rFonts w:hint="eastAsia"/>
                      <w:sz w:val="21"/>
                      <w:szCs w:val="21"/>
                    </w:rPr>
                    <w:t>排放浓度</w:t>
                  </w:r>
                  <w:r>
                    <w:rPr>
                      <w:sz w:val="21"/>
                      <w:szCs w:val="21"/>
                    </w:rPr>
                    <w:t>0.30×10</w:t>
                  </w:r>
                  <w:r>
                    <w:rPr>
                      <w:sz w:val="21"/>
                      <w:szCs w:val="21"/>
                      <w:vertAlign w:val="superscript"/>
                    </w:rPr>
                    <w:t>-3</w:t>
                  </w:r>
                  <w:r>
                    <w:rPr>
                      <w:sz w:val="21"/>
                      <w:szCs w:val="21"/>
                    </w:rPr>
                    <w:t>mg/m</w:t>
                  </w:r>
                  <w:r>
                    <w:rPr>
                      <w:sz w:val="21"/>
                      <w:szCs w:val="21"/>
                      <w:vertAlign w:val="superscript"/>
                    </w:rPr>
                    <w:t>3</w:t>
                  </w:r>
                  <w:r>
                    <w:rPr>
                      <w:rFonts w:hint="eastAsia"/>
                      <w:sz w:val="21"/>
                      <w:szCs w:val="21"/>
                    </w:rPr>
                    <w:t>、排放速率</w:t>
                  </w:r>
                  <w:r>
                    <w:rPr>
                      <w:sz w:val="21"/>
                      <w:szCs w:val="21"/>
                    </w:rPr>
                    <w:t>0.050×10</w:t>
                  </w:r>
                  <w:r>
                    <w:rPr>
                      <w:sz w:val="21"/>
                      <w:szCs w:val="21"/>
                      <w:vertAlign w:val="superscript"/>
                    </w:rPr>
                    <w:t>-3</w:t>
                  </w:r>
                  <w:r>
                    <w:rPr>
                      <w:sz w:val="21"/>
                      <w:szCs w:val="21"/>
                    </w:rPr>
                    <w:t>kg/h</w:t>
                  </w:r>
                  <w:r>
                    <w:rPr>
                      <w:rFonts w:hint="eastAsia"/>
                      <w:snapToGrid w:val="0"/>
                      <w:sz w:val="21"/>
                      <w:szCs w:val="21"/>
                    </w:rPr>
                    <w:t>）、</w:t>
                  </w:r>
                  <w:r>
                    <w:rPr>
                      <w:snapToGrid w:val="0"/>
                      <w:sz w:val="21"/>
                      <w:szCs w:val="21"/>
                    </w:rPr>
                    <w:t>非甲烷总烃</w:t>
                  </w:r>
                  <w:r>
                    <w:rPr>
                      <w:rFonts w:hint="eastAsia"/>
                      <w:snapToGrid w:val="0"/>
                      <w:sz w:val="21"/>
                      <w:szCs w:val="21"/>
                    </w:rPr>
                    <w:t>（</w:t>
                  </w:r>
                  <w:r>
                    <w:rPr>
                      <w:rFonts w:hint="eastAsia"/>
                      <w:sz w:val="21"/>
                      <w:szCs w:val="21"/>
                    </w:rPr>
                    <w:t>排放浓度</w:t>
                  </w:r>
                  <w:r>
                    <w:rPr>
                      <w:sz w:val="21"/>
                      <w:szCs w:val="21"/>
                    </w:rPr>
                    <w:t>120mg/m</w:t>
                  </w:r>
                  <w:r>
                    <w:rPr>
                      <w:sz w:val="21"/>
                      <w:szCs w:val="21"/>
                      <w:vertAlign w:val="superscript"/>
                    </w:rPr>
                    <w:t>3</w:t>
                  </w:r>
                  <w:r>
                    <w:rPr>
                      <w:rFonts w:hint="eastAsia"/>
                      <w:sz w:val="21"/>
                      <w:szCs w:val="21"/>
                    </w:rPr>
                    <w:t>、排放速率</w:t>
                  </w:r>
                  <w:r>
                    <w:rPr>
                      <w:sz w:val="21"/>
                      <w:szCs w:val="21"/>
                    </w:rPr>
                    <w:t>10kg/h</w:t>
                  </w:r>
                  <w:r>
                    <w:rPr>
                      <w:rFonts w:hint="eastAsia"/>
                      <w:snapToGrid w:val="0"/>
                      <w:sz w:val="21"/>
                      <w:szCs w:val="21"/>
                    </w:rPr>
                    <w:t>）</w:t>
                  </w:r>
                  <w:r>
                    <w:rPr>
                      <w:snapToGrid w:val="0"/>
                      <w:sz w:val="21"/>
                      <w:szCs w:val="21"/>
                    </w:rPr>
                    <w:t>要求</w:t>
                  </w:r>
                </w:p>
              </w:tc>
            </w:tr>
            <w:tr w14:paraId="52F31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81" w:type="dxa"/>
                  <w:vMerge w:val="continue"/>
                  <w:tcBorders>
                    <w:tl2br w:val="nil"/>
                    <w:tr2bl w:val="nil"/>
                  </w:tcBorders>
                  <w:vAlign w:val="center"/>
                </w:tcPr>
                <w:p w14:paraId="179285F5">
                  <w:pPr>
                    <w:jc w:val="center"/>
                    <w:rPr>
                      <w:sz w:val="21"/>
                      <w:szCs w:val="21"/>
                    </w:rPr>
                  </w:pPr>
                </w:p>
              </w:tc>
              <w:tc>
                <w:tcPr>
                  <w:tcW w:w="1212" w:type="dxa"/>
                  <w:vMerge w:val="continue"/>
                  <w:tcBorders>
                    <w:tl2br w:val="nil"/>
                    <w:tr2bl w:val="nil"/>
                  </w:tcBorders>
                  <w:vAlign w:val="center"/>
                </w:tcPr>
                <w:p w14:paraId="6B29C9DD">
                  <w:pPr>
                    <w:jc w:val="center"/>
                    <w:rPr>
                      <w:sz w:val="21"/>
                      <w:szCs w:val="21"/>
                    </w:rPr>
                  </w:pPr>
                </w:p>
              </w:tc>
              <w:tc>
                <w:tcPr>
                  <w:tcW w:w="1255" w:type="dxa"/>
                  <w:vMerge w:val="continue"/>
                  <w:tcBorders>
                    <w:tl2br w:val="nil"/>
                    <w:tr2bl w:val="nil"/>
                  </w:tcBorders>
                  <w:shd w:val="clear" w:color="auto" w:fill="auto"/>
                  <w:vAlign w:val="center"/>
                </w:tcPr>
                <w:p w14:paraId="3D321686">
                  <w:pPr>
                    <w:jc w:val="center"/>
                    <w:rPr>
                      <w:sz w:val="21"/>
                      <w:szCs w:val="21"/>
                    </w:rPr>
                  </w:pPr>
                </w:p>
              </w:tc>
              <w:tc>
                <w:tcPr>
                  <w:tcW w:w="991" w:type="dxa"/>
                  <w:shd w:val="clear" w:color="auto" w:fill="auto"/>
                  <w:vAlign w:val="center"/>
                </w:tcPr>
                <w:p w14:paraId="4596FA9B">
                  <w:pPr>
                    <w:autoSpaceDE w:val="0"/>
                    <w:autoSpaceDN w:val="0"/>
                    <w:jc w:val="center"/>
                    <w:rPr>
                      <w:sz w:val="21"/>
                      <w:szCs w:val="21"/>
                    </w:rPr>
                  </w:pPr>
                  <w:r>
                    <w:rPr>
                      <w:sz w:val="21"/>
                      <w:szCs w:val="21"/>
                    </w:rPr>
                    <w:t>苯并[a]芘</w:t>
                  </w:r>
                </w:p>
              </w:tc>
              <w:tc>
                <w:tcPr>
                  <w:tcW w:w="747" w:type="dxa"/>
                  <w:vMerge w:val="continue"/>
                  <w:tcBorders>
                    <w:tl2br w:val="nil"/>
                    <w:tr2bl w:val="nil"/>
                  </w:tcBorders>
                  <w:shd w:val="clear" w:color="auto" w:fill="auto"/>
                  <w:vAlign w:val="center"/>
                </w:tcPr>
                <w:p w14:paraId="4C18E3AD">
                  <w:pPr>
                    <w:jc w:val="center"/>
                    <w:rPr>
                      <w:sz w:val="21"/>
                      <w:szCs w:val="21"/>
                    </w:rPr>
                  </w:pPr>
                </w:p>
              </w:tc>
              <w:tc>
                <w:tcPr>
                  <w:tcW w:w="725" w:type="dxa"/>
                  <w:vMerge w:val="continue"/>
                  <w:tcBorders>
                    <w:tl2br w:val="nil"/>
                    <w:tr2bl w:val="nil"/>
                  </w:tcBorders>
                  <w:shd w:val="clear" w:color="auto" w:fill="auto"/>
                  <w:vAlign w:val="center"/>
                </w:tcPr>
                <w:p w14:paraId="71E335BE">
                  <w:pPr>
                    <w:jc w:val="center"/>
                    <w:rPr>
                      <w:sz w:val="21"/>
                      <w:szCs w:val="21"/>
                    </w:rPr>
                  </w:pPr>
                </w:p>
              </w:tc>
              <w:tc>
                <w:tcPr>
                  <w:tcW w:w="2448" w:type="dxa"/>
                  <w:vMerge w:val="continue"/>
                  <w:tcBorders>
                    <w:tl2br w:val="nil"/>
                    <w:tr2bl w:val="nil"/>
                  </w:tcBorders>
                  <w:shd w:val="clear" w:color="auto" w:fill="auto"/>
                  <w:vAlign w:val="center"/>
                </w:tcPr>
                <w:p w14:paraId="3491A852">
                  <w:pPr>
                    <w:jc w:val="center"/>
                    <w:rPr>
                      <w:sz w:val="21"/>
                      <w:szCs w:val="21"/>
                    </w:rPr>
                  </w:pPr>
                </w:p>
              </w:tc>
            </w:tr>
            <w:tr w14:paraId="7BA2CD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Merge w:val="continue"/>
                  <w:tcBorders>
                    <w:tl2br w:val="nil"/>
                    <w:tr2bl w:val="nil"/>
                  </w:tcBorders>
                  <w:vAlign w:val="center"/>
                </w:tcPr>
                <w:p w14:paraId="5245BA8B">
                  <w:pPr>
                    <w:jc w:val="center"/>
                    <w:rPr>
                      <w:sz w:val="21"/>
                      <w:szCs w:val="21"/>
                    </w:rPr>
                  </w:pPr>
                </w:p>
              </w:tc>
              <w:tc>
                <w:tcPr>
                  <w:tcW w:w="1212" w:type="dxa"/>
                  <w:vMerge w:val="continue"/>
                  <w:tcBorders>
                    <w:tl2br w:val="nil"/>
                    <w:tr2bl w:val="nil"/>
                  </w:tcBorders>
                  <w:vAlign w:val="center"/>
                </w:tcPr>
                <w:p w14:paraId="58124E45">
                  <w:pPr>
                    <w:jc w:val="center"/>
                    <w:rPr>
                      <w:sz w:val="21"/>
                      <w:szCs w:val="21"/>
                    </w:rPr>
                  </w:pPr>
                </w:p>
              </w:tc>
              <w:tc>
                <w:tcPr>
                  <w:tcW w:w="1255" w:type="dxa"/>
                  <w:vMerge w:val="continue"/>
                  <w:tcBorders>
                    <w:tl2br w:val="nil"/>
                    <w:tr2bl w:val="nil"/>
                  </w:tcBorders>
                  <w:shd w:val="clear" w:color="auto" w:fill="auto"/>
                  <w:vAlign w:val="center"/>
                </w:tcPr>
                <w:p w14:paraId="51519CDC">
                  <w:pPr>
                    <w:jc w:val="center"/>
                    <w:rPr>
                      <w:sz w:val="21"/>
                      <w:szCs w:val="21"/>
                    </w:rPr>
                  </w:pPr>
                </w:p>
              </w:tc>
              <w:tc>
                <w:tcPr>
                  <w:tcW w:w="991" w:type="dxa"/>
                  <w:shd w:val="clear" w:color="auto" w:fill="auto"/>
                  <w:vAlign w:val="center"/>
                </w:tcPr>
                <w:p w14:paraId="42FB7E10">
                  <w:pPr>
                    <w:autoSpaceDE w:val="0"/>
                    <w:autoSpaceDN w:val="0"/>
                    <w:jc w:val="center"/>
                    <w:rPr>
                      <w:sz w:val="21"/>
                      <w:szCs w:val="21"/>
                    </w:rPr>
                  </w:pPr>
                  <w:r>
                    <w:rPr>
                      <w:sz w:val="21"/>
                      <w:szCs w:val="21"/>
                    </w:rPr>
                    <w:t>非甲烷总烃</w:t>
                  </w:r>
                </w:p>
              </w:tc>
              <w:tc>
                <w:tcPr>
                  <w:tcW w:w="747" w:type="dxa"/>
                  <w:vMerge w:val="continue"/>
                  <w:tcBorders>
                    <w:tl2br w:val="nil"/>
                    <w:tr2bl w:val="nil"/>
                  </w:tcBorders>
                  <w:shd w:val="clear" w:color="auto" w:fill="auto"/>
                  <w:vAlign w:val="center"/>
                </w:tcPr>
                <w:p w14:paraId="451FF2FF">
                  <w:pPr>
                    <w:jc w:val="center"/>
                    <w:rPr>
                      <w:sz w:val="21"/>
                      <w:szCs w:val="21"/>
                    </w:rPr>
                  </w:pPr>
                </w:p>
              </w:tc>
              <w:tc>
                <w:tcPr>
                  <w:tcW w:w="725" w:type="dxa"/>
                  <w:vMerge w:val="continue"/>
                  <w:tcBorders>
                    <w:tl2br w:val="nil"/>
                    <w:tr2bl w:val="nil"/>
                  </w:tcBorders>
                  <w:shd w:val="clear" w:color="auto" w:fill="auto"/>
                  <w:vAlign w:val="center"/>
                </w:tcPr>
                <w:p w14:paraId="75B9E98A">
                  <w:pPr>
                    <w:jc w:val="center"/>
                    <w:rPr>
                      <w:sz w:val="21"/>
                      <w:szCs w:val="21"/>
                    </w:rPr>
                  </w:pPr>
                </w:p>
              </w:tc>
              <w:tc>
                <w:tcPr>
                  <w:tcW w:w="2448" w:type="dxa"/>
                  <w:vMerge w:val="continue"/>
                  <w:tcBorders>
                    <w:tl2br w:val="nil"/>
                    <w:tr2bl w:val="nil"/>
                  </w:tcBorders>
                  <w:shd w:val="clear" w:color="auto" w:fill="auto"/>
                  <w:vAlign w:val="center"/>
                </w:tcPr>
                <w:p w14:paraId="78414937">
                  <w:pPr>
                    <w:jc w:val="center"/>
                    <w:rPr>
                      <w:sz w:val="21"/>
                      <w:szCs w:val="21"/>
                    </w:rPr>
                  </w:pPr>
                </w:p>
              </w:tc>
            </w:tr>
            <w:tr w14:paraId="47EF8E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881" w:type="dxa"/>
                  <w:vMerge w:val="continue"/>
                  <w:tcBorders>
                    <w:tl2br w:val="nil"/>
                    <w:tr2bl w:val="nil"/>
                  </w:tcBorders>
                  <w:vAlign w:val="center"/>
                </w:tcPr>
                <w:p w14:paraId="2FADA23C">
                  <w:pPr>
                    <w:jc w:val="center"/>
                    <w:rPr>
                      <w:sz w:val="21"/>
                      <w:szCs w:val="21"/>
                    </w:rPr>
                  </w:pPr>
                </w:p>
              </w:tc>
              <w:tc>
                <w:tcPr>
                  <w:tcW w:w="1212" w:type="dxa"/>
                  <w:tcBorders>
                    <w:tl2br w:val="nil"/>
                    <w:tr2bl w:val="nil"/>
                  </w:tcBorders>
                  <w:vAlign w:val="center"/>
                </w:tcPr>
                <w:p w14:paraId="3335A0DA">
                  <w:pPr>
                    <w:jc w:val="center"/>
                    <w:rPr>
                      <w:sz w:val="21"/>
                      <w:szCs w:val="21"/>
                    </w:rPr>
                  </w:pPr>
                  <w:r>
                    <w:rPr>
                      <w:kern w:val="0"/>
                      <w:sz w:val="21"/>
                      <w:szCs w:val="21"/>
                    </w:rPr>
                    <w:t>一般排放口</w:t>
                  </w:r>
                </w:p>
              </w:tc>
              <w:tc>
                <w:tcPr>
                  <w:tcW w:w="1255" w:type="dxa"/>
                  <w:tcBorders>
                    <w:tl2br w:val="nil"/>
                    <w:tr2bl w:val="nil"/>
                  </w:tcBorders>
                  <w:shd w:val="clear" w:color="auto" w:fill="auto"/>
                  <w:vAlign w:val="center"/>
                </w:tcPr>
                <w:p w14:paraId="2B68A8DB">
                  <w:pPr>
                    <w:jc w:val="center"/>
                    <w:rPr>
                      <w:sz w:val="21"/>
                      <w:szCs w:val="21"/>
                    </w:rPr>
                  </w:pPr>
                  <w:r>
                    <w:rPr>
                      <w:rFonts w:hint="eastAsia"/>
                      <w:sz w:val="21"/>
                      <w:szCs w:val="21"/>
                    </w:rPr>
                    <w:t>沥青混凝土生产线导热油加热醇醚燃烧废气排气筒（</w:t>
                  </w:r>
                  <w:r>
                    <w:rPr>
                      <w:sz w:val="21"/>
                      <w:szCs w:val="21"/>
                    </w:rPr>
                    <w:t>DA004</w:t>
                  </w:r>
                  <w:r>
                    <w:rPr>
                      <w:rFonts w:hint="eastAsia"/>
                      <w:sz w:val="21"/>
                      <w:szCs w:val="21"/>
                    </w:rPr>
                    <w:t>）</w:t>
                  </w:r>
                </w:p>
              </w:tc>
              <w:tc>
                <w:tcPr>
                  <w:tcW w:w="991" w:type="dxa"/>
                  <w:shd w:val="clear" w:color="auto" w:fill="auto"/>
                  <w:vAlign w:val="center"/>
                </w:tcPr>
                <w:p w14:paraId="6922B558">
                  <w:pPr>
                    <w:autoSpaceDE w:val="0"/>
                    <w:autoSpaceDN w:val="0"/>
                    <w:jc w:val="center"/>
                    <w:rPr>
                      <w:sz w:val="21"/>
                      <w:szCs w:val="21"/>
                    </w:rPr>
                  </w:pPr>
                  <w:r>
                    <w:rPr>
                      <w:rFonts w:hint="eastAsia"/>
                      <w:sz w:val="21"/>
                      <w:szCs w:val="21"/>
                    </w:rPr>
                    <w:t>颗粒物、氮氧化物</w:t>
                  </w:r>
                </w:p>
              </w:tc>
              <w:tc>
                <w:tcPr>
                  <w:tcW w:w="747" w:type="dxa"/>
                  <w:tcBorders>
                    <w:tl2br w:val="nil"/>
                    <w:tr2bl w:val="nil"/>
                  </w:tcBorders>
                  <w:shd w:val="clear" w:color="auto" w:fill="auto"/>
                  <w:vAlign w:val="center"/>
                </w:tcPr>
                <w:p w14:paraId="7393DE5C">
                  <w:pPr>
                    <w:jc w:val="center"/>
                    <w:rPr>
                      <w:sz w:val="21"/>
                      <w:szCs w:val="21"/>
                    </w:rPr>
                  </w:pPr>
                  <w:r>
                    <w:rPr>
                      <w:rFonts w:hint="eastAsia"/>
                      <w:sz w:val="21"/>
                      <w:szCs w:val="21"/>
                    </w:rPr>
                    <w:t>1次/月</w:t>
                  </w:r>
                </w:p>
              </w:tc>
              <w:tc>
                <w:tcPr>
                  <w:tcW w:w="725" w:type="dxa"/>
                  <w:vMerge w:val="continue"/>
                  <w:tcBorders>
                    <w:tl2br w:val="nil"/>
                    <w:tr2bl w:val="nil"/>
                  </w:tcBorders>
                  <w:shd w:val="clear" w:color="auto" w:fill="auto"/>
                  <w:vAlign w:val="center"/>
                </w:tcPr>
                <w:p w14:paraId="0AC6771F">
                  <w:pPr>
                    <w:jc w:val="center"/>
                    <w:rPr>
                      <w:sz w:val="21"/>
                      <w:szCs w:val="21"/>
                    </w:rPr>
                  </w:pPr>
                </w:p>
              </w:tc>
              <w:tc>
                <w:tcPr>
                  <w:tcW w:w="2448" w:type="dxa"/>
                  <w:tcBorders>
                    <w:tl2br w:val="nil"/>
                    <w:tr2bl w:val="nil"/>
                  </w:tcBorders>
                  <w:shd w:val="clear" w:color="auto" w:fill="auto"/>
                  <w:vAlign w:val="center"/>
                </w:tcPr>
                <w:p w14:paraId="7AD491F0">
                  <w:pPr>
                    <w:jc w:val="center"/>
                    <w:rPr>
                      <w:sz w:val="21"/>
                      <w:szCs w:val="21"/>
                    </w:rPr>
                  </w:pPr>
                  <w:r>
                    <w:rPr>
                      <w:rFonts w:hint="eastAsia"/>
                      <w:sz w:val="21"/>
                      <w:szCs w:val="21"/>
                    </w:rPr>
                    <w:t>《锅炉大气污染物排放标准》（G</w:t>
                  </w:r>
                  <w:r>
                    <w:rPr>
                      <w:sz w:val="21"/>
                      <w:szCs w:val="21"/>
                    </w:rPr>
                    <w:t>B13271-2014</w:t>
                  </w:r>
                  <w:r>
                    <w:rPr>
                      <w:rFonts w:hint="eastAsia"/>
                      <w:sz w:val="21"/>
                      <w:szCs w:val="21"/>
                    </w:rPr>
                    <w:t>）中表</w:t>
                  </w:r>
                  <w:r>
                    <w:rPr>
                      <w:sz w:val="21"/>
                      <w:szCs w:val="21"/>
                    </w:rPr>
                    <w:t>2大气污染物排放限值中燃油锅炉</w:t>
                  </w:r>
                  <w:r>
                    <w:rPr>
                      <w:rFonts w:hint="eastAsia"/>
                      <w:sz w:val="21"/>
                      <w:szCs w:val="21"/>
                    </w:rPr>
                    <w:t>要求（3</w:t>
                  </w:r>
                  <w:r>
                    <w:rPr>
                      <w:sz w:val="21"/>
                      <w:szCs w:val="21"/>
                    </w:rPr>
                    <w:t>0mg/m</w:t>
                  </w:r>
                  <w:r>
                    <w:rPr>
                      <w:sz w:val="21"/>
                      <w:szCs w:val="21"/>
                      <w:vertAlign w:val="superscript"/>
                    </w:rPr>
                    <w:t>3</w:t>
                  </w:r>
                  <w:r>
                    <w:rPr>
                      <w:rFonts w:hint="eastAsia"/>
                      <w:sz w:val="21"/>
                      <w:szCs w:val="21"/>
                    </w:rPr>
                    <w:t>、氮氧化物排放浓度</w:t>
                  </w:r>
                  <w:r>
                    <w:rPr>
                      <w:sz w:val="21"/>
                      <w:szCs w:val="21"/>
                    </w:rPr>
                    <w:t>250mg/m</w:t>
                  </w:r>
                  <w:r>
                    <w:rPr>
                      <w:sz w:val="21"/>
                      <w:szCs w:val="21"/>
                      <w:vertAlign w:val="superscript"/>
                    </w:rPr>
                    <w:t>3</w:t>
                  </w:r>
                  <w:r>
                    <w:rPr>
                      <w:rFonts w:hint="eastAsia"/>
                      <w:sz w:val="21"/>
                      <w:szCs w:val="21"/>
                    </w:rPr>
                    <w:t>）</w:t>
                  </w:r>
                </w:p>
              </w:tc>
            </w:tr>
            <w:tr w14:paraId="7A5634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Merge w:val="continue"/>
                  <w:tcBorders>
                    <w:tl2br w:val="nil"/>
                    <w:tr2bl w:val="nil"/>
                  </w:tcBorders>
                  <w:vAlign w:val="center"/>
                </w:tcPr>
                <w:p w14:paraId="5D31BDCE">
                  <w:pPr>
                    <w:jc w:val="center"/>
                    <w:rPr>
                      <w:sz w:val="21"/>
                      <w:szCs w:val="21"/>
                    </w:rPr>
                  </w:pPr>
                </w:p>
              </w:tc>
              <w:tc>
                <w:tcPr>
                  <w:tcW w:w="1212" w:type="dxa"/>
                  <w:tcBorders>
                    <w:tl2br w:val="nil"/>
                    <w:tr2bl w:val="nil"/>
                  </w:tcBorders>
                  <w:vAlign w:val="center"/>
                </w:tcPr>
                <w:p w14:paraId="584B5E01">
                  <w:pPr>
                    <w:jc w:val="center"/>
                    <w:rPr>
                      <w:sz w:val="21"/>
                      <w:szCs w:val="21"/>
                    </w:rPr>
                  </w:pPr>
                  <w:r>
                    <w:rPr>
                      <w:kern w:val="0"/>
                      <w:sz w:val="21"/>
                      <w:szCs w:val="21"/>
                    </w:rPr>
                    <w:t>一般排放口</w:t>
                  </w:r>
                </w:p>
              </w:tc>
              <w:tc>
                <w:tcPr>
                  <w:tcW w:w="1255" w:type="dxa"/>
                  <w:tcBorders>
                    <w:tl2br w:val="nil"/>
                    <w:tr2bl w:val="nil"/>
                  </w:tcBorders>
                  <w:shd w:val="clear" w:color="auto" w:fill="auto"/>
                  <w:vAlign w:val="center"/>
                </w:tcPr>
                <w:p w14:paraId="5E6221DB">
                  <w:pPr>
                    <w:jc w:val="center"/>
                    <w:rPr>
                      <w:sz w:val="21"/>
                      <w:szCs w:val="21"/>
                    </w:rPr>
                  </w:pPr>
                  <w:r>
                    <w:rPr>
                      <w:rFonts w:hint="eastAsia"/>
                      <w:sz w:val="21"/>
                      <w:szCs w:val="21"/>
                    </w:rPr>
                    <w:t>水泥混凝土生产线搅拌粉尘排气筒（</w:t>
                  </w:r>
                  <w:r>
                    <w:rPr>
                      <w:sz w:val="21"/>
                      <w:szCs w:val="21"/>
                    </w:rPr>
                    <w:t>DA005）</w:t>
                  </w:r>
                </w:p>
              </w:tc>
              <w:tc>
                <w:tcPr>
                  <w:tcW w:w="991" w:type="dxa"/>
                  <w:tcBorders>
                    <w:tl2br w:val="nil"/>
                    <w:tr2bl w:val="nil"/>
                  </w:tcBorders>
                  <w:shd w:val="clear" w:color="auto" w:fill="auto"/>
                  <w:vAlign w:val="center"/>
                </w:tcPr>
                <w:p w14:paraId="75B9B20F">
                  <w:pPr>
                    <w:jc w:val="center"/>
                    <w:rPr>
                      <w:sz w:val="21"/>
                      <w:szCs w:val="21"/>
                    </w:rPr>
                  </w:pPr>
                  <w:r>
                    <w:rPr>
                      <w:rFonts w:hint="eastAsia"/>
                      <w:sz w:val="21"/>
                      <w:szCs w:val="21"/>
                    </w:rPr>
                    <w:t>颗粒物</w:t>
                  </w:r>
                </w:p>
              </w:tc>
              <w:tc>
                <w:tcPr>
                  <w:tcW w:w="747" w:type="dxa"/>
                  <w:tcBorders>
                    <w:tl2br w:val="nil"/>
                    <w:tr2bl w:val="nil"/>
                  </w:tcBorders>
                  <w:shd w:val="clear" w:color="auto" w:fill="auto"/>
                  <w:vAlign w:val="center"/>
                </w:tcPr>
                <w:p w14:paraId="6FF0F20A">
                  <w:pPr>
                    <w:jc w:val="center"/>
                    <w:rPr>
                      <w:sz w:val="21"/>
                      <w:szCs w:val="21"/>
                    </w:rPr>
                  </w:pPr>
                  <w:r>
                    <w:rPr>
                      <w:rFonts w:hint="eastAsia"/>
                      <w:sz w:val="21"/>
                      <w:szCs w:val="21"/>
                    </w:rPr>
                    <w:t>1次/</w:t>
                  </w:r>
                  <w:r>
                    <w:rPr>
                      <w:sz w:val="21"/>
                      <w:szCs w:val="21"/>
                    </w:rPr>
                    <w:t>2</w:t>
                  </w:r>
                  <w:r>
                    <w:rPr>
                      <w:rFonts w:hint="eastAsia"/>
                      <w:sz w:val="21"/>
                      <w:szCs w:val="21"/>
                    </w:rPr>
                    <w:t>年</w:t>
                  </w:r>
                </w:p>
              </w:tc>
              <w:tc>
                <w:tcPr>
                  <w:tcW w:w="725" w:type="dxa"/>
                  <w:vMerge w:val="continue"/>
                  <w:tcBorders>
                    <w:tl2br w:val="nil"/>
                    <w:tr2bl w:val="nil"/>
                  </w:tcBorders>
                  <w:shd w:val="clear" w:color="auto" w:fill="auto"/>
                  <w:vAlign w:val="center"/>
                </w:tcPr>
                <w:p w14:paraId="09826EEF">
                  <w:pPr>
                    <w:jc w:val="center"/>
                    <w:rPr>
                      <w:sz w:val="21"/>
                      <w:szCs w:val="21"/>
                    </w:rPr>
                  </w:pPr>
                </w:p>
              </w:tc>
              <w:tc>
                <w:tcPr>
                  <w:tcW w:w="2448" w:type="dxa"/>
                  <w:tcBorders>
                    <w:tl2br w:val="nil"/>
                    <w:tr2bl w:val="nil"/>
                  </w:tcBorders>
                  <w:shd w:val="clear" w:color="auto" w:fill="auto"/>
                  <w:vAlign w:val="center"/>
                </w:tcPr>
                <w:p w14:paraId="6BE67FB1">
                  <w:pPr>
                    <w:jc w:val="center"/>
                    <w:rPr>
                      <w:sz w:val="21"/>
                      <w:szCs w:val="21"/>
                    </w:rPr>
                  </w:pPr>
                  <w:r>
                    <w:rPr>
                      <w:rFonts w:hint="eastAsia"/>
                      <w:sz w:val="21"/>
                      <w:szCs w:val="21"/>
                    </w:rPr>
                    <w:t>《水泥工业大气污染物排放标准》</w:t>
                  </w:r>
                </w:p>
                <w:p w14:paraId="04BDA456">
                  <w:pPr>
                    <w:jc w:val="center"/>
                    <w:rPr>
                      <w:sz w:val="21"/>
                      <w:szCs w:val="21"/>
                    </w:rPr>
                  </w:pPr>
                  <w:r>
                    <w:rPr>
                      <w:rFonts w:hint="eastAsia"/>
                      <w:sz w:val="21"/>
                      <w:szCs w:val="21"/>
                    </w:rPr>
                    <w:t>（GB4915-2013）大气污染物排放限值20mg/m</w:t>
                  </w:r>
                  <w:r>
                    <w:rPr>
                      <w:rFonts w:hint="eastAsia"/>
                      <w:sz w:val="21"/>
                      <w:szCs w:val="21"/>
                      <w:vertAlign w:val="superscript"/>
                    </w:rPr>
                    <w:t>3</w:t>
                  </w:r>
                  <w:r>
                    <w:rPr>
                      <w:rFonts w:hint="eastAsia"/>
                      <w:sz w:val="21"/>
                      <w:szCs w:val="21"/>
                    </w:rPr>
                    <w:t>要求</w:t>
                  </w:r>
                </w:p>
              </w:tc>
            </w:tr>
            <w:tr w14:paraId="3A4EF6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gridSpan w:val="2"/>
                  <w:vMerge w:val="restart"/>
                  <w:tcBorders>
                    <w:tl2br w:val="nil"/>
                    <w:tr2bl w:val="nil"/>
                  </w:tcBorders>
                  <w:vAlign w:val="center"/>
                </w:tcPr>
                <w:p w14:paraId="582D1572">
                  <w:pPr>
                    <w:jc w:val="center"/>
                    <w:rPr>
                      <w:sz w:val="21"/>
                      <w:szCs w:val="21"/>
                    </w:rPr>
                  </w:pPr>
                  <w:r>
                    <w:rPr>
                      <w:rFonts w:hint="eastAsia"/>
                      <w:sz w:val="21"/>
                      <w:szCs w:val="21"/>
                    </w:rPr>
                    <w:t>无组织</w:t>
                  </w:r>
                </w:p>
              </w:tc>
              <w:tc>
                <w:tcPr>
                  <w:tcW w:w="1255" w:type="dxa"/>
                  <w:tcBorders>
                    <w:tl2br w:val="nil"/>
                    <w:tr2bl w:val="nil"/>
                  </w:tcBorders>
                  <w:shd w:val="clear" w:color="auto" w:fill="auto"/>
                  <w:vAlign w:val="center"/>
                </w:tcPr>
                <w:p w14:paraId="549C890F">
                  <w:pPr>
                    <w:jc w:val="center"/>
                    <w:rPr>
                      <w:sz w:val="21"/>
                      <w:szCs w:val="21"/>
                    </w:rPr>
                  </w:pPr>
                  <w:r>
                    <w:rPr>
                      <w:rFonts w:hint="eastAsia"/>
                      <w:sz w:val="21"/>
                      <w:szCs w:val="21"/>
                    </w:rPr>
                    <w:t>厂界</w:t>
                  </w:r>
                </w:p>
              </w:tc>
              <w:tc>
                <w:tcPr>
                  <w:tcW w:w="991" w:type="dxa"/>
                  <w:tcBorders>
                    <w:tl2br w:val="nil"/>
                    <w:tr2bl w:val="nil"/>
                  </w:tcBorders>
                  <w:shd w:val="clear" w:color="auto" w:fill="auto"/>
                  <w:vAlign w:val="center"/>
                </w:tcPr>
                <w:p w14:paraId="1442EBB4">
                  <w:pPr>
                    <w:jc w:val="center"/>
                    <w:rPr>
                      <w:sz w:val="21"/>
                      <w:szCs w:val="21"/>
                    </w:rPr>
                  </w:pPr>
                  <w:r>
                    <w:rPr>
                      <w:sz w:val="21"/>
                      <w:szCs w:val="21"/>
                    </w:rPr>
                    <w:t>颗粒物</w:t>
                  </w:r>
                  <w:r>
                    <w:rPr>
                      <w:rFonts w:hint="eastAsia"/>
                      <w:sz w:val="21"/>
                      <w:szCs w:val="21"/>
                    </w:rPr>
                    <w:t>、苯并[a]芘、</w:t>
                  </w:r>
                  <w:r>
                    <w:rPr>
                      <w:sz w:val="21"/>
                      <w:szCs w:val="21"/>
                    </w:rPr>
                    <w:t>沥青烟</w:t>
                  </w:r>
                  <w:r>
                    <w:rPr>
                      <w:rFonts w:hint="eastAsia"/>
                      <w:sz w:val="21"/>
                      <w:szCs w:val="21"/>
                    </w:rPr>
                    <w:t>、非甲烷总烃</w:t>
                  </w:r>
                </w:p>
              </w:tc>
              <w:tc>
                <w:tcPr>
                  <w:tcW w:w="747" w:type="dxa"/>
                  <w:tcBorders>
                    <w:tl2br w:val="nil"/>
                    <w:tr2bl w:val="nil"/>
                  </w:tcBorders>
                  <w:shd w:val="clear" w:color="auto" w:fill="auto"/>
                  <w:vAlign w:val="center"/>
                </w:tcPr>
                <w:p w14:paraId="66591767">
                  <w:pPr>
                    <w:jc w:val="center"/>
                    <w:rPr>
                      <w:sz w:val="21"/>
                      <w:szCs w:val="21"/>
                    </w:rPr>
                  </w:pPr>
                  <w:r>
                    <w:rPr>
                      <w:rFonts w:hint="eastAsia"/>
                      <w:sz w:val="21"/>
                      <w:szCs w:val="21"/>
                    </w:rPr>
                    <w:t>1次/季度</w:t>
                  </w:r>
                </w:p>
              </w:tc>
              <w:tc>
                <w:tcPr>
                  <w:tcW w:w="725" w:type="dxa"/>
                  <w:vMerge w:val="continue"/>
                  <w:tcBorders>
                    <w:tl2br w:val="nil"/>
                    <w:tr2bl w:val="nil"/>
                  </w:tcBorders>
                  <w:shd w:val="clear" w:color="auto" w:fill="auto"/>
                  <w:vAlign w:val="center"/>
                </w:tcPr>
                <w:p w14:paraId="02E3C168">
                  <w:pPr>
                    <w:jc w:val="center"/>
                    <w:rPr>
                      <w:sz w:val="21"/>
                      <w:szCs w:val="21"/>
                    </w:rPr>
                  </w:pPr>
                </w:p>
              </w:tc>
              <w:tc>
                <w:tcPr>
                  <w:tcW w:w="2448" w:type="dxa"/>
                  <w:tcBorders>
                    <w:tl2br w:val="nil"/>
                    <w:tr2bl w:val="nil"/>
                  </w:tcBorders>
                  <w:shd w:val="clear" w:color="auto" w:fill="auto"/>
                  <w:vAlign w:val="center"/>
                </w:tcPr>
                <w:p w14:paraId="767F7756">
                  <w:pPr>
                    <w:jc w:val="center"/>
                    <w:rPr>
                      <w:sz w:val="21"/>
                      <w:szCs w:val="21"/>
                    </w:rPr>
                  </w:pPr>
                  <w:r>
                    <w:rPr>
                      <w:rFonts w:hint="eastAsia"/>
                      <w:sz w:val="21"/>
                      <w:szCs w:val="21"/>
                    </w:rPr>
                    <w:t>《水泥工业大气污染物排放标准》</w:t>
                  </w:r>
                </w:p>
                <w:p w14:paraId="1312262B">
                  <w:pPr>
                    <w:jc w:val="center"/>
                    <w:rPr>
                      <w:sz w:val="21"/>
                      <w:szCs w:val="21"/>
                    </w:rPr>
                  </w:pPr>
                  <w:r>
                    <w:rPr>
                      <w:rFonts w:hint="eastAsia"/>
                      <w:sz w:val="21"/>
                      <w:szCs w:val="21"/>
                    </w:rPr>
                    <w:t>（GB4915-2013）大气污染物排放限值</w:t>
                  </w:r>
                  <w:r>
                    <w:rPr>
                      <w:sz w:val="21"/>
                      <w:szCs w:val="21"/>
                    </w:rPr>
                    <w:t>0.5</w:t>
                  </w:r>
                  <w:r>
                    <w:rPr>
                      <w:rFonts w:hint="eastAsia"/>
                      <w:sz w:val="21"/>
                      <w:szCs w:val="21"/>
                    </w:rPr>
                    <w:t>mg/m</w:t>
                  </w:r>
                  <w:r>
                    <w:rPr>
                      <w:rFonts w:hint="eastAsia"/>
                      <w:sz w:val="21"/>
                      <w:szCs w:val="21"/>
                      <w:vertAlign w:val="superscript"/>
                    </w:rPr>
                    <w:t>3</w:t>
                  </w:r>
                  <w:r>
                    <w:rPr>
                      <w:rFonts w:hint="eastAsia"/>
                      <w:sz w:val="21"/>
                      <w:szCs w:val="21"/>
                    </w:rPr>
                    <w:t>要求及《大气污染物</w:t>
                  </w:r>
                  <w:r>
                    <w:rPr>
                      <w:sz w:val="21"/>
                      <w:szCs w:val="21"/>
                    </w:rPr>
                    <w:t>综合排放标准</w:t>
                  </w:r>
                  <w:r>
                    <w:rPr>
                      <w:rFonts w:hint="eastAsia"/>
                      <w:sz w:val="21"/>
                      <w:szCs w:val="21"/>
                    </w:rPr>
                    <w:t>》（GB16297-1996）表2新污染源大气污染物排放限值（沥青烟</w:t>
                  </w:r>
                  <w:r>
                    <w:rPr>
                      <w:sz w:val="21"/>
                      <w:szCs w:val="21"/>
                    </w:rPr>
                    <w:t>生产设备不得有明显的无组织排放存在</w:t>
                  </w:r>
                  <w:r>
                    <w:rPr>
                      <w:rFonts w:hint="eastAsia"/>
                      <w:sz w:val="21"/>
                      <w:szCs w:val="21"/>
                    </w:rPr>
                    <w:t>、苯并芘</w:t>
                  </w:r>
                  <w:r>
                    <w:rPr>
                      <w:sz w:val="21"/>
                      <w:szCs w:val="21"/>
                    </w:rPr>
                    <w:t>0.008μg/m³</w:t>
                  </w:r>
                  <w:r>
                    <w:rPr>
                      <w:rFonts w:hint="eastAsia"/>
                      <w:sz w:val="21"/>
                      <w:szCs w:val="21"/>
                    </w:rPr>
                    <w:t>、非甲烷总烃</w:t>
                  </w:r>
                  <w:r>
                    <w:rPr>
                      <w:sz w:val="21"/>
                      <w:szCs w:val="21"/>
                    </w:rPr>
                    <w:t>4.0mg/m</w:t>
                  </w:r>
                  <w:r>
                    <w:rPr>
                      <w:sz w:val="21"/>
                      <w:szCs w:val="21"/>
                      <w:vertAlign w:val="superscript"/>
                    </w:rPr>
                    <w:t>3</w:t>
                  </w:r>
                  <w:r>
                    <w:rPr>
                      <w:rFonts w:hint="eastAsia"/>
                      <w:sz w:val="21"/>
                      <w:szCs w:val="21"/>
                    </w:rPr>
                    <w:t>）要求</w:t>
                  </w:r>
                </w:p>
              </w:tc>
            </w:tr>
            <w:tr w14:paraId="2A82C9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gridSpan w:val="2"/>
                  <w:vMerge w:val="continue"/>
                  <w:tcBorders>
                    <w:tl2br w:val="nil"/>
                    <w:tr2bl w:val="nil"/>
                  </w:tcBorders>
                  <w:vAlign w:val="center"/>
                </w:tcPr>
                <w:p w14:paraId="0260914B">
                  <w:pPr>
                    <w:jc w:val="center"/>
                    <w:rPr>
                      <w:sz w:val="21"/>
                      <w:szCs w:val="21"/>
                    </w:rPr>
                  </w:pPr>
                </w:p>
              </w:tc>
              <w:tc>
                <w:tcPr>
                  <w:tcW w:w="1255" w:type="dxa"/>
                  <w:tcBorders>
                    <w:tl2br w:val="nil"/>
                    <w:tr2bl w:val="nil"/>
                  </w:tcBorders>
                  <w:shd w:val="clear" w:color="auto" w:fill="auto"/>
                  <w:vAlign w:val="center"/>
                </w:tcPr>
                <w:p w14:paraId="4DB28F09">
                  <w:pPr>
                    <w:jc w:val="center"/>
                    <w:rPr>
                      <w:sz w:val="21"/>
                      <w:szCs w:val="21"/>
                    </w:rPr>
                  </w:pPr>
                  <w:r>
                    <w:rPr>
                      <w:rFonts w:hint="eastAsia"/>
                      <w:sz w:val="21"/>
                      <w:szCs w:val="21"/>
                    </w:rPr>
                    <w:t>厂房外</w:t>
                  </w:r>
                </w:p>
              </w:tc>
              <w:tc>
                <w:tcPr>
                  <w:tcW w:w="991" w:type="dxa"/>
                  <w:tcBorders>
                    <w:tl2br w:val="nil"/>
                    <w:tr2bl w:val="nil"/>
                  </w:tcBorders>
                  <w:shd w:val="clear" w:color="auto" w:fill="auto"/>
                  <w:vAlign w:val="center"/>
                </w:tcPr>
                <w:p w14:paraId="56262D3A">
                  <w:pPr>
                    <w:jc w:val="center"/>
                    <w:rPr>
                      <w:sz w:val="21"/>
                      <w:szCs w:val="21"/>
                    </w:rPr>
                  </w:pPr>
                  <w:r>
                    <w:rPr>
                      <w:rFonts w:hint="eastAsia"/>
                      <w:sz w:val="21"/>
                      <w:szCs w:val="21"/>
                    </w:rPr>
                    <w:t>非甲烷总烃</w:t>
                  </w:r>
                </w:p>
              </w:tc>
              <w:tc>
                <w:tcPr>
                  <w:tcW w:w="747" w:type="dxa"/>
                  <w:tcBorders>
                    <w:tl2br w:val="nil"/>
                    <w:tr2bl w:val="nil"/>
                  </w:tcBorders>
                  <w:shd w:val="clear" w:color="auto" w:fill="auto"/>
                  <w:vAlign w:val="center"/>
                </w:tcPr>
                <w:p w14:paraId="11A1FC90">
                  <w:pPr>
                    <w:jc w:val="center"/>
                    <w:rPr>
                      <w:sz w:val="21"/>
                      <w:szCs w:val="21"/>
                    </w:rPr>
                  </w:pPr>
                  <w:r>
                    <w:rPr>
                      <w:rFonts w:hint="eastAsia"/>
                      <w:sz w:val="21"/>
                      <w:szCs w:val="21"/>
                    </w:rPr>
                    <w:t>1次/年</w:t>
                  </w:r>
                </w:p>
              </w:tc>
              <w:tc>
                <w:tcPr>
                  <w:tcW w:w="725" w:type="dxa"/>
                  <w:vMerge w:val="continue"/>
                  <w:tcBorders>
                    <w:tl2br w:val="nil"/>
                    <w:tr2bl w:val="nil"/>
                  </w:tcBorders>
                  <w:shd w:val="clear" w:color="auto" w:fill="auto"/>
                  <w:vAlign w:val="center"/>
                </w:tcPr>
                <w:p w14:paraId="0E62E8C6">
                  <w:pPr>
                    <w:jc w:val="center"/>
                    <w:rPr>
                      <w:sz w:val="21"/>
                      <w:szCs w:val="21"/>
                    </w:rPr>
                  </w:pPr>
                </w:p>
              </w:tc>
              <w:tc>
                <w:tcPr>
                  <w:tcW w:w="2448" w:type="dxa"/>
                  <w:tcBorders>
                    <w:tl2br w:val="nil"/>
                    <w:tr2bl w:val="nil"/>
                  </w:tcBorders>
                  <w:shd w:val="clear" w:color="auto" w:fill="auto"/>
                  <w:vAlign w:val="center"/>
                </w:tcPr>
                <w:p w14:paraId="038899D9">
                  <w:pPr>
                    <w:jc w:val="center"/>
                    <w:rPr>
                      <w:sz w:val="21"/>
                      <w:szCs w:val="21"/>
                    </w:rPr>
                  </w:pPr>
                  <w:r>
                    <w:rPr>
                      <w:sz w:val="21"/>
                      <w:szCs w:val="21"/>
                    </w:rPr>
                    <w:t>《挥发性有机物无组织排放控制标准》（GB 37822-2019）厂区内VOCs无组织排放限值</w:t>
                  </w:r>
                  <w:r>
                    <w:rPr>
                      <w:rFonts w:hint="eastAsia"/>
                      <w:sz w:val="21"/>
                      <w:szCs w:val="21"/>
                    </w:rPr>
                    <w:t>（监控点处1</w:t>
                  </w:r>
                  <w:r>
                    <w:rPr>
                      <w:sz w:val="21"/>
                      <w:szCs w:val="21"/>
                    </w:rPr>
                    <w:t>h</w:t>
                  </w:r>
                  <w:r>
                    <w:rPr>
                      <w:rFonts w:hint="eastAsia"/>
                      <w:sz w:val="21"/>
                      <w:szCs w:val="21"/>
                    </w:rPr>
                    <w:t>平均浓度值1</w:t>
                  </w:r>
                  <w:r>
                    <w:rPr>
                      <w:sz w:val="21"/>
                      <w:szCs w:val="21"/>
                    </w:rPr>
                    <w:t>0mg/m</w:t>
                  </w:r>
                  <w:r>
                    <w:rPr>
                      <w:sz w:val="21"/>
                      <w:szCs w:val="21"/>
                      <w:vertAlign w:val="superscript"/>
                    </w:rPr>
                    <w:t>3</w:t>
                  </w:r>
                  <w:r>
                    <w:rPr>
                      <w:rFonts w:hint="eastAsia"/>
                      <w:sz w:val="21"/>
                      <w:szCs w:val="21"/>
                    </w:rPr>
                    <w:t>、监控点处任意一次浓度值3</w:t>
                  </w:r>
                  <w:r>
                    <w:rPr>
                      <w:sz w:val="21"/>
                      <w:szCs w:val="21"/>
                    </w:rPr>
                    <w:t>0mg/m</w:t>
                  </w:r>
                  <w:r>
                    <w:rPr>
                      <w:sz w:val="21"/>
                      <w:szCs w:val="21"/>
                      <w:vertAlign w:val="superscript"/>
                    </w:rPr>
                    <w:t>3</w:t>
                  </w:r>
                  <w:r>
                    <w:rPr>
                      <w:rFonts w:hint="eastAsia"/>
                      <w:sz w:val="21"/>
                      <w:szCs w:val="21"/>
                    </w:rPr>
                    <w:t>）要求</w:t>
                  </w:r>
                </w:p>
              </w:tc>
            </w:tr>
          </w:tbl>
          <w:p w14:paraId="7686E751">
            <w:pPr>
              <w:keepNext/>
              <w:keepLines/>
              <w:spacing w:line="460" w:lineRule="exact"/>
              <w:ind w:firstLine="482" w:firstLineChars="200"/>
              <w:rPr>
                <w:rFonts w:eastAsia="等线"/>
                <w:b/>
                <w:bCs/>
              </w:rPr>
            </w:pPr>
            <w:r>
              <w:rPr>
                <w:b/>
                <w:bCs/>
              </w:rPr>
              <w:t>1.4小结</w:t>
            </w:r>
          </w:p>
          <w:p w14:paraId="30650BEF">
            <w:pPr>
              <w:adjustRightInd w:val="0"/>
              <w:snapToGrid w:val="0"/>
              <w:spacing w:line="460" w:lineRule="exact"/>
              <w:ind w:firstLine="480" w:firstLineChars="200"/>
            </w:pPr>
            <w:r>
              <w:t>项目位于</w:t>
            </w:r>
            <w:r>
              <w:rPr>
                <w:rFonts w:hint="eastAsia"/>
              </w:rPr>
              <w:t>新疆维吾尔自治区昌吉回族自治州奇台县喇嘛湖梁工业园区</w:t>
            </w:r>
            <w:r>
              <w:t>，周围500m范围内无环境保护目标分布，项目产生有组织污染物</w:t>
            </w:r>
            <w:r>
              <w:rPr>
                <w:rFonts w:hint="eastAsia"/>
              </w:rPr>
              <w:t>颗粒物</w:t>
            </w:r>
            <w:r>
              <w:t>、</w:t>
            </w:r>
            <w:r>
              <w:rPr>
                <w:rFonts w:hint="eastAsia"/>
              </w:rPr>
              <w:t>苯并[a]芘</w:t>
            </w:r>
            <w:r>
              <w:t>、</w:t>
            </w:r>
            <w:r>
              <w:rPr>
                <w:rFonts w:hint="eastAsia"/>
              </w:rPr>
              <w:t>沥青烟、</w:t>
            </w:r>
            <w:r>
              <w:t>非甲烷总烃所采取的袋式除尘器、电捕焦油器、活性炭吸附</w:t>
            </w:r>
            <w:r>
              <w:rPr>
                <w:rFonts w:hint="eastAsia"/>
              </w:rPr>
              <w:t>装置</w:t>
            </w:r>
            <w:r>
              <w:t>等均为目前国内成熟应用技术，无组织采取洒水降尘等措施，污染防治措施可行，经过处理后可以确保各类污染物达标排放，对大气环境的影响可以接受。</w:t>
            </w:r>
          </w:p>
          <w:p w14:paraId="2F878CE4">
            <w:pPr>
              <w:keepNext/>
              <w:keepLines/>
              <w:spacing w:line="460" w:lineRule="exact"/>
              <w:ind w:firstLine="482" w:firstLineChars="200"/>
              <w:rPr>
                <w:rFonts w:eastAsia="等线"/>
                <w:b/>
                <w:bCs/>
              </w:rPr>
            </w:pPr>
            <w:r>
              <w:rPr>
                <w:b/>
                <w:bCs/>
              </w:rPr>
              <w:t>2、废水环境影响和保护措施</w:t>
            </w:r>
          </w:p>
          <w:p w14:paraId="7E34E216">
            <w:pPr>
              <w:keepNext/>
              <w:keepLines/>
              <w:spacing w:line="460" w:lineRule="exact"/>
              <w:ind w:firstLine="482" w:firstLineChars="200"/>
              <w:rPr>
                <w:b/>
                <w:bCs/>
              </w:rPr>
            </w:pPr>
            <w:r>
              <w:rPr>
                <w:b/>
                <w:bCs/>
              </w:rPr>
              <w:t>2.1废水污染源分析</w:t>
            </w:r>
          </w:p>
          <w:p w14:paraId="4DD26F56">
            <w:pPr>
              <w:spacing w:line="460" w:lineRule="exact"/>
              <w:ind w:firstLine="480" w:firstLineChars="200"/>
            </w:pPr>
            <w:r>
              <w:t>项目生产用水主要为配料搅拌用水、冲洗用水、</w:t>
            </w:r>
            <w:r>
              <w:rPr>
                <w:rFonts w:hint="eastAsia"/>
              </w:rPr>
              <w:t>设备和</w:t>
            </w:r>
            <w:r>
              <w:t>运输车辆清洗用水、喷淋用水、预制梁板养护用水</w:t>
            </w:r>
            <w:r>
              <w:rPr>
                <w:rFonts w:hint="eastAsia"/>
              </w:rPr>
              <w:t>、</w:t>
            </w:r>
            <w:r>
              <w:t>洒水降尘用水、全部自然蒸发或经沉淀池处理后回用，无生产废水外排。</w:t>
            </w:r>
          </w:p>
          <w:p w14:paraId="1D060E23">
            <w:pPr>
              <w:spacing w:line="460" w:lineRule="exact"/>
              <w:ind w:firstLine="480" w:firstLineChars="200"/>
            </w:pPr>
            <w:r>
              <w:t>项目生活污水产生量为449.28m</w:t>
            </w:r>
            <w:r>
              <w:rPr>
                <w:vertAlign w:val="superscript"/>
              </w:rPr>
              <w:t>3</w:t>
            </w:r>
            <w:r>
              <w:t>/a，生活污水</w:t>
            </w:r>
            <w:r>
              <w:rPr>
                <w:rFonts w:hint="eastAsia"/>
              </w:rPr>
              <w:t>（其中食堂废水经隔油池处理）排入下水管网，最终进入奇台县喇嘛湖梁工业园区污水处理厂</w:t>
            </w:r>
            <w:r>
              <w:t>。</w:t>
            </w:r>
          </w:p>
          <w:p w14:paraId="5DCA87C4">
            <w:pPr>
              <w:spacing w:line="460" w:lineRule="exact"/>
              <w:ind w:firstLine="482" w:firstLineChars="200"/>
            </w:pPr>
            <w:r>
              <w:rPr>
                <w:b/>
                <w:bCs/>
              </w:rPr>
              <w:t>符合性分析</w:t>
            </w:r>
            <w:r>
              <w:t>：</w:t>
            </w:r>
            <w:r>
              <w:rPr>
                <w:rFonts w:hint="eastAsia"/>
              </w:rPr>
              <w:t>本项目位于新疆维吾尔自治区昌吉回族自治州奇台县喇嘛湖梁园区，项目区污水管网已建成，生活污水（食堂废水经隔油池处理）出水标准满足《污水综合排放标准》（GB8978-1996）中的表4 三级排放标准可排入园区管网，最终进入奇台县喇嘛湖梁工业园区污水处理厂进行深度处理。园区污水处理厂于2018 年8 月投入运营，设计规模近期为2.5 万m</w:t>
            </w:r>
            <w:r>
              <w:rPr>
                <w:rFonts w:hint="eastAsia"/>
                <w:vertAlign w:val="superscript"/>
              </w:rPr>
              <w:t>3</w:t>
            </w:r>
            <w:r>
              <w:rPr>
                <w:rFonts w:hint="eastAsia"/>
              </w:rPr>
              <w:t>/d，污水处理采用“水解酸化+A</w:t>
            </w:r>
            <w:r>
              <w:rPr>
                <w:rFonts w:hint="eastAsia"/>
                <w:vertAlign w:val="superscript"/>
              </w:rPr>
              <w:t>2</w:t>
            </w:r>
            <w:r>
              <w:rPr>
                <w:rFonts w:hint="eastAsia"/>
              </w:rPr>
              <w:t>/O+MBR”处理工艺，尾水满足《城镇污水处理厂污染物排放标准》（GB18918-2002）一级A 标准，根据《奇台县喇嘛梁工业园区污水处理及再生利用工程环境影响报告书》该区所入驻主要企业及排水量为24650m</w:t>
            </w:r>
            <w:r>
              <w:rPr>
                <w:rFonts w:hint="eastAsia"/>
                <w:vertAlign w:val="superscript"/>
              </w:rPr>
              <w:t>3</w:t>
            </w:r>
            <w:r>
              <w:rPr>
                <w:rFonts w:hint="eastAsia"/>
              </w:rPr>
              <w:t>/d，且主要为生活污水水质简单，本项目生活污水排放量为</w:t>
            </w:r>
            <w:r>
              <w:t>1.66</w:t>
            </w:r>
            <w:r>
              <w:rPr>
                <w:rFonts w:hint="eastAsia"/>
              </w:rPr>
              <w:t>m</w:t>
            </w:r>
            <w:r>
              <w:rPr>
                <w:rFonts w:hint="eastAsia"/>
                <w:vertAlign w:val="superscript"/>
              </w:rPr>
              <w:t>3</w:t>
            </w:r>
            <w:r>
              <w:rPr>
                <w:rFonts w:hint="eastAsia"/>
              </w:rPr>
              <w:t>/d，因此本项目生活污水进入园区污水处理厂是可行的。</w:t>
            </w:r>
          </w:p>
          <w:p w14:paraId="77D551C0">
            <w:pPr>
              <w:spacing w:line="460" w:lineRule="exact"/>
              <w:ind w:firstLine="482" w:firstLineChars="200"/>
              <w:rPr>
                <w:b/>
                <w:bCs/>
              </w:rPr>
            </w:pPr>
          </w:p>
          <w:p w14:paraId="38DA813B">
            <w:pPr>
              <w:spacing w:line="460" w:lineRule="exact"/>
              <w:ind w:firstLine="482" w:firstLineChars="200"/>
              <w:rPr>
                <w:b/>
                <w:bCs/>
              </w:rPr>
            </w:pPr>
          </w:p>
          <w:p w14:paraId="34214FF0">
            <w:pPr>
              <w:spacing w:line="460" w:lineRule="exact"/>
              <w:ind w:firstLine="482" w:firstLineChars="200"/>
              <w:rPr>
                <w:b/>
                <w:bCs/>
              </w:rPr>
            </w:pPr>
          </w:p>
          <w:p w14:paraId="69E6BFD6">
            <w:pPr>
              <w:spacing w:line="460" w:lineRule="exact"/>
              <w:ind w:firstLine="482" w:firstLineChars="200"/>
              <w:rPr>
                <w:b/>
                <w:bCs/>
              </w:rPr>
            </w:pPr>
            <w:r>
              <w:rPr>
                <w:b/>
                <w:bCs/>
              </w:rPr>
              <w:t>3、噪声环境影响和保护措施</w:t>
            </w:r>
          </w:p>
          <w:p w14:paraId="545A59F8">
            <w:pPr>
              <w:keepNext/>
              <w:keepLines/>
              <w:spacing w:line="460" w:lineRule="exact"/>
              <w:ind w:firstLine="482" w:firstLineChars="200"/>
              <w:rPr>
                <w:b/>
                <w:bCs/>
              </w:rPr>
            </w:pPr>
            <w:r>
              <w:rPr>
                <w:b/>
                <w:bCs/>
              </w:rPr>
              <w:t>3.1噪声源调查</w:t>
            </w:r>
          </w:p>
          <w:p w14:paraId="293A6825">
            <w:pPr>
              <w:keepNext/>
              <w:keepLines/>
              <w:spacing w:line="460" w:lineRule="exact"/>
              <w:ind w:firstLine="480" w:firstLineChars="200"/>
            </w:pPr>
            <w:r>
              <w:t>本项目噪声源为搅拌机、输送系统、集料皮带机、螺旋皮带机、导热油加热炉、热骨料提升机、振动筛、风机、泵类</w:t>
            </w:r>
            <w:r>
              <w:rPr>
                <w:rFonts w:hint="eastAsia"/>
              </w:rPr>
              <w:t>、</w:t>
            </w:r>
            <w:r>
              <w:t>钢材数控切断机</w:t>
            </w:r>
            <w:r>
              <w:rPr>
                <w:rFonts w:hint="eastAsia"/>
              </w:rPr>
              <w:t>、</w:t>
            </w:r>
            <w:r>
              <w:t>数控钢筋弯箍机</w:t>
            </w:r>
            <w:r>
              <w:rPr>
                <w:rFonts w:hint="eastAsia"/>
              </w:rPr>
              <w:t>、</w:t>
            </w:r>
            <w:r>
              <w:t>智能数控自动弯曲机</w:t>
            </w:r>
            <w:r>
              <w:rPr>
                <w:rFonts w:hint="eastAsia"/>
              </w:rPr>
              <w:t>、</w:t>
            </w:r>
            <w:r>
              <w:t>数控钢筋剪切</w:t>
            </w:r>
            <w:r>
              <w:rPr>
                <w:rFonts w:hint="eastAsia"/>
              </w:rPr>
              <w:t>、切割机、车丝机、叉车和龙门吊</w:t>
            </w:r>
            <w:r>
              <w:t>等设备运行时将产生噪声，企业选用低噪声设备，通过厂房隔声、减振，同时采取加强车辆运输管理、合理安排运输时间、限速等降噪措施，可有效控制噪声影响。根据《环境噪声与振动控制工程技术导则》（HJ 2034-2013）附录A常见噪声源及其声功率级，本项目主要生产设备声功率级约为65~100dB(A)，采取消声、隔声、减振等降噪措施。主要声源划分为室内声源和室外声源两类。</w:t>
            </w:r>
          </w:p>
          <w:p w14:paraId="40BA203E">
            <w:pPr>
              <w:pStyle w:val="76"/>
              <w:ind w:firstLine="420"/>
              <w:rPr>
                <w:color w:val="auto"/>
              </w:rPr>
            </w:pPr>
            <w:r>
              <w:rPr>
                <w:color w:val="auto"/>
              </w:rPr>
              <w:t>表4-14                   主要设备噪声源强               单位：dB(A)</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05"/>
              <w:gridCol w:w="1599"/>
              <w:gridCol w:w="1024"/>
              <w:gridCol w:w="851"/>
              <w:gridCol w:w="2126"/>
              <w:gridCol w:w="709"/>
              <w:gridCol w:w="1203"/>
            </w:tblGrid>
            <w:tr w14:paraId="769581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Align w:val="center"/>
                </w:tcPr>
                <w:p w14:paraId="3F73CB55">
                  <w:pPr>
                    <w:autoSpaceDE w:val="0"/>
                    <w:autoSpaceDN w:val="0"/>
                    <w:jc w:val="center"/>
                    <w:rPr>
                      <w:sz w:val="21"/>
                      <w:szCs w:val="21"/>
                    </w:rPr>
                  </w:pPr>
                  <w:r>
                    <w:rPr>
                      <w:sz w:val="21"/>
                      <w:szCs w:val="21"/>
                    </w:rPr>
                    <w:t>噪声源位置</w:t>
                  </w:r>
                </w:p>
              </w:tc>
              <w:tc>
                <w:tcPr>
                  <w:tcW w:w="0" w:type="auto"/>
                  <w:vAlign w:val="center"/>
                </w:tcPr>
                <w:p w14:paraId="584C496E">
                  <w:pPr>
                    <w:autoSpaceDE w:val="0"/>
                    <w:autoSpaceDN w:val="0"/>
                    <w:jc w:val="center"/>
                    <w:rPr>
                      <w:sz w:val="21"/>
                      <w:szCs w:val="21"/>
                    </w:rPr>
                  </w:pPr>
                  <w:r>
                    <w:rPr>
                      <w:sz w:val="21"/>
                      <w:szCs w:val="21"/>
                    </w:rPr>
                    <w:t>声源名称</w:t>
                  </w:r>
                </w:p>
              </w:tc>
              <w:tc>
                <w:tcPr>
                  <w:tcW w:w="1024" w:type="dxa"/>
                  <w:vAlign w:val="center"/>
                </w:tcPr>
                <w:p w14:paraId="01A9DABB">
                  <w:pPr>
                    <w:autoSpaceDE w:val="0"/>
                    <w:autoSpaceDN w:val="0"/>
                    <w:jc w:val="center"/>
                    <w:rPr>
                      <w:sz w:val="21"/>
                      <w:szCs w:val="21"/>
                    </w:rPr>
                  </w:pPr>
                  <w:r>
                    <w:rPr>
                      <w:sz w:val="21"/>
                      <w:szCs w:val="21"/>
                    </w:rPr>
                    <w:t>治理前声压级dB(A)</w:t>
                  </w:r>
                </w:p>
              </w:tc>
              <w:tc>
                <w:tcPr>
                  <w:tcW w:w="851" w:type="dxa"/>
                  <w:vAlign w:val="center"/>
                </w:tcPr>
                <w:p w14:paraId="6C38DC45">
                  <w:pPr>
                    <w:autoSpaceDE w:val="0"/>
                    <w:autoSpaceDN w:val="0"/>
                    <w:jc w:val="center"/>
                    <w:rPr>
                      <w:sz w:val="21"/>
                      <w:szCs w:val="21"/>
                    </w:rPr>
                  </w:pPr>
                  <w:r>
                    <w:rPr>
                      <w:sz w:val="21"/>
                      <w:szCs w:val="21"/>
                    </w:rPr>
                    <w:t>数量</w:t>
                  </w:r>
                </w:p>
              </w:tc>
              <w:tc>
                <w:tcPr>
                  <w:tcW w:w="2126" w:type="dxa"/>
                  <w:vAlign w:val="center"/>
                </w:tcPr>
                <w:p w14:paraId="5C6746F1">
                  <w:pPr>
                    <w:autoSpaceDE w:val="0"/>
                    <w:autoSpaceDN w:val="0"/>
                    <w:jc w:val="center"/>
                    <w:rPr>
                      <w:sz w:val="21"/>
                      <w:szCs w:val="21"/>
                    </w:rPr>
                  </w:pPr>
                  <w:r>
                    <w:rPr>
                      <w:sz w:val="21"/>
                      <w:szCs w:val="21"/>
                    </w:rPr>
                    <w:t>治理措施</w:t>
                  </w:r>
                </w:p>
              </w:tc>
              <w:tc>
                <w:tcPr>
                  <w:tcW w:w="709" w:type="dxa"/>
                  <w:vAlign w:val="center"/>
                </w:tcPr>
                <w:p w14:paraId="011964F2">
                  <w:pPr>
                    <w:autoSpaceDE w:val="0"/>
                    <w:autoSpaceDN w:val="0"/>
                    <w:jc w:val="center"/>
                    <w:rPr>
                      <w:sz w:val="21"/>
                      <w:szCs w:val="21"/>
                    </w:rPr>
                  </w:pPr>
                  <w:r>
                    <w:rPr>
                      <w:sz w:val="21"/>
                      <w:szCs w:val="21"/>
                    </w:rPr>
                    <w:t>排放规律</w:t>
                  </w:r>
                </w:p>
              </w:tc>
              <w:tc>
                <w:tcPr>
                  <w:tcW w:w="1203" w:type="dxa"/>
                  <w:vAlign w:val="center"/>
                </w:tcPr>
                <w:p w14:paraId="46423FC7">
                  <w:pPr>
                    <w:autoSpaceDE w:val="0"/>
                    <w:autoSpaceDN w:val="0"/>
                    <w:jc w:val="center"/>
                    <w:rPr>
                      <w:sz w:val="21"/>
                      <w:szCs w:val="21"/>
                    </w:rPr>
                  </w:pPr>
                  <w:r>
                    <w:rPr>
                      <w:sz w:val="21"/>
                      <w:szCs w:val="21"/>
                    </w:rPr>
                    <w:t>治理后的声压级</w:t>
                  </w:r>
                  <w:r>
                    <w:rPr>
                      <w:rFonts w:hint="eastAsia"/>
                      <w:sz w:val="21"/>
                      <w:szCs w:val="21"/>
                    </w:rPr>
                    <w:t>（车间外1m）</w:t>
                  </w:r>
                  <w:r>
                    <w:rPr>
                      <w:sz w:val="21"/>
                      <w:szCs w:val="21"/>
                    </w:rPr>
                    <w:t>dB</w:t>
                  </w:r>
                  <w:r>
                    <w:rPr>
                      <w:rFonts w:hint="eastAsia"/>
                      <w:sz w:val="21"/>
                      <w:szCs w:val="21"/>
                    </w:rPr>
                    <w:t>（A）</w:t>
                  </w:r>
                </w:p>
              </w:tc>
            </w:tr>
            <w:tr w14:paraId="06EAD0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restart"/>
                  <w:vAlign w:val="center"/>
                </w:tcPr>
                <w:p w14:paraId="608480CD">
                  <w:pPr>
                    <w:autoSpaceDE w:val="0"/>
                    <w:autoSpaceDN w:val="0"/>
                    <w:jc w:val="center"/>
                    <w:rPr>
                      <w:sz w:val="21"/>
                      <w:szCs w:val="21"/>
                    </w:rPr>
                  </w:pPr>
                  <w:r>
                    <w:rPr>
                      <w:sz w:val="21"/>
                      <w:szCs w:val="21"/>
                    </w:rPr>
                    <w:t>厂区</w:t>
                  </w:r>
                </w:p>
              </w:tc>
              <w:tc>
                <w:tcPr>
                  <w:tcW w:w="0" w:type="auto"/>
                  <w:vAlign w:val="center"/>
                </w:tcPr>
                <w:p w14:paraId="564E1169">
                  <w:pPr>
                    <w:autoSpaceDE w:val="0"/>
                    <w:autoSpaceDN w:val="0"/>
                    <w:jc w:val="center"/>
                    <w:rPr>
                      <w:sz w:val="21"/>
                      <w:szCs w:val="21"/>
                    </w:rPr>
                  </w:pPr>
                  <w:r>
                    <w:rPr>
                      <w:sz w:val="21"/>
                      <w:szCs w:val="21"/>
                    </w:rPr>
                    <w:t>搅拌机</w:t>
                  </w:r>
                </w:p>
              </w:tc>
              <w:tc>
                <w:tcPr>
                  <w:tcW w:w="1024" w:type="dxa"/>
                  <w:vAlign w:val="center"/>
                </w:tcPr>
                <w:p w14:paraId="0BFEDA4A">
                  <w:pPr>
                    <w:autoSpaceDE w:val="0"/>
                    <w:autoSpaceDN w:val="0"/>
                    <w:jc w:val="center"/>
                    <w:rPr>
                      <w:sz w:val="21"/>
                      <w:szCs w:val="21"/>
                    </w:rPr>
                  </w:pPr>
                  <w:r>
                    <w:rPr>
                      <w:sz w:val="21"/>
                      <w:szCs w:val="21"/>
                    </w:rPr>
                    <w:t>90-95</w:t>
                  </w:r>
                </w:p>
              </w:tc>
              <w:tc>
                <w:tcPr>
                  <w:tcW w:w="851" w:type="dxa"/>
                  <w:vAlign w:val="center"/>
                </w:tcPr>
                <w:p w14:paraId="4B0906FF">
                  <w:pPr>
                    <w:autoSpaceDE w:val="0"/>
                    <w:autoSpaceDN w:val="0"/>
                    <w:jc w:val="center"/>
                    <w:rPr>
                      <w:sz w:val="21"/>
                      <w:szCs w:val="21"/>
                    </w:rPr>
                  </w:pPr>
                  <w:r>
                    <w:rPr>
                      <w:sz w:val="21"/>
                      <w:szCs w:val="21"/>
                    </w:rPr>
                    <w:t>3</w:t>
                  </w:r>
                  <w:r>
                    <w:rPr>
                      <w:rFonts w:hint="eastAsia"/>
                      <w:sz w:val="21"/>
                      <w:szCs w:val="21"/>
                    </w:rPr>
                    <w:t>个</w:t>
                  </w:r>
                  <w:r>
                    <w:rPr>
                      <w:sz w:val="21"/>
                      <w:szCs w:val="21"/>
                    </w:rPr>
                    <w:t xml:space="preserve"> </w:t>
                  </w:r>
                </w:p>
              </w:tc>
              <w:tc>
                <w:tcPr>
                  <w:tcW w:w="2126" w:type="dxa"/>
                  <w:vAlign w:val="center"/>
                </w:tcPr>
                <w:p w14:paraId="345E54BB">
                  <w:pPr>
                    <w:autoSpaceDE w:val="0"/>
                    <w:autoSpaceDN w:val="0"/>
                    <w:jc w:val="center"/>
                    <w:rPr>
                      <w:sz w:val="21"/>
                      <w:szCs w:val="21"/>
                    </w:rPr>
                  </w:pPr>
                  <w:r>
                    <w:rPr>
                      <w:sz w:val="21"/>
                      <w:szCs w:val="21"/>
                    </w:rPr>
                    <w:t>基础减振</w:t>
                  </w:r>
                </w:p>
              </w:tc>
              <w:tc>
                <w:tcPr>
                  <w:tcW w:w="709" w:type="dxa"/>
                  <w:vAlign w:val="center"/>
                </w:tcPr>
                <w:p w14:paraId="21E55996">
                  <w:pPr>
                    <w:autoSpaceDE w:val="0"/>
                    <w:autoSpaceDN w:val="0"/>
                    <w:jc w:val="center"/>
                    <w:rPr>
                      <w:sz w:val="21"/>
                      <w:szCs w:val="21"/>
                    </w:rPr>
                  </w:pPr>
                  <w:r>
                    <w:rPr>
                      <w:sz w:val="21"/>
                      <w:szCs w:val="21"/>
                    </w:rPr>
                    <w:t>连续</w:t>
                  </w:r>
                </w:p>
              </w:tc>
              <w:tc>
                <w:tcPr>
                  <w:tcW w:w="1203" w:type="dxa"/>
                  <w:vMerge w:val="restart"/>
                  <w:vAlign w:val="center"/>
                </w:tcPr>
                <w:p w14:paraId="76AA8630">
                  <w:pPr>
                    <w:autoSpaceDE w:val="0"/>
                    <w:autoSpaceDN w:val="0"/>
                    <w:jc w:val="center"/>
                    <w:rPr>
                      <w:sz w:val="21"/>
                      <w:szCs w:val="21"/>
                    </w:rPr>
                  </w:pPr>
                  <w:r>
                    <w:rPr>
                      <w:sz w:val="21"/>
                      <w:szCs w:val="21"/>
                    </w:rPr>
                    <w:t>＜80</w:t>
                  </w:r>
                </w:p>
              </w:tc>
            </w:tr>
            <w:tr w14:paraId="476764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794242F6">
                  <w:pPr>
                    <w:autoSpaceDE w:val="0"/>
                    <w:autoSpaceDN w:val="0"/>
                    <w:jc w:val="center"/>
                    <w:rPr>
                      <w:sz w:val="21"/>
                      <w:szCs w:val="21"/>
                    </w:rPr>
                  </w:pPr>
                </w:p>
              </w:tc>
              <w:tc>
                <w:tcPr>
                  <w:tcW w:w="0" w:type="auto"/>
                  <w:vAlign w:val="center"/>
                </w:tcPr>
                <w:p w14:paraId="7E0FE308">
                  <w:pPr>
                    <w:autoSpaceDE w:val="0"/>
                    <w:autoSpaceDN w:val="0"/>
                    <w:jc w:val="center"/>
                    <w:rPr>
                      <w:sz w:val="21"/>
                      <w:szCs w:val="21"/>
                    </w:rPr>
                  </w:pPr>
                  <w:r>
                    <w:rPr>
                      <w:sz w:val="21"/>
                      <w:szCs w:val="21"/>
                    </w:rPr>
                    <w:t>输送机</w:t>
                  </w:r>
                </w:p>
              </w:tc>
              <w:tc>
                <w:tcPr>
                  <w:tcW w:w="1024" w:type="dxa"/>
                  <w:vAlign w:val="center"/>
                </w:tcPr>
                <w:p w14:paraId="428599ED">
                  <w:pPr>
                    <w:autoSpaceDE w:val="0"/>
                    <w:autoSpaceDN w:val="0"/>
                    <w:jc w:val="center"/>
                    <w:rPr>
                      <w:sz w:val="21"/>
                      <w:szCs w:val="21"/>
                    </w:rPr>
                  </w:pPr>
                  <w:r>
                    <w:rPr>
                      <w:sz w:val="21"/>
                      <w:szCs w:val="21"/>
                    </w:rPr>
                    <w:t>90-100</w:t>
                  </w:r>
                </w:p>
              </w:tc>
              <w:tc>
                <w:tcPr>
                  <w:tcW w:w="851" w:type="dxa"/>
                  <w:vAlign w:val="center"/>
                </w:tcPr>
                <w:p w14:paraId="1A6EE1DB">
                  <w:pPr>
                    <w:autoSpaceDE w:val="0"/>
                    <w:autoSpaceDN w:val="0"/>
                    <w:jc w:val="center"/>
                    <w:rPr>
                      <w:sz w:val="21"/>
                      <w:szCs w:val="21"/>
                    </w:rPr>
                  </w:pPr>
                  <w:r>
                    <w:rPr>
                      <w:sz w:val="21"/>
                      <w:szCs w:val="21"/>
                    </w:rPr>
                    <w:t>3</w:t>
                  </w:r>
                  <w:r>
                    <w:rPr>
                      <w:rFonts w:hint="eastAsia"/>
                      <w:sz w:val="21"/>
                      <w:szCs w:val="21"/>
                    </w:rPr>
                    <w:t>个</w:t>
                  </w:r>
                </w:p>
              </w:tc>
              <w:tc>
                <w:tcPr>
                  <w:tcW w:w="2126" w:type="dxa"/>
                  <w:vAlign w:val="center"/>
                </w:tcPr>
                <w:p w14:paraId="2ADB5059">
                  <w:pPr>
                    <w:autoSpaceDE w:val="0"/>
                    <w:autoSpaceDN w:val="0"/>
                    <w:jc w:val="center"/>
                    <w:rPr>
                      <w:sz w:val="21"/>
                      <w:szCs w:val="21"/>
                    </w:rPr>
                  </w:pPr>
                  <w:r>
                    <w:rPr>
                      <w:sz w:val="21"/>
                      <w:szCs w:val="21"/>
                    </w:rPr>
                    <w:t>基础减振</w:t>
                  </w:r>
                </w:p>
              </w:tc>
              <w:tc>
                <w:tcPr>
                  <w:tcW w:w="709" w:type="dxa"/>
                  <w:vAlign w:val="center"/>
                </w:tcPr>
                <w:p w14:paraId="3AA62C3E">
                  <w:pPr>
                    <w:autoSpaceDE w:val="0"/>
                    <w:autoSpaceDN w:val="0"/>
                    <w:jc w:val="center"/>
                    <w:rPr>
                      <w:sz w:val="21"/>
                      <w:szCs w:val="21"/>
                    </w:rPr>
                  </w:pPr>
                  <w:r>
                    <w:rPr>
                      <w:sz w:val="21"/>
                      <w:szCs w:val="21"/>
                    </w:rPr>
                    <w:t>连续</w:t>
                  </w:r>
                </w:p>
              </w:tc>
              <w:tc>
                <w:tcPr>
                  <w:tcW w:w="1203" w:type="dxa"/>
                  <w:vMerge w:val="continue"/>
                  <w:vAlign w:val="center"/>
                </w:tcPr>
                <w:p w14:paraId="13FC0C0F">
                  <w:pPr>
                    <w:widowControl/>
                    <w:autoSpaceDE w:val="0"/>
                    <w:autoSpaceDN w:val="0"/>
                    <w:jc w:val="center"/>
                    <w:rPr>
                      <w:sz w:val="21"/>
                      <w:szCs w:val="21"/>
                    </w:rPr>
                  </w:pPr>
                </w:p>
              </w:tc>
            </w:tr>
            <w:tr w14:paraId="690FB9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64878686">
                  <w:pPr>
                    <w:autoSpaceDE w:val="0"/>
                    <w:autoSpaceDN w:val="0"/>
                    <w:jc w:val="center"/>
                    <w:rPr>
                      <w:sz w:val="21"/>
                      <w:szCs w:val="21"/>
                    </w:rPr>
                  </w:pPr>
                </w:p>
              </w:tc>
              <w:tc>
                <w:tcPr>
                  <w:tcW w:w="0" w:type="auto"/>
                  <w:vAlign w:val="center"/>
                </w:tcPr>
                <w:p w14:paraId="3E409E78">
                  <w:pPr>
                    <w:autoSpaceDE w:val="0"/>
                    <w:autoSpaceDN w:val="0"/>
                    <w:jc w:val="center"/>
                    <w:rPr>
                      <w:sz w:val="21"/>
                      <w:szCs w:val="21"/>
                    </w:rPr>
                  </w:pPr>
                  <w:r>
                    <w:rPr>
                      <w:sz w:val="21"/>
                      <w:szCs w:val="21"/>
                    </w:rPr>
                    <w:t>集料皮带机</w:t>
                  </w:r>
                </w:p>
              </w:tc>
              <w:tc>
                <w:tcPr>
                  <w:tcW w:w="1024" w:type="dxa"/>
                  <w:vAlign w:val="center"/>
                </w:tcPr>
                <w:p w14:paraId="500C28A0">
                  <w:pPr>
                    <w:autoSpaceDE w:val="0"/>
                    <w:autoSpaceDN w:val="0"/>
                    <w:jc w:val="center"/>
                    <w:rPr>
                      <w:sz w:val="21"/>
                      <w:szCs w:val="21"/>
                    </w:rPr>
                  </w:pPr>
                  <w:r>
                    <w:rPr>
                      <w:sz w:val="21"/>
                      <w:szCs w:val="21"/>
                    </w:rPr>
                    <w:t>95-100</w:t>
                  </w:r>
                </w:p>
              </w:tc>
              <w:tc>
                <w:tcPr>
                  <w:tcW w:w="851" w:type="dxa"/>
                  <w:vAlign w:val="center"/>
                </w:tcPr>
                <w:p w14:paraId="7D7F6374">
                  <w:pPr>
                    <w:autoSpaceDE w:val="0"/>
                    <w:autoSpaceDN w:val="0"/>
                    <w:jc w:val="center"/>
                    <w:rPr>
                      <w:sz w:val="21"/>
                      <w:szCs w:val="21"/>
                    </w:rPr>
                  </w:pPr>
                  <w:r>
                    <w:rPr>
                      <w:rFonts w:hint="eastAsia"/>
                      <w:sz w:val="21"/>
                      <w:szCs w:val="21"/>
                    </w:rPr>
                    <w:t>2个</w:t>
                  </w:r>
                </w:p>
              </w:tc>
              <w:tc>
                <w:tcPr>
                  <w:tcW w:w="2126" w:type="dxa"/>
                  <w:vAlign w:val="center"/>
                </w:tcPr>
                <w:p w14:paraId="1B175779">
                  <w:pPr>
                    <w:autoSpaceDE w:val="0"/>
                    <w:autoSpaceDN w:val="0"/>
                    <w:jc w:val="center"/>
                    <w:rPr>
                      <w:sz w:val="21"/>
                      <w:szCs w:val="21"/>
                    </w:rPr>
                  </w:pPr>
                  <w:r>
                    <w:rPr>
                      <w:sz w:val="21"/>
                      <w:szCs w:val="21"/>
                    </w:rPr>
                    <w:t>基础减振</w:t>
                  </w:r>
                </w:p>
              </w:tc>
              <w:tc>
                <w:tcPr>
                  <w:tcW w:w="709" w:type="dxa"/>
                  <w:vAlign w:val="center"/>
                </w:tcPr>
                <w:p w14:paraId="69837A05">
                  <w:pPr>
                    <w:autoSpaceDE w:val="0"/>
                    <w:autoSpaceDN w:val="0"/>
                    <w:jc w:val="center"/>
                    <w:rPr>
                      <w:sz w:val="21"/>
                      <w:szCs w:val="21"/>
                    </w:rPr>
                  </w:pPr>
                  <w:r>
                    <w:rPr>
                      <w:sz w:val="21"/>
                      <w:szCs w:val="21"/>
                    </w:rPr>
                    <w:t>连续</w:t>
                  </w:r>
                </w:p>
              </w:tc>
              <w:tc>
                <w:tcPr>
                  <w:tcW w:w="1203" w:type="dxa"/>
                  <w:vMerge w:val="restart"/>
                  <w:vAlign w:val="center"/>
                </w:tcPr>
                <w:p w14:paraId="73ED1371">
                  <w:pPr>
                    <w:autoSpaceDE w:val="0"/>
                    <w:autoSpaceDN w:val="0"/>
                    <w:jc w:val="center"/>
                    <w:rPr>
                      <w:sz w:val="21"/>
                      <w:szCs w:val="21"/>
                    </w:rPr>
                  </w:pPr>
                  <w:r>
                    <w:rPr>
                      <w:sz w:val="21"/>
                      <w:szCs w:val="21"/>
                    </w:rPr>
                    <w:t>＜80</w:t>
                  </w:r>
                </w:p>
              </w:tc>
            </w:tr>
            <w:tr w14:paraId="66E9F3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1B3A3FCD">
                  <w:pPr>
                    <w:autoSpaceDE w:val="0"/>
                    <w:autoSpaceDN w:val="0"/>
                    <w:jc w:val="center"/>
                    <w:rPr>
                      <w:sz w:val="21"/>
                      <w:szCs w:val="21"/>
                    </w:rPr>
                  </w:pPr>
                </w:p>
              </w:tc>
              <w:tc>
                <w:tcPr>
                  <w:tcW w:w="0" w:type="auto"/>
                  <w:vAlign w:val="center"/>
                </w:tcPr>
                <w:p w14:paraId="24AE516C">
                  <w:pPr>
                    <w:autoSpaceDE w:val="0"/>
                    <w:autoSpaceDN w:val="0"/>
                    <w:jc w:val="center"/>
                    <w:rPr>
                      <w:sz w:val="21"/>
                      <w:szCs w:val="21"/>
                    </w:rPr>
                  </w:pPr>
                  <w:r>
                    <w:rPr>
                      <w:sz w:val="21"/>
                      <w:szCs w:val="21"/>
                    </w:rPr>
                    <w:t>螺旋皮带机</w:t>
                  </w:r>
                </w:p>
              </w:tc>
              <w:tc>
                <w:tcPr>
                  <w:tcW w:w="1024" w:type="dxa"/>
                  <w:vAlign w:val="center"/>
                </w:tcPr>
                <w:p w14:paraId="4E766DAE">
                  <w:pPr>
                    <w:autoSpaceDE w:val="0"/>
                    <w:autoSpaceDN w:val="0"/>
                    <w:jc w:val="center"/>
                    <w:rPr>
                      <w:sz w:val="21"/>
                      <w:szCs w:val="21"/>
                    </w:rPr>
                  </w:pPr>
                  <w:r>
                    <w:rPr>
                      <w:sz w:val="21"/>
                      <w:szCs w:val="21"/>
                    </w:rPr>
                    <w:t>80-85</w:t>
                  </w:r>
                </w:p>
              </w:tc>
              <w:tc>
                <w:tcPr>
                  <w:tcW w:w="851" w:type="dxa"/>
                  <w:vAlign w:val="center"/>
                </w:tcPr>
                <w:p w14:paraId="305A970F">
                  <w:pPr>
                    <w:autoSpaceDE w:val="0"/>
                    <w:autoSpaceDN w:val="0"/>
                    <w:jc w:val="center"/>
                    <w:rPr>
                      <w:sz w:val="21"/>
                      <w:szCs w:val="21"/>
                    </w:rPr>
                  </w:pPr>
                  <w:r>
                    <w:rPr>
                      <w:rFonts w:hint="eastAsia"/>
                      <w:sz w:val="21"/>
                      <w:szCs w:val="21"/>
                    </w:rPr>
                    <w:t>2个</w:t>
                  </w:r>
                </w:p>
              </w:tc>
              <w:tc>
                <w:tcPr>
                  <w:tcW w:w="2126" w:type="dxa"/>
                  <w:vAlign w:val="center"/>
                </w:tcPr>
                <w:p w14:paraId="1E61F50A">
                  <w:pPr>
                    <w:autoSpaceDE w:val="0"/>
                    <w:autoSpaceDN w:val="0"/>
                    <w:jc w:val="center"/>
                    <w:rPr>
                      <w:sz w:val="21"/>
                      <w:szCs w:val="21"/>
                    </w:rPr>
                  </w:pPr>
                  <w:r>
                    <w:rPr>
                      <w:sz w:val="21"/>
                      <w:szCs w:val="21"/>
                    </w:rPr>
                    <w:t>基础减振</w:t>
                  </w:r>
                </w:p>
              </w:tc>
              <w:tc>
                <w:tcPr>
                  <w:tcW w:w="709" w:type="dxa"/>
                  <w:vAlign w:val="center"/>
                </w:tcPr>
                <w:p w14:paraId="2F024B43">
                  <w:pPr>
                    <w:autoSpaceDE w:val="0"/>
                    <w:autoSpaceDN w:val="0"/>
                    <w:jc w:val="center"/>
                    <w:rPr>
                      <w:sz w:val="21"/>
                      <w:szCs w:val="21"/>
                    </w:rPr>
                  </w:pPr>
                  <w:r>
                    <w:rPr>
                      <w:sz w:val="21"/>
                      <w:szCs w:val="21"/>
                    </w:rPr>
                    <w:t>连续</w:t>
                  </w:r>
                </w:p>
              </w:tc>
              <w:tc>
                <w:tcPr>
                  <w:tcW w:w="1203" w:type="dxa"/>
                  <w:vMerge w:val="continue"/>
                  <w:vAlign w:val="center"/>
                </w:tcPr>
                <w:p w14:paraId="060E1FE3">
                  <w:pPr>
                    <w:widowControl/>
                    <w:autoSpaceDE w:val="0"/>
                    <w:autoSpaceDN w:val="0"/>
                    <w:jc w:val="center"/>
                    <w:rPr>
                      <w:sz w:val="21"/>
                      <w:szCs w:val="21"/>
                    </w:rPr>
                  </w:pPr>
                </w:p>
              </w:tc>
            </w:tr>
            <w:tr w14:paraId="767AB7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381EEECD">
                  <w:pPr>
                    <w:autoSpaceDE w:val="0"/>
                    <w:autoSpaceDN w:val="0"/>
                    <w:jc w:val="center"/>
                    <w:rPr>
                      <w:sz w:val="21"/>
                      <w:szCs w:val="21"/>
                    </w:rPr>
                  </w:pPr>
                </w:p>
              </w:tc>
              <w:tc>
                <w:tcPr>
                  <w:tcW w:w="0" w:type="auto"/>
                  <w:vAlign w:val="center"/>
                </w:tcPr>
                <w:p w14:paraId="15BC1294">
                  <w:pPr>
                    <w:autoSpaceDE w:val="0"/>
                    <w:autoSpaceDN w:val="0"/>
                    <w:jc w:val="center"/>
                    <w:rPr>
                      <w:sz w:val="21"/>
                      <w:szCs w:val="21"/>
                    </w:rPr>
                  </w:pPr>
                  <w:r>
                    <w:rPr>
                      <w:sz w:val="21"/>
                      <w:szCs w:val="21"/>
                    </w:rPr>
                    <w:t>导热油加热炉</w:t>
                  </w:r>
                </w:p>
              </w:tc>
              <w:tc>
                <w:tcPr>
                  <w:tcW w:w="1024" w:type="dxa"/>
                  <w:vAlign w:val="center"/>
                </w:tcPr>
                <w:p w14:paraId="6B218504">
                  <w:pPr>
                    <w:autoSpaceDE w:val="0"/>
                    <w:autoSpaceDN w:val="0"/>
                    <w:jc w:val="center"/>
                    <w:rPr>
                      <w:sz w:val="21"/>
                      <w:szCs w:val="21"/>
                    </w:rPr>
                  </w:pPr>
                  <w:r>
                    <w:rPr>
                      <w:sz w:val="21"/>
                      <w:szCs w:val="21"/>
                    </w:rPr>
                    <w:t>85-90</w:t>
                  </w:r>
                </w:p>
              </w:tc>
              <w:tc>
                <w:tcPr>
                  <w:tcW w:w="851" w:type="dxa"/>
                  <w:vAlign w:val="center"/>
                </w:tcPr>
                <w:p w14:paraId="7FF8CEB4">
                  <w:pPr>
                    <w:autoSpaceDE w:val="0"/>
                    <w:autoSpaceDN w:val="0"/>
                    <w:jc w:val="center"/>
                    <w:rPr>
                      <w:sz w:val="21"/>
                      <w:szCs w:val="21"/>
                    </w:rPr>
                  </w:pPr>
                  <w:r>
                    <w:rPr>
                      <w:sz w:val="21"/>
                      <w:szCs w:val="21"/>
                    </w:rPr>
                    <w:t>1</w:t>
                  </w:r>
                  <w:r>
                    <w:rPr>
                      <w:rFonts w:hint="eastAsia"/>
                      <w:sz w:val="21"/>
                      <w:szCs w:val="21"/>
                    </w:rPr>
                    <w:t>个</w:t>
                  </w:r>
                  <w:r>
                    <w:rPr>
                      <w:sz w:val="21"/>
                      <w:szCs w:val="21"/>
                    </w:rPr>
                    <w:t xml:space="preserve"> </w:t>
                  </w:r>
                </w:p>
              </w:tc>
              <w:tc>
                <w:tcPr>
                  <w:tcW w:w="2126" w:type="dxa"/>
                  <w:vAlign w:val="center"/>
                </w:tcPr>
                <w:p w14:paraId="071ED118">
                  <w:pPr>
                    <w:autoSpaceDE w:val="0"/>
                    <w:autoSpaceDN w:val="0"/>
                    <w:jc w:val="center"/>
                    <w:rPr>
                      <w:sz w:val="21"/>
                      <w:szCs w:val="21"/>
                    </w:rPr>
                  </w:pPr>
                  <w:r>
                    <w:rPr>
                      <w:sz w:val="21"/>
                      <w:szCs w:val="21"/>
                    </w:rPr>
                    <w:t>基础减振</w:t>
                  </w:r>
                </w:p>
              </w:tc>
              <w:tc>
                <w:tcPr>
                  <w:tcW w:w="709" w:type="dxa"/>
                  <w:vAlign w:val="center"/>
                </w:tcPr>
                <w:p w14:paraId="44484961">
                  <w:pPr>
                    <w:autoSpaceDE w:val="0"/>
                    <w:autoSpaceDN w:val="0"/>
                    <w:jc w:val="center"/>
                    <w:rPr>
                      <w:sz w:val="21"/>
                      <w:szCs w:val="21"/>
                    </w:rPr>
                  </w:pPr>
                  <w:r>
                    <w:rPr>
                      <w:sz w:val="21"/>
                      <w:szCs w:val="21"/>
                    </w:rPr>
                    <w:t>连续</w:t>
                  </w:r>
                </w:p>
              </w:tc>
              <w:tc>
                <w:tcPr>
                  <w:tcW w:w="1203" w:type="dxa"/>
                  <w:vMerge w:val="continue"/>
                  <w:vAlign w:val="center"/>
                </w:tcPr>
                <w:p w14:paraId="2433E8E7">
                  <w:pPr>
                    <w:widowControl/>
                    <w:autoSpaceDE w:val="0"/>
                    <w:autoSpaceDN w:val="0"/>
                    <w:jc w:val="center"/>
                    <w:rPr>
                      <w:sz w:val="21"/>
                      <w:szCs w:val="21"/>
                    </w:rPr>
                  </w:pPr>
                </w:p>
              </w:tc>
            </w:tr>
            <w:tr w14:paraId="1D5ED2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5CDF155F">
                  <w:pPr>
                    <w:autoSpaceDE w:val="0"/>
                    <w:autoSpaceDN w:val="0"/>
                    <w:jc w:val="center"/>
                    <w:rPr>
                      <w:sz w:val="21"/>
                      <w:szCs w:val="21"/>
                    </w:rPr>
                  </w:pPr>
                </w:p>
              </w:tc>
              <w:tc>
                <w:tcPr>
                  <w:tcW w:w="0" w:type="auto"/>
                  <w:vAlign w:val="center"/>
                </w:tcPr>
                <w:p w14:paraId="7543D638">
                  <w:pPr>
                    <w:autoSpaceDE w:val="0"/>
                    <w:autoSpaceDN w:val="0"/>
                    <w:jc w:val="center"/>
                    <w:rPr>
                      <w:sz w:val="21"/>
                      <w:szCs w:val="21"/>
                    </w:rPr>
                  </w:pPr>
                  <w:r>
                    <w:rPr>
                      <w:sz w:val="21"/>
                      <w:szCs w:val="21"/>
                    </w:rPr>
                    <w:t>热骨料提升机</w:t>
                  </w:r>
                </w:p>
              </w:tc>
              <w:tc>
                <w:tcPr>
                  <w:tcW w:w="1024" w:type="dxa"/>
                  <w:vAlign w:val="center"/>
                </w:tcPr>
                <w:p w14:paraId="467E1416">
                  <w:pPr>
                    <w:autoSpaceDE w:val="0"/>
                    <w:autoSpaceDN w:val="0"/>
                    <w:jc w:val="center"/>
                    <w:rPr>
                      <w:sz w:val="21"/>
                      <w:szCs w:val="21"/>
                    </w:rPr>
                  </w:pPr>
                  <w:r>
                    <w:rPr>
                      <w:sz w:val="21"/>
                      <w:szCs w:val="21"/>
                    </w:rPr>
                    <w:t>90-95</w:t>
                  </w:r>
                </w:p>
              </w:tc>
              <w:tc>
                <w:tcPr>
                  <w:tcW w:w="851" w:type="dxa"/>
                  <w:vAlign w:val="center"/>
                </w:tcPr>
                <w:p w14:paraId="6DD55FA3">
                  <w:pPr>
                    <w:autoSpaceDE w:val="0"/>
                    <w:autoSpaceDN w:val="0"/>
                    <w:jc w:val="center"/>
                    <w:rPr>
                      <w:sz w:val="21"/>
                      <w:szCs w:val="21"/>
                    </w:rPr>
                  </w:pPr>
                  <w:r>
                    <w:rPr>
                      <w:sz w:val="21"/>
                      <w:szCs w:val="21"/>
                    </w:rPr>
                    <w:t>1</w:t>
                  </w:r>
                  <w:r>
                    <w:rPr>
                      <w:rFonts w:hint="eastAsia"/>
                      <w:sz w:val="21"/>
                      <w:szCs w:val="21"/>
                    </w:rPr>
                    <w:t>个</w:t>
                  </w:r>
                  <w:r>
                    <w:rPr>
                      <w:sz w:val="21"/>
                      <w:szCs w:val="21"/>
                    </w:rPr>
                    <w:t xml:space="preserve"> </w:t>
                  </w:r>
                </w:p>
              </w:tc>
              <w:tc>
                <w:tcPr>
                  <w:tcW w:w="2126" w:type="dxa"/>
                  <w:vAlign w:val="center"/>
                </w:tcPr>
                <w:p w14:paraId="2DC2F3A4">
                  <w:pPr>
                    <w:autoSpaceDE w:val="0"/>
                    <w:autoSpaceDN w:val="0"/>
                    <w:jc w:val="center"/>
                    <w:rPr>
                      <w:sz w:val="21"/>
                      <w:szCs w:val="21"/>
                    </w:rPr>
                  </w:pPr>
                  <w:r>
                    <w:rPr>
                      <w:sz w:val="21"/>
                      <w:szCs w:val="21"/>
                    </w:rPr>
                    <w:t>基础减振</w:t>
                  </w:r>
                </w:p>
              </w:tc>
              <w:tc>
                <w:tcPr>
                  <w:tcW w:w="709" w:type="dxa"/>
                  <w:vAlign w:val="center"/>
                </w:tcPr>
                <w:p w14:paraId="2B09A522">
                  <w:pPr>
                    <w:autoSpaceDE w:val="0"/>
                    <w:autoSpaceDN w:val="0"/>
                    <w:jc w:val="center"/>
                    <w:rPr>
                      <w:sz w:val="21"/>
                      <w:szCs w:val="21"/>
                    </w:rPr>
                  </w:pPr>
                  <w:r>
                    <w:rPr>
                      <w:sz w:val="21"/>
                      <w:szCs w:val="21"/>
                    </w:rPr>
                    <w:t>连续</w:t>
                  </w:r>
                </w:p>
              </w:tc>
              <w:tc>
                <w:tcPr>
                  <w:tcW w:w="1203" w:type="dxa"/>
                  <w:vMerge w:val="continue"/>
                  <w:vAlign w:val="center"/>
                </w:tcPr>
                <w:p w14:paraId="2C10D8ED">
                  <w:pPr>
                    <w:widowControl/>
                    <w:autoSpaceDE w:val="0"/>
                    <w:autoSpaceDN w:val="0"/>
                    <w:jc w:val="center"/>
                    <w:rPr>
                      <w:sz w:val="21"/>
                      <w:szCs w:val="21"/>
                    </w:rPr>
                  </w:pPr>
                </w:p>
              </w:tc>
            </w:tr>
            <w:tr w14:paraId="1CC93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59B27053">
                  <w:pPr>
                    <w:autoSpaceDE w:val="0"/>
                    <w:autoSpaceDN w:val="0"/>
                    <w:jc w:val="center"/>
                    <w:rPr>
                      <w:sz w:val="21"/>
                      <w:szCs w:val="21"/>
                    </w:rPr>
                  </w:pPr>
                </w:p>
              </w:tc>
              <w:tc>
                <w:tcPr>
                  <w:tcW w:w="0" w:type="auto"/>
                  <w:vAlign w:val="center"/>
                </w:tcPr>
                <w:p w14:paraId="2D8C07C8">
                  <w:pPr>
                    <w:autoSpaceDE w:val="0"/>
                    <w:autoSpaceDN w:val="0"/>
                    <w:jc w:val="center"/>
                    <w:rPr>
                      <w:sz w:val="21"/>
                      <w:szCs w:val="21"/>
                    </w:rPr>
                  </w:pPr>
                  <w:r>
                    <w:rPr>
                      <w:sz w:val="21"/>
                      <w:szCs w:val="21"/>
                    </w:rPr>
                    <w:t>振动筛</w:t>
                  </w:r>
                </w:p>
              </w:tc>
              <w:tc>
                <w:tcPr>
                  <w:tcW w:w="1024" w:type="dxa"/>
                  <w:vAlign w:val="center"/>
                </w:tcPr>
                <w:p w14:paraId="70133F26">
                  <w:pPr>
                    <w:autoSpaceDE w:val="0"/>
                    <w:autoSpaceDN w:val="0"/>
                    <w:jc w:val="center"/>
                    <w:rPr>
                      <w:sz w:val="21"/>
                      <w:szCs w:val="21"/>
                    </w:rPr>
                  </w:pPr>
                  <w:r>
                    <w:rPr>
                      <w:sz w:val="21"/>
                      <w:szCs w:val="21"/>
                    </w:rPr>
                    <w:t>95-100</w:t>
                  </w:r>
                </w:p>
              </w:tc>
              <w:tc>
                <w:tcPr>
                  <w:tcW w:w="851" w:type="dxa"/>
                  <w:vAlign w:val="center"/>
                </w:tcPr>
                <w:p w14:paraId="2D6A7730">
                  <w:pPr>
                    <w:autoSpaceDE w:val="0"/>
                    <w:autoSpaceDN w:val="0"/>
                    <w:jc w:val="center"/>
                    <w:rPr>
                      <w:sz w:val="21"/>
                      <w:szCs w:val="21"/>
                    </w:rPr>
                  </w:pPr>
                  <w:r>
                    <w:rPr>
                      <w:sz w:val="21"/>
                      <w:szCs w:val="21"/>
                    </w:rPr>
                    <w:t>1</w:t>
                  </w:r>
                  <w:r>
                    <w:rPr>
                      <w:rFonts w:hint="eastAsia"/>
                      <w:sz w:val="21"/>
                      <w:szCs w:val="21"/>
                    </w:rPr>
                    <w:t>个</w:t>
                  </w:r>
                </w:p>
              </w:tc>
              <w:tc>
                <w:tcPr>
                  <w:tcW w:w="2126" w:type="dxa"/>
                  <w:vAlign w:val="center"/>
                </w:tcPr>
                <w:p w14:paraId="686B32F1">
                  <w:pPr>
                    <w:autoSpaceDE w:val="0"/>
                    <w:autoSpaceDN w:val="0"/>
                    <w:jc w:val="center"/>
                    <w:rPr>
                      <w:sz w:val="21"/>
                      <w:szCs w:val="21"/>
                    </w:rPr>
                  </w:pPr>
                  <w:r>
                    <w:rPr>
                      <w:sz w:val="21"/>
                      <w:szCs w:val="21"/>
                    </w:rPr>
                    <w:t>基础减振</w:t>
                  </w:r>
                </w:p>
              </w:tc>
              <w:tc>
                <w:tcPr>
                  <w:tcW w:w="709" w:type="dxa"/>
                  <w:vAlign w:val="center"/>
                </w:tcPr>
                <w:p w14:paraId="738E44D4">
                  <w:pPr>
                    <w:autoSpaceDE w:val="0"/>
                    <w:autoSpaceDN w:val="0"/>
                    <w:jc w:val="center"/>
                    <w:rPr>
                      <w:sz w:val="21"/>
                      <w:szCs w:val="21"/>
                    </w:rPr>
                  </w:pPr>
                  <w:r>
                    <w:rPr>
                      <w:sz w:val="21"/>
                      <w:szCs w:val="21"/>
                    </w:rPr>
                    <w:t>连续</w:t>
                  </w:r>
                </w:p>
              </w:tc>
              <w:tc>
                <w:tcPr>
                  <w:tcW w:w="1203" w:type="dxa"/>
                  <w:vMerge w:val="continue"/>
                  <w:vAlign w:val="center"/>
                </w:tcPr>
                <w:p w14:paraId="33F36DD4">
                  <w:pPr>
                    <w:widowControl/>
                    <w:autoSpaceDE w:val="0"/>
                    <w:autoSpaceDN w:val="0"/>
                    <w:jc w:val="center"/>
                    <w:rPr>
                      <w:sz w:val="21"/>
                      <w:szCs w:val="21"/>
                    </w:rPr>
                  </w:pPr>
                </w:p>
              </w:tc>
            </w:tr>
            <w:tr w14:paraId="49A385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6F791254">
                  <w:pPr>
                    <w:autoSpaceDE w:val="0"/>
                    <w:autoSpaceDN w:val="0"/>
                    <w:jc w:val="center"/>
                    <w:rPr>
                      <w:sz w:val="21"/>
                      <w:szCs w:val="21"/>
                    </w:rPr>
                  </w:pPr>
                </w:p>
              </w:tc>
              <w:tc>
                <w:tcPr>
                  <w:tcW w:w="0" w:type="auto"/>
                  <w:vAlign w:val="center"/>
                </w:tcPr>
                <w:p w14:paraId="12C124C4">
                  <w:pPr>
                    <w:autoSpaceDE w:val="0"/>
                    <w:autoSpaceDN w:val="0"/>
                    <w:jc w:val="center"/>
                    <w:rPr>
                      <w:sz w:val="21"/>
                      <w:szCs w:val="21"/>
                    </w:rPr>
                  </w:pPr>
                  <w:r>
                    <w:rPr>
                      <w:sz w:val="21"/>
                      <w:szCs w:val="21"/>
                    </w:rPr>
                    <w:t>风机</w:t>
                  </w:r>
                </w:p>
              </w:tc>
              <w:tc>
                <w:tcPr>
                  <w:tcW w:w="1024" w:type="dxa"/>
                  <w:vAlign w:val="center"/>
                </w:tcPr>
                <w:p w14:paraId="16AC3D9C">
                  <w:pPr>
                    <w:autoSpaceDE w:val="0"/>
                    <w:autoSpaceDN w:val="0"/>
                    <w:jc w:val="center"/>
                    <w:rPr>
                      <w:sz w:val="21"/>
                      <w:szCs w:val="21"/>
                    </w:rPr>
                  </w:pPr>
                  <w:r>
                    <w:rPr>
                      <w:sz w:val="21"/>
                      <w:szCs w:val="21"/>
                    </w:rPr>
                    <w:t>90- 100</w:t>
                  </w:r>
                </w:p>
              </w:tc>
              <w:tc>
                <w:tcPr>
                  <w:tcW w:w="851" w:type="dxa"/>
                  <w:vAlign w:val="center"/>
                </w:tcPr>
                <w:p w14:paraId="68C44B4F">
                  <w:pPr>
                    <w:autoSpaceDE w:val="0"/>
                    <w:autoSpaceDN w:val="0"/>
                    <w:jc w:val="center"/>
                    <w:rPr>
                      <w:sz w:val="21"/>
                      <w:szCs w:val="21"/>
                    </w:rPr>
                  </w:pPr>
                  <w:r>
                    <w:rPr>
                      <w:rFonts w:hint="eastAsia"/>
                      <w:sz w:val="21"/>
                      <w:szCs w:val="21"/>
                    </w:rPr>
                    <w:t>4个</w:t>
                  </w:r>
                </w:p>
              </w:tc>
              <w:tc>
                <w:tcPr>
                  <w:tcW w:w="2126" w:type="dxa"/>
                  <w:vAlign w:val="center"/>
                </w:tcPr>
                <w:p w14:paraId="4D89F409">
                  <w:pPr>
                    <w:autoSpaceDE w:val="0"/>
                    <w:autoSpaceDN w:val="0"/>
                    <w:jc w:val="center"/>
                    <w:rPr>
                      <w:sz w:val="21"/>
                      <w:szCs w:val="21"/>
                    </w:rPr>
                  </w:pPr>
                  <w:r>
                    <w:rPr>
                      <w:sz w:val="21"/>
                      <w:szCs w:val="21"/>
                    </w:rPr>
                    <w:t>基础减振</w:t>
                  </w:r>
                </w:p>
              </w:tc>
              <w:tc>
                <w:tcPr>
                  <w:tcW w:w="709" w:type="dxa"/>
                  <w:vAlign w:val="center"/>
                </w:tcPr>
                <w:p w14:paraId="4063CB0C">
                  <w:pPr>
                    <w:autoSpaceDE w:val="0"/>
                    <w:autoSpaceDN w:val="0"/>
                    <w:jc w:val="center"/>
                    <w:rPr>
                      <w:sz w:val="21"/>
                      <w:szCs w:val="21"/>
                    </w:rPr>
                  </w:pPr>
                  <w:r>
                    <w:rPr>
                      <w:sz w:val="21"/>
                      <w:szCs w:val="21"/>
                    </w:rPr>
                    <w:t>连续</w:t>
                  </w:r>
                </w:p>
              </w:tc>
              <w:tc>
                <w:tcPr>
                  <w:tcW w:w="1203" w:type="dxa"/>
                  <w:vAlign w:val="center"/>
                </w:tcPr>
                <w:p w14:paraId="4F7153AA">
                  <w:pPr>
                    <w:autoSpaceDE w:val="0"/>
                    <w:autoSpaceDN w:val="0"/>
                    <w:jc w:val="center"/>
                    <w:rPr>
                      <w:sz w:val="21"/>
                      <w:szCs w:val="21"/>
                    </w:rPr>
                  </w:pPr>
                  <w:r>
                    <w:rPr>
                      <w:sz w:val="21"/>
                      <w:szCs w:val="21"/>
                    </w:rPr>
                    <w:t>＜75</w:t>
                  </w:r>
                </w:p>
              </w:tc>
            </w:tr>
            <w:tr w14:paraId="201B1F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2143DE81">
                  <w:pPr>
                    <w:widowControl/>
                    <w:autoSpaceDE w:val="0"/>
                    <w:autoSpaceDN w:val="0"/>
                    <w:jc w:val="center"/>
                    <w:rPr>
                      <w:sz w:val="21"/>
                      <w:szCs w:val="21"/>
                    </w:rPr>
                  </w:pPr>
                </w:p>
              </w:tc>
              <w:tc>
                <w:tcPr>
                  <w:tcW w:w="0" w:type="auto"/>
                  <w:vAlign w:val="center"/>
                </w:tcPr>
                <w:p w14:paraId="43BBBE26">
                  <w:pPr>
                    <w:autoSpaceDE w:val="0"/>
                    <w:autoSpaceDN w:val="0"/>
                    <w:jc w:val="center"/>
                    <w:rPr>
                      <w:sz w:val="21"/>
                      <w:szCs w:val="21"/>
                    </w:rPr>
                  </w:pPr>
                  <w:r>
                    <w:rPr>
                      <w:sz w:val="21"/>
                      <w:szCs w:val="21"/>
                    </w:rPr>
                    <w:t>泵类</w:t>
                  </w:r>
                </w:p>
              </w:tc>
              <w:tc>
                <w:tcPr>
                  <w:tcW w:w="1024" w:type="dxa"/>
                  <w:vAlign w:val="center"/>
                </w:tcPr>
                <w:p w14:paraId="147A95FE">
                  <w:pPr>
                    <w:autoSpaceDE w:val="0"/>
                    <w:autoSpaceDN w:val="0"/>
                    <w:jc w:val="center"/>
                    <w:rPr>
                      <w:sz w:val="21"/>
                      <w:szCs w:val="21"/>
                    </w:rPr>
                  </w:pPr>
                  <w:r>
                    <w:rPr>
                      <w:sz w:val="21"/>
                      <w:szCs w:val="21"/>
                    </w:rPr>
                    <w:t>90-95</w:t>
                  </w:r>
                </w:p>
              </w:tc>
              <w:tc>
                <w:tcPr>
                  <w:tcW w:w="851" w:type="dxa"/>
                  <w:vAlign w:val="center"/>
                </w:tcPr>
                <w:p w14:paraId="3DD8F11D">
                  <w:pPr>
                    <w:autoSpaceDE w:val="0"/>
                    <w:autoSpaceDN w:val="0"/>
                    <w:jc w:val="center"/>
                    <w:rPr>
                      <w:sz w:val="21"/>
                      <w:szCs w:val="21"/>
                    </w:rPr>
                  </w:pPr>
                  <w:r>
                    <w:rPr>
                      <w:sz w:val="21"/>
                      <w:szCs w:val="21"/>
                    </w:rPr>
                    <w:t>9</w:t>
                  </w:r>
                  <w:r>
                    <w:rPr>
                      <w:rFonts w:hint="eastAsia"/>
                      <w:sz w:val="21"/>
                      <w:szCs w:val="21"/>
                    </w:rPr>
                    <w:t>个</w:t>
                  </w:r>
                </w:p>
              </w:tc>
              <w:tc>
                <w:tcPr>
                  <w:tcW w:w="2126" w:type="dxa"/>
                  <w:vAlign w:val="center"/>
                </w:tcPr>
                <w:p w14:paraId="46A6B615">
                  <w:pPr>
                    <w:autoSpaceDE w:val="0"/>
                    <w:autoSpaceDN w:val="0"/>
                    <w:jc w:val="center"/>
                    <w:rPr>
                      <w:sz w:val="21"/>
                      <w:szCs w:val="21"/>
                    </w:rPr>
                  </w:pPr>
                  <w:r>
                    <w:rPr>
                      <w:sz w:val="21"/>
                      <w:szCs w:val="21"/>
                    </w:rPr>
                    <w:t>置于室内，基础减振</w:t>
                  </w:r>
                </w:p>
              </w:tc>
              <w:tc>
                <w:tcPr>
                  <w:tcW w:w="709" w:type="dxa"/>
                  <w:vAlign w:val="center"/>
                </w:tcPr>
                <w:p w14:paraId="04A42796">
                  <w:pPr>
                    <w:autoSpaceDE w:val="0"/>
                    <w:autoSpaceDN w:val="0"/>
                    <w:jc w:val="center"/>
                    <w:rPr>
                      <w:sz w:val="21"/>
                      <w:szCs w:val="21"/>
                    </w:rPr>
                  </w:pPr>
                  <w:r>
                    <w:rPr>
                      <w:sz w:val="21"/>
                      <w:szCs w:val="21"/>
                    </w:rPr>
                    <w:t>连续</w:t>
                  </w:r>
                </w:p>
              </w:tc>
              <w:tc>
                <w:tcPr>
                  <w:tcW w:w="1203" w:type="dxa"/>
                  <w:vAlign w:val="center"/>
                </w:tcPr>
                <w:p w14:paraId="288F64CF">
                  <w:pPr>
                    <w:autoSpaceDE w:val="0"/>
                    <w:autoSpaceDN w:val="0"/>
                    <w:jc w:val="center"/>
                    <w:rPr>
                      <w:sz w:val="21"/>
                      <w:szCs w:val="21"/>
                    </w:rPr>
                  </w:pPr>
                  <w:r>
                    <w:rPr>
                      <w:sz w:val="21"/>
                      <w:szCs w:val="21"/>
                    </w:rPr>
                    <w:t>＜75</w:t>
                  </w:r>
                </w:p>
              </w:tc>
            </w:tr>
            <w:tr w14:paraId="7F4038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4B8DDA51">
                  <w:pPr>
                    <w:widowControl/>
                    <w:autoSpaceDE w:val="0"/>
                    <w:autoSpaceDN w:val="0"/>
                    <w:jc w:val="center"/>
                    <w:rPr>
                      <w:sz w:val="21"/>
                      <w:szCs w:val="21"/>
                    </w:rPr>
                  </w:pPr>
                </w:p>
              </w:tc>
              <w:tc>
                <w:tcPr>
                  <w:tcW w:w="0" w:type="auto"/>
                  <w:vAlign w:val="center"/>
                </w:tcPr>
                <w:p w14:paraId="1BFD387C">
                  <w:pPr>
                    <w:jc w:val="center"/>
                    <w:rPr>
                      <w:sz w:val="21"/>
                      <w:szCs w:val="21"/>
                    </w:rPr>
                  </w:pPr>
                  <w:r>
                    <w:rPr>
                      <w:sz w:val="21"/>
                      <w:szCs w:val="21"/>
                    </w:rPr>
                    <w:t>钢材数控切断机</w:t>
                  </w:r>
                </w:p>
              </w:tc>
              <w:tc>
                <w:tcPr>
                  <w:tcW w:w="1024" w:type="dxa"/>
                  <w:vAlign w:val="center"/>
                </w:tcPr>
                <w:p w14:paraId="5C6CA577">
                  <w:pPr>
                    <w:jc w:val="center"/>
                    <w:rPr>
                      <w:sz w:val="21"/>
                      <w:szCs w:val="21"/>
                    </w:rPr>
                  </w:pPr>
                  <w:r>
                    <w:rPr>
                      <w:sz w:val="21"/>
                      <w:szCs w:val="21"/>
                    </w:rPr>
                    <w:t>90-95</w:t>
                  </w:r>
                </w:p>
              </w:tc>
              <w:tc>
                <w:tcPr>
                  <w:tcW w:w="851" w:type="dxa"/>
                  <w:vAlign w:val="center"/>
                </w:tcPr>
                <w:p w14:paraId="4F14BDD1">
                  <w:pPr>
                    <w:pStyle w:val="69"/>
                  </w:pPr>
                  <w:r>
                    <w:t>2台</w:t>
                  </w:r>
                </w:p>
              </w:tc>
              <w:tc>
                <w:tcPr>
                  <w:tcW w:w="2126" w:type="dxa"/>
                  <w:vAlign w:val="center"/>
                </w:tcPr>
                <w:p w14:paraId="69C2D0DE">
                  <w:pPr>
                    <w:autoSpaceDE w:val="0"/>
                    <w:autoSpaceDN w:val="0"/>
                    <w:jc w:val="center"/>
                    <w:rPr>
                      <w:sz w:val="21"/>
                      <w:szCs w:val="21"/>
                    </w:rPr>
                  </w:pPr>
                  <w:r>
                    <w:rPr>
                      <w:sz w:val="21"/>
                      <w:szCs w:val="21"/>
                    </w:rPr>
                    <w:t>置于室内，基础减振</w:t>
                  </w:r>
                </w:p>
              </w:tc>
              <w:tc>
                <w:tcPr>
                  <w:tcW w:w="709" w:type="dxa"/>
                  <w:vAlign w:val="center"/>
                </w:tcPr>
                <w:p w14:paraId="71D3BB99">
                  <w:pPr>
                    <w:jc w:val="center"/>
                    <w:rPr>
                      <w:sz w:val="21"/>
                      <w:szCs w:val="21"/>
                    </w:rPr>
                  </w:pPr>
                  <w:r>
                    <w:rPr>
                      <w:sz w:val="21"/>
                      <w:szCs w:val="21"/>
                    </w:rPr>
                    <w:t>连续</w:t>
                  </w:r>
                </w:p>
              </w:tc>
              <w:tc>
                <w:tcPr>
                  <w:tcW w:w="1203" w:type="dxa"/>
                  <w:vAlign w:val="center"/>
                </w:tcPr>
                <w:p w14:paraId="62D0CC73">
                  <w:pPr>
                    <w:jc w:val="center"/>
                    <w:rPr>
                      <w:sz w:val="21"/>
                      <w:szCs w:val="21"/>
                    </w:rPr>
                  </w:pPr>
                  <w:r>
                    <w:rPr>
                      <w:sz w:val="21"/>
                      <w:szCs w:val="21"/>
                    </w:rPr>
                    <w:t>＜75</w:t>
                  </w:r>
                </w:p>
              </w:tc>
            </w:tr>
            <w:tr w14:paraId="6206EF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5DD5FF65">
                  <w:pPr>
                    <w:widowControl/>
                    <w:autoSpaceDE w:val="0"/>
                    <w:autoSpaceDN w:val="0"/>
                    <w:jc w:val="center"/>
                    <w:rPr>
                      <w:sz w:val="21"/>
                      <w:szCs w:val="21"/>
                    </w:rPr>
                  </w:pPr>
                </w:p>
              </w:tc>
              <w:tc>
                <w:tcPr>
                  <w:tcW w:w="0" w:type="auto"/>
                  <w:vAlign w:val="center"/>
                </w:tcPr>
                <w:p w14:paraId="75B3B136">
                  <w:pPr>
                    <w:jc w:val="center"/>
                    <w:rPr>
                      <w:sz w:val="21"/>
                      <w:szCs w:val="21"/>
                    </w:rPr>
                  </w:pPr>
                  <w:r>
                    <w:rPr>
                      <w:sz w:val="21"/>
                      <w:szCs w:val="21"/>
                    </w:rPr>
                    <w:t>数控钢筋弯箍机</w:t>
                  </w:r>
                </w:p>
              </w:tc>
              <w:tc>
                <w:tcPr>
                  <w:tcW w:w="1024" w:type="dxa"/>
                  <w:vAlign w:val="center"/>
                </w:tcPr>
                <w:p w14:paraId="09A25790">
                  <w:pPr>
                    <w:jc w:val="center"/>
                    <w:rPr>
                      <w:sz w:val="21"/>
                      <w:szCs w:val="21"/>
                    </w:rPr>
                  </w:pPr>
                  <w:r>
                    <w:rPr>
                      <w:sz w:val="21"/>
                      <w:szCs w:val="21"/>
                    </w:rPr>
                    <w:t>90-95</w:t>
                  </w:r>
                </w:p>
              </w:tc>
              <w:tc>
                <w:tcPr>
                  <w:tcW w:w="851" w:type="dxa"/>
                  <w:vAlign w:val="center"/>
                </w:tcPr>
                <w:p w14:paraId="3405D501">
                  <w:pPr>
                    <w:pStyle w:val="69"/>
                  </w:pPr>
                  <w:r>
                    <w:t>2台</w:t>
                  </w:r>
                </w:p>
              </w:tc>
              <w:tc>
                <w:tcPr>
                  <w:tcW w:w="2126" w:type="dxa"/>
                  <w:vAlign w:val="center"/>
                </w:tcPr>
                <w:p w14:paraId="5EC948D9">
                  <w:pPr>
                    <w:autoSpaceDE w:val="0"/>
                    <w:autoSpaceDN w:val="0"/>
                    <w:jc w:val="center"/>
                    <w:rPr>
                      <w:sz w:val="21"/>
                      <w:szCs w:val="21"/>
                    </w:rPr>
                  </w:pPr>
                  <w:r>
                    <w:rPr>
                      <w:sz w:val="21"/>
                      <w:szCs w:val="21"/>
                    </w:rPr>
                    <w:t>置于室内，基础减振</w:t>
                  </w:r>
                </w:p>
              </w:tc>
              <w:tc>
                <w:tcPr>
                  <w:tcW w:w="709" w:type="dxa"/>
                  <w:vAlign w:val="center"/>
                </w:tcPr>
                <w:p w14:paraId="6AFCA397">
                  <w:pPr>
                    <w:jc w:val="center"/>
                    <w:rPr>
                      <w:sz w:val="21"/>
                      <w:szCs w:val="21"/>
                    </w:rPr>
                  </w:pPr>
                  <w:r>
                    <w:rPr>
                      <w:sz w:val="21"/>
                      <w:szCs w:val="21"/>
                    </w:rPr>
                    <w:t>连续</w:t>
                  </w:r>
                </w:p>
              </w:tc>
              <w:tc>
                <w:tcPr>
                  <w:tcW w:w="1203" w:type="dxa"/>
                  <w:vAlign w:val="center"/>
                </w:tcPr>
                <w:p w14:paraId="791CD43C">
                  <w:pPr>
                    <w:jc w:val="center"/>
                    <w:rPr>
                      <w:sz w:val="21"/>
                      <w:szCs w:val="21"/>
                    </w:rPr>
                  </w:pPr>
                  <w:r>
                    <w:rPr>
                      <w:sz w:val="21"/>
                      <w:szCs w:val="21"/>
                    </w:rPr>
                    <w:t>＜80</w:t>
                  </w:r>
                </w:p>
              </w:tc>
            </w:tr>
            <w:tr w14:paraId="30EE16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3F272B4D">
                  <w:pPr>
                    <w:widowControl/>
                    <w:autoSpaceDE w:val="0"/>
                    <w:autoSpaceDN w:val="0"/>
                    <w:jc w:val="center"/>
                    <w:rPr>
                      <w:sz w:val="21"/>
                      <w:szCs w:val="21"/>
                    </w:rPr>
                  </w:pPr>
                </w:p>
              </w:tc>
              <w:tc>
                <w:tcPr>
                  <w:tcW w:w="0" w:type="auto"/>
                  <w:vAlign w:val="center"/>
                </w:tcPr>
                <w:p w14:paraId="5CB5116C">
                  <w:pPr>
                    <w:jc w:val="center"/>
                    <w:rPr>
                      <w:sz w:val="21"/>
                      <w:szCs w:val="21"/>
                    </w:rPr>
                  </w:pPr>
                  <w:r>
                    <w:rPr>
                      <w:sz w:val="21"/>
                      <w:szCs w:val="21"/>
                    </w:rPr>
                    <w:t>智能数控自动弯曲机</w:t>
                  </w:r>
                </w:p>
              </w:tc>
              <w:tc>
                <w:tcPr>
                  <w:tcW w:w="1024" w:type="dxa"/>
                  <w:vAlign w:val="center"/>
                </w:tcPr>
                <w:p w14:paraId="296A3E04">
                  <w:pPr>
                    <w:jc w:val="center"/>
                    <w:rPr>
                      <w:sz w:val="21"/>
                      <w:szCs w:val="21"/>
                    </w:rPr>
                  </w:pPr>
                  <w:r>
                    <w:rPr>
                      <w:sz w:val="21"/>
                      <w:szCs w:val="21"/>
                    </w:rPr>
                    <w:t>90-95</w:t>
                  </w:r>
                </w:p>
              </w:tc>
              <w:tc>
                <w:tcPr>
                  <w:tcW w:w="851" w:type="dxa"/>
                  <w:vAlign w:val="center"/>
                </w:tcPr>
                <w:p w14:paraId="6BD9FADD">
                  <w:pPr>
                    <w:pStyle w:val="69"/>
                  </w:pPr>
                  <w:r>
                    <w:t>2台</w:t>
                  </w:r>
                </w:p>
              </w:tc>
              <w:tc>
                <w:tcPr>
                  <w:tcW w:w="2126" w:type="dxa"/>
                  <w:vAlign w:val="center"/>
                </w:tcPr>
                <w:p w14:paraId="2479E134">
                  <w:pPr>
                    <w:autoSpaceDE w:val="0"/>
                    <w:autoSpaceDN w:val="0"/>
                    <w:jc w:val="center"/>
                    <w:rPr>
                      <w:sz w:val="21"/>
                      <w:szCs w:val="21"/>
                    </w:rPr>
                  </w:pPr>
                  <w:r>
                    <w:rPr>
                      <w:sz w:val="21"/>
                      <w:szCs w:val="21"/>
                    </w:rPr>
                    <w:t>置于室内，基础减振</w:t>
                  </w:r>
                </w:p>
              </w:tc>
              <w:tc>
                <w:tcPr>
                  <w:tcW w:w="709" w:type="dxa"/>
                  <w:vAlign w:val="center"/>
                </w:tcPr>
                <w:p w14:paraId="72C15789">
                  <w:pPr>
                    <w:jc w:val="center"/>
                    <w:rPr>
                      <w:sz w:val="21"/>
                      <w:szCs w:val="21"/>
                    </w:rPr>
                  </w:pPr>
                  <w:r>
                    <w:rPr>
                      <w:sz w:val="21"/>
                      <w:szCs w:val="21"/>
                    </w:rPr>
                    <w:t>连续</w:t>
                  </w:r>
                </w:p>
              </w:tc>
              <w:tc>
                <w:tcPr>
                  <w:tcW w:w="1203" w:type="dxa"/>
                  <w:vAlign w:val="center"/>
                </w:tcPr>
                <w:p w14:paraId="7E482631">
                  <w:pPr>
                    <w:jc w:val="center"/>
                    <w:rPr>
                      <w:sz w:val="21"/>
                      <w:szCs w:val="21"/>
                    </w:rPr>
                  </w:pPr>
                  <w:r>
                    <w:rPr>
                      <w:sz w:val="21"/>
                      <w:szCs w:val="21"/>
                    </w:rPr>
                    <w:t>＜80</w:t>
                  </w:r>
                </w:p>
              </w:tc>
            </w:tr>
            <w:tr w14:paraId="488C5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38EA607E">
                  <w:pPr>
                    <w:widowControl/>
                    <w:autoSpaceDE w:val="0"/>
                    <w:autoSpaceDN w:val="0"/>
                    <w:jc w:val="center"/>
                    <w:rPr>
                      <w:sz w:val="21"/>
                      <w:szCs w:val="21"/>
                    </w:rPr>
                  </w:pPr>
                </w:p>
              </w:tc>
              <w:tc>
                <w:tcPr>
                  <w:tcW w:w="0" w:type="auto"/>
                  <w:vAlign w:val="center"/>
                </w:tcPr>
                <w:p w14:paraId="12849ED6">
                  <w:pPr>
                    <w:jc w:val="center"/>
                    <w:rPr>
                      <w:sz w:val="21"/>
                      <w:szCs w:val="21"/>
                    </w:rPr>
                  </w:pPr>
                  <w:r>
                    <w:rPr>
                      <w:sz w:val="21"/>
                      <w:szCs w:val="21"/>
                    </w:rPr>
                    <w:t>数控钢筋剪切</w:t>
                  </w:r>
                </w:p>
              </w:tc>
              <w:tc>
                <w:tcPr>
                  <w:tcW w:w="1024" w:type="dxa"/>
                  <w:vAlign w:val="center"/>
                </w:tcPr>
                <w:p w14:paraId="04CE4226">
                  <w:pPr>
                    <w:jc w:val="center"/>
                    <w:rPr>
                      <w:sz w:val="21"/>
                      <w:szCs w:val="21"/>
                    </w:rPr>
                  </w:pPr>
                  <w:r>
                    <w:rPr>
                      <w:sz w:val="21"/>
                      <w:szCs w:val="21"/>
                    </w:rPr>
                    <w:t>90- 100</w:t>
                  </w:r>
                </w:p>
              </w:tc>
              <w:tc>
                <w:tcPr>
                  <w:tcW w:w="851" w:type="dxa"/>
                  <w:vAlign w:val="center"/>
                </w:tcPr>
                <w:p w14:paraId="77CC6D70">
                  <w:pPr>
                    <w:pStyle w:val="69"/>
                  </w:pPr>
                  <w:r>
                    <w:t>3台</w:t>
                  </w:r>
                </w:p>
              </w:tc>
              <w:tc>
                <w:tcPr>
                  <w:tcW w:w="2126" w:type="dxa"/>
                  <w:vAlign w:val="center"/>
                </w:tcPr>
                <w:p w14:paraId="788F6662">
                  <w:pPr>
                    <w:autoSpaceDE w:val="0"/>
                    <w:autoSpaceDN w:val="0"/>
                    <w:jc w:val="center"/>
                    <w:rPr>
                      <w:sz w:val="21"/>
                      <w:szCs w:val="21"/>
                    </w:rPr>
                  </w:pPr>
                  <w:r>
                    <w:rPr>
                      <w:sz w:val="21"/>
                      <w:szCs w:val="21"/>
                    </w:rPr>
                    <w:t>置于室内，基础减振</w:t>
                  </w:r>
                </w:p>
              </w:tc>
              <w:tc>
                <w:tcPr>
                  <w:tcW w:w="709" w:type="dxa"/>
                  <w:vAlign w:val="center"/>
                </w:tcPr>
                <w:p w14:paraId="3057B1D1">
                  <w:pPr>
                    <w:jc w:val="center"/>
                    <w:rPr>
                      <w:sz w:val="21"/>
                      <w:szCs w:val="21"/>
                    </w:rPr>
                  </w:pPr>
                  <w:r>
                    <w:rPr>
                      <w:sz w:val="21"/>
                      <w:szCs w:val="21"/>
                    </w:rPr>
                    <w:t>连续</w:t>
                  </w:r>
                </w:p>
              </w:tc>
              <w:tc>
                <w:tcPr>
                  <w:tcW w:w="1203" w:type="dxa"/>
                  <w:vAlign w:val="center"/>
                </w:tcPr>
                <w:p w14:paraId="2F4D6E47">
                  <w:pPr>
                    <w:jc w:val="center"/>
                    <w:rPr>
                      <w:sz w:val="21"/>
                      <w:szCs w:val="21"/>
                    </w:rPr>
                  </w:pPr>
                  <w:r>
                    <w:rPr>
                      <w:sz w:val="21"/>
                      <w:szCs w:val="21"/>
                    </w:rPr>
                    <w:t>＜85</w:t>
                  </w:r>
                </w:p>
              </w:tc>
            </w:tr>
            <w:tr w14:paraId="7D89D2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6811CFBA">
                  <w:pPr>
                    <w:widowControl/>
                    <w:autoSpaceDE w:val="0"/>
                    <w:autoSpaceDN w:val="0"/>
                    <w:jc w:val="center"/>
                    <w:rPr>
                      <w:sz w:val="21"/>
                      <w:szCs w:val="21"/>
                    </w:rPr>
                  </w:pPr>
                </w:p>
              </w:tc>
              <w:tc>
                <w:tcPr>
                  <w:tcW w:w="0" w:type="auto"/>
                  <w:vAlign w:val="center"/>
                </w:tcPr>
                <w:p w14:paraId="0E5AF7F4">
                  <w:pPr>
                    <w:jc w:val="center"/>
                    <w:rPr>
                      <w:sz w:val="21"/>
                      <w:szCs w:val="21"/>
                    </w:rPr>
                  </w:pPr>
                  <w:r>
                    <w:rPr>
                      <w:sz w:val="21"/>
                      <w:szCs w:val="21"/>
                    </w:rPr>
                    <w:t>车丝机</w:t>
                  </w:r>
                </w:p>
              </w:tc>
              <w:tc>
                <w:tcPr>
                  <w:tcW w:w="1024" w:type="dxa"/>
                  <w:vAlign w:val="center"/>
                </w:tcPr>
                <w:p w14:paraId="52E6F5E6">
                  <w:pPr>
                    <w:jc w:val="center"/>
                    <w:rPr>
                      <w:sz w:val="21"/>
                      <w:szCs w:val="21"/>
                    </w:rPr>
                  </w:pPr>
                  <w:r>
                    <w:rPr>
                      <w:sz w:val="21"/>
                      <w:szCs w:val="21"/>
                    </w:rPr>
                    <w:t>85-90</w:t>
                  </w:r>
                </w:p>
              </w:tc>
              <w:tc>
                <w:tcPr>
                  <w:tcW w:w="851" w:type="dxa"/>
                  <w:vAlign w:val="center"/>
                </w:tcPr>
                <w:p w14:paraId="0174637B">
                  <w:pPr>
                    <w:pStyle w:val="69"/>
                  </w:pPr>
                  <w:r>
                    <w:t>3套</w:t>
                  </w:r>
                </w:p>
              </w:tc>
              <w:tc>
                <w:tcPr>
                  <w:tcW w:w="2126" w:type="dxa"/>
                  <w:vAlign w:val="center"/>
                </w:tcPr>
                <w:p w14:paraId="691920E0">
                  <w:pPr>
                    <w:autoSpaceDE w:val="0"/>
                    <w:autoSpaceDN w:val="0"/>
                    <w:jc w:val="center"/>
                    <w:rPr>
                      <w:sz w:val="21"/>
                      <w:szCs w:val="21"/>
                    </w:rPr>
                  </w:pPr>
                  <w:r>
                    <w:rPr>
                      <w:sz w:val="21"/>
                      <w:szCs w:val="21"/>
                    </w:rPr>
                    <w:t>置于室内，基础减振</w:t>
                  </w:r>
                </w:p>
              </w:tc>
              <w:tc>
                <w:tcPr>
                  <w:tcW w:w="709" w:type="dxa"/>
                  <w:vAlign w:val="center"/>
                </w:tcPr>
                <w:p w14:paraId="040F1E40">
                  <w:pPr>
                    <w:jc w:val="center"/>
                    <w:rPr>
                      <w:sz w:val="21"/>
                      <w:szCs w:val="21"/>
                    </w:rPr>
                  </w:pPr>
                  <w:r>
                    <w:rPr>
                      <w:sz w:val="21"/>
                      <w:szCs w:val="21"/>
                    </w:rPr>
                    <w:t>连续</w:t>
                  </w:r>
                </w:p>
              </w:tc>
              <w:tc>
                <w:tcPr>
                  <w:tcW w:w="1203" w:type="dxa"/>
                  <w:vAlign w:val="center"/>
                </w:tcPr>
                <w:p w14:paraId="53083944">
                  <w:pPr>
                    <w:jc w:val="center"/>
                    <w:rPr>
                      <w:sz w:val="21"/>
                      <w:szCs w:val="21"/>
                    </w:rPr>
                  </w:pPr>
                  <w:r>
                    <w:rPr>
                      <w:sz w:val="21"/>
                      <w:szCs w:val="21"/>
                    </w:rPr>
                    <w:t>＜75</w:t>
                  </w:r>
                </w:p>
              </w:tc>
            </w:tr>
            <w:tr w14:paraId="11DED9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4B8B2A12">
                  <w:pPr>
                    <w:widowControl/>
                    <w:autoSpaceDE w:val="0"/>
                    <w:autoSpaceDN w:val="0"/>
                    <w:jc w:val="center"/>
                    <w:rPr>
                      <w:sz w:val="21"/>
                      <w:szCs w:val="21"/>
                    </w:rPr>
                  </w:pPr>
                </w:p>
              </w:tc>
              <w:tc>
                <w:tcPr>
                  <w:tcW w:w="0" w:type="auto"/>
                  <w:vAlign w:val="center"/>
                </w:tcPr>
                <w:p w14:paraId="34D9DB0B">
                  <w:pPr>
                    <w:jc w:val="center"/>
                    <w:rPr>
                      <w:sz w:val="21"/>
                      <w:szCs w:val="21"/>
                    </w:rPr>
                  </w:pPr>
                  <w:r>
                    <w:rPr>
                      <w:sz w:val="21"/>
                      <w:szCs w:val="21"/>
                    </w:rPr>
                    <w:t>切割机</w:t>
                  </w:r>
                </w:p>
              </w:tc>
              <w:tc>
                <w:tcPr>
                  <w:tcW w:w="1024" w:type="dxa"/>
                  <w:vAlign w:val="center"/>
                </w:tcPr>
                <w:p w14:paraId="24B4FB0E">
                  <w:pPr>
                    <w:jc w:val="center"/>
                    <w:rPr>
                      <w:sz w:val="21"/>
                      <w:szCs w:val="21"/>
                    </w:rPr>
                  </w:pPr>
                  <w:r>
                    <w:rPr>
                      <w:sz w:val="21"/>
                      <w:szCs w:val="21"/>
                    </w:rPr>
                    <w:t>90- 100</w:t>
                  </w:r>
                </w:p>
              </w:tc>
              <w:tc>
                <w:tcPr>
                  <w:tcW w:w="851" w:type="dxa"/>
                  <w:vAlign w:val="center"/>
                </w:tcPr>
                <w:p w14:paraId="4E101B8E">
                  <w:pPr>
                    <w:pStyle w:val="69"/>
                  </w:pPr>
                  <w:r>
                    <w:t>4台</w:t>
                  </w:r>
                </w:p>
              </w:tc>
              <w:tc>
                <w:tcPr>
                  <w:tcW w:w="2126" w:type="dxa"/>
                  <w:vAlign w:val="center"/>
                </w:tcPr>
                <w:p w14:paraId="5AFDFDC3">
                  <w:pPr>
                    <w:autoSpaceDE w:val="0"/>
                    <w:autoSpaceDN w:val="0"/>
                    <w:jc w:val="center"/>
                    <w:rPr>
                      <w:sz w:val="21"/>
                      <w:szCs w:val="21"/>
                    </w:rPr>
                  </w:pPr>
                  <w:r>
                    <w:rPr>
                      <w:sz w:val="21"/>
                      <w:szCs w:val="21"/>
                    </w:rPr>
                    <w:t>置于室内，基础减振</w:t>
                  </w:r>
                </w:p>
              </w:tc>
              <w:tc>
                <w:tcPr>
                  <w:tcW w:w="709" w:type="dxa"/>
                  <w:vAlign w:val="center"/>
                </w:tcPr>
                <w:p w14:paraId="5CFD0040">
                  <w:pPr>
                    <w:jc w:val="center"/>
                    <w:rPr>
                      <w:sz w:val="21"/>
                      <w:szCs w:val="21"/>
                    </w:rPr>
                  </w:pPr>
                  <w:r>
                    <w:rPr>
                      <w:sz w:val="21"/>
                      <w:szCs w:val="21"/>
                    </w:rPr>
                    <w:t>连续</w:t>
                  </w:r>
                </w:p>
              </w:tc>
              <w:tc>
                <w:tcPr>
                  <w:tcW w:w="1203" w:type="dxa"/>
                  <w:vAlign w:val="center"/>
                </w:tcPr>
                <w:p w14:paraId="70FF6BFE">
                  <w:pPr>
                    <w:jc w:val="center"/>
                    <w:rPr>
                      <w:sz w:val="21"/>
                      <w:szCs w:val="21"/>
                    </w:rPr>
                  </w:pPr>
                  <w:r>
                    <w:rPr>
                      <w:sz w:val="21"/>
                      <w:szCs w:val="21"/>
                    </w:rPr>
                    <w:t>＜85</w:t>
                  </w:r>
                </w:p>
              </w:tc>
            </w:tr>
            <w:tr w14:paraId="61F83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2D573285">
                  <w:pPr>
                    <w:widowControl/>
                    <w:autoSpaceDE w:val="0"/>
                    <w:autoSpaceDN w:val="0"/>
                    <w:jc w:val="center"/>
                    <w:rPr>
                      <w:sz w:val="21"/>
                      <w:szCs w:val="21"/>
                    </w:rPr>
                  </w:pPr>
                </w:p>
              </w:tc>
              <w:tc>
                <w:tcPr>
                  <w:tcW w:w="0" w:type="auto"/>
                  <w:vAlign w:val="center"/>
                </w:tcPr>
                <w:p w14:paraId="0539DB02">
                  <w:pPr>
                    <w:jc w:val="center"/>
                    <w:rPr>
                      <w:sz w:val="21"/>
                      <w:szCs w:val="21"/>
                    </w:rPr>
                  </w:pPr>
                  <w:r>
                    <w:rPr>
                      <w:sz w:val="21"/>
                      <w:szCs w:val="21"/>
                    </w:rPr>
                    <w:t>叉车</w:t>
                  </w:r>
                </w:p>
              </w:tc>
              <w:tc>
                <w:tcPr>
                  <w:tcW w:w="1024" w:type="dxa"/>
                  <w:vAlign w:val="center"/>
                </w:tcPr>
                <w:p w14:paraId="1793822B">
                  <w:pPr>
                    <w:jc w:val="center"/>
                    <w:rPr>
                      <w:sz w:val="21"/>
                      <w:szCs w:val="21"/>
                    </w:rPr>
                  </w:pPr>
                  <w:r>
                    <w:rPr>
                      <w:sz w:val="21"/>
                      <w:szCs w:val="21"/>
                    </w:rPr>
                    <w:t>85-90</w:t>
                  </w:r>
                </w:p>
              </w:tc>
              <w:tc>
                <w:tcPr>
                  <w:tcW w:w="851" w:type="dxa"/>
                  <w:vAlign w:val="center"/>
                </w:tcPr>
                <w:p w14:paraId="10F56612">
                  <w:pPr>
                    <w:pStyle w:val="69"/>
                  </w:pPr>
                  <w:r>
                    <w:t>4俩</w:t>
                  </w:r>
                </w:p>
              </w:tc>
              <w:tc>
                <w:tcPr>
                  <w:tcW w:w="2126" w:type="dxa"/>
                  <w:vAlign w:val="center"/>
                </w:tcPr>
                <w:p w14:paraId="315967BA">
                  <w:pPr>
                    <w:autoSpaceDE w:val="0"/>
                    <w:autoSpaceDN w:val="0"/>
                    <w:jc w:val="center"/>
                    <w:rPr>
                      <w:sz w:val="21"/>
                      <w:szCs w:val="21"/>
                    </w:rPr>
                  </w:pPr>
                  <w:r>
                    <w:rPr>
                      <w:sz w:val="21"/>
                      <w:szCs w:val="21"/>
                    </w:rPr>
                    <w:t>置于室内，基础减振</w:t>
                  </w:r>
                </w:p>
              </w:tc>
              <w:tc>
                <w:tcPr>
                  <w:tcW w:w="709" w:type="dxa"/>
                  <w:vAlign w:val="center"/>
                </w:tcPr>
                <w:p w14:paraId="4DED2455">
                  <w:pPr>
                    <w:jc w:val="center"/>
                    <w:rPr>
                      <w:sz w:val="21"/>
                      <w:szCs w:val="21"/>
                    </w:rPr>
                  </w:pPr>
                  <w:r>
                    <w:rPr>
                      <w:sz w:val="21"/>
                      <w:szCs w:val="21"/>
                    </w:rPr>
                    <w:t>连续</w:t>
                  </w:r>
                </w:p>
              </w:tc>
              <w:tc>
                <w:tcPr>
                  <w:tcW w:w="1203" w:type="dxa"/>
                  <w:vAlign w:val="center"/>
                </w:tcPr>
                <w:p w14:paraId="1D97C1F3">
                  <w:pPr>
                    <w:jc w:val="center"/>
                    <w:rPr>
                      <w:sz w:val="21"/>
                      <w:szCs w:val="21"/>
                    </w:rPr>
                  </w:pPr>
                  <w:r>
                    <w:rPr>
                      <w:sz w:val="21"/>
                      <w:szCs w:val="21"/>
                    </w:rPr>
                    <w:t>＜75</w:t>
                  </w:r>
                </w:p>
              </w:tc>
            </w:tr>
            <w:tr w14:paraId="729B8B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vAlign w:val="center"/>
                </w:tcPr>
                <w:p w14:paraId="0B7FA974">
                  <w:pPr>
                    <w:widowControl/>
                    <w:autoSpaceDE w:val="0"/>
                    <w:autoSpaceDN w:val="0"/>
                    <w:jc w:val="center"/>
                    <w:rPr>
                      <w:sz w:val="21"/>
                      <w:szCs w:val="21"/>
                    </w:rPr>
                  </w:pPr>
                </w:p>
              </w:tc>
              <w:tc>
                <w:tcPr>
                  <w:tcW w:w="0" w:type="auto"/>
                  <w:vAlign w:val="center"/>
                </w:tcPr>
                <w:p w14:paraId="3B94700D">
                  <w:pPr>
                    <w:jc w:val="center"/>
                    <w:rPr>
                      <w:sz w:val="21"/>
                      <w:szCs w:val="21"/>
                    </w:rPr>
                  </w:pPr>
                  <w:r>
                    <w:rPr>
                      <w:sz w:val="21"/>
                      <w:szCs w:val="21"/>
                    </w:rPr>
                    <w:t>龙门吊</w:t>
                  </w:r>
                </w:p>
              </w:tc>
              <w:tc>
                <w:tcPr>
                  <w:tcW w:w="1024" w:type="dxa"/>
                  <w:vAlign w:val="center"/>
                </w:tcPr>
                <w:p w14:paraId="489B834E">
                  <w:pPr>
                    <w:jc w:val="center"/>
                    <w:rPr>
                      <w:sz w:val="21"/>
                      <w:szCs w:val="21"/>
                    </w:rPr>
                  </w:pPr>
                  <w:r>
                    <w:rPr>
                      <w:sz w:val="21"/>
                      <w:szCs w:val="21"/>
                    </w:rPr>
                    <w:t>85-90</w:t>
                  </w:r>
                </w:p>
              </w:tc>
              <w:tc>
                <w:tcPr>
                  <w:tcW w:w="851" w:type="dxa"/>
                  <w:vAlign w:val="center"/>
                </w:tcPr>
                <w:p w14:paraId="11092659">
                  <w:pPr>
                    <w:pStyle w:val="69"/>
                  </w:pPr>
                  <w:r>
                    <w:t>2台</w:t>
                  </w:r>
                </w:p>
              </w:tc>
              <w:tc>
                <w:tcPr>
                  <w:tcW w:w="2126" w:type="dxa"/>
                  <w:vAlign w:val="center"/>
                </w:tcPr>
                <w:p w14:paraId="2710E419">
                  <w:pPr>
                    <w:autoSpaceDE w:val="0"/>
                    <w:autoSpaceDN w:val="0"/>
                    <w:jc w:val="center"/>
                    <w:rPr>
                      <w:sz w:val="21"/>
                      <w:szCs w:val="21"/>
                    </w:rPr>
                  </w:pPr>
                  <w:r>
                    <w:rPr>
                      <w:sz w:val="21"/>
                      <w:szCs w:val="21"/>
                    </w:rPr>
                    <w:t>置于室内，基础减振</w:t>
                  </w:r>
                </w:p>
              </w:tc>
              <w:tc>
                <w:tcPr>
                  <w:tcW w:w="709" w:type="dxa"/>
                  <w:vAlign w:val="center"/>
                </w:tcPr>
                <w:p w14:paraId="4E0B5CA9">
                  <w:pPr>
                    <w:jc w:val="center"/>
                    <w:rPr>
                      <w:sz w:val="21"/>
                      <w:szCs w:val="21"/>
                    </w:rPr>
                  </w:pPr>
                  <w:r>
                    <w:rPr>
                      <w:sz w:val="21"/>
                      <w:szCs w:val="21"/>
                    </w:rPr>
                    <w:t>连续</w:t>
                  </w:r>
                </w:p>
              </w:tc>
              <w:tc>
                <w:tcPr>
                  <w:tcW w:w="1203" w:type="dxa"/>
                  <w:vAlign w:val="center"/>
                </w:tcPr>
                <w:p w14:paraId="24EEA779">
                  <w:pPr>
                    <w:jc w:val="center"/>
                    <w:rPr>
                      <w:sz w:val="21"/>
                      <w:szCs w:val="21"/>
                    </w:rPr>
                  </w:pPr>
                  <w:r>
                    <w:rPr>
                      <w:sz w:val="21"/>
                      <w:szCs w:val="21"/>
                    </w:rPr>
                    <w:t>＜75</w:t>
                  </w:r>
                </w:p>
              </w:tc>
            </w:tr>
            <w:tr w14:paraId="609893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gridSpan w:val="2"/>
                  <w:vAlign w:val="center"/>
                </w:tcPr>
                <w:p w14:paraId="5452C035">
                  <w:pPr>
                    <w:autoSpaceDE w:val="0"/>
                    <w:autoSpaceDN w:val="0"/>
                    <w:jc w:val="center"/>
                    <w:rPr>
                      <w:sz w:val="21"/>
                      <w:szCs w:val="21"/>
                    </w:rPr>
                  </w:pPr>
                  <w:r>
                    <w:rPr>
                      <w:sz w:val="21"/>
                      <w:szCs w:val="21"/>
                    </w:rPr>
                    <w:t>运输车辆</w:t>
                  </w:r>
                </w:p>
              </w:tc>
              <w:tc>
                <w:tcPr>
                  <w:tcW w:w="1024" w:type="dxa"/>
                  <w:vAlign w:val="center"/>
                </w:tcPr>
                <w:p w14:paraId="05A4A060">
                  <w:pPr>
                    <w:autoSpaceDE w:val="0"/>
                    <w:autoSpaceDN w:val="0"/>
                    <w:jc w:val="center"/>
                    <w:rPr>
                      <w:sz w:val="21"/>
                      <w:szCs w:val="21"/>
                    </w:rPr>
                  </w:pPr>
                  <w:r>
                    <w:rPr>
                      <w:sz w:val="21"/>
                      <w:szCs w:val="21"/>
                    </w:rPr>
                    <w:t>65-75</w:t>
                  </w:r>
                </w:p>
              </w:tc>
              <w:tc>
                <w:tcPr>
                  <w:tcW w:w="851" w:type="dxa"/>
                  <w:vAlign w:val="center"/>
                </w:tcPr>
                <w:p w14:paraId="17A944AA">
                  <w:pPr>
                    <w:autoSpaceDE w:val="0"/>
                    <w:autoSpaceDN w:val="0"/>
                    <w:jc w:val="center"/>
                    <w:rPr>
                      <w:sz w:val="21"/>
                      <w:szCs w:val="21"/>
                    </w:rPr>
                  </w:pPr>
                  <w:r>
                    <w:rPr>
                      <w:sz w:val="21"/>
                      <w:szCs w:val="21"/>
                    </w:rPr>
                    <w:t>12</w:t>
                  </w:r>
                  <w:r>
                    <w:rPr>
                      <w:rFonts w:hint="eastAsia"/>
                      <w:sz w:val="21"/>
                      <w:szCs w:val="21"/>
                    </w:rPr>
                    <w:t>辆</w:t>
                  </w:r>
                </w:p>
              </w:tc>
              <w:tc>
                <w:tcPr>
                  <w:tcW w:w="2126" w:type="dxa"/>
                  <w:vAlign w:val="center"/>
                </w:tcPr>
                <w:p w14:paraId="53BBF3AA">
                  <w:pPr>
                    <w:autoSpaceDE w:val="0"/>
                    <w:autoSpaceDN w:val="0"/>
                    <w:jc w:val="center"/>
                    <w:rPr>
                      <w:sz w:val="21"/>
                      <w:szCs w:val="21"/>
                    </w:rPr>
                  </w:pPr>
                  <w:r>
                    <w:rPr>
                      <w:sz w:val="21"/>
                      <w:szCs w:val="21"/>
                    </w:rPr>
                    <w:t>加强管理、减速、限鸣</w:t>
                  </w:r>
                </w:p>
              </w:tc>
              <w:tc>
                <w:tcPr>
                  <w:tcW w:w="709" w:type="dxa"/>
                  <w:vAlign w:val="center"/>
                </w:tcPr>
                <w:p w14:paraId="6C7FACA7">
                  <w:pPr>
                    <w:autoSpaceDE w:val="0"/>
                    <w:autoSpaceDN w:val="0"/>
                    <w:jc w:val="center"/>
                    <w:rPr>
                      <w:sz w:val="21"/>
                      <w:szCs w:val="21"/>
                    </w:rPr>
                  </w:pPr>
                  <w:r>
                    <w:rPr>
                      <w:sz w:val="21"/>
                      <w:szCs w:val="21"/>
                    </w:rPr>
                    <w:t>间断</w:t>
                  </w:r>
                </w:p>
              </w:tc>
              <w:tc>
                <w:tcPr>
                  <w:tcW w:w="1203" w:type="dxa"/>
                  <w:vAlign w:val="center"/>
                </w:tcPr>
                <w:p w14:paraId="790F7215">
                  <w:pPr>
                    <w:jc w:val="center"/>
                    <w:rPr>
                      <w:sz w:val="21"/>
                      <w:szCs w:val="21"/>
                    </w:rPr>
                  </w:pPr>
                  <w:r>
                    <w:rPr>
                      <w:sz w:val="21"/>
                      <w:szCs w:val="21"/>
                    </w:rPr>
                    <w:t>＜60</w:t>
                  </w:r>
                </w:p>
              </w:tc>
            </w:tr>
          </w:tbl>
          <w:p w14:paraId="58682966">
            <w:pPr>
              <w:spacing w:line="460" w:lineRule="exact"/>
              <w:ind w:firstLine="480" w:firstLineChars="200"/>
              <w:rPr>
                <w:kern w:val="0"/>
              </w:rPr>
            </w:pPr>
            <w:r>
              <w:rPr>
                <w:kern w:val="0"/>
              </w:rPr>
              <w:t>根据《环境影响评价技术导则 声环境》（HJ 2.4-2021），</w:t>
            </w:r>
            <w:r>
              <w:rPr>
                <w:spacing w:val="4"/>
                <w:kern w:val="0"/>
              </w:rPr>
              <w:t>中的工业噪声预测模式。</w:t>
            </w:r>
            <w:r>
              <w:rPr>
                <w:kern w:val="0"/>
              </w:rPr>
              <w:t>本次预测模式不考虑雨、雪、雾和温度梯度等因素，以保证未来实际噪声环境较预测结果优越。</w:t>
            </w:r>
          </w:p>
          <w:p w14:paraId="2F091E4C">
            <w:pPr>
              <w:spacing w:line="460" w:lineRule="exact"/>
              <w:ind w:firstLine="480" w:firstLineChars="200"/>
              <w:rPr>
                <w:kern w:val="0"/>
              </w:rPr>
            </w:pPr>
            <w:r>
              <w:rPr>
                <w:rFonts w:hint="eastAsia" w:ascii="宋体" w:hAnsi="宋体" w:cs="宋体"/>
                <w:kern w:val="0"/>
              </w:rPr>
              <w:t>①</w:t>
            </w:r>
            <w:r>
              <w:rPr>
                <w:kern w:val="0"/>
              </w:rPr>
              <w:t>计算某个室内声源在靠近围护结构处产生的倍频带声压级：</w:t>
            </w:r>
          </w:p>
          <w:p w14:paraId="0BDC2733">
            <w:pPr>
              <w:spacing w:line="360" w:lineRule="auto"/>
              <w:jc w:val="center"/>
              <w:rPr>
                <w:kern w:val="0"/>
              </w:rPr>
            </w:pPr>
            <w:r>
              <w:rPr>
                <w:kern w:val="0"/>
              </w:rPr>
              <w:drawing>
                <wp:inline distT="0" distB="0" distL="0" distR="0">
                  <wp:extent cx="1943100" cy="483870"/>
                  <wp:effectExtent l="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43100" cy="483870"/>
                          </a:xfrm>
                          <a:prstGeom prst="rect">
                            <a:avLst/>
                          </a:prstGeom>
                          <a:noFill/>
                          <a:ln>
                            <a:noFill/>
                          </a:ln>
                        </pic:spPr>
                      </pic:pic>
                    </a:graphicData>
                  </a:graphic>
                </wp:inline>
              </w:drawing>
            </w:r>
          </w:p>
          <w:p w14:paraId="17D87DFC">
            <w:pPr>
              <w:spacing w:line="460" w:lineRule="exact"/>
              <w:ind w:firstLine="480" w:firstLineChars="200"/>
              <w:rPr>
                <w:kern w:val="0"/>
              </w:rPr>
            </w:pPr>
            <w:r>
              <w:rPr>
                <w:kern w:val="0"/>
              </w:rPr>
              <w:t>式中：</w:t>
            </w:r>
            <w:r>
              <w:rPr>
                <w:i/>
                <w:kern w:val="0"/>
              </w:rPr>
              <w:t>L</w:t>
            </w:r>
            <w:r>
              <w:rPr>
                <w:i/>
                <w:kern w:val="0"/>
                <w:vertAlign w:val="subscript"/>
              </w:rPr>
              <w:t>oct，1</w:t>
            </w:r>
            <w:r>
              <w:rPr>
                <w:kern w:val="0"/>
              </w:rPr>
              <w:t>—某个室内声源在靠近围护结构处产生的倍频带声压级，dB；</w:t>
            </w:r>
          </w:p>
          <w:p w14:paraId="6765F7B3">
            <w:pPr>
              <w:spacing w:line="460" w:lineRule="exact"/>
              <w:ind w:firstLine="480" w:firstLineChars="200"/>
              <w:rPr>
                <w:kern w:val="0"/>
              </w:rPr>
            </w:pPr>
            <w:r>
              <w:rPr>
                <w:i/>
                <w:kern w:val="0"/>
              </w:rPr>
              <w:t xml:space="preserve">      L</w:t>
            </w:r>
            <w:r>
              <w:rPr>
                <w:i/>
                <w:kern w:val="0"/>
                <w:vertAlign w:val="subscript"/>
              </w:rPr>
              <w:t>woct</w:t>
            </w:r>
            <w:r>
              <w:rPr>
                <w:kern w:val="0"/>
              </w:rPr>
              <w:t>—某个声源的倍频带声功率级，dB；</w:t>
            </w:r>
          </w:p>
          <w:p w14:paraId="4DDC6EFC">
            <w:pPr>
              <w:spacing w:line="460" w:lineRule="exact"/>
              <w:ind w:firstLine="480" w:firstLineChars="200"/>
              <w:rPr>
                <w:kern w:val="0"/>
              </w:rPr>
            </w:pPr>
            <w:r>
              <w:rPr>
                <w:i/>
                <w:kern w:val="0"/>
              </w:rPr>
              <w:t xml:space="preserve">      r</w:t>
            </w:r>
            <w:r>
              <w:rPr>
                <w:i/>
                <w:kern w:val="0"/>
                <w:vertAlign w:val="subscript"/>
              </w:rPr>
              <w:t>1</w:t>
            </w:r>
            <w:r>
              <w:rPr>
                <w:kern w:val="0"/>
              </w:rPr>
              <w:t>—室内某个声源与靠近围护结构处的距离，m；</w:t>
            </w:r>
          </w:p>
          <w:p w14:paraId="1C9A9509">
            <w:pPr>
              <w:spacing w:line="460" w:lineRule="exact"/>
              <w:ind w:firstLine="480" w:firstLineChars="200"/>
              <w:rPr>
                <w:kern w:val="0"/>
              </w:rPr>
            </w:pPr>
            <w:r>
              <w:rPr>
                <w:i/>
                <w:kern w:val="0"/>
              </w:rPr>
              <w:t xml:space="preserve">      R</w:t>
            </w:r>
            <w:r>
              <w:rPr>
                <w:kern w:val="0"/>
              </w:rPr>
              <w:t>—房间常数，m</w:t>
            </w:r>
            <w:r>
              <w:rPr>
                <w:kern w:val="0"/>
                <w:vertAlign w:val="superscript"/>
              </w:rPr>
              <w:t>2</w:t>
            </w:r>
            <w:r>
              <w:rPr>
                <w:kern w:val="0"/>
              </w:rPr>
              <w:t>；</w:t>
            </w:r>
          </w:p>
          <w:p w14:paraId="71544BCA">
            <w:pPr>
              <w:spacing w:line="460" w:lineRule="exact"/>
              <w:ind w:firstLine="480" w:firstLineChars="200"/>
              <w:rPr>
                <w:kern w:val="0"/>
              </w:rPr>
            </w:pPr>
            <w:r>
              <w:rPr>
                <w:kern w:val="0"/>
              </w:rPr>
              <w:t xml:space="preserve">      </w:t>
            </w:r>
            <w:r>
              <w:rPr>
                <w:i/>
                <w:kern w:val="0"/>
              </w:rPr>
              <w:t>Q</w:t>
            </w:r>
            <w:r>
              <w:rPr>
                <w:kern w:val="0"/>
              </w:rPr>
              <w:t>—方向性因子。</w:t>
            </w:r>
          </w:p>
          <w:p w14:paraId="49EC7633">
            <w:pPr>
              <w:spacing w:line="460" w:lineRule="exact"/>
              <w:ind w:firstLine="480" w:firstLineChars="200"/>
              <w:rPr>
                <w:kern w:val="0"/>
              </w:rPr>
            </w:pPr>
            <w:r>
              <w:rPr>
                <w:rFonts w:hint="eastAsia" w:ascii="宋体" w:hAnsi="宋体" w:cs="宋体"/>
                <w:kern w:val="0"/>
              </w:rPr>
              <w:t>②</w:t>
            </w:r>
            <w:r>
              <w:rPr>
                <w:kern w:val="0"/>
              </w:rPr>
              <w:t>计算所有室内声源在靠近围护结构处产生的总倍频带声压级：</w:t>
            </w:r>
          </w:p>
          <w:p w14:paraId="0F7F5913">
            <w:pPr>
              <w:spacing w:line="360" w:lineRule="auto"/>
              <w:jc w:val="center"/>
              <w:rPr>
                <w:kern w:val="0"/>
              </w:rPr>
            </w:pPr>
            <w:r>
              <w:rPr>
                <w:kern w:val="0"/>
              </w:rPr>
              <w:drawing>
                <wp:inline distT="0" distB="0" distL="0" distR="0">
                  <wp:extent cx="1819910" cy="457200"/>
                  <wp:effectExtent l="0" t="0" r="0" b="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19910" cy="457200"/>
                          </a:xfrm>
                          <a:prstGeom prst="rect">
                            <a:avLst/>
                          </a:prstGeom>
                          <a:noFill/>
                          <a:ln>
                            <a:noFill/>
                          </a:ln>
                        </pic:spPr>
                      </pic:pic>
                    </a:graphicData>
                  </a:graphic>
                </wp:inline>
              </w:drawing>
            </w:r>
          </w:p>
          <w:p w14:paraId="2388D983">
            <w:pPr>
              <w:spacing w:line="460" w:lineRule="exact"/>
              <w:ind w:firstLine="480" w:firstLineChars="200"/>
              <w:rPr>
                <w:kern w:val="0"/>
              </w:rPr>
            </w:pPr>
            <w:r>
              <w:rPr>
                <w:rFonts w:hint="eastAsia" w:ascii="宋体" w:hAnsi="宋体" w:cs="宋体"/>
                <w:kern w:val="0"/>
              </w:rPr>
              <w:t>③</w:t>
            </w:r>
            <w:r>
              <w:rPr>
                <w:kern w:val="0"/>
              </w:rPr>
              <w:t>计算室外靠近围护结构处的声压级：</w:t>
            </w:r>
          </w:p>
          <w:p w14:paraId="540D457D">
            <w:pPr>
              <w:spacing w:line="460" w:lineRule="exact"/>
              <w:jc w:val="center"/>
              <w:rPr>
                <w:i/>
                <w:kern w:val="0"/>
              </w:rPr>
            </w:pPr>
            <w:r>
              <w:rPr>
                <w:kern w:val="0"/>
              </w:rPr>
              <w:drawing>
                <wp:inline distT="0" distB="0" distL="0" distR="0">
                  <wp:extent cx="1916430" cy="237490"/>
                  <wp:effectExtent l="0" t="0" r="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16430" cy="237490"/>
                          </a:xfrm>
                          <a:prstGeom prst="rect">
                            <a:avLst/>
                          </a:prstGeom>
                          <a:noFill/>
                          <a:ln>
                            <a:noFill/>
                          </a:ln>
                        </pic:spPr>
                      </pic:pic>
                    </a:graphicData>
                  </a:graphic>
                </wp:inline>
              </w:drawing>
            </w:r>
          </w:p>
          <w:p w14:paraId="1C2FB084">
            <w:pPr>
              <w:spacing w:line="460" w:lineRule="exact"/>
              <w:ind w:firstLine="480" w:firstLineChars="200"/>
              <w:rPr>
                <w:kern w:val="0"/>
              </w:rPr>
            </w:pPr>
            <w:r>
              <w:rPr>
                <w:kern w:val="0"/>
              </w:rPr>
              <w:t>将室外声级</w:t>
            </w:r>
            <w:r>
              <w:rPr>
                <w:kern w:val="0"/>
              </w:rPr>
              <w:drawing>
                <wp:inline distT="0" distB="0" distL="0" distR="0">
                  <wp:extent cx="536575" cy="237490"/>
                  <wp:effectExtent l="0" t="0" r="0" b="0"/>
                  <wp:docPr id="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6575" cy="237490"/>
                          </a:xfrm>
                          <a:prstGeom prst="rect">
                            <a:avLst/>
                          </a:prstGeom>
                          <a:noFill/>
                          <a:ln>
                            <a:noFill/>
                          </a:ln>
                        </pic:spPr>
                      </pic:pic>
                    </a:graphicData>
                  </a:graphic>
                </wp:inline>
              </w:drawing>
            </w:r>
            <w:r>
              <w:rPr>
                <w:kern w:val="0"/>
              </w:rPr>
              <w:t>和透声面积换算成等效的室外声源，计算等效声源第i个倍频带的声功率级</w:t>
            </w:r>
            <w:r>
              <w:rPr>
                <w:kern w:val="0"/>
              </w:rPr>
              <w:drawing>
                <wp:inline distT="0" distB="0" distL="0" distR="0">
                  <wp:extent cx="316230" cy="228600"/>
                  <wp:effectExtent l="0" t="0" r="0" b="0"/>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6230" cy="228600"/>
                          </a:xfrm>
                          <a:prstGeom prst="rect">
                            <a:avLst/>
                          </a:prstGeom>
                          <a:noFill/>
                          <a:ln>
                            <a:noFill/>
                          </a:ln>
                        </pic:spPr>
                      </pic:pic>
                    </a:graphicData>
                  </a:graphic>
                </wp:inline>
              </w:drawing>
            </w:r>
            <w:r>
              <w:rPr>
                <w:kern w:val="0"/>
              </w:rPr>
              <w:t>：</w:t>
            </w:r>
          </w:p>
          <w:p w14:paraId="6C938534">
            <w:pPr>
              <w:spacing w:line="460" w:lineRule="exact"/>
              <w:jc w:val="center"/>
              <w:rPr>
                <w:kern w:val="0"/>
              </w:rPr>
            </w:pPr>
            <w:r>
              <w:rPr>
                <w:kern w:val="0"/>
              </w:rPr>
              <w:drawing>
                <wp:inline distT="0" distB="0" distL="0" distR="0">
                  <wp:extent cx="1512570" cy="237490"/>
                  <wp:effectExtent l="0" t="0" r="0" b="0"/>
                  <wp:docPr id="11" name="图片 46651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665150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512570" cy="237490"/>
                          </a:xfrm>
                          <a:prstGeom prst="rect">
                            <a:avLst/>
                          </a:prstGeom>
                          <a:noFill/>
                          <a:ln>
                            <a:noFill/>
                          </a:ln>
                        </pic:spPr>
                      </pic:pic>
                    </a:graphicData>
                  </a:graphic>
                </wp:inline>
              </w:drawing>
            </w:r>
          </w:p>
          <w:p w14:paraId="726A0024">
            <w:pPr>
              <w:spacing w:line="460" w:lineRule="exact"/>
              <w:ind w:firstLine="480" w:firstLineChars="200"/>
              <w:rPr>
                <w:kern w:val="0"/>
              </w:rPr>
            </w:pPr>
            <w:r>
              <w:rPr>
                <w:kern w:val="0"/>
              </w:rPr>
              <w:t>式中：</w:t>
            </w:r>
          </w:p>
          <w:p w14:paraId="679466C7">
            <w:pPr>
              <w:spacing w:line="460" w:lineRule="exact"/>
              <w:ind w:firstLine="480" w:firstLineChars="200"/>
              <w:rPr>
                <w:kern w:val="0"/>
              </w:rPr>
            </w:pPr>
            <w:r>
              <w:rPr>
                <w:kern w:val="0"/>
              </w:rPr>
              <w:t xml:space="preserve">      S—透声面积，m</w:t>
            </w:r>
            <w:r>
              <w:rPr>
                <w:kern w:val="0"/>
                <w:vertAlign w:val="superscript"/>
              </w:rPr>
              <w:t>2</w:t>
            </w:r>
          </w:p>
          <w:p w14:paraId="4337CA51">
            <w:pPr>
              <w:spacing w:line="460" w:lineRule="exact"/>
              <w:ind w:firstLine="480" w:firstLineChars="200"/>
              <w:rPr>
                <w:kern w:val="0"/>
              </w:rPr>
            </w:pPr>
            <w:r>
              <w:rPr>
                <w:kern w:val="0"/>
              </w:rPr>
              <w:t>等效室外声源的位置为围护结构的位置，其倍频带声功率级为</w:t>
            </w:r>
            <w:r>
              <w:rPr>
                <w:kern w:val="0"/>
              </w:rPr>
              <w:drawing>
                <wp:inline distT="0" distB="0" distL="0" distR="0">
                  <wp:extent cx="316230" cy="228600"/>
                  <wp:effectExtent l="0" t="0" r="0" b="0"/>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6230" cy="228600"/>
                          </a:xfrm>
                          <a:prstGeom prst="rect">
                            <a:avLst/>
                          </a:prstGeom>
                          <a:noFill/>
                          <a:ln>
                            <a:noFill/>
                          </a:ln>
                        </pic:spPr>
                      </pic:pic>
                    </a:graphicData>
                  </a:graphic>
                </wp:inline>
              </w:drawing>
            </w:r>
            <w:r>
              <w:rPr>
                <w:kern w:val="0"/>
              </w:rPr>
              <w:t>，由此按室外声源方法计算等效室外声源在预测点产生的声级。</w:t>
            </w:r>
          </w:p>
          <w:p w14:paraId="4E596017">
            <w:pPr>
              <w:spacing w:line="460" w:lineRule="exact"/>
              <w:ind w:firstLine="480" w:firstLineChars="200"/>
              <w:rPr>
                <w:kern w:val="0"/>
              </w:rPr>
            </w:pPr>
            <w:r>
              <w:rPr>
                <w:rFonts w:hint="eastAsia" w:ascii="宋体" w:hAnsi="宋体" w:cs="宋体"/>
                <w:kern w:val="0"/>
              </w:rPr>
              <w:t>④</w:t>
            </w:r>
            <w:r>
              <w:rPr>
                <w:kern w:val="0"/>
              </w:rPr>
              <w:t>计算某个室外声源在预测点产生的倍频带声压级：</w:t>
            </w:r>
          </w:p>
          <w:p w14:paraId="55C823F4">
            <w:pPr>
              <w:spacing w:line="360" w:lineRule="auto"/>
              <w:jc w:val="center"/>
              <w:rPr>
                <w:kern w:val="0"/>
              </w:rPr>
            </w:pPr>
            <w:r>
              <w:rPr>
                <w:kern w:val="0"/>
              </w:rPr>
              <w:drawing>
                <wp:inline distT="0" distB="0" distL="0" distR="0">
                  <wp:extent cx="2286000" cy="413385"/>
                  <wp:effectExtent l="0" t="0" r="0" b="0"/>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286000" cy="413385"/>
                          </a:xfrm>
                          <a:prstGeom prst="rect">
                            <a:avLst/>
                          </a:prstGeom>
                          <a:noFill/>
                          <a:ln>
                            <a:noFill/>
                          </a:ln>
                        </pic:spPr>
                      </pic:pic>
                    </a:graphicData>
                  </a:graphic>
                </wp:inline>
              </w:drawing>
            </w:r>
          </w:p>
          <w:p w14:paraId="7A181A0F">
            <w:pPr>
              <w:widowControl/>
              <w:spacing w:line="460" w:lineRule="exact"/>
              <w:ind w:firstLine="480"/>
              <w:rPr>
                <w:kern w:val="0"/>
              </w:rPr>
            </w:pPr>
            <w:r>
              <w:rPr>
                <w:kern w:val="0"/>
              </w:rPr>
              <w:t>式中：</w:t>
            </w:r>
            <w:r>
              <w:rPr>
                <w:kern w:val="0"/>
              </w:rPr>
              <w:drawing>
                <wp:inline distT="0" distB="0" distL="0" distR="0">
                  <wp:extent cx="430530" cy="228600"/>
                  <wp:effectExtent l="0" t="0" r="0" b="0"/>
                  <wp:docPr id="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0530" cy="228600"/>
                          </a:xfrm>
                          <a:prstGeom prst="rect">
                            <a:avLst/>
                          </a:prstGeom>
                          <a:noFill/>
                          <a:ln>
                            <a:noFill/>
                          </a:ln>
                        </pic:spPr>
                      </pic:pic>
                    </a:graphicData>
                  </a:graphic>
                </wp:inline>
              </w:drawing>
            </w:r>
            <w:r>
              <w:rPr>
                <w:kern w:val="0"/>
              </w:rPr>
              <w:t>—点声源在预测点产生的倍频带声压级，dB；</w:t>
            </w:r>
          </w:p>
          <w:p w14:paraId="09ACAA2A">
            <w:pPr>
              <w:widowControl/>
              <w:spacing w:line="460" w:lineRule="exact"/>
              <w:ind w:firstLine="1200" w:firstLineChars="500"/>
              <w:rPr>
                <w:kern w:val="0"/>
              </w:rPr>
            </w:pPr>
            <w:r>
              <w:rPr>
                <w:kern w:val="0"/>
              </w:rPr>
              <w:drawing>
                <wp:inline distT="0" distB="0" distL="0" distR="0">
                  <wp:extent cx="483870" cy="228600"/>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3870" cy="228600"/>
                          </a:xfrm>
                          <a:prstGeom prst="rect">
                            <a:avLst/>
                          </a:prstGeom>
                          <a:noFill/>
                          <a:ln>
                            <a:noFill/>
                          </a:ln>
                        </pic:spPr>
                      </pic:pic>
                    </a:graphicData>
                  </a:graphic>
                </wp:inline>
              </w:drawing>
            </w:r>
            <w:r>
              <w:rPr>
                <w:kern w:val="0"/>
              </w:rPr>
              <w:t>—参考位置</w:t>
            </w:r>
            <w:r>
              <w:rPr>
                <w:kern w:val="0"/>
              </w:rPr>
              <w:drawing>
                <wp:inline distT="0" distB="0" distL="0" distR="0">
                  <wp:extent cx="140970" cy="228600"/>
                  <wp:effectExtent l="0" t="0" r="0" b="0"/>
                  <wp:docPr id="1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0970" cy="228600"/>
                          </a:xfrm>
                          <a:prstGeom prst="rect">
                            <a:avLst/>
                          </a:prstGeom>
                          <a:noFill/>
                          <a:ln>
                            <a:noFill/>
                          </a:ln>
                        </pic:spPr>
                      </pic:pic>
                    </a:graphicData>
                  </a:graphic>
                </wp:inline>
              </w:drawing>
            </w:r>
            <w:r>
              <w:rPr>
                <w:kern w:val="0"/>
              </w:rPr>
              <w:t>处的倍频带声压级，dB；</w:t>
            </w:r>
          </w:p>
          <w:p w14:paraId="4008B259">
            <w:pPr>
              <w:widowControl/>
              <w:spacing w:line="460" w:lineRule="exact"/>
              <w:ind w:firstLine="1200" w:firstLineChars="500"/>
              <w:rPr>
                <w:kern w:val="0"/>
              </w:rPr>
            </w:pPr>
            <w:r>
              <w:rPr>
                <w:kern w:val="0"/>
              </w:rPr>
              <w:drawing>
                <wp:inline distT="0" distB="0" distL="0" distR="0">
                  <wp:extent cx="114300" cy="123190"/>
                  <wp:effectExtent l="0" t="0" r="0" b="0"/>
                  <wp:docPr id="1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4300" cy="123190"/>
                          </a:xfrm>
                          <a:prstGeom prst="rect">
                            <a:avLst/>
                          </a:prstGeom>
                          <a:noFill/>
                          <a:ln>
                            <a:noFill/>
                          </a:ln>
                        </pic:spPr>
                      </pic:pic>
                    </a:graphicData>
                  </a:graphic>
                </wp:inline>
              </w:drawing>
            </w:r>
            <w:r>
              <w:rPr>
                <w:kern w:val="0"/>
              </w:rPr>
              <w:t>—预测点距声源的距离，m；</w:t>
            </w:r>
          </w:p>
          <w:p w14:paraId="28AED6CD">
            <w:pPr>
              <w:widowControl/>
              <w:spacing w:line="460" w:lineRule="exact"/>
              <w:ind w:firstLine="1200" w:firstLineChars="500"/>
              <w:rPr>
                <w:kern w:val="0"/>
              </w:rPr>
            </w:pPr>
            <w:r>
              <w:rPr>
                <w:kern w:val="0"/>
              </w:rPr>
              <w:drawing>
                <wp:inline distT="0" distB="0" distL="0" distR="0">
                  <wp:extent cx="140970" cy="228600"/>
                  <wp:effectExtent l="0" t="0" r="0" b="0"/>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0970" cy="228600"/>
                          </a:xfrm>
                          <a:prstGeom prst="rect">
                            <a:avLst/>
                          </a:prstGeom>
                          <a:noFill/>
                          <a:ln>
                            <a:noFill/>
                          </a:ln>
                        </pic:spPr>
                      </pic:pic>
                    </a:graphicData>
                  </a:graphic>
                </wp:inline>
              </w:drawing>
            </w:r>
            <w:r>
              <w:rPr>
                <w:kern w:val="0"/>
              </w:rPr>
              <w:t>—参考位置距声源的距离，m；</w:t>
            </w:r>
          </w:p>
          <w:p w14:paraId="5673417A">
            <w:pPr>
              <w:widowControl/>
              <w:spacing w:line="460" w:lineRule="exact"/>
              <w:ind w:firstLine="1200" w:firstLineChars="500"/>
              <w:rPr>
                <w:kern w:val="0"/>
              </w:rPr>
            </w:pPr>
            <w:r>
              <w:rPr>
                <w:kern w:val="0"/>
              </w:rPr>
              <w:drawing>
                <wp:inline distT="0" distB="0" distL="0" distR="0">
                  <wp:extent cx="342900" cy="228600"/>
                  <wp:effectExtent l="0" t="0" r="0" b="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900" cy="228600"/>
                          </a:xfrm>
                          <a:prstGeom prst="rect">
                            <a:avLst/>
                          </a:prstGeom>
                          <a:noFill/>
                          <a:ln>
                            <a:noFill/>
                          </a:ln>
                        </pic:spPr>
                      </pic:pic>
                    </a:graphicData>
                  </a:graphic>
                </wp:inline>
              </w:drawing>
            </w:r>
            <w:r>
              <w:rPr>
                <w:kern w:val="0"/>
              </w:rPr>
              <w:t>—各种因素引起的衰减量，dB。</w:t>
            </w:r>
          </w:p>
          <w:p w14:paraId="1EA3B858">
            <w:pPr>
              <w:widowControl/>
              <w:spacing w:line="460" w:lineRule="exact"/>
              <w:ind w:firstLine="480"/>
              <w:rPr>
                <w:kern w:val="0"/>
              </w:rPr>
            </w:pPr>
            <w:r>
              <w:rPr>
                <w:kern w:val="0"/>
              </w:rPr>
              <w:t>如已知声源的倍频带声功率级</w:t>
            </w:r>
            <w:r>
              <w:rPr>
                <w:kern w:val="0"/>
              </w:rPr>
              <w:drawing>
                <wp:inline distT="0" distB="0" distL="0" distR="0">
                  <wp:extent cx="316230" cy="228600"/>
                  <wp:effectExtent l="0" t="0" r="0" b="0"/>
                  <wp:docPr id="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6230" cy="228600"/>
                          </a:xfrm>
                          <a:prstGeom prst="rect">
                            <a:avLst/>
                          </a:prstGeom>
                          <a:noFill/>
                          <a:ln>
                            <a:noFill/>
                          </a:ln>
                        </pic:spPr>
                      </pic:pic>
                    </a:graphicData>
                  </a:graphic>
                </wp:inline>
              </w:drawing>
            </w:r>
            <w:r>
              <w:rPr>
                <w:kern w:val="0"/>
              </w:rPr>
              <w:t>，且声源可看作是位于地面上的，则</w:t>
            </w:r>
          </w:p>
          <w:p w14:paraId="09E3C557">
            <w:pPr>
              <w:spacing w:line="460" w:lineRule="exact"/>
              <w:jc w:val="center"/>
              <w:rPr>
                <w:kern w:val="0"/>
              </w:rPr>
            </w:pPr>
            <w:r>
              <w:rPr>
                <w:kern w:val="0"/>
              </w:rPr>
              <w:drawing>
                <wp:inline distT="0" distB="0" distL="0" distR="0">
                  <wp:extent cx="1705610" cy="228600"/>
                  <wp:effectExtent l="0" t="0" r="0" b="0"/>
                  <wp:docPr id="2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05610" cy="228600"/>
                          </a:xfrm>
                          <a:prstGeom prst="rect">
                            <a:avLst/>
                          </a:prstGeom>
                          <a:noFill/>
                          <a:ln>
                            <a:noFill/>
                          </a:ln>
                        </pic:spPr>
                      </pic:pic>
                    </a:graphicData>
                  </a:graphic>
                </wp:inline>
              </w:drawing>
            </w:r>
          </w:p>
          <w:p w14:paraId="02164505">
            <w:pPr>
              <w:spacing w:line="460" w:lineRule="exact"/>
              <w:ind w:firstLine="480" w:firstLineChars="200"/>
              <w:rPr>
                <w:kern w:val="0"/>
              </w:rPr>
            </w:pPr>
            <w:r>
              <w:rPr>
                <w:kern w:val="0"/>
              </w:rPr>
              <w:t>由各倍频带声压级合成计算该声源产生的A声级</w:t>
            </w:r>
            <w:r>
              <w:rPr>
                <w:kern w:val="0"/>
              </w:rPr>
              <w:drawing>
                <wp:inline distT="0" distB="0" distL="0" distR="0">
                  <wp:extent cx="483870" cy="219710"/>
                  <wp:effectExtent l="0" t="0" r="0" b="0"/>
                  <wp:docPr id="22" name="图片 48060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06044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83870" cy="219710"/>
                          </a:xfrm>
                          <a:prstGeom prst="rect">
                            <a:avLst/>
                          </a:prstGeom>
                          <a:noFill/>
                          <a:ln>
                            <a:noFill/>
                          </a:ln>
                        </pic:spPr>
                      </pic:pic>
                    </a:graphicData>
                  </a:graphic>
                </wp:inline>
              </w:drawing>
            </w:r>
            <w:r>
              <w:rPr>
                <w:kern w:val="0"/>
              </w:rPr>
              <w:t>。</w:t>
            </w:r>
          </w:p>
          <w:p w14:paraId="2B627CF3">
            <w:pPr>
              <w:pStyle w:val="59"/>
              <w:spacing w:line="460" w:lineRule="exact"/>
              <w:ind w:firstLine="480"/>
            </w:pPr>
            <w:r>
              <w:rPr>
                <w:rFonts w:hint="eastAsia"/>
              </w:rPr>
              <w:t>根据预测模型计算，</w:t>
            </w:r>
            <w:r>
              <w:t>项目建成运营期间厂界噪声</w:t>
            </w:r>
            <w:r>
              <w:rPr>
                <w:rFonts w:hint="eastAsia"/>
              </w:rPr>
              <w:t>预测结果</w:t>
            </w:r>
            <w:r>
              <w:t>见表4-15</w:t>
            </w:r>
            <w:r>
              <w:rPr>
                <w:rFonts w:hint="eastAsia"/>
              </w:rPr>
              <w:t>。</w:t>
            </w:r>
          </w:p>
          <w:p w14:paraId="7C604F97">
            <w:pPr>
              <w:pStyle w:val="76"/>
              <w:ind w:firstLine="420"/>
              <w:rPr>
                <w:color w:val="auto"/>
              </w:rPr>
            </w:pPr>
            <w:r>
              <w:rPr>
                <w:color w:val="auto"/>
              </w:rPr>
              <w:t>表4-15          运营期间噪声预测结果一览表           单位：dB（A）</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801"/>
              <w:gridCol w:w="801"/>
              <w:gridCol w:w="791"/>
              <w:gridCol w:w="972"/>
              <w:gridCol w:w="1408"/>
              <w:gridCol w:w="1409"/>
              <w:gridCol w:w="1159"/>
            </w:tblGrid>
            <w:tr w14:paraId="476F9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shd w:val="clear" w:color="auto" w:fill="auto"/>
                  <w:vAlign w:val="center"/>
                </w:tcPr>
                <w:p w14:paraId="15DA587B">
                  <w:pPr>
                    <w:pStyle w:val="63"/>
                    <w:rPr>
                      <w:kern w:val="0"/>
                    </w:rPr>
                  </w:pPr>
                  <w:r>
                    <w:t>预测方位</w:t>
                  </w:r>
                </w:p>
              </w:tc>
              <w:tc>
                <w:tcPr>
                  <w:tcW w:w="2409" w:type="dxa"/>
                  <w:gridSpan w:val="3"/>
                  <w:shd w:val="clear" w:color="auto" w:fill="auto"/>
                  <w:vAlign w:val="center"/>
                </w:tcPr>
                <w:p w14:paraId="74812DA3">
                  <w:pPr>
                    <w:pStyle w:val="63"/>
                  </w:pPr>
                  <w:r>
                    <w:t>最大值点空间相对位置/m</w:t>
                  </w:r>
                </w:p>
              </w:tc>
              <w:tc>
                <w:tcPr>
                  <w:tcW w:w="993" w:type="dxa"/>
                  <w:vMerge w:val="restart"/>
                  <w:shd w:val="clear" w:color="auto" w:fill="auto"/>
                  <w:vAlign w:val="center"/>
                </w:tcPr>
                <w:p w14:paraId="1AC0C6F2">
                  <w:pPr>
                    <w:pStyle w:val="63"/>
                  </w:pPr>
                  <w:r>
                    <w:t>时段</w:t>
                  </w:r>
                </w:p>
              </w:tc>
              <w:tc>
                <w:tcPr>
                  <w:tcW w:w="1417" w:type="dxa"/>
                  <w:vMerge w:val="restart"/>
                  <w:shd w:val="clear" w:color="auto" w:fill="auto"/>
                  <w:vAlign w:val="center"/>
                </w:tcPr>
                <w:p w14:paraId="709CE7C9">
                  <w:pPr>
                    <w:pStyle w:val="63"/>
                  </w:pPr>
                  <w:r>
                    <w:t>贡献值（dB(A)）</w:t>
                  </w:r>
                </w:p>
              </w:tc>
              <w:tc>
                <w:tcPr>
                  <w:tcW w:w="1418" w:type="dxa"/>
                  <w:vMerge w:val="restart"/>
                  <w:shd w:val="clear" w:color="auto" w:fill="auto"/>
                  <w:vAlign w:val="center"/>
                </w:tcPr>
                <w:p w14:paraId="4E74FADC">
                  <w:pPr>
                    <w:pStyle w:val="63"/>
                  </w:pPr>
                  <w:r>
                    <w:t>标准限值（dB(A)）</w:t>
                  </w:r>
                </w:p>
              </w:tc>
              <w:tc>
                <w:tcPr>
                  <w:tcW w:w="1188" w:type="dxa"/>
                  <w:vMerge w:val="restart"/>
                  <w:shd w:val="clear" w:color="auto" w:fill="auto"/>
                  <w:vAlign w:val="center"/>
                </w:tcPr>
                <w:p w14:paraId="78C8B90A">
                  <w:pPr>
                    <w:pStyle w:val="63"/>
                  </w:pPr>
                  <w:r>
                    <w:t>达标情况</w:t>
                  </w:r>
                </w:p>
              </w:tc>
            </w:tr>
            <w:tr w14:paraId="28D91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auto"/>
                  <w:vAlign w:val="center"/>
                </w:tcPr>
                <w:p w14:paraId="1FDE9114">
                  <w:pPr>
                    <w:pStyle w:val="63"/>
                  </w:pPr>
                </w:p>
              </w:tc>
              <w:tc>
                <w:tcPr>
                  <w:tcW w:w="803" w:type="dxa"/>
                  <w:shd w:val="clear" w:color="auto" w:fill="auto"/>
                  <w:vAlign w:val="center"/>
                </w:tcPr>
                <w:p w14:paraId="38707FBD">
                  <w:pPr>
                    <w:pStyle w:val="63"/>
                  </w:pPr>
                  <w:r>
                    <w:t>X</w:t>
                  </w:r>
                </w:p>
              </w:tc>
              <w:tc>
                <w:tcPr>
                  <w:tcW w:w="803" w:type="dxa"/>
                  <w:shd w:val="clear" w:color="auto" w:fill="auto"/>
                  <w:vAlign w:val="center"/>
                </w:tcPr>
                <w:p w14:paraId="4EE13679">
                  <w:pPr>
                    <w:pStyle w:val="63"/>
                  </w:pPr>
                  <w:r>
                    <w:t>Y</w:t>
                  </w:r>
                </w:p>
              </w:tc>
              <w:tc>
                <w:tcPr>
                  <w:tcW w:w="803" w:type="dxa"/>
                  <w:shd w:val="clear" w:color="auto" w:fill="auto"/>
                  <w:vAlign w:val="center"/>
                </w:tcPr>
                <w:p w14:paraId="30F39E5E">
                  <w:pPr>
                    <w:pStyle w:val="63"/>
                  </w:pPr>
                  <w:r>
                    <w:t>Z</w:t>
                  </w:r>
                </w:p>
              </w:tc>
              <w:tc>
                <w:tcPr>
                  <w:tcW w:w="993" w:type="dxa"/>
                  <w:vMerge w:val="continue"/>
                  <w:shd w:val="clear" w:color="auto" w:fill="auto"/>
                  <w:vAlign w:val="center"/>
                </w:tcPr>
                <w:p w14:paraId="0D0F50E5">
                  <w:pPr>
                    <w:pStyle w:val="63"/>
                  </w:pPr>
                </w:p>
              </w:tc>
              <w:tc>
                <w:tcPr>
                  <w:tcW w:w="1417" w:type="dxa"/>
                  <w:vMerge w:val="continue"/>
                  <w:shd w:val="clear" w:color="auto" w:fill="auto"/>
                  <w:vAlign w:val="center"/>
                </w:tcPr>
                <w:p w14:paraId="1F9F2561">
                  <w:pPr>
                    <w:pStyle w:val="63"/>
                  </w:pPr>
                </w:p>
              </w:tc>
              <w:tc>
                <w:tcPr>
                  <w:tcW w:w="1418" w:type="dxa"/>
                  <w:vMerge w:val="continue"/>
                  <w:shd w:val="clear" w:color="auto" w:fill="auto"/>
                  <w:vAlign w:val="center"/>
                </w:tcPr>
                <w:p w14:paraId="3769B8F4">
                  <w:pPr>
                    <w:pStyle w:val="63"/>
                  </w:pPr>
                </w:p>
              </w:tc>
              <w:tc>
                <w:tcPr>
                  <w:tcW w:w="1188" w:type="dxa"/>
                  <w:vMerge w:val="continue"/>
                  <w:shd w:val="clear" w:color="auto" w:fill="auto"/>
                  <w:vAlign w:val="center"/>
                </w:tcPr>
                <w:p w14:paraId="6DE943C0">
                  <w:pPr>
                    <w:pStyle w:val="63"/>
                  </w:pPr>
                </w:p>
              </w:tc>
            </w:tr>
            <w:tr w14:paraId="3CA421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14:paraId="2B8096AA">
                  <w:pPr>
                    <w:pStyle w:val="63"/>
                  </w:pPr>
                  <w:r>
                    <w:t>东侧</w:t>
                  </w:r>
                </w:p>
              </w:tc>
              <w:tc>
                <w:tcPr>
                  <w:tcW w:w="803" w:type="dxa"/>
                  <w:shd w:val="clear" w:color="auto" w:fill="auto"/>
                  <w:vAlign w:val="center"/>
                </w:tcPr>
                <w:p w14:paraId="7F20D351">
                  <w:pPr>
                    <w:pStyle w:val="63"/>
                  </w:pPr>
                  <w:r>
                    <w:t>124.4</w:t>
                  </w:r>
                </w:p>
              </w:tc>
              <w:tc>
                <w:tcPr>
                  <w:tcW w:w="803" w:type="dxa"/>
                  <w:shd w:val="clear" w:color="auto" w:fill="auto"/>
                  <w:vAlign w:val="center"/>
                </w:tcPr>
                <w:p w14:paraId="2957C948">
                  <w:pPr>
                    <w:pStyle w:val="63"/>
                  </w:pPr>
                  <w:r>
                    <w:t>-82.3</w:t>
                  </w:r>
                </w:p>
              </w:tc>
              <w:tc>
                <w:tcPr>
                  <w:tcW w:w="803" w:type="dxa"/>
                  <w:shd w:val="clear" w:color="auto" w:fill="auto"/>
                  <w:vAlign w:val="center"/>
                </w:tcPr>
                <w:p w14:paraId="27D19691">
                  <w:pPr>
                    <w:pStyle w:val="63"/>
                  </w:pPr>
                  <w:r>
                    <w:t>1.2</w:t>
                  </w:r>
                </w:p>
              </w:tc>
              <w:tc>
                <w:tcPr>
                  <w:tcW w:w="993" w:type="dxa"/>
                  <w:shd w:val="clear" w:color="auto" w:fill="auto"/>
                  <w:vAlign w:val="center"/>
                </w:tcPr>
                <w:p w14:paraId="2E89F020">
                  <w:pPr>
                    <w:pStyle w:val="63"/>
                  </w:pPr>
                  <w:r>
                    <w:t>昼间</w:t>
                  </w:r>
                </w:p>
              </w:tc>
              <w:tc>
                <w:tcPr>
                  <w:tcW w:w="1417" w:type="dxa"/>
                  <w:shd w:val="clear" w:color="auto" w:fill="auto"/>
                  <w:vAlign w:val="center"/>
                </w:tcPr>
                <w:p w14:paraId="7CCDBEFB">
                  <w:pPr>
                    <w:pStyle w:val="63"/>
                  </w:pPr>
                  <w:r>
                    <w:t>13.3</w:t>
                  </w:r>
                </w:p>
              </w:tc>
              <w:tc>
                <w:tcPr>
                  <w:tcW w:w="1418" w:type="dxa"/>
                  <w:shd w:val="clear" w:color="auto" w:fill="auto"/>
                  <w:vAlign w:val="center"/>
                </w:tcPr>
                <w:p w14:paraId="7C24AEB2">
                  <w:pPr>
                    <w:pStyle w:val="63"/>
                  </w:pPr>
                  <w:r>
                    <w:t>65</w:t>
                  </w:r>
                </w:p>
              </w:tc>
              <w:tc>
                <w:tcPr>
                  <w:tcW w:w="1188" w:type="dxa"/>
                  <w:shd w:val="clear" w:color="auto" w:fill="auto"/>
                  <w:vAlign w:val="center"/>
                </w:tcPr>
                <w:p w14:paraId="264EEB43">
                  <w:pPr>
                    <w:pStyle w:val="63"/>
                  </w:pPr>
                  <w:r>
                    <w:t>达标</w:t>
                  </w:r>
                </w:p>
              </w:tc>
            </w:tr>
            <w:tr w14:paraId="67F4D2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14:paraId="7FB5C6CD">
                  <w:pPr>
                    <w:pStyle w:val="63"/>
                  </w:pPr>
                </w:p>
              </w:tc>
              <w:tc>
                <w:tcPr>
                  <w:tcW w:w="803" w:type="dxa"/>
                  <w:shd w:val="clear" w:color="auto" w:fill="auto"/>
                  <w:vAlign w:val="center"/>
                </w:tcPr>
                <w:p w14:paraId="7B989A89">
                  <w:pPr>
                    <w:pStyle w:val="63"/>
                  </w:pPr>
                  <w:r>
                    <w:t>124.4</w:t>
                  </w:r>
                </w:p>
              </w:tc>
              <w:tc>
                <w:tcPr>
                  <w:tcW w:w="803" w:type="dxa"/>
                  <w:shd w:val="clear" w:color="auto" w:fill="auto"/>
                  <w:vAlign w:val="center"/>
                </w:tcPr>
                <w:p w14:paraId="286D618C">
                  <w:pPr>
                    <w:pStyle w:val="63"/>
                  </w:pPr>
                  <w:r>
                    <w:t>-82.3</w:t>
                  </w:r>
                </w:p>
              </w:tc>
              <w:tc>
                <w:tcPr>
                  <w:tcW w:w="803" w:type="dxa"/>
                  <w:shd w:val="clear" w:color="auto" w:fill="auto"/>
                  <w:vAlign w:val="center"/>
                </w:tcPr>
                <w:p w14:paraId="0744015E">
                  <w:pPr>
                    <w:pStyle w:val="63"/>
                  </w:pPr>
                  <w:r>
                    <w:t>1.2</w:t>
                  </w:r>
                </w:p>
              </w:tc>
              <w:tc>
                <w:tcPr>
                  <w:tcW w:w="993" w:type="dxa"/>
                  <w:shd w:val="clear" w:color="auto" w:fill="auto"/>
                  <w:vAlign w:val="center"/>
                </w:tcPr>
                <w:p w14:paraId="56F52DE4">
                  <w:pPr>
                    <w:pStyle w:val="63"/>
                  </w:pPr>
                  <w:r>
                    <w:t>夜间</w:t>
                  </w:r>
                </w:p>
              </w:tc>
              <w:tc>
                <w:tcPr>
                  <w:tcW w:w="1417" w:type="dxa"/>
                  <w:shd w:val="clear" w:color="auto" w:fill="auto"/>
                  <w:vAlign w:val="center"/>
                </w:tcPr>
                <w:p w14:paraId="16EE6D41">
                  <w:pPr>
                    <w:pStyle w:val="63"/>
                  </w:pPr>
                  <w:r>
                    <w:t>13.3</w:t>
                  </w:r>
                </w:p>
              </w:tc>
              <w:tc>
                <w:tcPr>
                  <w:tcW w:w="1418" w:type="dxa"/>
                  <w:shd w:val="clear" w:color="auto" w:fill="auto"/>
                  <w:vAlign w:val="center"/>
                </w:tcPr>
                <w:p w14:paraId="53E21FE4">
                  <w:pPr>
                    <w:pStyle w:val="63"/>
                  </w:pPr>
                  <w:r>
                    <w:t>55</w:t>
                  </w:r>
                </w:p>
              </w:tc>
              <w:tc>
                <w:tcPr>
                  <w:tcW w:w="1188" w:type="dxa"/>
                  <w:shd w:val="clear" w:color="auto" w:fill="auto"/>
                  <w:vAlign w:val="center"/>
                </w:tcPr>
                <w:p w14:paraId="24EE6065">
                  <w:pPr>
                    <w:pStyle w:val="63"/>
                  </w:pPr>
                  <w:r>
                    <w:t>达标</w:t>
                  </w:r>
                </w:p>
              </w:tc>
            </w:tr>
            <w:tr w14:paraId="066B0D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14:paraId="362D910E">
                  <w:pPr>
                    <w:pStyle w:val="63"/>
                  </w:pPr>
                  <w:r>
                    <w:t>南侧</w:t>
                  </w:r>
                </w:p>
              </w:tc>
              <w:tc>
                <w:tcPr>
                  <w:tcW w:w="803" w:type="dxa"/>
                  <w:shd w:val="clear" w:color="auto" w:fill="auto"/>
                  <w:vAlign w:val="center"/>
                </w:tcPr>
                <w:p w14:paraId="0D229CDB">
                  <w:pPr>
                    <w:pStyle w:val="63"/>
                  </w:pPr>
                  <w:r>
                    <w:t>-136.9</w:t>
                  </w:r>
                </w:p>
              </w:tc>
              <w:tc>
                <w:tcPr>
                  <w:tcW w:w="803" w:type="dxa"/>
                  <w:shd w:val="clear" w:color="auto" w:fill="auto"/>
                  <w:vAlign w:val="center"/>
                </w:tcPr>
                <w:p w14:paraId="03E83E13">
                  <w:pPr>
                    <w:pStyle w:val="63"/>
                  </w:pPr>
                  <w:r>
                    <w:t>-327.5</w:t>
                  </w:r>
                </w:p>
              </w:tc>
              <w:tc>
                <w:tcPr>
                  <w:tcW w:w="803" w:type="dxa"/>
                  <w:shd w:val="clear" w:color="auto" w:fill="auto"/>
                  <w:vAlign w:val="center"/>
                </w:tcPr>
                <w:p w14:paraId="7FA2216F">
                  <w:pPr>
                    <w:pStyle w:val="63"/>
                  </w:pPr>
                  <w:r>
                    <w:t>1.2</w:t>
                  </w:r>
                </w:p>
              </w:tc>
              <w:tc>
                <w:tcPr>
                  <w:tcW w:w="993" w:type="dxa"/>
                  <w:shd w:val="clear" w:color="auto" w:fill="auto"/>
                  <w:vAlign w:val="center"/>
                </w:tcPr>
                <w:p w14:paraId="09E9AAEB">
                  <w:pPr>
                    <w:pStyle w:val="63"/>
                  </w:pPr>
                  <w:r>
                    <w:t>昼间</w:t>
                  </w:r>
                </w:p>
              </w:tc>
              <w:tc>
                <w:tcPr>
                  <w:tcW w:w="1417" w:type="dxa"/>
                  <w:shd w:val="clear" w:color="auto" w:fill="auto"/>
                  <w:vAlign w:val="center"/>
                </w:tcPr>
                <w:p w14:paraId="644EBC21">
                  <w:pPr>
                    <w:pStyle w:val="63"/>
                  </w:pPr>
                  <w:r>
                    <w:t>7.5</w:t>
                  </w:r>
                </w:p>
              </w:tc>
              <w:tc>
                <w:tcPr>
                  <w:tcW w:w="1418" w:type="dxa"/>
                  <w:shd w:val="clear" w:color="auto" w:fill="auto"/>
                  <w:vAlign w:val="center"/>
                </w:tcPr>
                <w:p w14:paraId="3B94381F">
                  <w:pPr>
                    <w:pStyle w:val="63"/>
                  </w:pPr>
                  <w:r>
                    <w:t>65</w:t>
                  </w:r>
                </w:p>
              </w:tc>
              <w:tc>
                <w:tcPr>
                  <w:tcW w:w="1188" w:type="dxa"/>
                  <w:shd w:val="clear" w:color="auto" w:fill="auto"/>
                  <w:vAlign w:val="center"/>
                </w:tcPr>
                <w:p w14:paraId="4039D9F3">
                  <w:pPr>
                    <w:pStyle w:val="63"/>
                  </w:pPr>
                  <w:r>
                    <w:t>达标</w:t>
                  </w:r>
                </w:p>
              </w:tc>
            </w:tr>
            <w:tr w14:paraId="3A9968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14:paraId="53E65A22">
                  <w:pPr>
                    <w:pStyle w:val="63"/>
                  </w:pPr>
                </w:p>
              </w:tc>
              <w:tc>
                <w:tcPr>
                  <w:tcW w:w="803" w:type="dxa"/>
                  <w:shd w:val="clear" w:color="auto" w:fill="auto"/>
                  <w:vAlign w:val="center"/>
                </w:tcPr>
                <w:p w14:paraId="471CA6D0">
                  <w:pPr>
                    <w:pStyle w:val="63"/>
                  </w:pPr>
                  <w:r>
                    <w:t>-136.9</w:t>
                  </w:r>
                </w:p>
              </w:tc>
              <w:tc>
                <w:tcPr>
                  <w:tcW w:w="803" w:type="dxa"/>
                  <w:shd w:val="clear" w:color="auto" w:fill="auto"/>
                  <w:vAlign w:val="center"/>
                </w:tcPr>
                <w:p w14:paraId="313858F3">
                  <w:pPr>
                    <w:pStyle w:val="63"/>
                  </w:pPr>
                  <w:r>
                    <w:t>-327.5</w:t>
                  </w:r>
                </w:p>
              </w:tc>
              <w:tc>
                <w:tcPr>
                  <w:tcW w:w="803" w:type="dxa"/>
                  <w:shd w:val="clear" w:color="auto" w:fill="auto"/>
                  <w:vAlign w:val="center"/>
                </w:tcPr>
                <w:p w14:paraId="59B91E85">
                  <w:pPr>
                    <w:pStyle w:val="63"/>
                  </w:pPr>
                  <w:r>
                    <w:t>1.2</w:t>
                  </w:r>
                </w:p>
              </w:tc>
              <w:tc>
                <w:tcPr>
                  <w:tcW w:w="993" w:type="dxa"/>
                  <w:shd w:val="clear" w:color="auto" w:fill="auto"/>
                  <w:vAlign w:val="center"/>
                </w:tcPr>
                <w:p w14:paraId="2DD4AFA8">
                  <w:pPr>
                    <w:pStyle w:val="63"/>
                  </w:pPr>
                  <w:r>
                    <w:t>夜间</w:t>
                  </w:r>
                </w:p>
              </w:tc>
              <w:tc>
                <w:tcPr>
                  <w:tcW w:w="1417" w:type="dxa"/>
                  <w:shd w:val="clear" w:color="auto" w:fill="auto"/>
                  <w:vAlign w:val="center"/>
                </w:tcPr>
                <w:p w14:paraId="5363839E">
                  <w:pPr>
                    <w:pStyle w:val="63"/>
                  </w:pPr>
                  <w:r>
                    <w:t>7.5</w:t>
                  </w:r>
                </w:p>
              </w:tc>
              <w:tc>
                <w:tcPr>
                  <w:tcW w:w="1418" w:type="dxa"/>
                  <w:shd w:val="clear" w:color="auto" w:fill="auto"/>
                  <w:vAlign w:val="center"/>
                </w:tcPr>
                <w:p w14:paraId="2BBD1818">
                  <w:pPr>
                    <w:pStyle w:val="63"/>
                  </w:pPr>
                  <w:r>
                    <w:t>55</w:t>
                  </w:r>
                </w:p>
              </w:tc>
              <w:tc>
                <w:tcPr>
                  <w:tcW w:w="1188" w:type="dxa"/>
                  <w:shd w:val="clear" w:color="auto" w:fill="auto"/>
                  <w:vAlign w:val="center"/>
                </w:tcPr>
                <w:p w14:paraId="10522671">
                  <w:pPr>
                    <w:pStyle w:val="63"/>
                  </w:pPr>
                  <w:r>
                    <w:t>达标</w:t>
                  </w:r>
                </w:p>
              </w:tc>
            </w:tr>
            <w:tr w14:paraId="2534F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14:paraId="2A53CA2B">
                  <w:pPr>
                    <w:pStyle w:val="63"/>
                  </w:pPr>
                  <w:r>
                    <w:t>西侧</w:t>
                  </w:r>
                </w:p>
              </w:tc>
              <w:tc>
                <w:tcPr>
                  <w:tcW w:w="803" w:type="dxa"/>
                  <w:shd w:val="clear" w:color="auto" w:fill="auto"/>
                  <w:vAlign w:val="center"/>
                </w:tcPr>
                <w:p w14:paraId="6B7F8D3D">
                  <w:pPr>
                    <w:pStyle w:val="63"/>
                  </w:pPr>
                  <w:r>
                    <w:t>-106.9</w:t>
                  </w:r>
                </w:p>
              </w:tc>
              <w:tc>
                <w:tcPr>
                  <w:tcW w:w="803" w:type="dxa"/>
                  <w:shd w:val="clear" w:color="auto" w:fill="auto"/>
                  <w:vAlign w:val="center"/>
                </w:tcPr>
                <w:p w14:paraId="175A5127">
                  <w:pPr>
                    <w:pStyle w:val="63"/>
                  </w:pPr>
                  <w:r>
                    <w:t>259.4</w:t>
                  </w:r>
                </w:p>
              </w:tc>
              <w:tc>
                <w:tcPr>
                  <w:tcW w:w="803" w:type="dxa"/>
                  <w:shd w:val="clear" w:color="auto" w:fill="auto"/>
                  <w:vAlign w:val="center"/>
                </w:tcPr>
                <w:p w14:paraId="7EE7FF89">
                  <w:pPr>
                    <w:pStyle w:val="63"/>
                  </w:pPr>
                  <w:r>
                    <w:t>1.2</w:t>
                  </w:r>
                </w:p>
              </w:tc>
              <w:tc>
                <w:tcPr>
                  <w:tcW w:w="993" w:type="dxa"/>
                  <w:shd w:val="clear" w:color="auto" w:fill="auto"/>
                  <w:vAlign w:val="center"/>
                </w:tcPr>
                <w:p w14:paraId="254317B8">
                  <w:pPr>
                    <w:pStyle w:val="63"/>
                  </w:pPr>
                  <w:r>
                    <w:t>昼间</w:t>
                  </w:r>
                </w:p>
              </w:tc>
              <w:tc>
                <w:tcPr>
                  <w:tcW w:w="1417" w:type="dxa"/>
                  <w:shd w:val="clear" w:color="auto" w:fill="auto"/>
                  <w:vAlign w:val="center"/>
                </w:tcPr>
                <w:p w14:paraId="19F1A585">
                  <w:pPr>
                    <w:pStyle w:val="63"/>
                  </w:pPr>
                  <w:r>
                    <w:t>11.9</w:t>
                  </w:r>
                </w:p>
              </w:tc>
              <w:tc>
                <w:tcPr>
                  <w:tcW w:w="1418" w:type="dxa"/>
                  <w:shd w:val="clear" w:color="auto" w:fill="auto"/>
                  <w:vAlign w:val="center"/>
                </w:tcPr>
                <w:p w14:paraId="66679137">
                  <w:pPr>
                    <w:pStyle w:val="63"/>
                  </w:pPr>
                  <w:r>
                    <w:t>65</w:t>
                  </w:r>
                </w:p>
              </w:tc>
              <w:tc>
                <w:tcPr>
                  <w:tcW w:w="1188" w:type="dxa"/>
                  <w:shd w:val="clear" w:color="auto" w:fill="auto"/>
                  <w:vAlign w:val="center"/>
                </w:tcPr>
                <w:p w14:paraId="2E3AEA23">
                  <w:pPr>
                    <w:pStyle w:val="63"/>
                  </w:pPr>
                  <w:r>
                    <w:t>达标</w:t>
                  </w:r>
                </w:p>
              </w:tc>
            </w:tr>
            <w:tr w14:paraId="4E4E00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14:paraId="7CF01D4E">
                  <w:pPr>
                    <w:pStyle w:val="63"/>
                  </w:pPr>
                </w:p>
              </w:tc>
              <w:tc>
                <w:tcPr>
                  <w:tcW w:w="803" w:type="dxa"/>
                  <w:shd w:val="clear" w:color="auto" w:fill="auto"/>
                  <w:vAlign w:val="center"/>
                </w:tcPr>
                <w:p w14:paraId="22A128AE">
                  <w:pPr>
                    <w:pStyle w:val="63"/>
                  </w:pPr>
                  <w:r>
                    <w:t>-106.9</w:t>
                  </w:r>
                </w:p>
              </w:tc>
              <w:tc>
                <w:tcPr>
                  <w:tcW w:w="803" w:type="dxa"/>
                  <w:shd w:val="clear" w:color="auto" w:fill="auto"/>
                  <w:vAlign w:val="center"/>
                </w:tcPr>
                <w:p w14:paraId="1BA2720E">
                  <w:pPr>
                    <w:pStyle w:val="63"/>
                  </w:pPr>
                  <w:r>
                    <w:t>259.4</w:t>
                  </w:r>
                </w:p>
              </w:tc>
              <w:tc>
                <w:tcPr>
                  <w:tcW w:w="803" w:type="dxa"/>
                  <w:shd w:val="clear" w:color="auto" w:fill="auto"/>
                  <w:vAlign w:val="center"/>
                </w:tcPr>
                <w:p w14:paraId="41FE4A91">
                  <w:pPr>
                    <w:pStyle w:val="63"/>
                  </w:pPr>
                  <w:r>
                    <w:t>1.2</w:t>
                  </w:r>
                </w:p>
              </w:tc>
              <w:tc>
                <w:tcPr>
                  <w:tcW w:w="993" w:type="dxa"/>
                  <w:shd w:val="clear" w:color="auto" w:fill="auto"/>
                  <w:vAlign w:val="center"/>
                </w:tcPr>
                <w:p w14:paraId="537F8174">
                  <w:pPr>
                    <w:pStyle w:val="63"/>
                  </w:pPr>
                  <w:r>
                    <w:t>夜间</w:t>
                  </w:r>
                </w:p>
              </w:tc>
              <w:tc>
                <w:tcPr>
                  <w:tcW w:w="1417" w:type="dxa"/>
                  <w:shd w:val="clear" w:color="auto" w:fill="auto"/>
                  <w:vAlign w:val="center"/>
                </w:tcPr>
                <w:p w14:paraId="5D9624BE">
                  <w:pPr>
                    <w:pStyle w:val="63"/>
                  </w:pPr>
                  <w:r>
                    <w:t>11.9</w:t>
                  </w:r>
                </w:p>
              </w:tc>
              <w:tc>
                <w:tcPr>
                  <w:tcW w:w="1418" w:type="dxa"/>
                  <w:shd w:val="clear" w:color="auto" w:fill="auto"/>
                  <w:vAlign w:val="center"/>
                </w:tcPr>
                <w:p w14:paraId="640C728D">
                  <w:pPr>
                    <w:pStyle w:val="63"/>
                  </w:pPr>
                  <w:r>
                    <w:t>55</w:t>
                  </w:r>
                </w:p>
              </w:tc>
              <w:tc>
                <w:tcPr>
                  <w:tcW w:w="1188" w:type="dxa"/>
                  <w:shd w:val="clear" w:color="auto" w:fill="auto"/>
                  <w:vAlign w:val="center"/>
                </w:tcPr>
                <w:p w14:paraId="4C9369C8">
                  <w:pPr>
                    <w:pStyle w:val="63"/>
                  </w:pPr>
                  <w:r>
                    <w:t>达标</w:t>
                  </w:r>
                </w:p>
              </w:tc>
            </w:tr>
            <w:tr w14:paraId="336F3F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restart"/>
                  <w:shd w:val="clear" w:color="auto" w:fill="auto"/>
                  <w:vAlign w:val="center"/>
                </w:tcPr>
                <w:p w14:paraId="216FC58D">
                  <w:pPr>
                    <w:pStyle w:val="63"/>
                  </w:pPr>
                  <w:r>
                    <w:t>北侧</w:t>
                  </w:r>
                </w:p>
              </w:tc>
              <w:tc>
                <w:tcPr>
                  <w:tcW w:w="803" w:type="dxa"/>
                  <w:shd w:val="clear" w:color="auto" w:fill="auto"/>
                  <w:vAlign w:val="center"/>
                </w:tcPr>
                <w:p w14:paraId="57FA71B0">
                  <w:pPr>
                    <w:pStyle w:val="63"/>
                  </w:pPr>
                  <w:r>
                    <w:t>84.1</w:t>
                  </w:r>
                </w:p>
              </w:tc>
              <w:tc>
                <w:tcPr>
                  <w:tcW w:w="803" w:type="dxa"/>
                  <w:shd w:val="clear" w:color="auto" w:fill="auto"/>
                  <w:vAlign w:val="center"/>
                </w:tcPr>
                <w:p w14:paraId="3DE84102">
                  <w:pPr>
                    <w:pStyle w:val="63"/>
                  </w:pPr>
                  <w:r>
                    <w:t>337.4</w:t>
                  </w:r>
                </w:p>
              </w:tc>
              <w:tc>
                <w:tcPr>
                  <w:tcW w:w="803" w:type="dxa"/>
                  <w:shd w:val="clear" w:color="auto" w:fill="auto"/>
                  <w:vAlign w:val="center"/>
                </w:tcPr>
                <w:p w14:paraId="1212BBED">
                  <w:pPr>
                    <w:pStyle w:val="63"/>
                  </w:pPr>
                  <w:r>
                    <w:t>1.2</w:t>
                  </w:r>
                </w:p>
              </w:tc>
              <w:tc>
                <w:tcPr>
                  <w:tcW w:w="993" w:type="dxa"/>
                  <w:shd w:val="clear" w:color="auto" w:fill="auto"/>
                  <w:vAlign w:val="center"/>
                </w:tcPr>
                <w:p w14:paraId="73C03089">
                  <w:pPr>
                    <w:pStyle w:val="63"/>
                  </w:pPr>
                  <w:r>
                    <w:t>昼间</w:t>
                  </w:r>
                </w:p>
              </w:tc>
              <w:tc>
                <w:tcPr>
                  <w:tcW w:w="1417" w:type="dxa"/>
                  <w:shd w:val="clear" w:color="auto" w:fill="auto"/>
                  <w:vAlign w:val="center"/>
                </w:tcPr>
                <w:p w14:paraId="2F12F5E0">
                  <w:pPr>
                    <w:pStyle w:val="63"/>
                  </w:pPr>
                  <w:r>
                    <w:t>34.7</w:t>
                  </w:r>
                </w:p>
              </w:tc>
              <w:tc>
                <w:tcPr>
                  <w:tcW w:w="1418" w:type="dxa"/>
                  <w:shd w:val="clear" w:color="auto" w:fill="auto"/>
                  <w:vAlign w:val="center"/>
                </w:tcPr>
                <w:p w14:paraId="056F60D4">
                  <w:pPr>
                    <w:pStyle w:val="63"/>
                  </w:pPr>
                  <w:r>
                    <w:t>65</w:t>
                  </w:r>
                </w:p>
              </w:tc>
              <w:tc>
                <w:tcPr>
                  <w:tcW w:w="1188" w:type="dxa"/>
                  <w:shd w:val="clear" w:color="auto" w:fill="auto"/>
                  <w:vAlign w:val="center"/>
                </w:tcPr>
                <w:p w14:paraId="1CE25F50">
                  <w:pPr>
                    <w:pStyle w:val="63"/>
                  </w:pPr>
                  <w:r>
                    <w:t>达标</w:t>
                  </w:r>
                </w:p>
              </w:tc>
            </w:tr>
            <w:tr w14:paraId="1B89D4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101" w:type="dxa"/>
                  <w:vMerge w:val="continue"/>
                  <w:shd w:val="clear" w:color="auto" w:fill="auto"/>
                  <w:vAlign w:val="center"/>
                </w:tcPr>
                <w:p w14:paraId="4DEAB1DA">
                  <w:pPr>
                    <w:pStyle w:val="63"/>
                  </w:pPr>
                </w:p>
              </w:tc>
              <w:tc>
                <w:tcPr>
                  <w:tcW w:w="803" w:type="dxa"/>
                  <w:shd w:val="clear" w:color="auto" w:fill="auto"/>
                  <w:vAlign w:val="center"/>
                </w:tcPr>
                <w:p w14:paraId="3FB5E883">
                  <w:pPr>
                    <w:pStyle w:val="63"/>
                  </w:pPr>
                  <w:r>
                    <w:t>84.1</w:t>
                  </w:r>
                </w:p>
              </w:tc>
              <w:tc>
                <w:tcPr>
                  <w:tcW w:w="803" w:type="dxa"/>
                  <w:shd w:val="clear" w:color="auto" w:fill="auto"/>
                  <w:vAlign w:val="center"/>
                </w:tcPr>
                <w:p w14:paraId="40A5CE25">
                  <w:pPr>
                    <w:pStyle w:val="63"/>
                  </w:pPr>
                  <w:r>
                    <w:t>337.4</w:t>
                  </w:r>
                </w:p>
              </w:tc>
              <w:tc>
                <w:tcPr>
                  <w:tcW w:w="803" w:type="dxa"/>
                  <w:shd w:val="clear" w:color="auto" w:fill="auto"/>
                  <w:vAlign w:val="center"/>
                </w:tcPr>
                <w:p w14:paraId="33E23224">
                  <w:pPr>
                    <w:pStyle w:val="63"/>
                  </w:pPr>
                  <w:r>
                    <w:t>1.2</w:t>
                  </w:r>
                </w:p>
              </w:tc>
              <w:tc>
                <w:tcPr>
                  <w:tcW w:w="993" w:type="dxa"/>
                  <w:shd w:val="clear" w:color="auto" w:fill="auto"/>
                  <w:vAlign w:val="center"/>
                </w:tcPr>
                <w:p w14:paraId="07AA5A9C">
                  <w:pPr>
                    <w:pStyle w:val="63"/>
                  </w:pPr>
                  <w:r>
                    <w:t>夜间</w:t>
                  </w:r>
                </w:p>
              </w:tc>
              <w:tc>
                <w:tcPr>
                  <w:tcW w:w="1417" w:type="dxa"/>
                  <w:shd w:val="clear" w:color="auto" w:fill="auto"/>
                  <w:vAlign w:val="center"/>
                </w:tcPr>
                <w:p w14:paraId="2D62C9BF">
                  <w:pPr>
                    <w:pStyle w:val="63"/>
                  </w:pPr>
                  <w:r>
                    <w:t>34.7</w:t>
                  </w:r>
                </w:p>
              </w:tc>
              <w:tc>
                <w:tcPr>
                  <w:tcW w:w="1418" w:type="dxa"/>
                  <w:shd w:val="clear" w:color="auto" w:fill="auto"/>
                  <w:vAlign w:val="center"/>
                </w:tcPr>
                <w:p w14:paraId="41E26B45">
                  <w:pPr>
                    <w:pStyle w:val="63"/>
                  </w:pPr>
                  <w:r>
                    <w:t>55</w:t>
                  </w:r>
                </w:p>
              </w:tc>
              <w:tc>
                <w:tcPr>
                  <w:tcW w:w="1188" w:type="dxa"/>
                  <w:shd w:val="clear" w:color="auto" w:fill="auto"/>
                  <w:vAlign w:val="center"/>
                </w:tcPr>
                <w:p w14:paraId="263A0977">
                  <w:pPr>
                    <w:pStyle w:val="63"/>
                  </w:pPr>
                  <w:r>
                    <w:t>达标</w:t>
                  </w:r>
                </w:p>
              </w:tc>
            </w:tr>
          </w:tbl>
          <w:p w14:paraId="1199BF70">
            <w:pPr>
              <w:autoSpaceDE w:val="0"/>
              <w:autoSpaceDN w:val="0"/>
              <w:spacing w:line="460" w:lineRule="exact"/>
              <w:ind w:firstLine="480" w:firstLineChars="200"/>
              <w:rPr>
                <w:kern w:val="0"/>
              </w:rPr>
            </w:pPr>
            <w:r>
              <w:rPr>
                <w:kern w:val="0"/>
              </w:rPr>
              <w:t>根据预测，本项目运行后厂界处噪声满足《工业企业厂界环境噪声排放标准》（GB12348-2008）中3类标准。</w:t>
            </w:r>
            <w:r>
              <w:t>由于厂区周边50m范围内无环境敏感目标，对周边环境影响较小。</w:t>
            </w:r>
          </w:p>
          <w:p w14:paraId="5251D9B1">
            <w:pPr>
              <w:spacing w:line="460" w:lineRule="exact"/>
              <w:ind w:firstLine="480" w:firstLineChars="200"/>
            </w:pPr>
            <w:r>
              <w:t>针对项目噪声源实际特点，拟建工程采取以下噪声污染防治措施：</w:t>
            </w:r>
          </w:p>
          <w:p w14:paraId="2919495F">
            <w:pPr>
              <w:spacing w:line="460" w:lineRule="exact"/>
              <w:ind w:firstLine="480" w:firstLineChars="200"/>
            </w:pPr>
            <w:r>
              <w:t>（1）尽量选用低噪音设备，并做好设备的保养和维护，确保其处于良好的运转状态，避免因设备不正常运转产生高噪声现象，对老化的高噪声设备应尽量淘汰。</w:t>
            </w:r>
          </w:p>
          <w:p w14:paraId="4A2094D5">
            <w:pPr>
              <w:spacing w:line="460" w:lineRule="exact"/>
              <w:ind w:firstLine="480" w:firstLineChars="200"/>
            </w:pPr>
            <w:r>
              <w:t>（2）对</w:t>
            </w:r>
            <w:r>
              <w:rPr>
                <w:rFonts w:hint="eastAsia"/>
              </w:rPr>
              <w:t>振动筛、风机</w:t>
            </w:r>
            <w:r>
              <w:t>等高噪声设备采取基础减振措施，风机进出气口和管道之间用软连接的方法进行管道隔振。</w:t>
            </w:r>
          </w:p>
          <w:p w14:paraId="5EFA889E">
            <w:pPr>
              <w:spacing w:line="460" w:lineRule="exact"/>
              <w:ind w:firstLine="480" w:firstLineChars="200"/>
            </w:pPr>
            <w:r>
              <w:t>（3）设备运行过程中机壳、管壁等会产生机械性噪声，可考虑在机壳、管壁上敷设阻尼材料，如在管壁上涂抹沥青并包裹油毡，使振动能量被阻尼材料消耗减弱。</w:t>
            </w:r>
          </w:p>
          <w:p w14:paraId="4C57FC0D">
            <w:pPr>
              <w:spacing w:line="460" w:lineRule="exact"/>
              <w:ind w:firstLine="480" w:firstLineChars="200"/>
            </w:pPr>
            <w:r>
              <w:t>（4）高噪声设备合理分布，避免集中放置，必要时对于产生噪声较高的设备设置专门隔声设备房的措施。</w:t>
            </w:r>
          </w:p>
          <w:p w14:paraId="666D52B7">
            <w:pPr>
              <w:spacing w:line="460" w:lineRule="exact"/>
              <w:ind w:firstLine="480" w:firstLineChars="200"/>
            </w:pPr>
            <w:r>
              <w:t>（5）加强厂内生产职工的安全卫生防护，如佩戴耳塞等，减小机械噪声对厂内生产职工的影响。</w:t>
            </w:r>
          </w:p>
          <w:p w14:paraId="0B0B2813">
            <w:pPr>
              <w:spacing w:line="460" w:lineRule="exact"/>
              <w:ind w:firstLine="480" w:firstLineChars="200"/>
            </w:pPr>
            <w:r>
              <w:t>（6）加强运输车辆管理，合理安排进出厂区的时间，避免同一时段同时多台进出和夜间进出，同时对进出厂内的车辆禁止鸣笛，进行规范化管理。</w:t>
            </w:r>
          </w:p>
          <w:p w14:paraId="460D2277">
            <w:pPr>
              <w:spacing w:line="460" w:lineRule="exact"/>
              <w:ind w:firstLine="480" w:firstLineChars="200"/>
            </w:pPr>
            <w:r>
              <w:t>通过采取以上措施可降低噪声，使操作工人在低噪环境下工作。本项目厂界周边500m范围内没有敏感目标，因此本项目的运行期噪声对周边环境影响很小。</w:t>
            </w:r>
          </w:p>
          <w:p w14:paraId="00F0069A">
            <w:pPr>
              <w:spacing w:line="460" w:lineRule="exact"/>
              <w:ind w:firstLine="482" w:firstLineChars="200"/>
              <w:rPr>
                <w:b/>
                <w:bCs/>
              </w:rPr>
            </w:pPr>
            <w:r>
              <w:rPr>
                <w:b/>
                <w:bCs/>
              </w:rPr>
              <w:t>3.2运营期噪声监控计划</w:t>
            </w:r>
          </w:p>
          <w:p w14:paraId="1339ED7B">
            <w:pPr>
              <w:spacing w:line="460" w:lineRule="exact"/>
              <w:ind w:firstLine="480" w:firstLineChars="200"/>
            </w:pPr>
            <w:r>
              <w:rPr>
                <w:rFonts w:hint="eastAsia"/>
                <w:bCs/>
              </w:rPr>
              <w:t>根据《排污许可证申请与核发技术规范 总则》（HJ</w:t>
            </w:r>
            <w:r>
              <w:rPr>
                <w:bCs/>
              </w:rPr>
              <w:t>984-2018</w:t>
            </w:r>
            <w:r>
              <w:rPr>
                <w:rFonts w:hint="eastAsia"/>
                <w:bCs/>
              </w:rPr>
              <w:t>）中相关内容，结合本项目情况制定以下监测计划，</w:t>
            </w:r>
            <w:r>
              <w:rPr>
                <w:rFonts w:hint="eastAsia"/>
              </w:rPr>
              <w:t>详</w:t>
            </w:r>
            <w:r>
              <w:t>见表</w:t>
            </w:r>
            <w:r>
              <w:rPr>
                <w:rFonts w:hint="eastAsia"/>
              </w:rPr>
              <w:t>4-</w:t>
            </w:r>
            <w:r>
              <w:t>16</w:t>
            </w:r>
            <w:r>
              <w:rPr>
                <w:rFonts w:hint="eastAsia"/>
              </w:rPr>
              <w:t>。</w:t>
            </w:r>
          </w:p>
          <w:p w14:paraId="30584F9E">
            <w:pPr>
              <w:pStyle w:val="76"/>
              <w:ind w:firstLine="619" w:firstLineChars="295"/>
              <w:rPr>
                <w:color w:val="auto"/>
              </w:rPr>
            </w:pPr>
            <w:r>
              <w:rPr>
                <w:color w:val="auto"/>
              </w:rPr>
              <w:t>表4-16           项目运营期噪声监控计划一览表</w:t>
            </w:r>
          </w:p>
          <w:tbl>
            <w:tblPr>
              <w:tblStyle w:val="24"/>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448"/>
              <w:gridCol w:w="1352"/>
              <w:gridCol w:w="1146"/>
              <w:gridCol w:w="2834"/>
            </w:tblGrid>
            <w:tr w14:paraId="4227D3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8" w:type="dxa"/>
                  <w:tcBorders>
                    <w:tl2br w:val="nil"/>
                    <w:tr2bl w:val="nil"/>
                  </w:tcBorders>
                  <w:shd w:val="clear" w:color="auto" w:fill="auto"/>
                  <w:vAlign w:val="center"/>
                </w:tcPr>
                <w:p w14:paraId="46F32DC3">
                  <w:pPr>
                    <w:pStyle w:val="63"/>
                  </w:pPr>
                  <w:r>
                    <w:t>监测位置</w:t>
                  </w:r>
                </w:p>
              </w:tc>
              <w:tc>
                <w:tcPr>
                  <w:tcW w:w="1453" w:type="dxa"/>
                  <w:tcBorders>
                    <w:tl2br w:val="nil"/>
                    <w:tr2bl w:val="nil"/>
                  </w:tcBorders>
                  <w:shd w:val="clear" w:color="auto" w:fill="auto"/>
                  <w:vAlign w:val="center"/>
                </w:tcPr>
                <w:p w14:paraId="7A2F6D5D">
                  <w:pPr>
                    <w:pStyle w:val="63"/>
                  </w:pPr>
                  <w:r>
                    <w:t>监测项目</w:t>
                  </w:r>
                </w:p>
              </w:tc>
              <w:tc>
                <w:tcPr>
                  <w:tcW w:w="1357" w:type="dxa"/>
                  <w:tcBorders>
                    <w:tl2br w:val="nil"/>
                    <w:tr2bl w:val="nil"/>
                  </w:tcBorders>
                  <w:shd w:val="clear" w:color="auto" w:fill="auto"/>
                  <w:vAlign w:val="center"/>
                </w:tcPr>
                <w:p w14:paraId="088370F0">
                  <w:pPr>
                    <w:pStyle w:val="63"/>
                  </w:pPr>
                  <w:r>
                    <w:t>监测频次</w:t>
                  </w:r>
                </w:p>
              </w:tc>
              <w:tc>
                <w:tcPr>
                  <w:tcW w:w="1150" w:type="dxa"/>
                  <w:tcBorders>
                    <w:tl2br w:val="nil"/>
                    <w:tr2bl w:val="nil"/>
                  </w:tcBorders>
                  <w:shd w:val="clear" w:color="auto" w:fill="auto"/>
                  <w:vAlign w:val="center"/>
                </w:tcPr>
                <w:p w14:paraId="35906D3F">
                  <w:pPr>
                    <w:pStyle w:val="63"/>
                  </w:pPr>
                  <w:r>
                    <w:t>监测单位</w:t>
                  </w:r>
                </w:p>
              </w:tc>
              <w:tc>
                <w:tcPr>
                  <w:tcW w:w="2838" w:type="dxa"/>
                  <w:tcBorders>
                    <w:tl2br w:val="nil"/>
                    <w:tr2bl w:val="nil"/>
                  </w:tcBorders>
                  <w:shd w:val="clear" w:color="auto" w:fill="auto"/>
                  <w:vAlign w:val="center"/>
                </w:tcPr>
                <w:p w14:paraId="00BBDD5C">
                  <w:pPr>
                    <w:pStyle w:val="63"/>
                  </w:pPr>
                  <w:r>
                    <w:t>执行标准</w:t>
                  </w:r>
                </w:p>
              </w:tc>
            </w:tr>
            <w:tr w14:paraId="03D2F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8" w:type="dxa"/>
                  <w:tcBorders>
                    <w:tl2br w:val="nil"/>
                    <w:tr2bl w:val="nil"/>
                  </w:tcBorders>
                  <w:shd w:val="clear" w:color="auto" w:fill="auto"/>
                  <w:vAlign w:val="center"/>
                </w:tcPr>
                <w:p w14:paraId="0CDF8336">
                  <w:pPr>
                    <w:pStyle w:val="63"/>
                  </w:pPr>
                  <w:r>
                    <w:rPr>
                      <w:rFonts w:hint="eastAsia"/>
                    </w:rPr>
                    <w:t>厂界四侧</w:t>
                  </w:r>
                  <w:r>
                    <w:t>外</w:t>
                  </w:r>
                  <w:r>
                    <w:rPr>
                      <w:rFonts w:hint="eastAsia"/>
                    </w:rPr>
                    <w:t>1</w:t>
                  </w:r>
                  <w:r>
                    <w:t>m</w:t>
                  </w:r>
                </w:p>
              </w:tc>
              <w:tc>
                <w:tcPr>
                  <w:tcW w:w="1453" w:type="dxa"/>
                  <w:tcBorders>
                    <w:tl2br w:val="nil"/>
                    <w:tr2bl w:val="nil"/>
                  </w:tcBorders>
                  <w:shd w:val="clear" w:color="auto" w:fill="auto"/>
                  <w:vAlign w:val="center"/>
                </w:tcPr>
                <w:p w14:paraId="75B96875">
                  <w:pPr>
                    <w:pStyle w:val="63"/>
                  </w:pPr>
                  <w:r>
                    <w:t>等效A声级</w:t>
                  </w:r>
                </w:p>
              </w:tc>
              <w:tc>
                <w:tcPr>
                  <w:tcW w:w="1357" w:type="dxa"/>
                  <w:tcBorders>
                    <w:tl2br w:val="nil"/>
                    <w:tr2bl w:val="nil"/>
                  </w:tcBorders>
                  <w:shd w:val="clear" w:color="auto" w:fill="auto"/>
                  <w:vAlign w:val="center"/>
                </w:tcPr>
                <w:p w14:paraId="64E95965">
                  <w:pPr>
                    <w:pStyle w:val="63"/>
                  </w:pPr>
                  <w:r>
                    <w:rPr>
                      <w:rFonts w:hint="eastAsia"/>
                    </w:rPr>
                    <w:t>1次/季度</w:t>
                  </w:r>
                </w:p>
              </w:tc>
              <w:tc>
                <w:tcPr>
                  <w:tcW w:w="1150" w:type="dxa"/>
                  <w:tcBorders>
                    <w:tl2br w:val="nil"/>
                    <w:tr2bl w:val="nil"/>
                  </w:tcBorders>
                  <w:shd w:val="clear" w:color="auto" w:fill="auto"/>
                  <w:vAlign w:val="center"/>
                </w:tcPr>
                <w:p w14:paraId="6717727F">
                  <w:pPr>
                    <w:pStyle w:val="63"/>
                  </w:pPr>
                  <w:r>
                    <w:rPr>
                      <w:rFonts w:hint="eastAsia"/>
                    </w:rPr>
                    <w:t>委托</w:t>
                  </w:r>
                  <w:r>
                    <w:t>有资质的单位</w:t>
                  </w:r>
                </w:p>
              </w:tc>
              <w:tc>
                <w:tcPr>
                  <w:tcW w:w="2838" w:type="dxa"/>
                  <w:tcBorders>
                    <w:tl2br w:val="nil"/>
                    <w:tr2bl w:val="nil"/>
                  </w:tcBorders>
                  <w:shd w:val="clear" w:color="auto" w:fill="auto"/>
                  <w:vAlign w:val="center"/>
                </w:tcPr>
                <w:p w14:paraId="0990672E">
                  <w:pPr>
                    <w:pStyle w:val="63"/>
                  </w:pPr>
                  <w:r>
                    <w:t>《工业企业厂界环境噪声排放标准》（GB12348-2008）</w:t>
                  </w:r>
                  <w:r>
                    <w:rPr>
                      <w:rFonts w:hint="eastAsia"/>
                    </w:rPr>
                    <w:t>3</w:t>
                  </w:r>
                  <w:r>
                    <w:t>类标准要求</w:t>
                  </w:r>
                </w:p>
              </w:tc>
            </w:tr>
          </w:tbl>
          <w:p w14:paraId="4F95EC79">
            <w:pPr>
              <w:spacing w:line="460" w:lineRule="exact"/>
              <w:ind w:firstLine="482" w:firstLineChars="200"/>
              <w:rPr>
                <w:b/>
                <w:bCs/>
              </w:rPr>
            </w:pPr>
            <w:r>
              <w:rPr>
                <w:b/>
                <w:bCs/>
              </w:rPr>
              <w:t>4、固体废弃物环境影响分析及其环保措施</w:t>
            </w:r>
          </w:p>
          <w:p w14:paraId="459DC116">
            <w:pPr>
              <w:spacing w:line="460" w:lineRule="exact"/>
              <w:ind w:firstLine="480" w:firstLineChars="200"/>
            </w:pPr>
            <w:r>
              <w:t>本项目固体废物主要为一般工业固体废物、危险废物。其中一般工业固体废物包括</w:t>
            </w:r>
            <w:r>
              <w:rPr>
                <w:rFonts w:hint="eastAsia"/>
              </w:rPr>
              <w:t>不合格骨料</w:t>
            </w:r>
            <w:r>
              <w:t>、</w:t>
            </w:r>
            <w:r>
              <w:rPr>
                <w:rFonts w:hint="eastAsia"/>
              </w:rPr>
              <w:t>滴漏沥青及拌合残渣、</w:t>
            </w:r>
            <w:r>
              <w:t>除尘器收集的粉尘、</w:t>
            </w:r>
            <w:r>
              <w:rPr>
                <w:rFonts w:hint="eastAsia"/>
              </w:rPr>
              <w:t>废钢筋、</w:t>
            </w:r>
            <w:r>
              <w:t>生活垃圾等；危险废物包括废活性炭、</w:t>
            </w:r>
            <w:r>
              <w:rPr>
                <w:rFonts w:hint="eastAsia"/>
              </w:rPr>
              <w:t>焦油沉渣</w:t>
            </w:r>
            <w:r>
              <w:t>、</w:t>
            </w:r>
            <w:r>
              <w:rPr>
                <w:rFonts w:hint="eastAsia"/>
              </w:rPr>
              <w:t>电捕焦油器废油、</w:t>
            </w:r>
            <w:r>
              <w:t>废导热油、废机油、废含油抹布手套等。</w:t>
            </w:r>
          </w:p>
          <w:p w14:paraId="50054EBF">
            <w:pPr>
              <w:spacing w:line="460" w:lineRule="exact"/>
              <w:ind w:firstLine="480" w:firstLineChars="200"/>
            </w:pPr>
            <w:r>
              <w:t>（1）一般工业固废</w:t>
            </w:r>
          </w:p>
          <w:p w14:paraId="76AAC27C">
            <w:pPr>
              <w:spacing w:line="460" w:lineRule="exact"/>
              <w:ind w:firstLine="480" w:firstLineChars="200"/>
            </w:pPr>
            <w:r>
              <w:rPr>
                <w:rFonts w:hint="eastAsia" w:ascii="宋体" w:hAnsi="宋体" w:cs="宋体"/>
              </w:rPr>
              <w:t>1）</w:t>
            </w:r>
            <w:r>
              <w:t>不合格骨料</w:t>
            </w:r>
          </w:p>
          <w:p w14:paraId="0FF40BBB">
            <w:pPr>
              <w:spacing w:line="460" w:lineRule="exact"/>
              <w:ind w:firstLine="480" w:firstLineChars="200"/>
            </w:pPr>
            <w:r>
              <w:t>骨料经干燥后进入振动筛筛选，筛选出粒度不合格（过大）的废石料。根据类比调查和建设单位提供资料，</w:t>
            </w:r>
            <w:r>
              <w:rPr>
                <w:rFonts w:hint="eastAsia"/>
              </w:rPr>
              <w:t>水泥稳定生产线</w:t>
            </w:r>
            <w:r>
              <w:t>振动筛筛选出来的废石料占原料的0.1%，</w:t>
            </w:r>
            <w:r>
              <w:rPr>
                <w:rFonts w:hint="eastAsia"/>
              </w:rPr>
              <w:t>原料为</w:t>
            </w:r>
            <w:r>
              <w:t>818767t/a</w:t>
            </w:r>
            <w:r>
              <w:rPr>
                <w:rFonts w:hint="eastAsia"/>
              </w:rPr>
              <w:t>，</w:t>
            </w:r>
            <w:r>
              <w:t>则产生量约818.8t/a</w:t>
            </w:r>
            <w:r>
              <w:rPr>
                <w:rFonts w:hint="eastAsia"/>
              </w:rPr>
              <w:t>。水泥混凝土生产线</w:t>
            </w:r>
            <w:r>
              <w:t>振动筛筛选出来的废石料占原料的0.1%，</w:t>
            </w:r>
            <w:r>
              <w:rPr>
                <w:rFonts w:hint="eastAsia"/>
              </w:rPr>
              <w:t>原料为</w:t>
            </w:r>
            <w:r>
              <w:t>68541t/a</w:t>
            </w:r>
            <w:r>
              <w:rPr>
                <w:rFonts w:hint="eastAsia"/>
              </w:rPr>
              <w:t>，</w:t>
            </w:r>
            <w:r>
              <w:t>则产生量约68.5t/a</w:t>
            </w:r>
            <w:r>
              <w:rPr>
                <w:rFonts w:hint="eastAsia"/>
              </w:rPr>
              <w:t>。沥青混凝土生产线</w:t>
            </w:r>
            <w:r>
              <w:t>振动筛筛选出来的废石料占原料的0.1%，</w:t>
            </w:r>
            <w:r>
              <w:rPr>
                <w:rFonts w:hint="eastAsia"/>
              </w:rPr>
              <w:t>原料为</w:t>
            </w:r>
            <w:r>
              <w:t>669792t/a</w:t>
            </w:r>
            <w:r>
              <w:rPr>
                <w:rFonts w:hint="eastAsia"/>
              </w:rPr>
              <w:t>，</w:t>
            </w:r>
            <w:r>
              <w:t>则产生量669.792t/a</w:t>
            </w:r>
            <w:r>
              <w:rPr>
                <w:rFonts w:hint="eastAsia"/>
              </w:rPr>
              <w:t>，则不合格骨料总共为</w:t>
            </w:r>
            <w:r>
              <w:t>1557.092 t/a</w:t>
            </w:r>
            <w:r>
              <w:rPr>
                <w:rFonts w:hint="eastAsia"/>
              </w:rPr>
              <w:t>。根据《固体废物分类与代码目录》，废物种类为SW</w:t>
            </w:r>
            <w:r>
              <w:t>17</w:t>
            </w:r>
            <w:r>
              <w:rPr>
                <w:rFonts w:hint="eastAsia"/>
              </w:rPr>
              <w:t>，废物代码为900-0</w:t>
            </w:r>
            <w:r>
              <w:t>99</w:t>
            </w:r>
            <w:r>
              <w:rPr>
                <w:rFonts w:hint="eastAsia"/>
              </w:rPr>
              <w:t>-</w:t>
            </w:r>
            <w:r>
              <w:t>S17</w:t>
            </w:r>
            <w:r>
              <w:rPr>
                <w:rFonts w:hint="eastAsia"/>
              </w:rPr>
              <w:t>，</w:t>
            </w:r>
            <w:r>
              <w:t>废石料由供应商拉走。</w:t>
            </w:r>
          </w:p>
          <w:p w14:paraId="2072C201">
            <w:pPr>
              <w:spacing w:line="460" w:lineRule="exact"/>
              <w:ind w:firstLine="480" w:firstLineChars="200"/>
            </w:pPr>
            <w:r>
              <w:t>2</w:t>
            </w:r>
            <w:r>
              <w:rPr>
                <w:rFonts w:hint="eastAsia"/>
              </w:rPr>
              <w:t>）</w:t>
            </w:r>
            <w:r>
              <w:t>除尘器收集粉尘</w:t>
            </w:r>
          </w:p>
          <w:p w14:paraId="6D895543">
            <w:pPr>
              <w:spacing w:line="460" w:lineRule="exact"/>
              <w:ind w:firstLine="480" w:firstLineChars="2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筒仓粉尘</w:t>
            </w:r>
          </w:p>
          <w:p w14:paraId="4898CE52">
            <w:pPr>
              <w:spacing w:line="460" w:lineRule="exact"/>
              <w:ind w:firstLine="480" w:firstLineChars="200"/>
            </w:pPr>
            <w:r>
              <w:rPr>
                <w:rFonts w:hint="eastAsia"/>
              </w:rPr>
              <w:t>水泥稳定生产线水泥筒仓仓顶滤芯式除尘器</w:t>
            </w:r>
            <w:r>
              <w:t>收尘量为4.514t/a</w:t>
            </w:r>
            <w:r>
              <w:rPr>
                <w:rFonts w:hint="eastAsia"/>
              </w:rPr>
              <w:t>，水泥稳定生产线粉煤灰筒仓顶滤芯式除尘器</w:t>
            </w:r>
            <w:r>
              <w:t>收尘量为11</w:t>
            </w:r>
            <w:r>
              <w:rPr>
                <w:rFonts w:hint="eastAsia"/>
              </w:rPr>
              <w:t>.</w:t>
            </w:r>
            <w:r>
              <w:t>296t/a</w:t>
            </w:r>
            <w:r>
              <w:rPr>
                <w:rFonts w:hint="eastAsia"/>
              </w:rPr>
              <w:t>，沥青混凝土生产线矿粉筒仓仓顶滤芯式除尘器</w:t>
            </w:r>
            <w:r>
              <w:t>收尘量为2.168t/a</w:t>
            </w:r>
            <w:r>
              <w:rPr>
                <w:rFonts w:hint="eastAsia"/>
              </w:rPr>
              <w:t>，水泥混凝土生产线水泥筒仓仓顶滤芯式除尘器收尘量为</w:t>
            </w:r>
            <w:r>
              <w:t>5.722t/a</w:t>
            </w:r>
            <w:r>
              <w:rPr>
                <w:rFonts w:hint="eastAsia"/>
              </w:rPr>
              <w:t>，水泥混凝土生产线粉煤灰筒仓仓顶滤芯式除尘器收尘量为</w:t>
            </w:r>
            <w:r>
              <w:t>1.831t/a</w:t>
            </w:r>
            <w:r>
              <w:rPr>
                <w:rFonts w:hint="eastAsia"/>
              </w:rPr>
              <w:t>。根据《固体废物分类与代码目录》，废物种类为SW</w:t>
            </w:r>
            <w:r>
              <w:t>17</w:t>
            </w:r>
            <w:r>
              <w:rPr>
                <w:rFonts w:hint="eastAsia"/>
              </w:rPr>
              <w:t>，废物代码为900-099-S17，可回</w:t>
            </w:r>
            <w:r>
              <w:t>用于生产。</w:t>
            </w:r>
          </w:p>
          <w:p w14:paraId="292FF7AF">
            <w:pPr>
              <w:spacing w:line="460" w:lineRule="exact"/>
              <w:ind w:firstLine="480" w:firstLineChars="2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物料混合搅拌粉尘</w:t>
            </w:r>
          </w:p>
          <w:p w14:paraId="303DAA86">
            <w:pPr>
              <w:spacing w:line="460" w:lineRule="exact"/>
              <w:ind w:firstLine="480" w:firstLineChars="200"/>
            </w:pPr>
            <w:r>
              <w:rPr>
                <w:rFonts w:hint="eastAsia"/>
              </w:rPr>
              <w:t>水泥稳定生产线物料混合搅拌收集粉尘为</w:t>
            </w:r>
            <w:r>
              <w:t>116.649t/a</w:t>
            </w:r>
            <w:r>
              <w:rPr>
                <w:rFonts w:hint="eastAsia"/>
              </w:rPr>
              <w:t>，水泥混凝土生产线物料混合搅拌收集粉尘为</w:t>
            </w:r>
            <w:r>
              <w:t>22.393t/a</w:t>
            </w:r>
            <w:r>
              <w:rPr>
                <w:rFonts w:hint="eastAsia"/>
              </w:rPr>
              <w:t>。根据《固体废物分类与代码目录》，废物种类为SW</w:t>
            </w:r>
            <w:r>
              <w:t>17</w:t>
            </w:r>
            <w:r>
              <w:rPr>
                <w:rFonts w:hint="eastAsia"/>
              </w:rPr>
              <w:t>，废物代码为900-099-S17，可回</w:t>
            </w:r>
            <w:r>
              <w:t>用于生产。</w:t>
            </w:r>
          </w:p>
          <w:p w14:paraId="48C3A820">
            <w:pPr>
              <w:spacing w:line="460" w:lineRule="exact"/>
              <w:ind w:firstLine="480" w:firstLineChars="20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骨料烘干、振动筛分收集粉尘</w:t>
            </w:r>
          </w:p>
          <w:p w14:paraId="1515BE7A">
            <w:pPr>
              <w:spacing w:line="460" w:lineRule="exact"/>
              <w:ind w:firstLine="480" w:firstLineChars="200"/>
            </w:pPr>
            <w:r>
              <w:rPr>
                <w:rFonts w:hint="eastAsia"/>
              </w:rPr>
              <w:t>沥青混凝土生产线骨料烘干、振动筛分收集粉尘为</w:t>
            </w:r>
            <w:r>
              <w:t>168.720</w:t>
            </w:r>
            <w:r>
              <w:rPr>
                <w:rFonts w:hint="eastAsia"/>
              </w:rPr>
              <w:t>t/a。根据《固体废物分类与代码目录》，废物种类为SW</w:t>
            </w:r>
            <w:r>
              <w:t>17</w:t>
            </w:r>
            <w:r>
              <w:rPr>
                <w:rFonts w:hint="eastAsia"/>
              </w:rPr>
              <w:t>，废物代码为900-099-S17，可回</w:t>
            </w:r>
            <w:r>
              <w:t>用于生产。</w:t>
            </w:r>
          </w:p>
          <w:p w14:paraId="7E39028B">
            <w:pPr>
              <w:spacing w:line="460" w:lineRule="exact"/>
              <w:ind w:firstLine="480" w:firstLineChars="200"/>
            </w:pPr>
            <w:r>
              <w:rPr>
                <w:rFonts w:hint="eastAsia"/>
              </w:rPr>
              <w:t>根据计算，除尘器收集粉尘共</w:t>
            </w:r>
            <w:r>
              <w:t>333.293 t/a</w:t>
            </w:r>
            <w:r>
              <w:rPr>
                <w:rFonts w:hint="eastAsia"/>
              </w:rPr>
              <w:t>。</w:t>
            </w:r>
          </w:p>
          <w:p w14:paraId="6C237F7C">
            <w:pPr>
              <w:spacing w:line="460" w:lineRule="exact"/>
              <w:ind w:firstLine="480" w:firstLineChars="200"/>
            </w:pPr>
            <w:r>
              <w:t>3</w:t>
            </w:r>
            <w:r>
              <w:rPr>
                <w:rFonts w:hint="eastAsia"/>
              </w:rPr>
              <w:t>）</w:t>
            </w:r>
            <w:r>
              <w:t>滴漏沥青及拌合残渣</w:t>
            </w:r>
          </w:p>
          <w:p w14:paraId="28DEB4F4">
            <w:pPr>
              <w:spacing w:line="460" w:lineRule="exact"/>
              <w:ind w:firstLine="480" w:firstLineChars="200"/>
            </w:pPr>
            <w:r>
              <w:rPr>
                <w:rFonts w:hint="eastAsia"/>
              </w:rPr>
              <w:t>本项目沥青输送时由于接口的密闭性问题，可能会导致少量沥青滴漏，同时搅拌缸卸料时也可能滴漏少量的沥青混凝土，</w:t>
            </w:r>
            <w:r>
              <w:t>滴漏沥青及拌合残渣年产生量约为0.1t/a，</w:t>
            </w:r>
            <w:r>
              <w:rPr>
                <w:rFonts w:hint="eastAsia"/>
              </w:rPr>
              <w:t>根据《固体废物分类与代码目录》，废物种类为SW</w:t>
            </w:r>
            <w:r>
              <w:t>17</w:t>
            </w:r>
            <w:r>
              <w:rPr>
                <w:rFonts w:hint="eastAsia"/>
              </w:rPr>
              <w:t>，废物代码为900-099-S17，定期清理作为原料回用于生产。</w:t>
            </w:r>
          </w:p>
          <w:p w14:paraId="02D0C6B1">
            <w:pPr>
              <w:spacing w:line="460" w:lineRule="exact"/>
              <w:ind w:firstLine="480" w:firstLineChars="200"/>
            </w:pPr>
            <w:r>
              <w:rPr>
                <w:rFonts w:hint="eastAsia"/>
              </w:rPr>
              <w:t>4）废钢筋</w:t>
            </w:r>
          </w:p>
          <w:p w14:paraId="1E6323CF">
            <w:pPr>
              <w:spacing w:line="460" w:lineRule="exact"/>
              <w:ind w:firstLine="480" w:firstLineChars="200"/>
            </w:pPr>
            <w:r>
              <w:t>钢筋加工过程中产生废钢筋，产生量约0.1%，产生量为5.03t/a，</w:t>
            </w:r>
            <w:r>
              <w:rPr>
                <w:rFonts w:hint="eastAsia"/>
              </w:rPr>
              <w:t>根据《固体废物分类与代码目录》，废物种类为SW</w:t>
            </w:r>
            <w:r>
              <w:t>17</w:t>
            </w:r>
            <w:r>
              <w:rPr>
                <w:rFonts w:hint="eastAsia"/>
              </w:rPr>
              <w:t>，废物代码为900-099-S17，</w:t>
            </w:r>
            <w:r>
              <w:t>收集后外售物资回收单位。</w:t>
            </w:r>
          </w:p>
          <w:p w14:paraId="5C6175D2">
            <w:pPr>
              <w:spacing w:line="460" w:lineRule="exact"/>
              <w:ind w:firstLine="480" w:firstLineChars="200"/>
            </w:pPr>
            <w:r>
              <w:t>（2）危险废物</w:t>
            </w:r>
          </w:p>
          <w:p w14:paraId="21F1DDEB">
            <w:pPr>
              <w:spacing w:line="460" w:lineRule="exact"/>
              <w:ind w:firstLine="480" w:firstLineChars="200"/>
            </w:pPr>
            <w:r>
              <w:t>1）废活性炭：本项目年产生废活性炭量约为0.5t，根据</w:t>
            </w:r>
            <w:r>
              <w:rPr>
                <w:rFonts w:hint="eastAsia"/>
              </w:rPr>
              <w:t>《国家危险废物名录（2025年版）》</w:t>
            </w:r>
            <w:r>
              <w:t>，本项目产生废活性炭属于危险废物，废活性炭危险废物类别为HW49其他废物，危险废物代码为900-039-49，采用密封的包装袋进行包装，确保不产生有机废气的二次污染，储存于危废暂存间，定期交由有危废处置资质单位处理。</w:t>
            </w:r>
          </w:p>
          <w:p w14:paraId="56DB5809">
            <w:pPr>
              <w:spacing w:line="460" w:lineRule="exact"/>
              <w:ind w:firstLine="480" w:firstLineChars="200"/>
            </w:pPr>
            <w:r>
              <w:t>2）废导热油：项目工期为21个月，整体式导热油加热炉导热油在项目结束后</w:t>
            </w:r>
            <w:r>
              <w:rPr>
                <w:rFonts w:hint="eastAsia"/>
              </w:rPr>
              <w:t>更</w:t>
            </w:r>
            <w:r>
              <w:t>换，产生废导热油共4t</w:t>
            </w:r>
            <w:r>
              <w:rPr>
                <w:rFonts w:hint="eastAsia"/>
              </w:rPr>
              <w:t>。根据《国家危险废物名录（2025年版）》</w:t>
            </w:r>
            <w:r>
              <w:t>废导热油属于危险废物，</w:t>
            </w:r>
            <w:r>
              <w:rPr>
                <w:rFonts w:hint="eastAsia"/>
              </w:rPr>
              <w:t>危险</w:t>
            </w:r>
            <w:r>
              <w:t>废物类别</w:t>
            </w:r>
            <w:r>
              <w:rPr>
                <w:rFonts w:hint="eastAsia"/>
              </w:rPr>
              <w:t>为</w:t>
            </w:r>
            <w:r>
              <w:t>HW08</w:t>
            </w:r>
            <w:r>
              <w:rPr>
                <w:rFonts w:hint="eastAsia"/>
              </w:rPr>
              <w:t>废矿物油与含矿物油废物，危险废物代码为</w:t>
            </w:r>
            <w:r>
              <w:t>900-249-08</w:t>
            </w:r>
            <w:r>
              <w:rPr>
                <w:rFonts w:hint="eastAsia"/>
              </w:rPr>
              <w:t>，储存于危废暂存间，定期交由有危废处置资质单位处理</w:t>
            </w:r>
            <w:r>
              <w:t>。</w:t>
            </w:r>
          </w:p>
          <w:p w14:paraId="37CD3F0A">
            <w:pPr>
              <w:spacing w:line="460" w:lineRule="exact"/>
              <w:ind w:firstLine="480" w:firstLineChars="200"/>
            </w:pPr>
            <w:r>
              <w:t>3）废机油</w:t>
            </w:r>
          </w:p>
          <w:p w14:paraId="57F84071">
            <w:pPr>
              <w:spacing w:line="460" w:lineRule="exact"/>
              <w:ind w:firstLine="480" w:firstLineChars="200"/>
            </w:pPr>
            <w:r>
              <w:t>机械设备定期更换机油，年产废机油约0.62t/a，</w:t>
            </w:r>
            <w:r>
              <w:rPr>
                <w:rFonts w:hint="eastAsia"/>
              </w:rPr>
              <w:t>根据《国家危险废物名录（2025年版）》废机油属于危险废物</w:t>
            </w:r>
            <w:r>
              <w:t>，废物类别</w:t>
            </w:r>
            <w:r>
              <w:rPr>
                <w:rFonts w:hint="eastAsia"/>
              </w:rPr>
              <w:t>为</w:t>
            </w:r>
            <w:r>
              <w:t>HW08</w:t>
            </w:r>
            <w:r>
              <w:rPr>
                <w:rFonts w:hint="eastAsia"/>
              </w:rPr>
              <w:t>废矿物油与含矿物油废物，废物代码为</w:t>
            </w:r>
            <w:r>
              <w:t>900-217-08</w:t>
            </w:r>
            <w:r>
              <w:rPr>
                <w:rFonts w:hint="eastAsia"/>
              </w:rPr>
              <w:t>，储存于危废暂存间，定期交由有危废处置资质单位处理。</w:t>
            </w:r>
          </w:p>
          <w:p w14:paraId="69CD18C6">
            <w:pPr>
              <w:spacing w:line="460" w:lineRule="exact"/>
              <w:ind w:firstLine="480" w:firstLineChars="200"/>
            </w:pPr>
            <w:r>
              <w:t>4</w:t>
            </w:r>
            <w:r>
              <w:rPr>
                <w:rFonts w:hint="eastAsia"/>
              </w:rPr>
              <w:t>）</w:t>
            </w:r>
            <w:r>
              <w:t>废含油手套、抹布</w:t>
            </w:r>
          </w:p>
          <w:p w14:paraId="7C3C4914">
            <w:pPr>
              <w:spacing w:line="460" w:lineRule="exact"/>
              <w:ind w:firstLine="480" w:firstLineChars="200"/>
            </w:pPr>
            <w:r>
              <w:t>废含油手套、抹布年产生量约为0.05t/a，</w:t>
            </w:r>
            <w:r>
              <w:rPr>
                <w:rFonts w:hint="eastAsia"/>
              </w:rPr>
              <w:t>根据《国家危险废物名录（2025年版）》</w:t>
            </w:r>
            <w:r>
              <w:t>属于危险废物</w:t>
            </w:r>
            <w:r>
              <w:rPr>
                <w:rFonts w:hint="eastAsia"/>
              </w:rPr>
              <w:t>，危险</w:t>
            </w:r>
            <w:r>
              <w:t>废物类别</w:t>
            </w:r>
            <w:r>
              <w:rPr>
                <w:rFonts w:hint="eastAsia"/>
              </w:rPr>
              <w:t>为</w:t>
            </w:r>
            <w:r>
              <w:t>HW49</w:t>
            </w:r>
            <w:r>
              <w:rPr>
                <w:rFonts w:hint="eastAsia"/>
              </w:rPr>
              <w:t>其他废物，危险废物代码为</w:t>
            </w:r>
            <w:r>
              <w:t>900-041-49</w:t>
            </w:r>
            <w:r>
              <w:rPr>
                <w:rFonts w:hint="eastAsia"/>
              </w:rPr>
              <w:t>，储存于危废暂存间，定期交由有危废处置资质单位处理</w:t>
            </w:r>
            <w:r>
              <w:t>。</w:t>
            </w:r>
          </w:p>
          <w:p w14:paraId="2FCC8CB6">
            <w:pPr>
              <w:spacing w:line="460" w:lineRule="exact"/>
              <w:ind w:firstLine="480" w:firstLineChars="200"/>
            </w:pPr>
            <w:r>
              <w:rPr>
                <w:rFonts w:hint="eastAsia"/>
              </w:rPr>
              <w:t>5）焦油沉渣</w:t>
            </w:r>
          </w:p>
          <w:p w14:paraId="553EF31D">
            <w:pPr>
              <w:spacing w:line="460" w:lineRule="exact"/>
              <w:ind w:firstLine="480" w:firstLineChars="200"/>
            </w:pPr>
            <w:r>
              <w:rPr>
                <w:rFonts w:hint="eastAsia"/>
              </w:rPr>
              <w:t>本项目喷淋塔废水经沉淀池处理后循环使用，产生的焦油沉渣约为</w:t>
            </w:r>
            <w:r>
              <w:t>0.05t/a</w:t>
            </w:r>
            <w:r>
              <w:rPr>
                <w:rFonts w:hint="eastAsia"/>
              </w:rPr>
              <w:t>。根据《国家危险废物名录（2025年版）》</w:t>
            </w:r>
            <w:r>
              <w:t>属于危险废物</w:t>
            </w:r>
            <w:r>
              <w:rPr>
                <w:rFonts w:hint="eastAsia"/>
              </w:rPr>
              <w:t>，危险</w:t>
            </w:r>
            <w:r>
              <w:t>废物类别</w:t>
            </w:r>
            <w:r>
              <w:rPr>
                <w:rFonts w:hint="eastAsia"/>
              </w:rPr>
              <w:t>为</w:t>
            </w:r>
            <w:r>
              <w:t>HW08</w:t>
            </w:r>
            <w:r>
              <w:rPr>
                <w:rFonts w:hint="eastAsia"/>
              </w:rPr>
              <w:t>废矿物油与含矿物油废物，危险废物代码为</w:t>
            </w:r>
            <w:r>
              <w:t>900-210-08</w:t>
            </w:r>
            <w:r>
              <w:rPr>
                <w:rFonts w:hint="eastAsia"/>
              </w:rPr>
              <w:t>，储存于危废暂存间，定期交由有危废处置资质单位处理。</w:t>
            </w:r>
          </w:p>
          <w:p w14:paraId="6B0186EF">
            <w:pPr>
              <w:spacing w:line="460" w:lineRule="exact"/>
            </w:pPr>
            <w:r>
              <w:t xml:space="preserve">     6</w:t>
            </w:r>
            <w:r>
              <w:rPr>
                <w:rFonts w:hint="eastAsia"/>
              </w:rPr>
              <w:t>）电捕焦油器废油</w:t>
            </w:r>
          </w:p>
          <w:p w14:paraId="34A27224">
            <w:pPr>
              <w:spacing w:line="460" w:lineRule="exact"/>
              <w:ind w:firstLine="480" w:firstLineChars="200"/>
            </w:pPr>
            <w:r>
              <w:rPr>
                <w:rFonts w:hint="eastAsia"/>
              </w:rPr>
              <w:t>根据工程分析，收集的有组织沥青烟为</w:t>
            </w:r>
            <w:r>
              <w:t>0.019t/a</w:t>
            </w:r>
            <w:r>
              <w:rPr>
                <w:rFonts w:hint="eastAsia"/>
              </w:rPr>
              <w:t>，电捕焦油器净化效率为</w:t>
            </w:r>
            <w:r>
              <w:t>60%</w:t>
            </w:r>
            <w:r>
              <w:rPr>
                <w:rFonts w:hint="eastAsia"/>
              </w:rPr>
              <w:t>，则收集的电捕焦油器废油为</w:t>
            </w:r>
            <w:r>
              <w:t>0.0114t/a</w:t>
            </w:r>
            <w:r>
              <w:rPr>
                <w:rFonts w:hint="eastAsia"/>
              </w:rPr>
              <w:t>，根据《国家危险废物名录（2025年版）》属于危险废物，危险废物类别为HW11石墨及其他非金属矿物制品制造，危险废物代码为309-001-11，储存于危废暂存间，定期交由有危废处置资质单位处理。</w:t>
            </w:r>
          </w:p>
          <w:p w14:paraId="57019788">
            <w:pPr>
              <w:spacing w:line="460" w:lineRule="exact"/>
              <w:ind w:firstLine="480" w:firstLineChars="200"/>
            </w:pPr>
            <w:r>
              <w:t>（3）生活垃圾</w:t>
            </w:r>
          </w:p>
          <w:p w14:paraId="731F2F0B">
            <w:pPr>
              <w:spacing w:line="460" w:lineRule="exact"/>
              <w:ind w:firstLine="480" w:firstLineChars="200"/>
            </w:pPr>
            <w:r>
              <w:t>本项目定员26人，人均生活垃圾产生量按0.5kg/d计，则生活垃圾产生量3.51t/a，</w:t>
            </w:r>
            <w:r>
              <w:rPr>
                <w:rFonts w:hint="eastAsia"/>
              </w:rPr>
              <w:t>根据《固体废物分类与代码目录》，废物种类为</w:t>
            </w:r>
            <w:r>
              <w:t>SW61</w:t>
            </w:r>
            <w:r>
              <w:rPr>
                <w:rFonts w:hint="eastAsia"/>
              </w:rPr>
              <w:t>厨余垃圾及S</w:t>
            </w:r>
            <w:r>
              <w:t>W62</w:t>
            </w:r>
            <w:r>
              <w:rPr>
                <w:rFonts w:hint="eastAsia"/>
              </w:rPr>
              <w:t>可回收物，废物代码为</w:t>
            </w:r>
            <w:r>
              <w:t>900-001-S61</w:t>
            </w:r>
            <w:r>
              <w:rPr>
                <w:rFonts w:hint="eastAsia"/>
              </w:rPr>
              <w:t>、</w:t>
            </w:r>
            <w:r>
              <w:t>900-002-S61</w:t>
            </w:r>
            <w:r>
              <w:rPr>
                <w:rFonts w:hint="eastAsia"/>
              </w:rPr>
              <w:t>、</w:t>
            </w:r>
            <w:r>
              <w:t>900-002-S62</w:t>
            </w:r>
            <w:r>
              <w:rPr>
                <w:rFonts w:hint="eastAsia"/>
              </w:rPr>
              <w:t>，</w:t>
            </w:r>
            <w:r>
              <w:t>交由环卫部门统一清运。</w:t>
            </w:r>
          </w:p>
          <w:p w14:paraId="0E5CB5C1">
            <w:pPr>
              <w:spacing w:line="460" w:lineRule="exact"/>
              <w:ind w:firstLine="480" w:firstLineChars="200"/>
            </w:pPr>
            <w:r>
              <w:t>项目固废统计具体见下表</w:t>
            </w:r>
            <w:r>
              <w:rPr>
                <w:rFonts w:hint="eastAsia"/>
              </w:rPr>
              <w:t>4</w:t>
            </w:r>
            <w:r>
              <w:t>-17</w:t>
            </w:r>
            <w:r>
              <w:rPr>
                <w:rFonts w:hint="eastAsia"/>
              </w:rPr>
              <w:t>。</w:t>
            </w:r>
          </w:p>
          <w:p w14:paraId="15B5713A">
            <w:pPr>
              <w:pStyle w:val="76"/>
              <w:ind w:firstLine="420"/>
              <w:rPr>
                <w:color w:val="auto"/>
              </w:rPr>
            </w:pPr>
            <w:r>
              <w:rPr>
                <w:color w:val="auto"/>
              </w:rPr>
              <w:t>表4-17           本项目固体废物产排情况一览表</w:t>
            </w:r>
          </w:p>
          <w:tbl>
            <w:tblPr>
              <w:tblStyle w:val="2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72"/>
              <w:gridCol w:w="1124"/>
              <w:gridCol w:w="915"/>
              <w:gridCol w:w="1036"/>
              <w:gridCol w:w="1523"/>
              <w:gridCol w:w="1004"/>
              <w:gridCol w:w="888"/>
              <w:gridCol w:w="1455"/>
            </w:tblGrid>
            <w:tr w14:paraId="005FA9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6CC575D1">
                  <w:pPr>
                    <w:widowControl/>
                    <w:jc w:val="center"/>
                    <w:textAlignment w:val="center"/>
                    <w:rPr>
                      <w:sz w:val="21"/>
                      <w:szCs w:val="21"/>
                    </w:rPr>
                  </w:pPr>
                  <w:r>
                    <w:rPr>
                      <w:kern w:val="0"/>
                      <w:sz w:val="21"/>
                      <w:szCs w:val="21"/>
                      <w:lang w:bidi="ar"/>
                    </w:rPr>
                    <w:t>序号</w:t>
                  </w:r>
                </w:p>
              </w:tc>
              <w:tc>
                <w:tcPr>
                  <w:tcW w:w="677" w:type="pct"/>
                  <w:vAlign w:val="center"/>
                </w:tcPr>
                <w:p w14:paraId="6E45B228">
                  <w:pPr>
                    <w:widowControl/>
                    <w:jc w:val="center"/>
                    <w:textAlignment w:val="center"/>
                    <w:rPr>
                      <w:sz w:val="21"/>
                      <w:szCs w:val="21"/>
                    </w:rPr>
                  </w:pPr>
                  <w:r>
                    <w:rPr>
                      <w:kern w:val="0"/>
                      <w:sz w:val="21"/>
                      <w:szCs w:val="21"/>
                      <w:lang w:bidi="ar"/>
                    </w:rPr>
                    <w:t>名称</w:t>
                  </w:r>
                </w:p>
              </w:tc>
              <w:tc>
                <w:tcPr>
                  <w:tcW w:w="553" w:type="pct"/>
                  <w:vAlign w:val="center"/>
                </w:tcPr>
                <w:p w14:paraId="02D0A3A4">
                  <w:pPr>
                    <w:widowControl/>
                    <w:jc w:val="center"/>
                    <w:textAlignment w:val="center"/>
                    <w:rPr>
                      <w:sz w:val="21"/>
                      <w:szCs w:val="21"/>
                    </w:rPr>
                  </w:pPr>
                  <w:r>
                    <w:rPr>
                      <w:kern w:val="0"/>
                      <w:sz w:val="21"/>
                      <w:szCs w:val="21"/>
                      <w:lang w:bidi="ar"/>
                    </w:rPr>
                    <w:t>来源</w:t>
                  </w:r>
                </w:p>
              </w:tc>
              <w:tc>
                <w:tcPr>
                  <w:tcW w:w="625" w:type="pct"/>
                  <w:vAlign w:val="center"/>
                </w:tcPr>
                <w:p w14:paraId="19228ED7">
                  <w:pPr>
                    <w:widowControl/>
                    <w:jc w:val="center"/>
                    <w:textAlignment w:val="center"/>
                    <w:rPr>
                      <w:sz w:val="21"/>
                      <w:szCs w:val="21"/>
                    </w:rPr>
                  </w:pPr>
                  <w:r>
                    <w:rPr>
                      <w:kern w:val="0"/>
                      <w:sz w:val="21"/>
                      <w:szCs w:val="21"/>
                      <w:lang w:bidi="ar"/>
                    </w:rPr>
                    <w:t>废物类别</w:t>
                  </w:r>
                </w:p>
              </w:tc>
              <w:tc>
                <w:tcPr>
                  <w:tcW w:w="866" w:type="pct"/>
                  <w:vAlign w:val="center"/>
                </w:tcPr>
                <w:p w14:paraId="5DCE93CA">
                  <w:pPr>
                    <w:widowControl/>
                    <w:jc w:val="center"/>
                    <w:textAlignment w:val="center"/>
                    <w:rPr>
                      <w:sz w:val="21"/>
                      <w:szCs w:val="21"/>
                    </w:rPr>
                  </w:pPr>
                  <w:r>
                    <w:rPr>
                      <w:kern w:val="0"/>
                      <w:sz w:val="21"/>
                      <w:szCs w:val="21"/>
                      <w:lang w:bidi="ar"/>
                    </w:rPr>
                    <w:t>废物代码</w:t>
                  </w:r>
                </w:p>
              </w:tc>
              <w:tc>
                <w:tcPr>
                  <w:tcW w:w="578" w:type="pct"/>
                  <w:vAlign w:val="center"/>
                </w:tcPr>
                <w:p w14:paraId="59089A60">
                  <w:pPr>
                    <w:widowControl/>
                    <w:jc w:val="center"/>
                    <w:textAlignment w:val="center"/>
                    <w:rPr>
                      <w:sz w:val="21"/>
                      <w:szCs w:val="21"/>
                    </w:rPr>
                  </w:pPr>
                  <w:r>
                    <w:rPr>
                      <w:kern w:val="0"/>
                      <w:sz w:val="21"/>
                      <w:szCs w:val="21"/>
                      <w:lang w:bidi="ar"/>
                    </w:rPr>
                    <w:t>产生量(t/a)</w:t>
                  </w:r>
                </w:p>
              </w:tc>
              <w:tc>
                <w:tcPr>
                  <w:tcW w:w="537" w:type="pct"/>
                  <w:vAlign w:val="center"/>
                </w:tcPr>
                <w:p w14:paraId="3A174797">
                  <w:pPr>
                    <w:widowControl/>
                    <w:jc w:val="center"/>
                    <w:textAlignment w:val="center"/>
                    <w:rPr>
                      <w:sz w:val="21"/>
                      <w:szCs w:val="21"/>
                    </w:rPr>
                  </w:pPr>
                  <w:r>
                    <w:rPr>
                      <w:kern w:val="0"/>
                      <w:sz w:val="21"/>
                      <w:szCs w:val="21"/>
                      <w:lang w:bidi="ar"/>
                    </w:rPr>
                    <w:t>危险特性</w:t>
                  </w:r>
                </w:p>
              </w:tc>
              <w:tc>
                <w:tcPr>
                  <w:tcW w:w="873" w:type="pct"/>
                  <w:vAlign w:val="center"/>
                </w:tcPr>
                <w:p w14:paraId="2A224938">
                  <w:pPr>
                    <w:widowControl/>
                    <w:jc w:val="center"/>
                    <w:textAlignment w:val="center"/>
                    <w:rPr>
                      <w:kern w:val="0"/>
                      <w:sz w:val="21"/>
                      <w:szCs w:val="21"/>
                      <w:lang w:bidi="ar"/>
                    </w:rPr>
                  </w:pPr>
                  <w:r>
                    <w:rPr>
                      <w:kern w:val="0"/>
                      <w:sz w:val="21"/>
                      <w:szCs w:val="21"/>
                      <w:lang w:bidi="ar"/>
                    </w:rPr>
                    <w:t>治理措施</w:t>
                  </w:r>
                </w:p>
              </w:tc>
            </w:tr>
            <w:tr w14:paraId="499C22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70ED207D">
                  <w:pPr>
                    <w:jc w:val="center"/>
                    <w:rPr>
                      <w:sz w:val="21"/>
                      <w:szCs w:val="21"/>
                    </w:rPr>
                  </w:pPr>
                  <w:r>
                    <w:rPr>
                      <w:sz w:val="21"/>
                      <w:szCs w:val="21"/>
                    </w:rPr>
                    <w:t>1</w:t>
                  </w:r>
                </w:p>
              </w:tc>
              <w:tc>
                <w:tcPr>
                  <w:tcW w:w="677" w:type="pct"/>
                  <w:vAlign w:val="center"/>
                </w:tcPr>
                <w:p w14:paraId="5404619B">
                  <w:pPr>
                    <w:jc w:val="center"/>
                    <w:rPr>
                      <w:sz w:val="21"/>
                      <w:szCs w:val="21"/>
                    </w:rPr>
                  </w:pPr>
                  <w:r>
                    <w:rPr>
                      <w:sz w:val="21"/>
                      <w:szCs w:val="21"/>
                    </w:rPr>
                    <w:t>不合格骨料</w:t>
                  </w:r>
                </w:p>
              </w:tc>
              <w:tc>
                <w:tcPr>
                  <w:tcW w:w="553" w:type="pct"/>
                  <w:vAlign w:val="center"/>
                </w:tcPr>
                <w:p w14:paraId="47216BD2">
                  <w:pPr>
                    <w:jc w:val="center"/>
                    <w:rPr>
                      <w:sz w:val="21"/>
                      <w:szCs w:val="21"/>
                    </w:rPr>
                  </w:pPr>
                  <w:r>
                    <w:rPr>
                      <w:sz w:val="21"/>
                      <w:szCs w:val="21"/>
                    </w:rPr>
                    <w:t>骨料筛选</w:t>
                  </w:r>
                </w:p>
              </w:tc>
              <w:tc>
                <w:tcPr>
                  <w:tcW w:w="625" w:type="pct"/>
                  <w:vAlign w:val="center"/>
                </w:tcPr>
                <w:p w14:paraId="6832426F">
                  <w:pPr>
                    <w:widowControl/>
                    <w:jc w:val="center"/>
                    <w:textAlignment w:val="center"/>
                    <w:rPr>
                      <w:kern w:val="0"/>
                      <w:sz w:val="21"/>
                      <w:szCs w:val="21"/>
                      <w:lang w:bidi="ar"/>
                    </w:rPr>
                  </w:pPr>
                  <w:r>
                    <w:rPr>
                      <w:kern w:val="0"/>
                      <w:sz w:val="21"/>
                      <w:szCs w:val="21"/>
                      <w:lang w:bidi="ar"/>
                    </w:rPr>
                    <w:t>一般固废</w:t>
                  </w:r>
                </w:p>
              </w:tc>
              <w:tc>
                <w:tcPr>
                  <w:tcW w:w="866" w:type="pct"/>
                  <w:vAlign w:val="center"/>
                </w:tcPr>
                <w:p w14:paraId="6B2B92C9">
                  <w:pPr>
                    <w:jc w:val="center"/>
                    <w:rPr>
                      <w:sz w:val="21"/>
                      <w:szCs w:val="21"/>
                    </w:rPr>
                  </w:pPr>
                  <w:r>
                    <w:rPr>
                      <w:rFonts w:hint="eastAsia"/>
                      <w:sz w:val="21"/>
                      <w:szCs w:val="21"/>
                    </w:rPr>
                    <w:t>900-099-S17</w:t>
                  </w:r>
                </w:p>
              </w:tc>
              <w:tc>
                <w:tcPr>
                  <w:tcW w:w="578" w:type="pct"/>
                  <w:vAlign w:val="center"/>
                </w:tcPr>
                <w:p w14:paraId="01AB0988">
                  <w:pPr>
                    <w:jc w:val="center"/>
                    <w:rPr>
                      <w:sz w:val="21"/>
                      <w:szCs w:val="21"/>
                    </w:rPr>
                  </w:pPr>
                  <w:r>
                    <w:rPr>
                      <w:sz w:val="21"/>
                      <w:szCs w:val="21"/>
                    </w:rPr>
                    <w:t xml:space="preserve">1557.092 </w:t>
                  </w:r>
                </w:p>
              </w:tc>
              <w:tc>
                <w:tcPr>
                  <w:tcW w:w="537" w:type="pct"/>
                  <w:vAlign w:val="center"/>
                </w:tcPr>
                <w:p w14:paraId="19995816">
                  <w:pPr>
                    <w:widowControl/>
                    <w:jc w:val="center"/>
                    <w:textAlignment w:val="center"/>
                    <w:rPr>
                      <w:kern w:val="0"/>
                      <w:sz w:val="21"/>
                      <w:szCs w:val="21"/>
                      <w:lang w:bidi="ar"/>
                    </w:rPr>
                  </w:pPr>
                  <w:r>
                    <w:rPr>
                      <w:kern w:val="0"/>
                      <w:sz w:val="21"/>
                      <w:szCs w:val="21"/>
                      <w:lang w:bidi="ar"/>
                    </w:rPr>
                    <w:t>/</w:t>
                  </w:r>
                </w:p>
              </w:tc>
              <w:tc>
                <w:tcPr>
                  <w:tcW w:w="873" w:type="pct"/>
                  <w:vAlign w:val="center"/>
                </w:tcPr>
                <w:p w14:paraId="2AD507E2">
                  <w:pPr>
                    <w:widowControl/>
                    <w:jc w:val="center"/>
                    <w:textAlignment w:val="center"/>
                    <w:rPr>
                      <w:kern w:val="0"/>
                      <w:sz w:val="21"/>
                      <w:szCs w:val="21"/>
                      <w:lang w:bidi="ar"/>
                    </w:rPr>
                  </w:pPr>
                  <w:r>
                    <w:rPr>
                      <w:kern w:val="0"/>
                      <w:sz w:val="21"/>
                      <w:szCs w:val="21"/>
                      <w:lang w:bidi="ar"/>
                    </w:rPr>
                    <w:t>供应商拉走</w:t>
                  </w:r>
                </w:p>
              </w:tc>
            </w:tr>
            <w:tr w14:paraId="58F35D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05F58073">
                  <w:pPr>
                    <w:jc w:val="center"/>
                    <w:rPr>
                      <w:sz w:val="21"/>
                      <w:szCs w:val="21"/>
                    </w:rPr>
                  </w:pPr>
                  <w:r>
                    <w:rPr>
                      <w:sz w:val="21"/>
                      <w:szCs w:val="21"/>
                    </w:rPr>
                    <w:t>2</w:t>
                  </w:r>
                </w:p>
              </w:tc>
              <w:tc>
                <w:tcPr>
                  <w:tcW w:w="677" w:type="pct"/>
                  <w:vAlign w:val="center"/>
                </w:tcPr>
                <w:p w14:paraId="364D69C9">
                  <w:pPr>
                    <w:jc w:val="center"/>
                    <w:rPr>
                      <w:sz w:val="21"/>
                      <w:szCs w:val="21"/>
                    </w:rPr>
                  </w:pPr>
                  <w:r>
                    <w:rPr>
                      <w:sz w:val="21"/>
                      <w:szCs w:val="21"/>
                    </w:rPr>
                    <w:t>除尘器粉尘</w:t>
                  </w:r>
                </w:p>
              </w:tc>
              <w:tc>
                <w:tcPr>
                  <w:tcW w:w="553" w:type="pct"/>
                  <w:vAlign w:val="center"/>
                </w:tcPr>
                <w:p w14:paraId="52E00BBA">
                  <w:pPr>
                    <w:jc w:val="center"/>
                    <w:rPr>
                      <w:sz w:val="21"/>
                      <w:szCs w:val="21"/>
                    </w:rPr>
                  </w:pPr>
                  <w:r>
                    <w:rPr>
                      <w:sz w:val="21"/>
                      <w:szCs w:val="21"/>
                    </w:rPr>
                    <w:t>袋式除尘器</w:t>
                  </w:r>
                </w:p>
              </w:tc>
              <w:tc>
                <w:tcPr>
                  <w:tcW w:w="625" w:type="pct"/>
                  <w:vAlign w:val="center"/>
                </w:tcPr>
                <w:p w14:paraId="782EB1E3">
                  <w:pPr>
                    <w:widowControl/>
                    <w:jc w:val="center"/>
                    <w:textAlignment w:val="center"/>
                    <w:rPr>
                      <w:kern w:val="0"/>
                      <w:sz w:val="21"/>
                      <w:szCs w:val="21"/>
                      <w:lang w:bidi="ar"/>
                    </w:rPr>
                  </w:pPr>
                  <w:r>
                    <w:rPr>
                      <w:kern w:val="0"/>
                      <w:sz w:val="21"/>
                      <w:szCs w:val="21"/>
                      <w:lang w:bidi="ar"/>
                    </w:rPr>
                    <w:t>一般固废</w:t>
                  </w:r>
                </w:p>
              </w:tc>
              <w:tc>
                <w:tcPr>
                  <w:tcW w:w="866" w:type="pct"/>
                  <w:vAlign w:val="center"/>
                </w:tcPr>
                <w:p w14:paraId="326B5112">
                  <w:pPr>
                    <w:jc w:val="center"/>
                    <w:rPr>
                      <w:sz w:val="21"/>
                      <w:szCs w:val="21"/>
                    </w:rPr>
                  </w:pPr>
                  <w:r>
                    <w:rPr>
                      <w:sz w:val="21"/>
                      <w:szCs w:val="21"/>
                    </w:rPr>
                    <w:t>900-099-S17</w:t>
                  </w:r>
                </w:p>
              </w:tc>
              <w:tc>
                <w:tcPr>
                  <w:tcW w:w="578" w:type="pct"/>
                  <w:vAlign w:val="center"/>
                </w:tcPr>
                <w:p w14:paraId="5A11DFE7">
                  <w:pPr>
                    <w:jc w:val="center"/>
                    <w:rPr>
                      <w:sz w:val="21"/>
                      <w:szCs w:val="21"/>
                    </w:rPr>
                  </w:pPr>
                  <w:r>
                    <w:rPr>
                      <w:sz w:val="21"/>
                      <w:szCs w:val="21"/>
                    </w:rPr>
                    <w:t>333.293</w:t>
                  </w:r>
                </w:p>
              </w:tc>
              <w:tc>
                <w:tcPr>
                  <w:tcW w:w="537" w:type="pct"/>
                  <w:vAlign w:val="center"/>
                </w:tcPr>
                <w:p w14:paraId="7AC77BE1">
                  <w:pPr>
                    <w:widowControl/>
                    <w:jc w:val="center"/>
                    <w:textAlignment w:val="center"/>
                    <w:rPr>
                      <w:kern w:val="0"/>
                      <w:sz w:val="21"/>
                      <w:szCs w:val="21"/>
                      <w:lang w:bidi="ar"/>
                    </w:rPr>
                  </w:pPr>
                  <w:r>
                    <w:rPr>
                      <w:rFonts w:hint="eastAsia"/>
                      <w:kern w:val="0"/>
                      <w:sz w:val="21"/>
                      <w:szCs w:val="21"/>
                      <w:lang w:bidi="ar"/>
                    </w:rPr>
                    <w:t>/</w:t>
                  </w:r>
                </w:p>
              </w:tc>
              <w:tc>
                <w:tcPr>
                  <w:tcW w:w="873" w:type="pct"/>
                  <w:vAlign w:val="center"/>
                </w:tcPr>
                <w:p w14:paraId="51E85435">
                  <w:pPr>
                    <w:widowControl/>
                    <w:jc w:val="center"/>
                    <w:textAlignment w:val="center"/>
                    <w:rPr>
                      <w:kern w:val="0"/>
                      <w:sz w:val="21"/>
                      <w:szCs w:val="21"/>
                      <w:lang w:bidi="ar"/>
                    </w:rPr>
                  </w:pPr>
                  <w:r>
                    <w:rPr>
                      <w:kern w:val="0"/>
                      <w:sz w:val="21"/>
                      <w:szCs w:val="21"/>
                      <w:lang w:bidi="ar"/>
                    </w:rPr>
                    <w:t>回用于生产</w:t>
                  </w:r>
                </w:p>
              </w:tc>
            </w:tr>
            <w:tr w14:paraId="571BFF2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0B5BC44E">
                  <w:pPr>
                    <w:jc w:val="center"/>
                    <w:rPr>
                      <w:sz w:val="21"/>
                      <w:szCs w:val="21"/>
                    </w:rPr>
                  </w:pPr>
                  <w:r>
                    <w:rPr>
                      <w:rFonts w:hint="eastAsia"/>
                      <w:sz w:val="21"/>
                      <w:szCs w:val="21"/>
                    </w:rPr>
                    <w:t>3</w:t>
                  </w:r>
                </w:p>
              </w:tc>
              <w:tc>
                <w:tcPr>
                  <w:tcW w:w="677" w:type="pct"/>
                  <w:vAlign w:val="center"/>
                </w:tcPr>
                <w:p w14:paraId="5A869D81">
                  <w:pPr>
                    <w:jc w:val="center"/>
                    <w:rPr>
                      <w:sz w:val="21"/>
                      <w:szCs w:val="21"/>
                    </w:rPr>
                  </w:pPr>
                  <w:r>
                    <w:rPr>
                      <w:sz w:val="21"/>
                      <w:szCs w:val="21"/>
                    </w:rPr>
                    <w:t>滴漏沥青及拌合残渣</w:t>
                  </w:r>
                </w:p>
              </w:tc>
              <w:tc>
                <w:tcPr>
                  <w:tcW w:w="553" w:type="pct"/>
                  <w:vAlign w:val="center"/>
                </w:tcPr>
                <w:p w14:paraId="79554E67">
                  <w:pPr>
                    <w:jc w:val="center"/>
                    <w:rPr>
                      <w:sz w:val="21"/>
                      <w:szCs w:val="21"/>
                    </w:rPr>
                  </w:pPr>
                  <w:r>
                    <w:rPr>
                      <w:sz w:val="21"/>
                      <w:szCs w:val="21"/>
                    </w:rPr>
                    <w:t>滴漏洒落</w:t>
                  </w:r>
                </w:p>
              </w:tc>
              <w:tc>
                <w:tcPr>
                  <w:tcW w:w="625" w:type="pct"/>
                  <w:vAlign w:val="center"/>
                </w:tcPr>
                <w:p w14:paraId="58ADBEE0">
                  <w:pPr>
                    <w:jc w:val="center"/>
                    <w:rPr>
                      <w:sz w:val="21"/>
                      <w:szCs w:val="21"/>
                    </w:rPr>
                  </w:pPr>
                  <w:r>
                    <w:rPr>
                      <w:rFonts w:hint="eastAsia"/>
                      <w:bCs/>
                      <w:sz w:val="21"/>
                      <w:szCs w:val="21"/>
                    </w:rPr>
                    <w:t>一般固废</w:t>
                  </w:r>
                </w:p>
              </w:tc>
              <w:tc>
                <w:tcPr>
                  <w:tcW w:w="866" w:type="pct"/>
                  <w:vAlign w:val="center"/>
                </w:tcPr>
                <w:p w14:paraId="1C808226">
                  <w:pPr>
                    <w:jc w:val="center"/>
                    <w:rPr>
                      <w:sz w:val="21"/>
                      <w:szCs w:val="21"/>
                    </w:rPr>
                  </w:pPr>
                  <w:r>
                    <w:rPr>
                      <w:rFonts w:hint="eastAsia"/>
                      <w:sz w:val="21"/>
                      <w:szCs w:val="21"/>
                    </w:rPr>
                    <w:t>900-099-S17</w:t>
                  </w:r>
                </w:p>
              </w:tc>
              <w:tc>
                <w:tcPr>
                  <w:tcW w:w="578" w:type="pct"/>
                  <w:vAlign w:val="center"/>
                </w:tcPr>
                <w:p w14:paraId="090DBF6E">
                  <w:pPr>
                    <w:jc w:val="center"/>
                    <w:rPr>
                      <w:sz w:val="21"/>
                      <w:szCs w:val="21"/>
                    </w:rPr>
                  </w:pPr>
                  <w:r>
                    <w:rPr>
                      <w:sz w:val="21"/>
                      <w:szCs w:val="21"/>
                    </w:rPr>
                    <w:t>0.1</w:t>
                  </w:r>
                </w:p>
              </w:tc>
              <w:tc>
                <w:tcPr>
                  <w:tcW w:w="537" w:type="pct"/>
                  <w:vAlign w:val="center"/>
                </w:tcPr>
                <w:p w14:paraId="6F758758">
                  <w:pPr>
                    <w:widowControl/>
                    <w:jc w:val="center"/>
                    <w:textAlignment w:val="center"/>
                    <w:rPr>
                      <w:kern w:val="0"/>
                      <w:sz w:val="21"/>
                      <w:szCs w:val="21"/>
                      <w:lang w:bidi="ar"/>
                    </w:rPr>
                  </w:pPr>
                  <w:r>
                    <w:rPr>
                      <w:rFonts w:hint="eastAsia"/>
                      <w:kern w:val="0"/>
                      <w:sz w:val="21"/>
                      <w:szCs w:val="21"/>
                      <w:lang w:bidi="ar"/>
                    </w:rPr>
                    <w:t>/</w:t>
                  </w:r>
                </w:p>
              </w:tc>
              <w:tc>
                <w:tcPr>
                  <w:tcW w:w="873" w:type="pct"/>
                  <w:vAlign w:val="center"/>
                </w:tcPr>
                <w:p w14:paraId="0AD63781">
                  <w:pPr>
                    <w:widowControl/>
                    <w:jc w:val="center"/>
                    <w:textAlignment w:val="center"/>
                    <w:rPr>
                      <w:kern w:val="0"/>
                      <w:sz w:val="21"/>
                      <w:szCs w:val="21"/>
                      <w:lang w:bidi="ar"/>
                    </w:rPr>
                  </w:pPr>
                  <w:r>
                    <w:rPr>
                      <w:kern w:val="0"/>
                      <w:sz w:val="21"/>
                      <w:szCs w:val="21"/>
                      <w:lang w:bidi="ar"/>
                    </w:rPr>
                    <w:t>回用于生产</w:t>
                  </w:r>
                </w:p>
              </w:tc>
            </w:tr>
            <w:tr w14:paraId="05AFE3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6817F984">
                  <w:pPr>
                    <w:jc w:val="center"/>
                    <w:rPr>
                      <w:sz w:val="21"/>
                      <w:szCs w:val="21"/>
                    </w:rPr>
                  </w:pPr>
                  <w:r>
                    <w:rPr>
                      <w:sz w:val="21"/>
                      <w:szCs w:val="21"/>
                    </w:rPr>
                    <w:t>4</w:t>
                  </w:r>
                </w:p>
              </w:tc>
              <w:tc>
                <w:tcPr>
                  <w:tcW w:w="677" w:type="pct"/>
                  <w:vAlign w:val="center"/>
                </w:tcPr>
                <w:p w14:paraId="7ACC3D4D">
                  <w:pPr>
                    <w:jc w:val="center"/>
                    <w:rPr>
                      <w:sz w:val="21"/>
                      <w:szCs w:val="21"/>
                    </w:rPr>
                  </w:pPr>
                  <w:r>
                    <w:rPr>
                      <w:rFonts w:hint="eastAsia"/>
                      <w:sz w:val="21"/>
                      <w:szCs w:val="21"/>
                    </w:rPr>
                    <w:t>废钢筋</w:t>
                  </w:r>
                </w:p>
              </w:tc>
              <w:tc>
                <w:tcPr>
                  <w:tcW w:w="553" w:type="pct"/>
                  <w:vAlign w:val="center"/>
                </w:tcPr>
                <w:p w14:paraId="0858B8F3">
                  <w:pPr>
                    <w:jc w:val="center"/>
                    <w:rPr>
                      <w:sz w:val="21"/>
                      <w:szCs w:val="21"/>
                    </w:rPr>
                  </w:pPr>
                  <w:r>
                    <w:rPr>
                      <w:rFonts w:hint="eastAsia"/>
                      <w:sz w:val="21"/>
                      <w:szCs w:val="21"/>
                    </w:rPr>
                    <w:t>钢筋切割</w:t>
                  </w:r>
                </w:p>
              </w:tc>
              <w:tc>
                <w:tcPr>
                  <w:tcW w:w="625" w:type="pct"/>
                  <w:vAlign w:val="center"/>
                </w:tcPr>
                <w:p w14:paraId="4EBBED10">
                  <w:pPr>
                    <w:jc w:val="center"/>
                    <w:rPr>
                      <w:bCs/>
                      <w:sz w:val="21"/>
                      <w:szCs w:val="21"/>
                    </w:rPr>
                  </w:pPr>
                  <w:r>
                    <w:rPr>
                      <w:rFonts w:hint="eastAsia"/>
                      <w:bCs/>
                      <w:sz w:val="21"/>
                      <w:szCs w:val="21"/>
                    </w:rPr>
                    <w:t>一般固废</w:t>
                  </w:r>
                </w:p>
              </w:tc>
              <w:tc>
                <w:tcPr>
                  <w:tcW w:w="866" w:type="pct"/>
                  <w:vAlign w:val="center"/>
                </w:tcPr>
                <w:p w14:paraId="1A824DCA">
                  <w:pPr>
                    <w:jc w:val="center"/>
                    <w:rPr>
                      <w:sz w:val="21"/>
                      <w:szCs w:val="21"/>
                    </w:rPr>
                  </w:pPr>
                  <w:r>
                    <w:rPr>
                      <w:rFonts w:hint="eastAsia"/>
                      <w:sz w:val="21"/>
                      <w:szCs w:val="21"/>
                    </w:rPr>
                    <w:t>900-099-S17</w:t>
                  </w:r>
                </w:p>
              </w:tc>
              <w:tc>
                <w:tcPr>
                  <w:tcW w:w="578" w:type="pct"/>
                  <w:vAlign w:val="center"/>
                </w:tcPr>
                <w:p w14:paraId="13EF0318">
                  <w:pPr>
                    <w:jc w:val="center"/>
                    <w:rPr>
                      <w:sz w:val="21"/>
                      <w:szCs w:val="21"/>
                    </w:rPr>
                  </w:pPr>
                  <w:r>
                    <w:rPr>
                      <w:rFonts w:hint="eastAsia"/>
                      <w:sz w:val="21"/>
                      <w:szCs w:val="21"/>
                    </w:rPr>
                    <w:t>5</w:t>
                  </w:r>
                  <w:r>
                    <w:rPr>
                      <w:sz w:val="21"/>
                      <w:szCs w:val="21"/>
                    </w:rPr>
                    <w:t>.03</w:t>
                  </w:r>
                </w:p>
              </w:tc>
              <w:tc>
                <w:tcPr>
                  <w:tcW w:w="537" w:type="pct"/>
                  <w:vAlign w:val="center"/>
                </w:tcPr>
                <w:p w14:paraId="535678D9">
                  <w:pPr>
                    <w:widowControl/>
                    <w:jc w:val="center"/>
                    <w:textAlignment w:val="center"/>
                    <w:rPr>
                      <w:kern w:val="0"/>
                      <w:sz w:val="21"/>
                      <w:szCs w:val="21"/>
                      <w:lang w:bidi="ar"/>
                    </w:rPr>
                  </w:pPr>
                  <w:r>
                    <w:rPr>
                      <w:rFonts w:hint="eastAsia"/>
                      <w:kern w:val="0"/>
                      <w:sz w:val="21"/>
                      <w:szCs w:val="21"/>
                      <w:lang w:bidi="ar"/>
                    </w:rPr>
                    <w:t>/</w:t>
                  </w:r>
                </w:p>
              </w:tc>
              <w:tc>
                <w:tcPr>
                  <w:tcW w:w="873" w:type="pct"/>
                  <w:vAlign w:val="center"/>
                </w:tcPr>
                <w:p w14:paraId="37670176">
                  <w:pPr>
                    <w:widowControl/>
                    <w:jc w:val="center"/>
                    <w:textAlignment w:val="center"/>
                    <w:rPr>
                      <w:kern w:val="0"/>
                      <w:sz w:val="21"/>
                      <w:szCs w:val="21"/>
                      <w:lang w:bidi="ar"/>
                    </w:rPr>
                  </w:pPr>
                  <w:r>
                    <w:rPr>
                      <w:kern w:val="0"/>
                      <w:sz w:val="21"/>
                      <w:szCs w:val="21"/>
                      <w:lang w:bidi="ar"/>
                    </w:rPr>
                    <w:t>收集后外售物资回收单位</w:t>
                  </w:r>
                </w:p>
              </w:tc>
            </w:tr>
            <w:tr w14:paraId="4905CC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47B8C62D">
                  <w:pPr>
                    <w:jc w:val="center"/>
                    <w:rPr>
                      <w:sz w:val="21"/>
                      <w:szCs w:val="21"/>
                    </w:rPr>
                  </w:pPr>
                  <w:r>
                    <w:rPr>
                      <w:sz w:val="21"/>
                      <w:szCs w:val="21"/>
                    </w:rPr>
                    <w:t>5</w:t>
                  </w:r>
                </w:p>
              </w:tc>
              <w:tc>
                <w:tcPr>
                  <w:tcW w:w="677" w:type="pct"/>
                  <w:vAlign w:val="center"/>
                </w:tcPr>
                <w:p w14:paraId="16978A29">
                  <w:pPr>
                    <w:jc w:val="center"/>
                    <w:rPr>
                      <w:sz w:val="21"/>
                      <w:szCs w:val="21"/>
                    </w:rPr>
                  </w:pPr>
                  <w:r>
                    <w:rPr>
                      <w:sz w:val="21"/>
                      <w:szCs w:val="21"/>
                    </w:rPr>
                    <w:t>废活性炭</w:t>
                  </w:r>
                </w:p>
              </w:tc>
              <w:tc>
                <w:tcPr>
                  <w:tcW w:w="553" w:type="pct"/>
                  <w:vAlign w:val="center"/>
                </w:tcPr>
                <w:p w14:paraId="4E9C0A41">
                  <w:pPr>
                    <w:jc w:val="center"/>
                    <w:rPr>
                      <w:sz w:val="21"/>
                      <w:szCs w:val="21"/>
                    </w:rPr>
                  </w:pPr>
                  <w:r>
                    <w:rPr>
                      <w:sz w:val="21"/>
                      <w:szCs w:val="21"/>
                    </w:rPr>
                    <w:t>废气处理</w:t>
                  </w:r>
                </w:p>
              </w:tc>
              <w:tc>
                <w:tcPr>
                  <w:tcW w:w="625" w:type="pct"/>
                  <w:vAlign w:val="center"/>
                </w:tcPr>
                <w:p w14:paraId="534244C4">
                  <w:pPr>
                    <w:jc w:val="center"/>
                    <w:rPr>
                      <w:sz w:val="21"/>
                      <w:szCs w:val="21"/>
                    </w:rPr>
                  </w:pPr>
                  <w:r>
                    <w:rPr>
                      <w:bCs/>
                      <w:sz w:val="21"/>
                      <w:szCs w:val="21"/>
                    </w:rPr>
                    <w:t>危险废物</w:t>
                  </w:r>
                </w:p>
              </w:tc>
              <w:tc>
                <w:tcPr>
                  <w:tcW w:w="866" w:type="pct"/>
                  <w:vAlign w:val="center"/>
                </w:tcPr>
                <w:p w14:paraId="3054F549">
                  <w:pPr>
                    <w:jc w:val="center"/>
                    <w:rPr>
                      <w:sz w:val="21"/>
                      <w:szCs w:val="21"/>
                    </w:rPr>
                  </w:pPr>
                  <w:r>
                    <w:rPr>
                      <w:sz w:val="21"/>
                      <w:szCs w:val="21"/>
                    </w:rPr>
                    <w:t>900-039-49</w:t>
                  </w:r>
                </w:p>
              </w:tc>
              <w:tc>
                <w:tcPr>
                  <w:tcW w:w="578" w:type="pct"/>
                  <w:vAlign w:val="center"/>
                </w:tcPr>
                <w:p w14:paraId="4652C271">
                  <w:pPr>
                    <w:jc w:val="center"/>
                    <w:rPr>
                      <w:sz w:val="21"/>
                      <w:szCs w:val="21"/>
                    </w:rPr>
                  </w:pPr>
                  <w:r>
                    <w:rPr>
                      <w:sz w:val="21"/>
                      <w:szCs w:val="21"/>
                    </w:rPr>
                    <w:t>0.5</w:t>
                  </w:r>
                </w:p>
              </w:tc>
              <w:tc>
                <w:tcPr>
                  <w:tcW w:w="537" w:type="pct"/>
                  <w:vAlign w:val="center"/>
                </w:tcPr>
                <w:p w14:paraId="6FFA497B">
                  <w:pPr>
                    <w:jc w:val="center"/>
                    <w:rPr>
                      <w:sz w:val="21"/>
                      <w:szCs w:val="21"/>
                    </w:rPr>
                  </w:pPr>
                  <w:r>
                    <w:rPr>
                      <w:sz w:val="21"/>
                      <w:szCs w:val="21"/>
                    </w:rPr>
                    <w:t>T</w:t>
                  </w:r>
                </w:p>
              </w:tc>
              <w:tc>
                <w:tcPr>
                  <w:tcW w:w="873" w:type="pct"/>
                  <w:vAlign w:val="center"/>
                </w:tcPr>
                <w:p w14:paraId="6FE1EB1E">
                  <w:pPr>
                    <w:jc w:val="center"/>
                    <w:rPr>
                      <w:sz w:val="21"/>
                      <w:szCs w:val="21"/>
                    </w:rPr>
                  </w:pPr>
                  <w:r>
                    <w:rPr>
                      <w:rFonts w:hint="eastAsia"/>
                      <w:sz w:val="21"/>
                      <w:szCs w:val="21"/>
                    </w:rPr>
                    <w:t>定期交由有危废处置资质单位处理</w:t>
                  </w:r>
                </w:p>
              </w:tc>
            </w:tr>
            <w:tr w14:paraId="3A5F1D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7E7FFBB6">
                  <w:pPr>
                    <w:jc w:val="center"/>
                    <w:rPr>
                      <w:sz w:val="21"/>
                      <w:szCs w:val="21"/>
                    </w:rPr>
                  </w:pPr>
                  <w:r>
                    <w:rPr>
                      <w:rFonts w:hint="eastAsia"/>
                      <w:sz w:val="21"/>
                      <w:szCs w:val="21"/>
                    </w:rPr>
                    <w:t>6</w:t>
                  </w:r>
                </w:p>
              </w:tc>
              <w:tc>
                <w:tcPr>
                  <w:tcW w:w="677" w:type="pct"/>
                  <w:vAlign w:val="center"/>
                </w:tcPr>
                <w:p w14:paraId="0EE862F7">
                  <w:pPr>
                    <w:jc w:val="center"/>
                    <w:rPr>
                      <w:sz w:val="21"/>
                      <w:szCs w:val="21"/>
                    </w:rPr>
                  </w:pPr>
                  <w:r>
                    <w:rPr>
                      <w:rFonts w:hint="eastAsia"/>
                      <w:sz w:val="21"/>
                      <w:szCs w:val="21"/>
                    </w:rPr>
                    <w:t>焦油沉渣</w:t>
                  </w:r>
                </w:p>
              </w:tc>
              <w:tc>
                <w:tcPr>
                  <w:tcW w:w="553" w:type="pct"/>
                  <w:vAlign w:val="center"/>
                </w:tcPr>
                <w:p w14:paraId="04295C4D">
                  <w:pPr>
                    <w:jc w:val="center"/>
                    <w:rPr>
                      <w:sz w:val="21"/>
                      <w:szCs w:val="21"/>
                    </w:rPr>
                  </w:pPr>
                  <w:r>
                    <w:rPr>
                      <w:sz w:val="21"/>
                      <w:szCs w:val="21"/>
                    </w:rPr>
                    <w:t>废气处理</w:t>
                  </w:r>
                </w:p>
              </w:tc>
              <w:tc>
                <w:tcPr>
                  <w:tcW w:w="625" w:type="pct"/>
                  <w:vAlign w:val="center"/>
                </w:tcPr>
                <w:p w14:paraId="41C69CC9">
                  <w:pPr>
                    <w:jc w:val="center"/>
                    <w:rPr>
                      <w:sz w:val="21"/>
                      <w:szCs w:val="21"/>
                    </w:rPr>
                  </w:pPr>
                  <w:r>
                    <w:rPr>
                      <w:bCs/>
                      <w:sz w:val="21"/>
                      <w:szCs w:val="21"/>
                    </w:rPr>
                    <w:t>危险废物</w:t>
                  </w:r>
                </w:p>
              </w:tc>
              <w:tc>
                <w:tcPr>
                  <w:tcW w:w="866" w:type="pct"/>
                  <w:vAlign w:val="center"/>
                </w:tcPr>
                <w:p w14:paraId="7B79A84D">
                  <w:pPr>
                    <w:jc w:val="center"/>
                    <w:rPr>
                      <w:sz w:val="21"/>
                      <w:szCs w:val="21"/>
                    </w:rPr>
                  </w:pPr>
                  <w:r>
                    <w:rPr>
                      <w:sz w:val="21"/>
                      <w:szCs w:val="21"/>
                    </w:rPr>
                    <w:t>900-210-08</w:t>
                  </w:r>
                </w:p>
              </w:tc>
              <w:tc>
                <w:tcPr>
                  <w:tcW w:w="578" w:type="pct"/>
                  <w:vAlign w:val="center"/>
                </w:tcPr>
                <w:p w14:paraId="053A97A6">
                  <w:pPr>
                    <w:jc w:val="center"/>
                    <w:rPr>
                      <w:sz w:val="21"/>
                      <w:szCs w:val="21"/>
                    </w:rPr>
                  </w:pPr>
                  <w:r>
                    <w:rPr>
                      <w:sz w:val="21"/>
                      <w:szCs w:val="21"/>
                    </w:rPr>
                    <w:t>0.05</w:t>
                  </w:r>
                </w:p>
              </w:tc>
              <w:tc>
                <w:tcPr>
                  <w:tcW w:w="537" w:type="pct"/>
                  <w:vAlign w:val="center"/>
                </w:tcPr>
                <w:p w14:paraId="33D87094">
                  <w:pPr>
                    <w:jc w:val="center"/>
                    <w:rPr>
                      <w:sz w:val="21"/>
                      <w:szCs w:val="21"/>
                    </w:rPr>
                  </w:pPr>
                  <w:r>
                    <w:rPr>
                      <w:sz w:val="21"/>
                      <w:szCs w:val="21"/>
                    </w:rPr>
                    <w:t>T</w:t>
                  </w:r>
                  <w:r>
                    <w:rPr>
                      <w:rFonts w:hint="eastAsia"/>
                      <w:sz w:val="21"/>
                      <w:szCs w:val="21"/>
                    </w:rPr>
                    <w:t>，</w:t>
                  </w:r>
                  <w:r>
                    <w:rPr>
                      <w:sz w:val="21"/>
                      <w:szCs w:val="21"/>
                    </w:rPr>
                    <w:t>I</w:t>
                  </w:r>
                </w:p>
              </w:tc>
              <w:tc>
                <w:tcPr>
                  <w:tcW w:w="873" w:type="pct"/>
                  <w:vAlign w:val="center"/>
                </w:tcPr>
                <w:p w14:paraId="1163BD3A">
                  <w:pPr>
                    <w:jc w:val="center"/>
                    <w:rPr>
                      <w:sz w:val="21"/>
                      <w:szCs w:val="21"/>
                    </w:rPr>
                  </w:pPr>
                  <w:r>
                    <w:rPr>
                      <w:rFonts w:hint="eastAsia"/>
                      <w:sz w:val="21"/>
                      <w:szCs w:val="21"/>
                    </w:rPr>
                    <w:t>定期交由有危废处置资质单位处理</w:t>
                  </w:r>
                </w:p>
              </w:tc>
            </w:tr>
            <w:tr w14:paraId="6DF98E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6DF32A5F">
                  <w:pPr>
                    <w:jc w:val="center"/>
                    <w:rPr>
                      <w:sz w:val="21"/>
                      <w:szCs w:val="21"/>
                    </w:rPr>
                  </w:pPr>
                  <w:r>
                    <w:rPr>
                      <w:sz w:val="21"/>
                      <w:szCs w:val="21"/>
                    </w:rPr>
                    <w:t>7</w:t>
                  </w:r>
                </w:p>
              </w:tc>
              <w:tc>
                <w:tcPr>
                  <w:tcW w:w="677" w:type="pct"/>
                  <w:vAlign w:val="center"/>
                </w:tcPr>
                <w:p w14:paraId="24AD68D6">
                  <w:pPr>
                    <w:jc w:val="center"/>
                    <w:rPr>
                      <w:sz w:val="21"/>
                      <w:szCs w:val="21"/>
                    </w:rPr>
                  </w:pPr>
                  <w:r>
                    <w:rPr>
                      <w:rFonts w:hint="eastAsia"/>
                      <w:sz w:val="21"/>
                      <w:szCs w:val="21"/>
                    </w:rPr>
                    <w:t>电捕焦油器废油</w:t>
                  </w:r>
                </w:p>
              </w:tc>
              <w:tc>
                <w:tcPr>
                  <w:tcW w:w="553" w:type="pct"/>
                  <w:vAlign w:val="center"/>
                </w:tcPr>
                <w:p w14:paraId="2B9BA9FE">
                  <w:pPr>
                    <w:jc w:val="center"/>
                    <w:rPr>
                      <w:sz w:val="21"/>
                      <w:szCs w:val="21"/>
                    </w:rPr>
                  </w:pPr>
                  <w:r>
                    <w:rPr>
                      <w:sz w:val="21"/>
                      <w:szCs w:val="21"/>
                    </w:rPr>
                    <w:t>废气处理</w:t>
                  </w:r>
                </w:p>
              </w:tc>
              <w:tc>
                <w:tcPr>
                  <w:tcW w:w="625" w:type="pct"/>
                  <w:vAlign w:val="center"/>
                </w:tcPr>
                <w:p w14:paraId="0DD53D5C">
                  <w:pPr>
                    <w:jc w:val="center"/>
                    <w:rPr>
                      <w:sz w:val="21"/>
                      <w:szCs w:val="21"/>
                    </w:rPr>
                  </w:pPr>
                  <w:r>
                    <w:rPr>
                      <w:bCs/>
                      <w:sz w:val="21"/>
                      <w:szCs w:val="21"/>
                    </w:rPr>
                    <w:t>危险废物</w:t>
                  </w:r>
                </w:p>
              </w:tc>
              <w:tc>
                <w:tcPr>
                  <w:tcW w:w="866" w:type="pct"/>
                  <w:vAlign w:val="center"/>
                </w:tcPr>
                <w:p w14:paraId="489F9BDB">
                  <w:pPr>
                    <w:jc w:val="center"/>
                    <w:rPr>
                      <w:sz w:val="21"/>
                      <w:szCs w:val="21"/>
                    </w:rPr>
                  </w:pPr>
                  <w:r>
                    <w:rPr>
                      <w:sz w:val="21"/>
                      <w:szCs w:val="21"/>
                    </w:rPr>
                    <w:t>309-001-11</w:t>
                  </w:r>
                </w:p>
              </w:tc>
              <w:tc>
                <w:tcPr>
                  <w:tcW w:w="578" w:type="pct"/>
                  <w:vAlign w:val="center"/>
                </w:tcPr>
                <w:p w14:paraId="2E2B0B8F">
                  <w:pPr>
                    <w:jc w:val="center"/>
                    <w:rPr>
                      <w:sz w:val="21"/>
                      <w:szCs w:val="21"/>
                    </w:rPr>
                  </w:pPr>
                  <w:r>
                    <w:rPr>
                      <w:sz w:val="21"/>
                      <w:szCs w:val="21"/>
                    </w:rPr>
                    <w:t>0.0114</w:t>
                  </w:r>
                </w:p>
              </w:tc>
              <w:tc>
                <w:tcPr>
                  <w:tcW w:w="537" w:type="pct"/>
                  <w:vAlign w:val="center"/>
                </w:tcPr>
                <w:p w14:paraId="44672F1C">
                  <w:pPr>
                    <w:jc w:val="center"/>
                    <w:rPr>
                      <w:sz w:val="21"/>
                      <w:szCs w:val="21"/>
                    </w:rPr>
                  </w:pPr>
                  <w:r>
                    <w:rPr>
                      <w:sz w:val="21"/>
                      <w:szCs w:val="21"/>
                    </w:rPr>
                    <w:t>T</w:t>
                  </w:r>
                  <w:r>
                    <w:rPr>
                      <w:rFonts w:hint="eastAsia"/>
                      <w:sz w:val="21"/>
                      <w:szCs w:val="21"/>
                    </w:rPr>
                    <w:t>，</w:t>
                  </w:r>
                  <w:r>
                    <w:rPr>
                      <w:sz w:val="21"/>
                      <w:szCs w:val="21"/>
                    </w:rPr>
                    <w:t>I</w:t>
                  </w:r>
                </w:p>
              </w:tc>
              <w:tc>
                <w:tcPr>
                  <w:tcW w:w="873" w:type="pct"/>
                  <w:vAlign w:val="center"/>
                </w:tcPr>
                <w:p w14:paraId="45872DEC">
                  <w:pPr>
                    <w:jc w:val="center"/>
                    <w:rPr>
                      <w:sz w:val="21"/>
                      <w:szCs w:val="21"/>
                    </w:rPr>
                  </w:pPr>
                  <w:r>
                    <w:rPr>
                      <w:rFonts w:hint="eastAsia"/>
                      <w:sz w:val="21"/>
                      <w:szCs w:val="21"/>
                    </w:rPr>
                    <w:t>定期交由有危废处置资质单位处理</w:t>
                  </w:r>
                </w:p>
              </w:tc>
            </w:tr>
            <w:tr w14:paraId="197776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19CA6D79">
                  <w:pPr>
                    <w:jc w:val="center"/>
                    <w:rPr>
                      <w:sz w:val="21"/>
                      <w:szCs w:val="21"/>
                    </w:rPr>
                  </w:pPr>
                  <w:r>
                    <w:rPr>
                      <w:sz w:val="21"/>
                      <w:szCs w:val="21"/>
                    </w:rPr>
                    <w:t>8</w:t>
                  </w:r>
                </w:p>
              </w:tc>
              <w:tc>
                <w:tcPr>
                  <w:tcW w:w="677" w:type="pct"/>
                  <w:vAlign w:val="center"/>
                </w:tcPr>
                <w:p w14:paraId="05D68703">
                  <w:pPr>
                    <w:jc w:val="center"/>
                    <w:rPr>
                      <w:sz w:val="21"/>
                      <w:szCs w:val="21"/>
                    </w:rPr>
                  </w:pPr>
                  <w:r>
                    <w:rPr>
                      <w:sz w:val="21"/>
                      <w:szCs w:val="21"/>
                    </w:rPr>
                    <w:t>废导热油</w:t>
                  </w:r>
                </w:p>
              </w:tc>
              <w:tc>
                <w:tcPr>
                  <w:tcW w:w="553" w:type="pct"/>
                  <w:vAlign w:val="center"/>
                </w:tcPr>
                <w:p w14:paraId="12063F95">
                  <w:pPr>
                    <w:jc w:val="center"/>
                    <w:rPr>
                      <w:sz w:val="21"/>
                      <w:szCs w:val="21"/>
                    </w:rPr>
                  </w:pPr>
                  <w:r>
                    <w:rPr>
                      <w:sz w:val="21"/>
                      <w:szCs w:val="21"/>
                    </w:rPr>
                    <w:t>导热油炉</w:t>
                  </w:r>
                </w:p>
              </w:tc>
              <w:tc>
                <w:tcPr>
                  <w:tcW w:w="625" w:type="pct"/>
                  <w:vAlign w:val="center"/>
                </w:tcPr>
                <w:p w14:paraId="14C1E12B">
                  <w:pPr>
                    <w:jc w:val="center"/>
                    <w:rPr>
                      <w:sz w:val="21"/>
                      <w:szCs w:val="21"/>
                    </w:rPr>
                  </w:pPr>
                  <w:r>
                    <w:rPr>
                      <w:bCs/>
                      <w:sz w:val="21"/>
                      <w:szCs w:val="21"/>
                    </w:rPr>
                    <w:t>危险废物</w:t>
                  </w:r>
                </w:p>
              </w:tc>
              <w:tc>
                <w:tcPr>
                  <w:tcW w:w="866" w:type="pct"/>
                  <w:vAlign w:val="center"/>
                </w:tcPr>
                <w:p w14:paraId="6CE7DE46">
                  <w:pPr>
                    <w:jc w:val="center"/>
                    <w:rPr>
                      <w:sz w:val="21"/>
                      <w:szCs w:val="21"/>
                    </w:rPr>
                  </w:pPr>
                  <w:r>
                    <w:rPr>
                      <w:sz w:val="21"/>
                      <w:szCs w:val="21"/>
                    </w:rPr>
                    <w:t>900-249-08</w:t>
                  </w:r>
                </w:p>
              </w:tc>
              <w:tc>
                <w:tcPr>
                  <w:tcW w:w="578" w:type="pct"/>
                  <w:vAlign w:val="center"/>
                </w:tcPr>
                <w:p w14:paraId="1647115A">
                  <w:pPr>
                    <w:jc w:val="center"/>
                    <w:rPr>
                      <w:sz w:val="21"/>
                      <w:szCs w:val="21"/>
                    </w:rPr>
                  </w:pPr>
                  <w:r>
                    <w:rPr>
                      <w:sz w:val="21"/>
                      <w:szCs w:val="21"/>
                    </w:rPr>
                    <w:t>4t/</w:t>
                  </w:r>
                  <w:r>
                    <w:rPr>
                      <w:rFonts w:hint="eastAsia"/>
                      <w:sz w:val="21"/>
                      <w:szCs w:val="21"/>
                    </w:rPr>
                    <w:t>一次</w:t>
                  </w:r>
                </w:p>
              </w:tc>
              <w:tc>
                <w:tcPr>
                  <w:tcW w:w="537" w:type="pct"/>
                  <w:vAlign w:val="center"/>
                </w:tcPr>
                <w:p w14:paraId="3F716F27">
                  <w:pPr>
                    <w:jc w:val="center"/>
                    <w:rPr>
                      <w:sz w:val="21"/>
                      <w:szCs w:val="21"/>
                    </w:rPr>
                  </w:pPr>
                  <w:r>
                    <w:rPr>
                      <w:sz w:val="21"/>
                      <w:szCs w:val="21"/>
                    </w:rPr>
                    <w:t>T</w:t>
                  </w:r>
                  <w:r>
                    <w:rPr>
                      <w:rFonts w:hint="eastAsia"/>
                      <w:sz w:val="21"/>
                      <w:szCs w:val="21"/>
                    </w:rPr>
                    <w:t>，</w:t>
                  </w:r>
                  <w:r>
                    <w:rPr>
                      <w:sz w:val="21"/>
                      <w:szCs w:val="21"/>
                    </w:rPr>
                    <w:t>I</w:t>
                  </w:r>
                </w:p>
              </w:tc>
              <w:tc>
                <w:tcPr>
                  <w:tcW w:w="873" w:type="pct"/>
                  <w:vAlign w:val="center"/>
                </w:tcPr>
                <w:p w14:paraId="7DC2139D">
                  <w:pPr>
                    <w:jc w:val="center"/>
                    <w:rPr>
                      <w:sz w:val="21"/>
                      <w:szCs w:val="21"/>
                    </w:rPr>
                  </w:pPr>
                  <w:r>
                    <w:rPr>
                      <w:sz w:val="21"/>
                      <w:szCs w:val="21"/>
                    </w:rPr>
                    <w:t>交有资质单位处理</w:t>
                  </w:r>
                </w:p>
              </w:tc>
            </w:tr>
            <w:tr w14:paraId="77A1F0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16FD9E34">
                  <w:pPr>
                    <w:jc w:val="center"/>
                    <w:rPr>
                      <w:sz w:val="21"/>
                      <w:szCs w:val="21"/>
                    </w:rPr>
                  </w:pPr>
                  <w:r>
                    <w:rPr>
                      <w:sz w:val="21"/>
                      <w:szCs w:val="21"/>
                    </w:rPr>
                    <w:t>9</w:t>
                  </w:r>
                </w:p>
              </w:tc>
              <w:tc>
                <w:tcPr>
                  <w:tcW w:w="677" w:type="pct"/>
                  <w:vAlign w:val="center"/>
                </w:tcPr>
                <w:p w14:paraId="1AAADC0D">
                  <w:pPr>
                    <w:jc w:val="center"/>
                    <w:rPr>
                      <w:sz w:val="21"/>
                      <w:szCs w:val="21"/>
                    </w:rPr>
                  </w:pPr>
                  <w:r>
                    <w:rPr>
                      <w:sz w:val="21"/>
                      <w:szCs w:val="21"/>
                    </w:rPr>
                    <w:t>废机油</w:t>
                  </w:r>
                </w:p>
              </w:tc>
              <w:tc>
                <w:tcPr>
                  <w:tcW w:w="553" w:type="pct"/>
                  <w:vAlign w:val="center"/>
                </w:tcPr>
                <w:p w14:paraId="27C8AA2D">
                  <w:pPr>
                    <w:jc w:val="center"/>
                    <w:rPr>
                      <w:sz w:val="21"/>
                      <w:szCs w:val="21"/>
                    </w:rPr>
                  </w:pPr>
                  <w:r>
                    <w:rPr>
                      <w:sz w:val="21"/>
                      <w:szCs w:val="21"/>
                    </w:rPr>
                    <w:t>设备维护</w:t>
                  </w:r>
                </w:p>
              </w:tc>
              <w:tc>
                <w:tcPr>
                  <w:tcW w:w="625" w:type="pct"/>
                  <w:vAlign w:val="center"/>
                </w:tcPr>
                <w:p w14:paraId="583556D0">
                  <w:pPr>
                    <w:jc w:val="center"/>
                    <w:rPr>
                      <w:sz w:val="21"/>
                      <w:szCs w:val="21"/>
                    </w:rPr>
                  </w:pPr>
                  <w:r>
                    <w:rPr>
                      <w:bCs/>
                      <w:sz w:val="21"/>
                      <w:szCs w:val="21"/>
                    </w:rPr>
                    <w:t>危险废物</w:t>
                  </w:r>
                </w:p>
              </w:tc>
              <w:tc>
                <w:tcPr>
                  <w:tcW w:w="866" w:type="pct"/>
                  <w:vAlign w:val="center"/>
                </w:tcPr>
                <w:p w14:paraId="11505AEF">
                  <w:pPr>
                    <w:jc w:val="center"/>
                    <w:rPr>
                      <w:sz w:val="21"/>
                      <w:szCs w:val="21"/>
                    </w:rPr>
                  </w:pPr>
                  <w:r>
                    <w:rPr>
                      <w:sz w:val="21"/>
                      <w:szCs w:val="21"/>
                    </w:rPr>
                    <w:t>900-217-08</w:t>
                  </w:r>
                </w:p>
              </w:tc>
              <w:tc>
                <w:tcPr>
                  <w:tcW w:w="578" w:type="pct"/>
                  <w:vAlign w:val="center"/>
                </w:tcPr>
                <w:p w14:paraId="52BD2F7B">
                  <w:pPr>
                    <w:jc w:val="center"/>
                    <w:rPr>
                      <w:sz w:val="21"/>
                      <w:szCs w:val="21"/>
                    </w:rPr>
                  </w:pPr>
                  <w:r>
                    <w:rPr>
                      <w:sz w:val="21"/>
                      <w:szCs w:val="21"/>
                    </w:rPr>
                    <w:t>0.62</w:t>
                  </w:r>
                </w:p>
              </w:tc>
              <w:tc>
                <w:tcPr>
                  <w:tcW w:w="537" w:type="pct"/>
                  <w:vAlign w:val="center"/>
                </w:tcPr>
                <w:p w14:paraId="3ED3656A">
                  <w:pPr>
                    <w:jc w:val="center"/>
                    <w:rPr>
                      <w:sz w:val="21"/>
                      <w:szCs w:val="21"/>
                    </w:rPr>
                  </w:pPr>
                  <w:r>
                    <w:rPr>
                      <w:sz w:val="21"/>
                      <w:szCs w:val="21"/>
                    </w:rPr>
                    <w:t>T</w:t>
                  </w:r>
                  <w:r>
                    <w:rPr>
                      <w:rFonts w:hint="eastAsia"/>
                      <w:sz w:val="21"/>
                      <w:szCs w:val="21"/>
                    </w:rPr>
                    <w:t>，</w:t>
                  </w:r>
                  <w:r>
                    <w:rPr>
                      <w:sz w:val="21"/>
                      <w:szCs w:val="21"/>
                    </w:rPr>
                    <w:t>I</w:t>
                  </w:r>
                </w:p>
              </w:tc>
              <w:tc>
                <w:tcPr>
                  <w:tcW w:w="873" w:type="pct"/>
                  <w:vAlign w:val="center"/>
                </w:tcPr>
                <w:p w14:paraId="4EE66448">
                  <w:pPr>
                    <w:jc w:val="center"/>
                    <w:rPr>
                      <w:sz w:val="21"/>
                      <w:szCs w:val="21"/>
                    </w:rPr>
                  </w:pPr>
                  <w:r>
                    <w:rPr>
                      <w:rFonts w:hint="eastAsia"/>
                      <w:sz w:val="21"/>
                      <w:szCs w:val="21"/>
                    </w:rPr>
                    <w:t>定期交由有危废处置资质单位处理</w:t>
                  </w:r>
                </w:p>
              </w:tc>
            </w:tr>
            <w:tr w14:paraId="77848D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1A9A0FFC">
                  <w:pPr>
                    <w:jc w:val="center"/>
                    <w:rPr>
                      <w:sz w:val="21"/>
                      <w:szCs w:val="21"/>
                    </w:rPr>
                  </w:pPr>
                  <w:r>
                    <w:rPr>
                      <w:sz w:val="21"/>
                      <w:szCs w:val="21"/>
                    </w:rPr>
                    <w:t>10</w:t>
                  </w:r>
                </w:p>
              </w:tc>
              <w:tc>
                <w:tcPr>
                  <w:tcW w:w="677" w:type="pct"/>
                  <w:vAlign w:val="center"/>
                </w:tcPr>
                <w:p w14:paraId="2363FDCE">
                  <w:pPr>
                    <w:jc w:val="center"/>
                    <w:rPr>
                      <w:sz w:val="21"/>
                      <w:szCs w:val="21"/>
                    </w:rPr>
                  </w:pPr>
                  <w:r>
                    <w:rPr>
                      <w:sz w:val="21"/>
                      <w:szCs w:val="21"/>
                    </w:rPr>
                    <w:t>生活垃圾</w:t>
                  </w:r>
                </w:p>
              </w:tc>
              <w:tc>
                <w:tcPr>
                  <w:tcW w:w="553" w:type="pct"/>
                  <w:vAlign w:val="center"/>
                </w:tcPr>
                <w:p w14:paraId="4E0C97B5">
                  <w:pPr>
                    <w:jc w:val="center"/>
                    <w:rPr>
                      <w:sz w:val="21"/>
                      <w:szCs w:val="21"/>
                    </w:rPr>
                  </w:pPr>
                  <w:r>
                    <w:rPr>
                      <w:sz w:val="21"/>
                      <w:szCs w:val="21"/>
                    </w:rPr>
                    <w:t>员工生活</w:t>
                  </w:r>
                </w:p>
              </w:tc>
              <w:tc>
                <w:tcPr>
                  <w:tcW w:w="625" w:type="pct"/>
                  <w:vAlign w:val="center"/>
                </w:tcPr>
                <w:p w14:paraId="5424ECB8">
                  <w:pPr>
                    <w:jc w:val="center"/>
                    <w:rPr>
                      <w:sz w:val="21"/>
                      <w:szCs w:val="21"/>
                    </w:rPr>
                  </w:pPr>
                  <w:r>
                    <w:rPr>
                      <w:rFonts w:hint="eastAsia"/>
                      <w:kern w:val="0"/>
                      <w:sz w:val="21"/>
                      <w:szCs w:val="21"/>
                      <w:lang w:bidi="ar"/>
                    </w:rPr>
                    <w:t>/</w:t>
                  </w:r>
                </w:p>
              </w:tc>
              <w:tc>
                <w:tcPr>
                  <w:tcW w:w="866" w:type="pct"/>
                  <w:vAlign w:val="center"/>
                </w:tcPr>
                <w:p w14:paraId="279A3340">
                  <w:pPr>
                    <w:jc w:val="center"/>
                    <w:rPr>
                      <w:sz w:val="21"/>
                      <w:szCs w:val="21"/>
                    </w:rPr>
                  </w:pPr>
                  <w:r>
                    <w:rPr>
                      <w:kern w:val="0"/>
                      <w:sz w:val="21"/>
                      <w:szCs w:val="21"/>
                      <w:lang w:bidi="ar"/>
                    </w:rPr>
                    <w:t>900-001-S61、900-002-S61、900-002-S62</w:t>
                  </w:r>
                </w:p>
              </w:tc>
              <w:tc>
                <w:tcPr>
                  <w:tcW w:w="578" w:type="pct"/>
                  <w:vAlign w:val="center"/>
                </w:tcPr>
                <w:p w14:paraId="61ACE102">
                  <w:pPr>
                    <w:jc w:val="center"/>
                    <w:rPr>
                      <w:sz w:val="21"/>
                      <w:szCs w:val="21"/>
                    </w:rPr>
                  </w:pPr>
                  <w:r>
                    <w:rPr>
                      <w:sz w:val="21"/>
                      <w:szCs w:val="21"/>
                    </w:rPr>
                    <w:t>3.51</w:t>
                  </w:r>
                </w:p>
              </w:tc>
              <w:tc>
                <w:tcPr>
                  <w:tcW w:w="537" w:type="pct"/>
                  <w:vAlign w:val="center"/>
                </w:tcPr>
                <w:p w14:paraId="404103DC">
                  <w:pPr>
                    <w:jc w:val="center"/>
                    <w:rPr>
                      <w:sz w:val="21"/>
                      <w:szCs w:val="21"/>
                    </w:rPr>
                  </w:pPr>
                  <w:r>
                    <w:rPr>
                      <w:kern w:val="0"/>
                      <w:sz w:val="21"/>
                      <w:szCs w:val="21"/>
                      <w:lang w:bidi="ar"/>
                    </w:rPr>
                    <w:t>/</w:t>
                  </w:r>
                </w:p>
              </w:tc>
              <w:tc>
                <w:tcPr>
                  <w:tcW w:w="873" w:type="pct"/>
                  <w:vAlign w:val="center"/>
                </w:tcPr>
                <w:p w14:paraId="193DEB9C">
                  <w:pPr>
                    <w:jc w:val="center"/>
                    <w:rPr>
                      <w:kern w:val="0"/>
                      <w:sz w:val="21"/>
                      <w:szCs w:val="21"/>
                      <w:lang w:bidi="ar"/>
                    </w:rPr>
                  </w:pPr>
                  <w:r>
                    <w:rPr>
                      <w:kern w:val="0"/>
                      <w:sz w:val="21"/>
                      <w:szCs w:val="21"/>
                      <w:lang w:bidi="ar"/>
                    </w:rPr>
                    <w:t>环卫部门清运</w:t>
                  </w:r>
                </w:p>
              </w:tc>
            </w:tr>
            <w:tr w14:paraId="306FBF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 w:type="pct"/>
                  <w:vAlign w:val="center"/>
                </w:tcPr>
                <w:p w14:paraId="3338FCD3">
                  <w:pPr>
                    <w:jc w:val="center"/>
                    <w:rPr>
                      <w:sz w:val="21"/>
                      <w:szCs w:val="21"/>
                    </w:rPr>
                  </w:pPr>
                  <w:r>
                    <w:rPr>
                      <w:rFonts w:hint="eastAsia"/>
                      <w:sz w:val="21"/>
                      <w:szCs w:val="21"/>
                    </w:rPr>
                    <w:t>1</w:t>
                  </w:r>
                  <w:r>
                    <w:rPr>
                      <w:sz w:val="21"/>
                      <w:szCs w:val="21"/>
                    </w:rPr>
                    <w:t>1</w:t>
                  </w:r>
                </w:p>
              </w:tc>
              <w:tc>
                <w:tcPr>
                  <w:tcW w:w="677" w:type="pct"/>
                  <w:vAlign w:val="center"/>
                </w:tcPr>
                <w:p w14:paraId="2C480731">
                  <w:pPr>
                    <w:jc w:val="center"/>
                    <w:rPr>
                      <w:sz w:val="21"/>
                      <w:szCs w:val="21"/>
                    </w:rPr>
                  </w:pPr>
                  <w:r>
                    <w:rPr>
                      <w:sz w:val="21"/>
                      <w:szCs w:val="21"/>
                    </w:rPr>
                    <w:t>废含油手套、抹布</w:t>
                  </w:r>
                </w:p>
              </w:tc>
              <w:tc>
                <w:tcPr>
                  <w:tcW w:w="553" w:type="pct"/>
                  <w:vAlign w:val="center"/>
                </w:tcPr>
                <w:p w14:paraId="6248A2CA">
                  <w:pPr>
                    <w:jc w:val="center"/>
                    <w:rPr>
                      <w:sz w:val="21"/>
                      <w:szCs w:val="21"/>
                    </w:rPr>
                  </w:pPr>
                  <w:r>
                    <w:rPr>
                      <w:sz w:val="21"/>
                      <w:szCs w:val="21"/>
                    </w:rPr>
                    <w:t>设备检修</w:t>
                  </w:r>
                </w:p>
              </w:tc>
              <w:tc>
                <w:tcPr>
                  <w:tcW w:w="625" w:type="pct"/>
                  <w:vAlign w:val="center"/>
                </w:tcPr>
                <w:p w14:paraId="1799FDDF">
                  <w:pPr>
                    <w:jc w:val="center"/>
                    <w:rPr>
                      <w:kern w:val="0"/>
                      <w:sz w:val="21"/>
                      <w:szCs w:val="21"/>
                      <w:lang w:bidi="ar"/>
                    </w:rPr>
                  </w:pPr>
                  <w:r>
                    <w:rPr>
                      <w:bCs/>
                      <w:sz w:val="21"/>
                      <w:szCs w:val="21"/>
                    </w:rPr>
                    <w:t>危险废物</w:t>
                  </w:r>
                </w:p>
              </w:tc>
              <w:tc>
                <w:tcPr>
                  <w:tcW w:w="866" w:type="pct"/>
                  <w:vAlign w:val="center"/>
                </w:tcPr>
                <w:p w14:paraId="09AD095D">
                  <w:pPr>
                    <w:jc w:val="center"/>
                    <w:rPr>
                      <w:kern w:val="0"/>
                      <w:sz w:val="21"/>
                      <w:szCs w:val="21"/>
                      <w:lang w:bidi="ar"/>
                    </w:rPr>
                  </w:pPr>
                  <w:r>
                    <w:rPr>
                      <w:kern w:val="0"/>
                      <w:sz w:val="21"/>
                      <w:szCs w:val="21"/>
                      <w:lang w:bidi="ar"/>
                    </w:rPr>
                    <w:t>900-041-49</w:t>
                  </w:r>
                </w:p>
              </w:tc>
              <w:tc>
                <w:tcPr>
                  <w:tcW w:w="578" w:type="pct"/>
                  <w:vAlign w:val="center"/>
                </w:tcPr>
                <w:p w14:paraId="4E4CF4D9">
                  <w:pPr>
                    <w:jc w:val="center"/>
                    <w:rPr>
                      <w:sz w:val="21"/>
                      <w:szCs w:val="21"/>
                    </w:rPr>
                  </w:pPr>
                  <w:r>
                    <w:rPr>
                      <w:sz w:val="21"/>
                      <w:szCs w:val="21"/>
                    </w:rPr>
                    <w:t>0.05</w:t>
                  </w:r>
                </w:p>
              </w:tc>
              <w:tc>
                <w:tcPr>
                  <w:tcW w:w="537" w:type="pct"/>
                  <w:vAlign w:val="center"/>
                </w:tcPr>
                <w:p w14:paraId="795A0E48">
                  <w:pPr>
                    <w:jc w:val="center"/>
                    <w:rPr>
                      <w:kern w:val="0"/>
                      <w:sz w:val="21"/>
                      <w:szCs w:val="21"/>
                      <w:lang w:bidi="ar"/>
                    </w:rPr>
                  </w:pPr>
                  <w:r>
                    <w:rPr>
                      <w:sz w:val="21"/>
                      <w:szCs w:val="21"/>
                    </w:rPr>
                    <w:t>T</w:t>
                  </w:r>
                  <w:r>
                    <w:rPr>
                      <w:rFonts w:hint="eastAsia"/>
                      <w:sz w:val="21"/>
                      <w:szCs w:val="21"/>
                    </w:rPr>
                    <w:t>，</w:t>
                  </w:r>
                  <w:r>
                    <w:rPr>
                      <w:sz w:val="21"/>
                      <w:szCs w:val="21"/>
                    </w:rPr>
                    <w:t>I</w:t>
                  </w:r>
                  <w:r>
                    <w:rPr>
                      <w:rFonts w:hint="eastAsia"/>
                      <w:sz w:val="21"/>
                      <w:szCs w:val="21"/>
                    </w:rPr>
                    <w:t>n</w:t>
                  </w:r>
                </w:p>
              </w:tc>
              <w:tc>
                <w:tcPr>
                  <w:tcW w:w="873" w:type="pct"/>
                  <w:vAlign w:val="center"/>
                </w:tcPr>
                <w:p w14:paraId="0EE2DE1D">
                  <w:pPr>
                    <w:jc w:val="center"/>
                    <w:rPr>
                      <w:kern w:val="0"/>
                      <w:sz w:val="21"/>
                      <w:szCs w:val="21"/>
                      <w:lang w:bidi="ar"/>
                    </w:rPr>
                  </w:pPr>
                  <w:r>
                    <w:rPr>
                      <w:rFonts w:hint="eastAsia"/>
                      <w:kern w:val="0"/>
                      <w:sz w:val="21"/>
                      <w:szCs w:val="21"/>
                      <w:lang w:bidi="ar"/>
                    </w:rPr>
                    <w:t>交有资质单位处理</w:t>
                  </w:r>
                </w:p>
              </w:tc>
            </w:tr>
          </w:tbl>
          <w:p w14:paraId="4A011842">
            <w:pPr>
              <w:spacing w:line="460" w:lineRule="exact"/>
              <w:ind w:firstLine="480" w:firstLineChars="200"/>
            </w:pPr>
            <w:r>
              <w:t>（3）一般固废环境影响分析和保护措施</w:t>
            </w:r>
          </w:p>
          <w:p w14:paraId="270C8135">
            <w:pPr>
              <w:spacing w:line="460" w:lineRule="exact"/>
              <w:ind w:firstLine="480" w:firstLineChars="200"/>
            </w:pPr>
            <w:r>
              <w:t>项目产生的一般工业固废（不合格骨料）暂存于</w:t>
            </w:r>
            <w:r>
              <w:rPr>
                <w:rFonts w:hint="eastAsia"/>
              </w:rPr>
              <w:t>一般固废暂存堆场</w:t>
            </w:r>
            <w:r>
              <w:t>堆存，</w:t>
            </w:r>
            <w:r>
              <w:rPr>
                <w:rFonts w:hint="eastAsia"/>
              </w:rPr>
              <w:t>堆场面积为</w:t>
            </w:r>
            <w:r>
              <w:t>2000m</w:t>
            </w:r>
            <w:r>
              <w:rPr>
                <w:vertAlign w:val="superscript"/>
              </w:rPr>
              <w:t>2</w:t>
            </w:r>
            <w:r>
              <w:rPr>
                <w:rFonts w:hint="eastAsia"/>
              </w:rPr>
              <w:t>，</w:t>
            </w:r>
            <w:r>
              <w:t>定期由供应商拉走</w:t>
            </w:r>
            <w:r>
              <w:rPr>
                <w:rFonts w:hint="eastAsia"/>
              </w:rPr>
              <w:t>；</w:t>
            </w:r>
            <w:r>
              <w:t>除尘器粉尘回用于生产</w:t>
            </w:r>
            <w:r>
              <w:rPr>
                <w:rFonts w:hint="eastAsia"/>
              </w:rPr>
              <w:t>；</w:t>
            </w:r>
            <w:r>
              <w:t>生产过程中散落沥青砼及时收集后</w:t>
            </w:r>
            <w:r>
              <w:rPr>
                <w:rFonts w:hint="eastAsia"/>
              </w:rPr>
              <w:t>用于生产；废钢筋</w:t>
            </w:r>
            <w:r>
              <w:t>收集后外售物资回收单位</w:t>
            </w:r>
            <w:r>
              <w:rPr>
                <w:rFonts w:hint="eastAsia"/>
              </w:rPr>
              <w:t>。</w:t>
            </w:r>
          </w:p>
          <w:p w14:paraId="25C590F1">
            <w:pPr>
              <w:spacing w:line="460" w:lineRule="exact"/>
              <w:ind w:firstLine="480" w:firstLineChars="200"/>
              <w:rPr>
                <w:bCs/>
              </w:rPr>
            </w:pPr>
            <w:r>
              <w:rPr>
                <w:rFonts w:hint="eastAsia"/>
                <w:bCs/>
              </w:rPr>
              <w:t>要求一般固废暂存堆场应参照《一般工业固体废物贮存和填埋污染控制标准》（GB18599-2020）相关要求规范化建设，应满足如下要求：</w:t>
            </w:r>
          </w:p>
          <w:p w14:paraId="27563A5B">
            <w:pPr>
              <w:spacing w:line="460" w:lineRule="exact"/>
              <w:ind w:firstLine="480" w:firstLineChars="200"/>
              <w:rPr>
                <w:bCs/>
              </w:rPr>
            </w:pPr>
            <w:r>
              <w:rPr>
                <w:rFonts w:hint="eastAsia"/>
                <w:bCs/>
              </w:rPr>
              <w:t>1）防治措施要求</w:t>
            </w:r>
          </w:p>
          <w:p w14:paraId="32096F81">
            <w:pPr>
              <w:spacing w:line="460" w:lineRule="exact"/>
              <w:ind w:firstLine="480" w:firstLineChars="200"/>
              <w:rPr>
                <w:bCs/>
              </w:rPr>
            </w:pPr>
            <w:r>
              <w:rPr>
                <w:rFonts w:hint="eastAsia"/>
                <w:bCs/>
              </w:rPr>
              <w:t>①参照《环境影响评价技术导则 地下水环境》（H</w:t>
            </w:r>
            <w:r>
              <w:rPr>
                <w:bCs/>
              </w:rPr>
              <w:t>J 610-2016</w:t>
            </w:r>
            <w:r>
              <w:rPr>
                <w:rFonts w:hint="eastAsia"/>
                <w:bCs/>
              </w:rPr>
              <w:t>）中一般防渗要求：</w:t>
            </w:r>
            <w:r>
              <w:rPr>
                <w:bCs/>
              </w:rPr>
              <w:t>等效黏土防渗层Mb≥1.5m，K≤1×10</w:t>
            </w:r>
            <w:r>
              <w:rPr>
                <w:bCs/>
                <w:vertAlign w:val="superscript"/>
              </w:rPr>
              <w:t>-7</w:t>
            </w:r>
            <w:r>
              <w:rPr>
                <w:bCs/>
              </w:rPr>
              <w:t>cm/s</w:t>
            </w:r>
            <w:r>
              <w:rPr>
                <w:rFonts w:hint="eastAsia"/>
                <w:bCs/>
              </w:rPr>
              <w:t>，做好项目区一般固废暂存堆场的防渗工作。</w:t>
            </w:r>
          </w:p>
          <w:p w14:paraId="2F07756A">
            <w:pPr>
              <w:pStyle w:val="87"/>
              <w:numPr>
                <w:ilvl w:val="0"/>
                <w:numId w:val="4"/>
              </w:numPr>
              <w:spacing w:line="460" w:lineRule="exact"/>
              <w:ind w:firstLineChars="0"/>
              <w:rPr>
                <w:bCs/>
              </w:rPr>
            </w:pPr>
            <w:r>
              <w:rPr>
                <w:rFonts w:hint="eastAsia"/>
                <w:bCs/>
              </w:rPr>
              <w:t>按《环境保护图形标识  固体废物贮存（处置）场》及其修改单（GB15562.2-1995）要求设置环境保护图形标志。</w:t>
            </w:r>
          </w:p>
          <w:p w14:paraId="3F8184BE">
            <w:pPr>
              <w:pStyle w:val="87"/>
              <w:numPr>
                <w:ilvl w:val="0"/>
                <w:numId w:val="4"/>
              </w:numPr>
              <w:spacing w:line="460" w:lineRule="exact"/>
              <w:ind w:firstLineChars="0"/>
              <w:rPr>
                <w:bCs/>
              </w:rPr>
            </w:pPr>
            <w:r>
              <w:rPr>
                <w:rFonts w:hint="eastAsia"/>
                <w:bCs/>
              </w:rPr>
              <w:t>对易产生扬尘的固废应采取加盖篷布实行全覆盖、洒水等有效抑尘措</w:t>
            </w:r>
          </w:p>
          <w:p w14:paraId="4C303D46">
            <w:pPr>
              <w:spacing w:line="460" w:lineRule="exact"/>
              <w:rPr>
                <w:bCs/>
              </w:rPr>
            </w:pPr>
            <w:r>
              <w:rPr>
                <w:rFonts w:hint="eastAsia"/>
                <w:bCs/>
              </w:rPr>
              <w:t>施，防止碎石堆场、布袋除尘灰等固废扬尘污染。</w:t>
            </w:r>
          </w:p>
          <w:p w14:paraId="53542388">
            <w:pPr>
              <w:spacing w:line="460" w:lineRule="exact"/>
              <w:ind w:left="480"/>
              <w:rPr>
                <w:bCs/>
              </w:rPr>
            </w:pPr>
            <w:r>
              <w:rPr>
                <w:bCs/>
              </w:rPr>
              <w:fldChar w:fldCharType="begin"/>
            </w:r>
            <w:r>
              <w:rPr>
                <w:bCs/>
              </w:rPr>
              <w:instrText xml:space="preserve"> </w:instrText>
            </w:r>
            <w:r>
              <w:rPr>
                <w:rFonts w:hint="eastAsia"/>
                <w:bCs/>
              </w:rPr>
              <w:instrText xml:space="preserve">= 4 \* GB3</w:instrText>
            </w:r>
            <w:r>
              <w:rPr>
                <w:bCs/>
              </w:rPr>
              <w:instrText xml:space="preserve"> </w:instrText>
            </w:r>
            <w:r>
              <w:rPr>
                <w:bCs/>
              </w:rPr>
              <w:fldChar w:fldCharType="separate"/>
            </w:r>
            <w:r>
              <w:rPr>
                <w:rFonts w:hint="eastAsia"/>
                <w:bCs/>
              </w:rPr>
              <w:t>④</w:t>
            </w:r>
            <w:r>
              <w:rPr>
                <w:bCs/>
              </w:rPr>
              <w:fldChar w:fldCharType="end"/>
            </w:r>
            <w:r>
              <w:rPr>
                <w:rFonts w:hint="eastAsia"/>
                <w:bCs/>
              </w:rPr>
              <w:t>除尘器粉尘，滴漏沥青及拌合残渣回用于生产；废钢筋收集后外售物资回</w:t>
            </w:r>
          </w:p>
          <w:p w14:paraId="04C73570">
            <w:pPr>
              <w:spacing w:line="460" w:lineRule="exact"/>
              <w:rPr>
                <w:bCs/>
              </w:rPr>
            </w:pPr>
            <w:r>
              <w:rPr>
                <w:rFonts w:hint="eastAsia"/>
                <w:bCs/>
              </w:rPr>
              <w:t>收单位，不合格骨料由供应商拉走，减少对环境的污染；</w:t>
            </w:r>
          </w:p>
          <w:p w14:paraId="6959C315">
            <w:pPr>
              <w:spacing w:line="460" w:lineRule="exact"/>
              <w:ind w:left="480"/>
              <w:rPr>
                <w:bCs/>
              </w:rPr>
            </w:pPr>
            <w:r>
              <w:rPr>
                <w:bCs/>
              </w:rPr>
              <w:fldChar w:fldCharType="begin"/>
            </w:r>
            <w:r>
              <w:rPr>
                <w:bCs/>
              </w:rPr>
              <w:instrText xml:space="preserve"> </w:instrText>
            </w:r>
            <w:r>
              <w:rPr>
                <w:rFonts w:hint="eastAsia"/>
                <w:bCs/>
              </w:rPr>
              <w:instrText xml:space="preserve">= 5 \* GB3</w:instrText>
            </w:r>
            <w:r>
              <w:rPr>
                <w:bCs/>
              </w:rPr>
              <w:instrText xml:space="preserve"> </w:instrText>
            </w:r>
            <w:r>
              <w:rPr>
                <w:bCs/>
              </w:rPr>
              <w:fldChar w:fldCharType="separate"/>
            </w:r>
            <w:r>
              <w:rPr>
                <w:rFonts w:hint="eastAsia"/>
                <w:bCs/>
              </w:rPr>
              <w:t>⑤</w:t>
            </w:r>
            <w:r>
              <w:rPr>
                <w:bCs/>
              </w:rPr>
              <w:fldChar w:fldCharType="end"/>
            </w:r>
            <w:r>
              <w:rPr>
                <w:rFonts w:hint="eastAsia"/>
                <w:bCs/>
              </w:rPr>
              <w:t>一般固体废物与生活垃圾分别处置；</w:t>
            </w:r>
          </w:p>
          <w:p w14:paraId="339DDBB7">
            <w:pPr>
              <w:spacing w:line="460" w:lineRule="exact"/>
              <w:ind w:left="480"/>
              <w:rPr>
                <w:bCs/>
              </w:rPr>
            </w:pPr>
            <w:r>
              <w:rPr>
                <w:bCs/>
              </w:rPr>
              <w:fldChar w:fldCharType="begin"/>
            </w:r>
            <w:r>
              <w:rPr>
                <w:bCs/>
              </w:rPr>
              <w:instrText xml:space="preserve"> </w:instrText>
            </w:r>
            <w:r>
              <w:rPr>
                <w:rFonts w:hint="eastAsia"/>
                <w:bCs/>
              </w:rPr>
              <w:instrText xml:space="preserve">= 6 \* GB3</w:instrText>
            </w:r>
            <w:r>
              <w:rPr>
                <w:bCs/>
              </w:rPr>
              <w:instrText xml:space="preserve"> </w:instrText>
            </w:r>
            <w:r>
              <w:rPr>
                <w:bCs/>
              </w:rPr>
              <w:fldChar w:fldCharType="separate"/>
            </w:r>
            <w:r>
              <w:rPr>
                <w:rFonts w:hint="eastAsia"/>
                <w:bCs/>
              </w:rPr>
              <w:t>⑥</w:t>
            </w:r>
            <w:r>
              <w:rPr>
                <w:bCs/>
              </w:rPr>
              <w:fldChar w:fldCharType="end"/>
            </w:r>
            <w:r>
              <w:rPr>
                <w:rFonts w:hint="eastAsia"/>
                <w:bCs/>
              </w:rPr>
              <w:t>妥善处理产生的固体废物，不造成二次污染。</w:t>
            </w:r>
          </w:p>
          <w:p w14:paraId="4A02C236">
            <w:pPr>
              <w:spacing w:line="460" w:lineRule="exact"/>
              <w:ind w:firstLine="480" w:firstLineChars="200"/>
              <w:rPr>
                <w:bCs/>
              </w:rPr>
            </w:pPr>
            <w:r>
              <w:rPr>
                <w:bCs/>
              </w:rPr>
              <w:fldChar w:fldCharType="begin"/>
            </w:r>
            <w:r>
              <w:rPr>
                <w:bCs/>
              </w:rPr>
              <w:instrText xml:space="preserve"> </w:instrText>
            </w:r>
            <w:r>
              <w:rPr>
                <w:rFonts w:hint="eastAsia"/>
                <w:bCs/>
              </w:rPr>
              <w:instrText xml:space="preserve">= 7 \* GB3</w:instrText>
            </w:r>
            <w:r>
              <w:rPr>
                <w:bCs/>
              </w:rPr>
              <w:instrText xml:space="preserve"> </w:instrText>
            </w:r>
            <w:r>
              <w:rPr>
                <w:bCs/>
              </w:rPr>
              <w:fldChar w:fldCharType="separate"/>
            </w:r>
            <w:r>
              <w:rPr>
                <w:rFonts w:hint="eastAsia"/>
                <w:bCs/>
              </w:rPr>
              <w:t>⑦</w:t>
            </w:r>
            <w:r>
              <w:rPr>
                <w:bCs/>
              </w:rPr>
              <w:fldChar w:fldCharType="end"/>
            </w:r>
            <w:r>
              <w:rPr>
                <w:rFonts w:hint="eastAsia"/>
                <w:bCs/>
              </w:rPr>
              <w:t>厂内一般固体废物按照《一般工业固体废物贮存和填埋污染控制标准》</w:t>
            </w:r>
          </w:p>
          <w:p w14:paraId="6075927F">
            <w:pPr>
              <w:spacing w:line="460" w:lineRule="exact"/>
              <w:rPr>
                <w:bCs/>
              </w:rPr>
            </w:pPr>
            <w:r>
              <w:rPr>
                <w:rFonts w:hint="eastAsia"/>
                <w:bCs/>
              </w:rPr>
              <w:t>（GB18599-2020）要求在单独地点妥善收集、储存，外售。</w:t>
            </w:r>
          </w:p>
          <w:p w14:paraId="4B4C9655">
            <w:pPr>
              <w:spacing w:line="460" w:lineRule="exact"/>
              <w:ind w:firstLine="480" w:firstLineChars="200"/>
              <w:rPr>
                <w:bCs/>
              </w:rPr>
            </w:pPr>
            <w:r>
              <w:rPr>
                <w:rFonts w:hint="eastAsia"/>
                <w:bCs/>
              </w:rPr>
              <w:t>2）环境管理要求</w:t>
            </w:r>
          </w:p>
          <w:p w14:paraId="54302AE5">
            <w:pPr>
              <w:spacing w:line="460" w:lineRule="exact"/>
              <w:ind w:firstLine="480" w:firstLineChars="200"/>
              <w:rPr>
                <w:bCs/>
              </w:rPr>
            </w:pPr>
            <w:r>
              <w:rPr>
                <w:rFonts w:hint="eastAsia"/>
                <w:bCs/>
              </w:rPr>
              <w:t>①企业应建立一般固体废物污染环境防治责任制度按照《一般工业固体废物管理台账制定指南（试行）》建立固体废物管理台账。一般工业固体废物管理台账实施分级管理。应当结合环境影响评价、排污许可等材料，根据实际生产运营情况记录固体废物的产生、贮存、利用、处置数量和利用、处置方式等信息。填写时应确保固体废物的来源信息、流向信息完整准确；根据固体废物产生周期，可按日或按班次、批次填写。</w:t>
            </w:r>
          </w:p>
          <w:p w14:paraId="56EA823C">
            <w:pPr>
              <w:spacing w:line="460" w:lineRule="exact"/>
              <w:ind w:firstLine="480" w:firstLineChars="200"/>
              <w:rPr>
                <w:bCs/>
              </w:rPr>
            </w:pPr>
            <w:r>
              <w:rPr>
                <w:rFonts w:hint="eastAsia"/>
                <w:bCs/>
              </w:rPr>
              <w:t>②产废单位填写台账记录表时，应当根据自身固体废物产生情况，应选择对应的固体废物种类和代码，并根据固体废物种类确定固体废物的具体名称。</w:t>
            </w:r>
          </w:p>
          <w:p w14:paraId="7D9318FA">
            <w:pPr>
              <w:spacing w:line="460" w:lineRule="exact"/>
              <w:ind w:firstLine="480" w:firstLineChars="200"/>
              <w:rPr>
                <w:bCs/>
              </w:rPr>
            </w:pPr>
            <w:r>
              <w:rPr>
                <w:rFonts w:hint="eastAsia"/>
                <w:bCs/>
              </w:rPr>
              <w:t>③鼓励产废单位采用国家建立的一般工业固体废物管理电子台账，简化数据填写、台账管理等工作。</w:t>
            </w:r>
          </w:p>
          <w:p w14:paraId="0F321F37">
            <w:pPr>
              <w:spacing w:line="460" w:lineRule="exact"/>
              <w:ind w:firstLine="480" w:firstLineChars="200"/>
              <w:rPr>
                <w:bCs/>
              </w:rPr>
            </w:pPr>
            <w:r>
              <w:rPr>
                <w:rFonts w:hint="eastAsia"/>
                <w:bCs/>
              </w:rPr>
              <w:t>④台账记录表各表单的负责人对记录信息的真实性、完整性和规范性负责。</w:t>
            </w:r>
          </w:p>
          <w:p w14:paraId="10E44624">
            <w:pPr>
              <w:spacing w:line="460" w:lineRule="exact"/>
              <w:ind w:firstLine="480" w:firstLineChars="200"/>
              <w:rPr>
                <w:bCs/>
              </w:rPr>
            </w:pPr>
            <w:r>
              <w:rPr>
                <w:rFonts w:hint="eastAsia"/>
                <w:bCs/>
              </w:rPr>
              <w:t>⑤产废单位应当设立专人负责台账的管理与归档，一般工业固体废物管理台账保存期限不少于5年。</w:t>
            </w:r>
          </w:p>
          <w:p w14:paraId="20639FA8">
            <w:pPr>
              <w:spacing w:line="460" w:lineRule="exact"/>
              <w:ind w:firstLine="480" w:firstLineChars="200"/>
            </w:pPr>
            <w:r>
              <w:t>（4）危险废物环境影响分析和保护措施</w:t>
            </w:r>
          </w:p>
          <w:p w14:paraId="28F0BBEF">
            <w:pPr>
              <w:spacing w:line="460" w:lineRule="exact"/>
              <w:ind w:firstLine="480" w:firstLineChars="200"/>
            </w:pPr>
            <w:r>
              <w:t>本项目产生的危险废物分别按照废物特性采用专门的容器收集后暂存于项目危废仓库，定期交</w:t>
            </w:r>
            <w:r>
              <w:rPr>
                <w:rFonts w:hint="eastAsia"/>
              </w:rPr>
              <w:t>由有危废处置</w:t>
            </w:r>
            <w:r>
              <w:t>资质单位处理。项目在厂区新建1间危废暂存间，占地面积约20m</w:t>
            </w:r>
            <w:r>
              <w:rPr>
                <w:vertAlign w:val="superscript"/>
              </w:rPr>
              <w:t>2</w:t>
            </w:r>
            <w:r>
              <w:t>，</w:t>
            </w:r>
            <w:r>
              <w:rPr>
                <w:rFonts w:hint="eastAsia"/>
                <w:bCs/>
              </w:rPr>
              <w:t>项目危废产生量较小，并且产生后及时外委处置，不在厂区长时间大规模储存，因此危险废物贮存库储存规模可满足本项目储存需求。危险废物贮存库根据</w:t>
            </w:r>
            <w:bookmarkStart w:id="25" w:name="_Hlk165225669"/>
            <w:r>
              <w:rPr>
                <w:rFonts w:hint="eastAsia"/>
                <w:bCs/>
              </w:rPr>
              <w:t>《危险废物贮存污染控制标准》（GB18597-2023）</w:t>
            </w:r>
            <w:bookmarkEnd w:id="25"/>
            <w:r>
              <w:rPr>
                <w:rFonts w:hint="eastAsia"/>
                <w:bCs/>
              </w:rPr>
              <w:t>相关要求建设，危险废物贮存需满足相关要求。</w:t>
            </w:r>
          </w:p>
          <w:p w14:paraId="366699BD">
            <w:pPr>
              <w:spacing w:line="460" w:lineRule="exact"/>
              <w:ind w:firstLine="480" w:firstLineChars="200"/>
              <w:rPr>
                <w:bCs/>
              </w:rPr>
            </w:pPr>
            <w:r>
              <w:rPr>
                <w:rFonts w:hint="eastAsia"/>
                <w:bCs/>
              </w:rPr>
              <w:t>1）危险废物贮存容器和包装物</w:t>
            </w:r>
          </w:p>
          <w:p w14:paraId="1924C04E">
            <w:pPr>
              <w:spacing w:line="460" w:lineRule="exact"/>
              <w:ind w:firstLine="480" w:firstLineChars="200"/>
              <w:rPr>
                <w:bCs/>
              </w:rPr>
            </w:pPr>
            <w:r>
              <w:rPr>
                <w:rFonts w:hint="eastAsia"/>
                <w:bCs/>
              </w:rPr>
              <w:t>①容器和包装物材质、内衬应与盛装的危险废物相容。</w:t>
            </w:r>
          </w:p>
          <w:p w14:paraId="31F21F3E">
            <w:pPr>
              <w:spacing w:line="460" w:lineRule="exact"/>
              <w:ind w:firstLine="480" w:firstLineChars="200"/>
              <w:rPr>
                <w:bCs/>
              </w:rPr>
            </w:pPr>
            <w:r>
              <w:rPr>
                <w:rFonts w:hint="eastAsia"/>
                <w:bCs/>
              </w:rPr>
              <w:t>②针对不同类别、形态、物理化学性质的危险废物，其容器和包装物应满足相应的防渗、防漏、防腐和强度等要求。</w:t>
            </w:r>
          </w:p>
          <w:p w14:paraId="30A55C20">
            <w:pPr>
              <w:spacing w:line="460" w:lineRule="exact"/>
              <w:ind w:firstLine="480" w:firstLineChars="200"/>
              <w:rPr>
                <w:bCs/>
              </w:rPr>
            </w:pPr>
            <w:r>
              <w:rPr>
                <w:rFonts w:hint="eastAsia"/>
                <w:bCs/>
              </w:rPr>
              <w:t>③硬质容器和包装物及其支护结构堆叠码放时不应有明显变形，无破损泄漏。</w:t>
            </w:r>
          </w:p>
          <w:p w14:paraId="52CBFFDB">
            <w:pPr>
              <w:spacing w:line="460" w:lineRule="exact"/>
              <w:ind w:firstLine="480" w:firstLineChars="200"/>
              <w:rPr>
                <w:bCs/>
              </w:rPr>
            </w:pPr>
            <w:r>
              <w:rPr>
                <w:rFonts w:hint="eastAsia"/>
                <w:bCs/>
              </w:rPr>
              <w:t>④柔性容器和包装物堆叠码放时应封口严密，无破损泄漏。</w:t>
            </w:r>
          </w:p>
          <w:p w14:paraId="7723524A">
            <w:pPr>
              <w:spacing w:line="460" w:lineRule="exact"/>
              <w:ind w:firstLine="480" w:firstLineChars="200"/>
              <w:rPr>
                <w:bCs/>
              </w:rPr>
            </w:pPr>
            <w:r>
              <w:rPr>
                <w:rFonts w:hint="eastAsia"/>
                <w:bCs/>
              </w:rPr>
              <w:t>⑤使用容器盛装液态、半固态危险废物时，容器内部应留有适当的空间，以适应因温度变化等可能引发的收缩和膨胀，防止其导致容器渗漏或永久变形。</w:t>
            </w:r>
          </w:p>
          <w:p w14:paraId="2118EA01">
            <w:pPr>
              <w:spacing w:line="460" w:lineRule="exact"/>
              <w:ind w:firstLine="480" w:firstLineChars="200"/>
              <w:rPr>
                <w:bCs/>
              </w:rPr>
            </w:pPr>
            <w:r>
              <w:rPr>
                <w:rFonts w:hint="eastAsia"/>
                <w:bCs/>
              </w:rPr>
              <w:t>⑥容器和包装物外表面应保持清洁。</w:t>
            </w:r>
          </w:p>
          <w:p w14:paraId="53D5EB6C">
            <w:pPr>
              <w:spacing w:line="460" w:lineRule="exact"/>
              <w:ind w:firstLine="480" w:firstLineChars="200"/>
              <w:rPr>
                <w:bCs/>
              </w:rPr>
            </w:pPr>
            <w:r>
              <w:rPr>
                <w:rFonts w:hint="eastAsia"/>
                <w:bCs/>
              </w:rPr>
              <w:t>2）危险废物贮存要求</w:t>
            </w:r>
          </w:p>
          <w:p w14:paraId="50B57DE0">
            <w:pPr>
              <w:spacing w:line="460" w:lineRule="exact"/>
              <w:ind w:firstLine="480" w:firstLineChars="200"/>
              <w:rPr>
                <w:bCs/>
              </w:rPr>
            </w:pPr>
            <w:r>
              <w:rPr>
                <w:rFonts w:hint="eastAsia"/>
                <w:bCs/>
              </w:rPr>
              <w:t>①在常温常压下不易水解、不易挥发的固态危险废物可分类堆放贮存，其他固态危险废物应装入容器或包装物内贮存。</w:t>
            </w:r>
          </w:p>
          <w:p w14:paraId="5DAAECF0">
            <w:pPr>
              <w:spacing w:line="460" w:lineRule="exact"/>
              <w:ind w:firstLine="480" w:firstLineChars="200"/>
              <w:rPr>
                <w:bCs/>
              </w:rPr>
            </w:pPr>
            <w:r>
              <w:rPr>
                <w:rFonts w:hint="eastAsia"/>
                <w:bCs/>
              </w:rPr>
              <w:t>②液态危险废物应装入容器内贮存，或直接采用贮存池、贮存罐区贮存。</w:t>
            </w:r>
          </w:p>
          <w:p w14:paraId="0150A8FB">
            <w:pPr>
              <w:spacing w:line="460" w:lineRule="exact"/>
              <w:ind w:firstLine="480" w:firstLineChars="200"/>
              <w:rPr>
                <w:bCs/>
              </w:rPr>
            </w:pPr>
            <w:r>
              <w:rPr>
                <w:rFonts w:hint="eastAsia"/>
                <w:bCs/>
              </w:rPr>
              <w:t>③半固态危险废物应装入容器或包装袋内贮存，或直接采用贮存池贮存。</w:t>
            </w:r>
          </w:p>
          <w:p w14:paraId="0E6F46FB">
            <w:pPr>
              <w:spacing w:line="460" w:lineRule="exact"/>
              <w:ind w:firstLine="480" w:firstLineChars="200"/>
              <w:rPr>
                <w:bCs/>
              </w:rPr>
            </w:pPr>
            <w:r>
              <w:rPr>
                <w:rFonts w:hint="eastAsia"/>
                <w:bCs/>
              </w:rPr>
              <w:t>④具有热塑性的危险废物应装入容器或包装袋内进行贮存。</w:t>
            </w:r>
          </w:p>
          <w:p w14:paraId="5E02BB96">
            <w:pPr>
              <w:spacing w:line="460" w:lineRule="exact"/>
              <w:ind w:firstLine="480" w:firstLineChars="200"/>
              <w:rPr>
                <w:bCs/>
              </w:rPr>
            </w:pPr>
            <w:r>
              <w:rPr>
                <w:rFonts w:hint="eastAsia"/>
                <w:bCs/>
              </w:rPr>
              <w:t>⑤易产生粉尘、VOCs、酸雾、有毒有害大气污染物和刺激性气味气体的危险废物应装入闭口容器或包装物内贮存。</w:t>
            </w:r>
          </w:p>
          <w:p w14:paraId="29E35BDF">
            <w:pPr>
              <w:spacing w:line="460" w:lineRule="exact"/>
              <w:ind w:firstLine="480" w:firstLineChars="200"/>
              <w:rPr>
                <w:bCs/>
              </w:rPr>
            </w:pPr>
            <w:r>
              <w:rPr>
                <w:rFonts w:hint="eastAsia"/>
                <w:bCs/>
              </w:rPr>
              <w:t>⑥危险废物贮存过程中易产生粉尘等无组织排放的，应采取抑尘等有效措施。</w:t>
            </w:r>
          </w:p>
          <w:p w14:paraId="12484B3D">
            <w:pPr>
              <w:spacing w:line="460" w:lineRule="exact"/>
              <w:ind w:firstLine="480" w:firstLineChars="200"/>
              <w:rPr>
                <w:bCs/>
              </w:rPr>
            </w:pPr>
            <w:r>
              <w:rPr>
                <w:rFonts w:hint="eastAsia"/>
                <w:bCs/>
              </w:rPr>
              <w:t>⑦危险废物贮存库内地面、墙面裙脚、堵截泄漏的围堰、接触危险废物的隔板和墙体等应采用坚固的材料建造，表面无裂缝。</w:t>
            </w:r>
          </w:p>
          <w:p w14:paraId="7A7B12BD">
            <w:pPr>
              <w:spacing w:line="460" w:lineRule="exact"/>
              <w:ind w:firstLine="480" w:firstLineChars="200"/>
              <w:rPr>
                <w:bCs/>
              </w:rPr>
            </w:pPr>
            <w:r>
              <w:rPr>
                <w:rFonts w:hint="eastAsia"/>
                <w:bCs/>
              </w:rPr>
              <w:t>⑧危险废物贮存库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bCs/>
                <w:vertAlign w:val="superscript"/>
              </w:rPr>
              <w:t>-7</w:t>
            </w:r>
            <w:r>
              <w:rPr>
                <w:rFonts w:hint="eastAsia"/>
                <w:bCs/>
              </w:rPr>
              <w:t>cm/s），或至少2mm厚高密度聚乙烯膜等人工防渗材料（渗透系数不大于10</w:t>
            </w:r>
            <w:r>
              <w:rPr>
                <w:rFonts w:hint="eastAsia"/>
                <w:bCs/>
                <w:vertAlign w:val="superscript"/>
              </w:rPr>
              <w:t>-10</w:t>
            </w:r>
            <w:r>
              <w:rPr>
                <w:rFonts w:hint="eastAsia"/>
                <w:bCs/>
              </w:rPr>
              <w:t>cm/s），或其他防渗性能等效的材料。</w:t>
            </w:r>
          </w:p>
          <w:p w14:paraId="5E8AC39C">
            <w:pPr>
              <w:spacing w:line="460" w:lineRule="exact"/>
              <w:ind w:firstLine="480" w:firstLineChars="200"/>
              <w:rPr>
                <w:bCs/>
              </w:rPr>
            </w:pPr>
            <w:r>
              <w:rPr>
                <w:rFonts w:hint="eastAsia"/>
                <w:bCs/>
              </w:rPr>
              <w:t>⑨危险废物贮存库采用相同的防渗、防腐工艺（包括防渗、防腐结构或材料），防渗、防腐材料应覆盖所有可能与废物及其渗滤液、渗漏液等接触的构筑物表面。</w:t>
            </w:r>
          </w:p>
          <w:p w14:paraId="0C7F27B1">
            <w:pPr>
              <w:spacing w:line="460" w:lineRule="exact"/>
              <w:ind w:firstLine="480" w:firstLineChars="200"/>
              <w:rPr>
                <w:bCs/>
              </w:rPr>
            </w:pPr>
            <w:r>
              <w:rPr>
                <w:rFonts w:hint="eastAsia"/>
                <w:bCs/>
              </w:rPr>
              <w:t>⑩在危险废物贮存库液态危险废物贮存区，应具有液体泄漏堵截设施，堵截设施最小容积不应低于对应贮存区域最大液态废物容器容积或液态废物总储量 1/10（二者取较大者）；用于贮存可能产生渗滤液的危险废物的贮存库或贮存分区应设计渗滤液收集设施，收集设施容积应满足渗滤液的收集要求。</w:t>
            </w:r>
          </w:p>
          <w:p w14:paraId="052279FC">
            <w:pPr>
              <w:spacing w:line="460" w:lineRule="exact"/>
              <w:ind w:firstLine="480" w:firstLineChars="200"/>
              <w:rPr>
                <w:bCs/>
              </w:rPr>
            </w:pPr>
            <w:r>
              <w:rPr>
                <w:rFonts w:hint="eastAsia"/>
                <w:bCs/>
              </w:rPr>
              <w:t>3）危险废物贮存设施运行与管理要求</w:t>
            </w:r>
          </w:p>
          <w:p w14:paraId="16AE735E">
            <w:pPr>
              <w:spacing w:line="460" w:lineRule="exact"/>
              <w:ind w:firstLine="480" w:firstLineChars="200"/>
              <w:rPr>
                <w:bCs/>
              </w:rPr>
            </w:pPr>
            <w:r>
              <w:rPr>
                <w:rFonts w:hint="eastAsia"/>
                <w:bCs/>
              </w:rPr>
              <w:t>①危险废物存入贮存设施前应对危险废物类别和特性与危险废物标签等危险废物识别标志的一致性进行核验，不一致的或类别、特性不明的不应存入。</w:t>
            </w:r>
          </w:p>
          <w:p w14:paraId="3D8CA72E">
            <w:pPr>
              <w:spacing w:line="460" w:lineRule="exact"/>
              <w:ind w:firstLine="480" w:firstLineChars="200"/>
              <w:rPr>
                <w:bCs/>
              </w:rPr>
            </w:pPr>
            <w:r>
              <w:rPr>
                <w:rFonts w:hint="eastAsia"/>
                <w:bCs/>
              </w:rPr>
              <w:t>②应定期检查危险废物的贮存状况，及时清理贮存设施地面，更换破损泄漏的危险废物贮存容器和包装物，保证堆存危险废物的防雨、防风、防扬尘等设施功能完好</w:t>
            </w:r>
          </w:p>
          <w:p w14:paraId="57F654DE">
            <w:pPr>
              <w:spacing w:line="460" w:lineRule="exact"/>
              <w:ind w:firstLine="480" w:firstLineChars="200"/>
              <w:rPr>
                <w:bCs/>
              </w:rPr>
            </w:pPr>
            <w:r>
              <w:rPr>
                <w:rFonts w:hint="eastAsia"/>
                <w:bCs/>
              </w:rPr>
              <w:t>③作业设备及车辆等结束作业离开贮存设施时，应对其残留的危险废物进行清理，清理的废物或清洗废水应收集处理。</w:t>
            </w:r>
          </w:p>
          <w:p w14:paraId="2022BB97">
            <w:pPr>
              <w:spacing w:line="460" w:lineRule="exact"/>
              <w:ind w:firstLine="480" w:firstLineChars="200"/>
              <w:rPr>
                <w:bCs/>
              </w:rPr>
            </w:pPr>
            <w:r>
              <w:rPr>
                <w:rFonts w:hint="eastAsia"/>
                <w:bCs/>
              </w:rPr>
              <w:t>④贮存设施运行期间，应按国家有关标准和规定建立危险废物管理台账并保存。</w:t>
            </w:r>
          </w:p>
          <w:p w14:paraId="6F835BC1">
            <w:pPr>
              <w:spacing w:line="460" w:lineRule="exact"/>
              <w:ind w:firstLine="480" w:firstLineChars="200"/>
              <w:rPr>
                <w:bCs/>
              </w:rPr>
            </w:pPr>
            <w:r>
              <w:rPr>
                <w:rFonts w:hint="eastAsia"/>
                <w:bCs/>
              </w:rPr>
              <w:t>⑤贮存设施所有者或运营者应建立贮存设施环境管理制度、管理人员岗位职责制度、设施运行操作制度、人员岗位培训制度等。</w:t>
            </w:r>
          </w:p>
          <w:p w14:paraId="1D63FB65">
            <w:pPr>
              <w:spacing w:line="460" w:lineRule="exact"/>
              <w:ind w:firstLine="480" w:firstLineChars="200"/>
              <w:rPr>
                <w:bCs/>
              </w:rPr>
            </w:pPr>
            <w:r>
              <w:rPr>
                <w:rFonts w:hint="eastAsia"/>
                <w:bCs/>
              </w:rPr>
              <w:t>⑥贮存设施所有者或运营者应依据国家土壤和地下水污染防治的有关规定，结合贮存设施特点建立土壤和地下水污染隐患排查制度，并定期开展隐患排查；发现隐患应及时采取措施消除隐患，并建立档案。</w:t>
            </w:r>
          </w:p>
          <w:p w14:paraId="1FB003F8">
            <w:pPr>
              <w:spacing w:line="460" w:lineRule="exact"/>
              <w:ind w:firstLine="480" w:firstLineChars="200"/>
              <w:rPr>
                <w:bCs/>
              </w:rPr>
            </w:pPr>
            <w:r>
              <w:rPr>
                <w:rFonts w:hint="eastAsia"/>
                <w:bCs/>
              </w:rPr>
              <w:t>⑦贮存设施所有者或运营者应建立贮存设施全部档案，包括设计、施工、验收、运行、监测和环境应急等，应按国家有关档案管理的法律法规进行整理和归档。</w:t>
            </w:r>
          </w:p>
          <w:p w14:paraId="4FB01D70">
            <w:pPr>
              <w:spacing w:line="460" w:lineRule="exact"/>
              <w:ind w:firstLine="480" w:firstLineChars="200"/>
              <w:rPr>
                <w:bCs/>
              </w:rPr>
            </w:pPr>
            <w:r>
              <w:rPr>
                <w:bCs/>
              </w:rPr>
              <w:fldChar w:fldCharType="begin"/>
            </w:r>
            <w:r>
              <w:rPr>
                <w:bCs/>
              </w:rPr>
              <w:instrText xml:space="preserve"> </w:instrText>
            </w:r>
            <w:r>
              <w:rPr>
                <w:rFonts w:hint="eastAsia"/>
                <w:bCs/>
              </w:rPr>
              <w:instrText xml:space="preserve">= 8 \* GB3</w:instrText>
            </w:r>
            <w:r>
              <w:rPr>
                <w:bCs/>
              </w:rPr>
              <w:instrText xml:space="preserve"> </w:instrText>
            </w:r>
            <w:r>
              <w:rPr>
                <w:bCs/>
              </w:rPr>
              <w:fldChar w:fldCharType="separate"/>
            </w:r>
            <w:r>
              <w:rPr>
                <w:rFonts w:hint="eastAsia"/>
                <w:bCs/>
              </w:rPr>
              <w:t>⑧</w:t>
            </w:r>
            <w:r>
              <w:rPr>
                <w:bCs/>
              </w:rPr>
              <w:fldChar w:fldCharType="end"/>
            </w:r>
            <w:r>
              <w:rPr>
                <w:rFonts w:hint="eastAsia"/>
                <w:bCs/>
              </w:rPr>
              <w:t>危险废物收集、贮存、运输时应按腐蚀性、毒性、易燃性、反应性和感染性等危险特性对危险废物进行分类、包装并设置相应的标志及标签。</w:t>
            </w:r>
          </w:p>
          <w:p w14:paraId="493FE43B">
            <w:pPr>
              <w:spacing w:line="460" w:lineRule="exact"/>
              <w:ind w:firstLine="480" w:firstLineChars="200"/>
              <w:rPr>
                <w:bCs/>
              </w:rPr>
            </w:pPr>
            <w:r>
              <w:rPr>
                <w:bCs/>
              </w:rPr>
              <w:fldChar w:fldCharType="begin"/>
            </w:r>
            <w:r>
              <w:rPr>
                <w:bCs/>
              </w:rPr>
              <w:instrText xml:space="preserve"> </w:instrText>
            </w:r>
            <w:r>
              <w:rPr>
                <w:rFonts w:hint="eastAsia"/>
                <w:bCs/>
              </w:rPr>
              <w:instrText xml:space="preserve">= 9 \* GB3</w:instrText>
            </w:r>
            <w:r>
              <w:rPr>
                <w:bCs/>
              </w:rPr>
              <w:instrText xml:space="preserve"> </w:instrText>
            </w:r>
            <w:r>
              <w:rPr>
                <w:bCs/>
              </w:rPr>
              <w:fldChar w:fldCharType="separate"/>
            </w:r>
            <w:r>
              <w:rPr>
                <w:rFonts w:hint="eastAsia"/>
                <w:bCs/>
              </w:rPr>
              <w:t>⑨</w:t>
            </w:r>
            <w:r>
              <w:rPr>
                <w:bCs/>
              </w:rPr>
              <w:fldChar w:fldCharType="end"/>
            </w:r>
            <w:r>
              <w:rPr>
                <w:rFonts w:hint="eastAsia"/>
                <w:bCs/>
              </w:rPr>
              <w:t>危险废物收集和转运作业人员应根据工作需要配备必要的个人防护装备，如手套、防护镜、防护服、防毒面具或口罩等。</w:t>
            </w:r>
          </w:p>
          <w:p w14:paraId="61F17902">
            <w:pPr>
              <w:spacing w:line="460" w:lineRule="exact"/>
              <w:ind w:firstLine="480" w:firstLineChars="200"/>
              <w:rPr>
                <w:bCs/>
              </w:rPr>
            </w:pPr>
            <w:r>
              <w:rPr>
                <w:bCs/>
              </w:rPr>
              <w:fldChar w:fldCharType="begin"/>
            </w:r>
            <w:r>
              <w:rPr>
                <w:bCs/>
              </w:rPr>
              <w:instrText xml:space="preserve"> </w:instrText>
            </w:r>
            <w:r>
              <w:rPr>
                <w:rFonts w:hint="eastAsia"/>
                <w:bCs/>
              </w:rPr>
              <w:instrText xml:space="preserve">= 10 \* GB3</w:instrText>
            </w:r>
            <w:r>
              <w:rPr>
                <w:bCs/>
              </w:rPr>
              <w:instrText xml:space="preserve"> </w:instrText>
            </w:r>
            <w:r>
              <w:rPr>
                <w:bCs/>
              </w:rPr>
              <w:fldChar w:fldCharType="separate"/>
            </w:r>
            <w:r>
              <w:rPr>
                <w:rFonts w:hint="eastAsia"/>
                <w:bCs/>
              </w:rPr>
              <w:t>⑩</w:t>
            </w:r>
            <w:r>
              <w:rPr>
                <w:bCs/>
              </w:rPr>
              <w:fldChar w:fldCharType="end"/>
            </w:r>
            <w:r>
              <w:rPr>
                <w:rFonts w:hint="eastAsia"/>
                <w:bCs/>
              </w:rPr>
              <w:t>危险废物内部转运作业应满足如下要求：危险废物内部转运应综合考虑厂区的实际情况确定转运路线，尽量避开办公区和生活区。危险废物内部转运结束后，应对转运路线进行检查和清理，确保无危险废物遗失在转运路线上，并对转运工具进行清洗。</w:t>
            </w:r>
          </w:p>
          <w:p w14:paraId="3E95165D">
            <w:pPr>
              <w:spacing w:line="460" w:lineRule="exact"/>
              <w:ind w:firstLine="480" w:firstLineChars="200"/>
              <w:rPr>
                <w:bCs/>
              </w:rPr>
            </w:pPr>
            <w:r>
              <w:rPr>
                <w:rFonts w:hint="eastAsia"/>
                <w:bCs/>
              </w:rPr>
              <w:t>4）贮存点环境管理要求</w:t>
            </w:r>
          </w:p>
          <w:p w14:paraId="7887BC62">
            <w:pPr>
              <w:spacing w:line="460" w:lineRule="exact"/>
              <w:ind w:firstLine="480" w:firstLineChars="200"/>
              <w:rPr>
                <w:bCs/>
              </w:rPr>
            </w:pPr>
            <w:r>
              <w:rPr>
                <w:rFonts w:hint="eastAsia"/>
                <w:bCs/>
              </w:rPr>
              <w:t>①贮存点应具有固定的区域边界，并应采取与其他区域进行隔离的措施。</w:t>
            </w:r>
          </w:p>
          <w:p w14:paraId="0A52EA33">
            <w:pPr>
              <w:spacing w:line="460" w:lineRule="exact"/>
              <w:ind w:firstLine="480" w:firstLineChars="200"/>
              <w:rPr>
                <w:bCs/>
              </w:rPr>
            </w:pPr>
            <w:r>
              <w:rPr>
                <w:rFonts w:hint="eastAsia"/>
                <w:bCs/>
              </w:rPr>
              <w:t>②贮存点应采取防风、防雨、防晒和防止危险废物流失、扬散等措施。</w:t>
            </w:r>
          </w:p>
          <w:p w14:paraId="29EF5DE7">
            <w:pPr>
              <w:spacing w:line="460" w:lineRule="exact"/>
              <w:ind w:firstLine="480" w:firstLineChars="200"/>
              <w:rPr>
                <w:bCs/>
              </w:rPr>
            </w:pPr>
            <w:r>
              <w:rPr>
                <w:rFonts w:hint="eastAsia"/>
                <w:bCs/>
              </w:rPr>
              <w:t>③贮存点贮存的危险废物应置于容器或包装物中，不应直接散堆。</w:t>
            </w:r>
          </w:p>
          <w:p w14:paraId="5EF2234F">
            <w:pPr>
              <w:spacing w:line="460" w:lineRule="exact"/>
              <w:ind w:firstLine="480" w:firstLineChars="200"/>
              <w:rPr>
                <w:bCs/>
              </w:rPr>
            </w:pPr>
            <w:r>
              <w:rPr>
                <w:rFonts w:hint="eastAsia"/>
                <w:bCs/>
              </w:rPr>
              <w:t>④贮存点应根据危险废物的形态、物理化学性质、包装形式等，采取防渗、防漏等污染防治措施GB 18597-2023或采用具有相应功能的装置。</w:t>
            </w:r>
          </w:p>
          <w:p w14:paraId="0A4176FA">
            <w:pPr>
              <w:spacing w:line="460" w:lineRule="exact"/>
              <w:ind w:firstLine="480" w:firstLineChars="200"/>
              <w:rPr>
                <w:bCs/>
              </w:rPr>
            </w:pPr>
            <w:r>
              <w:rPr>
                <w:rFonts w:hint="eastAsia"/>
                <w:bCs/>
              </w:rPr>
              <w:t>⑤贮存点应及时清运贮存的危险废物，实时贮存量不应超过3吨。</w:t>
            </w:r>
          </w:p>
          <w:p w14:paraId="0C7E102B">
            <w:pPr>
              <w:spacing w:line="460" w:lineRule="exact"/>
              <w:ind w:firstLine="480" w:firstLineChars="200"/>
              <w:rPr>
                <w:bCs/>
              </w:rPr>
            </w:pPr>
            <w:r>
              <w:rPr>
                <w:rFonts w:hint="eastAsia"/>
                <w:bCs/>
              </w:rPr>
              <w:t>5）环境应急要求</w:t>
            </w:r>
          </w:p>
          <w:p w14:paraId="5B3EEFB3">
            <w:pPr>
              <w:spacing w:line="460" w:lineRule="exact"/>
              <w:ind w:firstLine="480" w:firstLineChars="200"/>
              <w:rPr>
                <w:bCs/>
              </w:rPr>
            </w:pPr>
            <w:r>
              <w:rPr>
                <w:rFonts w:hint="eastAsia"/>
                <w:bCs/>
              </w:rPr>
              <w:t>①贮存设施所有者或运营者应按照国家有关规定编制突发环境事件应急预案，定期开展必要的培训和环境应急演练，并做好培训、演练记录。</w:t>
            </w:r>
          </w:p>
          <w:p w14:paraId="187E9B11">
            <w:pPr>
              <w:spacing w:line="460" w:lineRule="exact"/>
              <w:ind w:firstLine="480" w:firstLineChars="200"/>
              <w:rPr>
                <w:bCs/>
              </w:rPr>
            </w:pPr>
            <w:r>
              <w:rPr>
                <w:rFonts w:hint="eastAsia"/>
                <w:bCs/>
              </w:rPr>
              <w:t>②贮存设施所有者或运营者应配备满足其突发环境事件应急要求的应急人员、装备和物资，并应设置应急照明系统。</w:t>
            </w:r>
          </w:p>
          <w:p w14:paraId="4C0FAA60">
            <w:pPr>
              <w:spacing w:line="460" w:lineRule="exact"/>
              <w:ind w:firstLine="480" w:firstLineChars="200"/>
              <w:rPr>
                <w:bCs/>
              </w:rPr>
            </w:pPr>
            <w:r>
              <w:rPr>
                <w:rFonts w:hint="eastAsia"/>
                <w:bCs/>
              </w:rPr>
              <w:t>③相关部门发布自然灾害或恶劣天气预警后，贮存设施所有者或运营者应启动相应防控措施，若有必要可将危险废物转移至其他具有防护条件的地点贮存。</w:t>
            </w:r>
          </w:p>
          <w:p w14:paraId="1007FE7E">
            <w:pPr>
              <w:spacing w:line="460" w:lineRule="exact"/>
              <w:ind w:firstLine="480" w:firstLineChars="200"/>
              <w:rPr>
                <w:bCs/>
              </w:rPr>
            </w:pPr>
            <w:r>
              <w:rPr>
                <w:rFonts w:hint="eastAsia"/>
                <w:bCs/>
              </w:rPr>
              <w:t>6）危险废物贮存安全防护</w:t>
            </w:r>
          </w:p>
          <w:p w14:paraId="1DBAE48B">
            <w:pPr>
              <w:spacing w:line="460" w:lineRule="exact"/>
              <w:ind w:firstLine="480" w:firstLineChars="200"/>
              <w:rPr>
                <w:bCs/>
              </w:rPr>
            </w:pPr>
            <w:r>
              <w:rPr>
                <w:rFonts w:hint="eastAsia"/>
                <w:bCs/>
              </w:rPr>
              <w:t>①危险废物贮存设施都必须按《危险废物识别标志设置技术规范》（HJ1276-2022）的规定设置警示标志。</w:t>
            </w:r>
          </w:p>
          <w:p w14:paraId="25DE67E3">
            <w:pPr>
              <w:spacing w:line="460" w:lineRule="exact"/>
              <w:ind w:firstLine="480" w:firstLineChars="200"/>
              <w:rPr>
                <w:bCs/>
              </w:rPr>
            </w:pPr>
            <w:r>
              <w:rPr>
                <w:rFonts w:hint="eastAsia"/>
                <w:bCs/>
              </w:rPr>
              <w:t>②危险废物贮存设施周围应设置围墙或其它防护栅栏。</w:t>
            </w:r>
          </w:p>
          <w:p w14:paraId="60443C90">
            <w:pPr>
              <w:spacing w:line="460" w:lineRule="exact"/>
              <w:ind w:firstLine="480" w:firstLineChars="200"/>
              <w:rPr>
                <w:bCs/>
              </w:rPr>
            </w:pPr>
            <w:r>
              <w:rPr>
                <w:rFonts w:hint="eastAsia"/>
                <w:bCs/>
              </w:rPr>
              <w:t>③危险废物贮存设施应配备通讯设备、照明设施、安全防护服装及工具，并设有应急防护设施。</w:t>
            </w:r>
          </w:p>
          <w:p w14:paraId="34D45CFF">
            <w:pPr>
              <w:spacing w:line="460" w:lineRule="exact"/>
              <w:ind w:firstLine="480" w:firstLineChars="200"/>
              <w:rPr>
                <w:bCs/>
              </w:rPr>
            </w:pPr>
            <w:r>
              <w:rPr>
                <w:rFonts w:hint="eastAsia"/>
                <w:bCs/>
              </w:rPr>
              <w:t>④危险废物贮存设施内清理出来的泄漏物，一律按危险废物处理。</w:t>
            </w:r>
          </w:p>
          <w:p w14:paraId="52005FB4">
            <w:pPr>
              <w:spacing w:line="460" w:lineRule="exact"/>
              <w:ind w:firstLine="480" w:firstLineChars="200"/>
              <w:rPr>
                <w:bCs/>
              </w:rPr>
            </w:pPr>
            <w:r>
              <w:rPr>
                <w:rFonts w:hint="eastAsia"/>
                <w:bCs/>
              </w:rPr>
              <w:t>⑤危险废物贮存设施的关闭应按照GB18597的有关规定执行，例如在关闭贮存设施前应提交关闭计划书，经批准后方可执行；必须采取措施消除污染；无法消除污染的设备、土壤、墙体等按危险废物处理，并运至正在营运的危险废物处理处置场或其它贮存设施中；监测部门的监测结果表明已不存在污染时，方可摘下警示标志，撤离留守人员。</w:t>
            </w:r>
          </w:p>
          <w:p w14:paraId="736457A7">
            <w:pPr>
              <w:spacing w:line="460" w:lineRule="exact"/>
              <w:ind w:firstLine="480" w:firstLineChars="200"/>
              <w:rPr>
                <w:bCs/>
              </w:rPr>
            </w:pPr>
            <w:r>
              <w:rPr>
                <w:bCs/>
              </w:rPr>
              <w:t>7</w:t>
            </w:r>
            <w:r>
              <w:rPr>
                <w:rFonts w:hint="eastAsia"/>
                <w:bCs/>
              </w:rPr>
              <w:t>）危险废物转运要求</w:t>
            </w:r>
          </w:p>
          <w:p w14:paraId="6B8384A5">
            <w:pPr>
              <w:spacing w:line="460" w:lineRule="exact"/>
              <w:ind w:firstLine="480" w:firstLineChars="200"/>
              <w:rPr>
                <w:bCs/>
              </w:rPr>
            </w:pPr>
            <w:r>
              <w:rPr>
                <w:rFonts w:hint="eastAsia"/>
                <w:bCs/>
              </w:rPr>
              <w:t>根据《危险废物贮存污染控制标准》（GB18597-2023）和《危险废物转移管理办法》、《危险废物收集贮存运输技术规范》（</w:t>
            </w:r>
            <w:r>
              <w:rPr>
                <w:bCs/>
              </w:rPr>
              <w:t>HJ 2025-2012</w:t>
            </w:r>
            <w:r>
              <w:rPr>
                <w:rFonts w:hint="eastAsia"/>
                <w:bCs/>
              </w:rPr>
              <w:t>）等有关危险废物转移的管理办法，企业按照国家有关规定办理危险废物申报转移的“五联单”手续，并在贮运过程中严格执行危险化学品贮存、运输和监管的有关规定：</w:t>
            </w:r>
          </w:p>
          <w:p w14:paraId="2F84AC32">
            <w:pPr>
              <w:spacing w:line="460" w:lineRule="exact"/>
              <w:ind w:firstLine="480" w:firstLineChars="200"/>
              <w:rPr>
                <w:bCs/>
              </w:rPr>
            </w:pPr>
            <w:r>
              <w:rPr>
                <w:rFonts w:hint="eastAsia"/>
                <w:bCs/>
              </w:rPr>
              <w:t>①危险废物外运处置前，须按相关要求完成报批手续；项目试运行后，建设单位须建立危废暂存、外运处置记录台账，建立危险废物转移联单制度等，并建立相应的管理制度，保持危险废物贮存库常闭，并由专人负责。</w:t>
            </w:r>
          </w:p>
          <w:p w14:paraId="0FCED68E">
            <w:pPr>
              <w:spacing w:line="460" w:lineRule="exact"/>
              <w:ind w:firstLine="480" w:firstLineChars="200"/>
              <w:rPr>
                <w:bCs/>
              </w:rPr>
            </w:pPr>
            <w:r>
              <w:rPr>
                <w:rFonts w:hint="eastAsia"/>
                <w:bCs/>
              </w:rPr>
              <w:t>②收集的固废详细列出数量和成分，并填写有关材料，所有废物按类在专用密闭容器中储存，没有混装，废物收集和封装容器得到接受企业和监管部门的认可。</w:t>
            </w:r>
          </w:p>
          <w:p w14:paraId="0D09B7A4">
            <w:pPr>
              <w:spacing w:line="460" w:lineRule="exact"/>
              <w:ind w:firstLine="480" w:firstLineChars="200"/>
              <w:rPr>
                <w:bCs/>
              </w:rPr>
            </w:pPr>
            <w:r>
              <w:rPr>
                <w:rFonts w:hint="eastAsia"/>
                <w:bCs/>
              </w:rPr>
              <w:t>③危险废物运输时的中转、装卸过程应遵守如下技术要求：卸载区的工作人员应熟悉废物的危险特性，并配备适当的个人防护装备，装卸剧毒废物应配备特殊的防护装备；卸载区应配备必要的消防设备和谩施，并设置明显的指示标志；危险废物装卸区应设置隔离设施，液态废物卸载区应设置收集槽和缓冲罐。完善管理制度，确保项目产生固废（特别是危险废物）全部收集、暂存并合理处置。</w:t>
            </w:r>
          </w:p>
          <w:p w14:paraId="48D6CEF1">
            <w:pPr>
              <w:spacing w:line="460" w:lineRule="exact"/>
              <w:ind w:firstLine="480" w:firstLineChars="200"/>
              <w:rPr>
                <w:bCs/>
              </w:rPr>
            </w:pPr>
            <w:r>
              <w:rPr>
                <w:rFonts w:hint="eastAsia"/>
                <w:bCs/>
              </w:rPr>
              <w:t>④由持有危险废物经营许可证的单位组织实施，承担危险废物运输的单位应获得交通运输部门颁发的危险货物运输资质，所有运输车辆的司机和押运人员经专业培训持证上岗，以汽车运输方式应按照《道路危险货物运输管理规定》、JT617以及JT618执行，废弃危险化学品的运输应执行《危险化学品安全管理条例》有关运输的规定，项目暂存的危险废物最终送至具有危险废物处置资质的单位进行处置。</w:t>
            </w:r>
          </w:p>
          <w:p w14:paraId="0E93DEF6">
            <w:pPr>
              <w:spacing w:line="460" w:lineRule="exact"/>
              <w:ind w:firstLine="480" w:firstLineChars="200"/>
              <w:rPr>
                <w:bCs/>
              </w:rPr>
            </w:pPr>
            <w:r>
              <w:rPr>
                <w:bCs/>
              </w:rPr>
              <w:fldChar w:fldCharType="begin"/>
            </w:r>
            <w:r>
              <w:rPr>
                <w:bCs/>
              </w:rPr>
              <w:instrText xml:space="preserve"> </w:instrText>
            </w:r>
            <w:r>
              <w:rPr>
                <w:rFonts w:hint="eastAsia"/>
                <w:bCs/>
              </w:rPr>
              <w:instrText xml:space="preserve">= 5 \* GB3</w:instrText>
            </w:r>
            <w:r>
              <w:rPr>
                <w:bCs/>
              </w:rPr>
              <w:instrText xml:space="preserve"> </w:instrText>
            </w:r>
            <w:r>
              <w:rPr>
                <w:bCs/>
              </w:rPr>
              <w:fldChar w:fldCharType="separate"/>
            </w:r>
            <w:r>
              <w:rPr>
                <w:rFonts w:hint="eastAsia"/>
                <w:bCs/>
              </w:rPr>
              <w:t>⑤</w:t>
            </w:r>
            <w:r>
              <w:rPr>
                <w:bCs/>
              </w:rPr>
              <w:fldChar w:fldCharType="end"/>
            </w:r>
            <w:r>
              <w:rPr>
                <w:rFonts w:hint="eastAsia"/>
                <w:bCs/>
              </w:rPr>
              <w:t>危险废物收集、贮存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p w14:paraId="73CDCE83">
            <w:pPr>
              <w:spacing w:line="460" w:lineRule="exact"/>
              <w:ind w:firstLine="480" w:firstLineChars="200"/>
              <w:rPr>
                <w:bCs/>
              </w:rPr>
            </w:pPr>
            <w:r>
              <w:rPr>
                <w:bCs/>
              </w:rPr>
              <w:t>8</w:t>
            </w:r>
            <w:r>
              <w:rPr>
                <w:rFonts w:hint="eastAsia"/>
                <w:bCs/>
              </w:rPr>
              <w:t>）危险废物环境保护管理</w:t>
            </w:r>
          </w:p>
          <w:p w14:paraId="39786510">
            <w:pPr>
              <w:spacing w:line="460" w:lineRule="exact"/>
              <w:ind w:firstLine="480" w:firstLineChars="200"/>
              <w:rPr>
                <w:bCs/>
              </w:rPr>
            </w:pPr>
            <w:r>
              <w:rPr>
                <w:rFonts w:hint="eastAsia"/>
                <w:bCs/>
              </w:rPr>
              <w:t>①按照《危险废物管理计划和台账制定指南》（HJ1259-2022）的分类管理要求，制定危险废物管理计划，内容应当包括减少危险废物产生量和降低危险废物危害性的措施以及危险废物贮存、利用、处置措施；建立危险废物管理台账，如实记录危险废物的种类、产生量、流向、贮存、利用、处置等有关信息；通过国家危险废物信息管理系统向所在地生态环境主管部门备案危险废物管理计划，申报危险废物有关资料。</w:t>
            </w:r>
          </w:p>
          <w:p w14:paraId="5AC9D8D3">
            <w:pPr>
              <w:spacing w:line="460" w:lineRule="exact"/>
              <w:ind w:firstLine="480" w:firstLineChars="200"/>
              <w:rPr>
                <w:bCs/>
              </w:rPr>
            </w:pPr>
            <w:r>
              <w:rPr>
                <w:rFonts w:hint="eastAsia"/>
                <w:bCs/>
              </w:rPr>
              <w:t>②产生危险废物的单位应当按照实际情况填写记录有关内容，并对内容的真实性、准确性和完整性负责。</w:t>
            </w:r>
          </w:p>
          <w:p w14:paraId="0C8FF178">
            <w:pPr>
              <w:spacing w:line="460" w:lineRule="exact"/>
              <w:ind w:firstLine="480" w:firstLineChars="200"/>
              <w:rPr>
                <w:bCs/>
              </w:rPr>
            </w:pPr>
            <w:r>
              <w:rPr>
                <w:rFonts w:hint="eastAsia"/>
                <w:bCs/>
              </w:rPr>
              <w:t>③《国家危险废物名录》后期若修订发布后危险废物种类及代码等按照最新发布《名录》要求执行。</w:t>
            </w:r>
          </w:p>
          <w:p w14:paraId="092F41C5">
            <w:pPr>
              <w:spacing w:line="460" w:lineRule="exact"/>
              <w:ind w:firstLine="480" w:firstLineChars="200"/>
              <w:rPr>
                <w:bCs/>
              </w:rPr>
            </w:pPr>
            <w:r>
              <w:rPr>
                <w:bCs/>
              </w:rPr>
              <w:t>综上，本项目所有产生的固体废物都储存于厂内设置的专用储存场所暂存，对于一般工业固废采取回收、综合利用方式进行处置，对危险废物委托具有相应资质单位进行处置，可确保本项目所产生的所有固体废物都 得到有效处理和处置，不会对外环境造成二次污染影响。</w:t>
            </w:r>
          </w:p>
          <w:p w14:paraId="74FAC661">
            <w:pPr>
              <w:spacing w:line="460" w:lineRule="exact"/>
              <w:ind w:firstLine="482" w:firstLineChars="200"/>
              <w:rPr>
                <w:b/>
                <w:bCs/>
              </w:rPr>
            </w:pPr>
            <w:r>
              <w:rPr>
                <w:b/>
                <w:bCs/>
              </w:rPr>
              <w:t>5、地下水、土壤环境影响和保护措施</w:t>
            </w:r>
          </w:p>
          <w:p w14:paraId="539970B2">
            <w:pPr>
              <w:spacing w:line="460" w:lineRule="exact"/>
              <w:ind w:firstLine="480" w:firstLineChars="200"/>
            </w:pPr>
            <w:r>
              <w:t>本项目水泥稳定土</w:t>
            </w:r>
            <w:r>
              <w:rPr>
                <w:rFonts w:hint="eastAsia"/>
              </w:rPr>
              <w:t>和水泥混凝土</w:t>
            </w:r>
            <w:r>
              <w:t>搅拌用水</w:t>
            </w:r>
            <w:r>
              <w:rPr>
                <w:rFonts w:hint="eastAsia"/>
              </w:rPr>
              <w:t>进入产品，喷淋用水蒸发不外排</w:t>
            </w:r>
            <w:r>
              <w:t>，</w:t>
            </w:r>
            <w:r>
              <w:rPr>
                <w:rFonts w:hint="eastAsia"/>
              </w:rPr>
              <w:t>设备及</w:t>
            </w:r>
            <w:r>
              <w:t>车辆冲洗水经沉淀池处理后回用于</w:t>
            </w:r>
            <w:r>
              <w:rPr>
                <w:rFonts w:hint="eastAsia"/>
              </w:rPr>
              <w:t>水泥混凝土</w:t>
            </w:r>
            <w:r>
              <w:t>搅拌，不外排；</w:t>
            </w:r>
            <w:r>
              <w:rPr>
                <w:rFonts w:hint="eastAsia"/>
              </w:rPr>
              <w:t>生活污水经排入下水管网，最终进入奇台县喇嘛湖梁工业园区污水处理厂处理</w:t>
            </w:r>
            <w:r>
              <w:t>。</w:t>
            </w:r>
          </w:p>
          <w:p w14:paraId="40854770">
            <w:pPr>
              <w:spacing w:line="460" w:lineRule="exact"/>
              <w:ind w:firstLine="480" w:firstLineChars="200"/>
            </w:pPr>
            <w:r>
              <w:t>本项目可能造成土壤和地下水污染的</w:t>
            </w:r>
            <w:r>
              <w:rPr>
                <w:rFonts w:hint="eastAsia"/>
              </w:rPr>
              <w:t>情况为导热油、沥青储罐、废</w:t>
            </w:r>
            <w:r>
              <w:t>机油</w:t>
            </w:r>
            <w:r>
              <w:rPr>
                <w:rFonts w:hint="eastAsia"/>
              </w:rPr>
              <w:t>和醇醚</w:t>
            </w:r>
            <w:r>
              <w:t>泄漏，通过地面漫流或者垂直入渗的方式进入土壤和地下水中，导致土壤和地下水污染。本项目在危废暂存间按要求采取重点防渗措施，设置导流槽和收集池，以防止废机油外泄时进入外环境造成污染地下水和土壤造成污染。</w:t>
            </w:r>
          </w:p>
          <w:p w14:paraId="5412674E">
            <w:pPr>
              <w:spacing w:line="460" w:lineRule="exact"/>
              <w:ind w:firstLine="480" w:firstLineChars="200"/>
            </w:pPr>
            <w:r>
              <w:t>（1）源头控制措施</w:t>
            </w:r>
          </w:p>
          <w:p w14:paraId="61121072">
            <w:pPr>
              <w:spacing w:line="460" w:lineRule="exact"/>
              <w:ind w:firstLine="480" w:firstLineChars="200"/>
            </w:pPr>
            <w:r>
              <w:rPr>
                <w:rFonts w:hint="eastAsia" w:ascii="宋体" w:hAnsi="宋体" w:cs="宋体"/>
              </w:rPr>
              <w:t>①</w:t>
            </w:r>
            <w:r>
              <w:t>严格按照国家相关规范要求，对厂区内各污水处理设备等采取相应措施，以防止和降低污染物的跑、冒、滴、漏，将污染物泄漏的环境风险事故降到最低程度。</w:t>
            </w:r>
          </w:p>
          <w:p w14:paraId="0D0DE1F3">
            <w:pPr>
              <w:spacing w:line="460" w:lineRule="exact"/>
              <w:ind w:firstLine="480" w:firstLineChars="200"/>
            </w:pPr>
            <w:r>
              <w:rPr>
                <w:rFonts w:hint="eastAsia" w:ascii="宋体" w:hAnsi="宋体" w:cs="宋体"/>
              </w:rPr>
              <w:t>②</w:t>
            </w:r>
            <w:r>
              <w:t>设备和管线尽量采用</w:t>
            </w:r>
            <w:r>
              <w:rPr>
                <w:rFonts w:ascii="宋体" w:hAnsi="宋体"/>
              </w:rPr>
              <w:t>“可视化”原则，即尽可能地上敷设和放置，做到污染物“早发现、早处理”</w:t>
            </w:r>
            <w:r>
              <w:t>，以减少由于埋地泄漏而可能造成的地下水污染。对地下管道、管道内外均采用防腐处理，定期对管道进行检漏，对出现泄漏处的土壤进行换土。</w:t>
            </w:r>
          </w:p>
          <w:p w14:paraId="68A1D668">
            <w:pPr>
              <w:spacing w:line="460" w:lineRule="exact"/>
              <w:ind w:firstLine="480" w:firstLineChars="200"/>
            </w:pPr>
            <w:r>
              <w:rPr>
                <w:rFonts w:hint="eastAsia" w:ascii="宋体" w:hAnsi="宋体" w:cs="宋体"/>
              </w:rPr>
              <w:t>③</w:t>
            </w:r>
            <w:r>
              <w:t>严格固体废物管理，不接触外界降水，使其不产生淋滤液，严防污染物泄漏到地下水中。</w:t>
            </w:r>
          </w:p>
          <w:p w14:paraId="23AB374A">
            <w:pPr>
              <w:spacing w:line="460" w:lineRule="exact"/>
              <w:ind w:firstLine="480" w:firstLineChars="200"/>
            </w:pPr>
            <w:r>
              <w:t>（2）分区防渗措施</w:t>
            </w:r>
          </w:p>
          <w:p w14:paraId="7A74CDBF">
            <w:pPr>
              <w:spacing w:line="460" w:lineRule="exact"/>
              <w:ind w:firstLine="480" w:firstLineChars="200"/>
            </w:pPr>
            <w:r>
              <w:t>针对可能对地下水造成影响的各环节，按照</w:t>
            </w:r>
            <w:r>
              <w:rPr>
                <w:rFonts w:ascii="宋体" w:hAnsi="宋体"/>
              </w:rPr>
              <w:t>“考虑重点，辐射全面”</w:t>
            </w:r>
            <w:r>
              <w:t>的防腐防渗原则，本项目针对可能对地下水造成影响的各环节，按照《一般工业固体废物贮存和填埋污染控制标准》（GB18599-2020）、《危险废物贮存污染控制标准》</w:t>
            </w:r>
            <w:r>
              <w:rPr>
                <w:rFonts w:hint="eastAsia"/>
              </w:rPr>
              <w:t>（</w:t>
            </w:r>
            <w:r>
              <w:t>GB18597-2023</w:t>
            </w:r>
            <w:r>
              <w:rPr>
                <w:rFonts w:hint="eastAsia"/>
              </w:rPr>
              <w:t>）</w:t>
            </w:r>
            <w:r>
              <w:t>，将全厂划分为重点防渗区</w:t>
            </w:r>
            <w:r>
              <w:rPr>
                <w:rFonts w:hint="eastAsia"/>
              </w:rPr>
              <w:t>、</w:t>
            </w:r>
            <w:r>
              <w:t>一般防渗区</w:t>
            </w:r>
            <w:r>
              <w:rPr>
                <w:rFonts w:hint="eastAsia"/>
              </w:rPr>
              <w:t>和简单防渗区</w:t>
            </w:r>
            <w:r>
              <w:t>。</w:t>
            </w:r>
          </w:p>
          <w:p w14:paraId="4F990E83">
            <w:pPr>
              <w:widowControl/>
              <w:spacing w:line="460" w:lineRule="exact"/>
              <w:ind w:firstLine="480" w:firstLineChars="200"/>
              <w:rPr>
                <w:szCs w:val="26"/>
              </w:rPr>
            </w:pPr>
            <w:r>
              <w:rPr>
                <w:szCs w:val="26"/>
              </w:rPr>
              <w:t>根据《环境影响评价技术导则 地下水环境》（HJ610-2016）要求，将地下水污染防渗分区分为三个级别：重点防渗区、一般防渗区、简单防渗区，防渗分区判定如下。</w:t>
            </w:r>
          </w:p>
          <w:p w14:paraId="3DCEA091">
            <w:pPr>
              <w:autoSpaceDE w:val="0"/>
              <w:autoSpaceDN w:val="0"/>
              <w:spacing w:line="360" w:lineRule="exact"/>
              <w:ind w:firstLine="420" w:firstLineChars="200"/>
              <w:jc w:val="left"/>
              <w:rPr>
                <w:rFonts w:eastAsia="黑体"/>
                <w:sz w:val="21"/>
              </w:rPr>
            </w:pPr>
            <w:r>
              <w:rPr>
                <w:rFonts w:eastAsia="黑体"/>
                <w:sz w:val="21"/>
              </w:rPr>
              <w:t>表4-18                 污染控制难易程度分级参照表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6471"/>
            </w:tblGrid>
            <w:tr w14:paraId="0CB54B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pct"/>
                  <w:vAlign w:val="center"/>
                </w:tcPr>
                <w:p w14:paraId="3AF2A082">
                  <w:pPr>
                    <w:jc w:val="center"/>
                    <w:rPr>
                      <w:bCs/>
                      <w:sz w:val="21"/>
                      <w:szCs w:val="21"/>
                    </w:rPr>
                  </w:pPr>
                  <w:r>
                    <w:rPr>
                      <w:bCs/>
                      <w:sz w:val="21"/>
                      <w:szCs w:val="21"/>
                    </w:rPr>
                    <w:t>污染控制难易程度</w:t>
                  </w:r>
                </w:p>
              </w:tc>
              <w:tc>
                <w:tcPr>
                  <w:tcW w:w="3844" w:type="pct"/>
                  <w:vAlign w:val="center"/>
                </w:tcPr>
                <w:p w14:paraId="09048029">
                  <w:pPr>
                    <w:jc w:val="center"/>
                    <w:rPr>
                      <w:bCs/>
                      <w:sz w:val="21"/>
                      <w:szCs w:val="21"/>
                    </w:rPr>
                  </w:pPr>
                  <w:r>
                    <w:rPr>
                      <w:bCs/>
                      <w:sz w:val="21"/>
                      <w:szCs w:val="21"/>
                    </w:rPr>
                    <w:t>污染物类型</w:t>
                  </w:r>
                </w:p>
              </w:tc>
            </w:tr>
            <w:tr w14:paraId="5FAE3B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pct"/>
                  <w:vAlign w:val="center"/>
                </w:tcPr>
                <w:p w14:paraId="22263C0B">
                  <w:pPr>
                    <w:jc w:val="center"/>
                    <w:rPr>
                      <w:bCs/>
                      <w:sz w:val="21"/>
                      <w:szCs w:val="21"/>
                    </w:rPr>
                  </w:pPr>
                  <w:r>
                    <w:rPr>
                      <w:bCs/>
                      <w:sz w:val="21"/>
                      <w:szCs w:val="21"/>
                    </w:rPr>
                    <w:t>难</w:t>
                  </w:r>
                </w:p>
              </w:tc>
              <w:tc>
                <w:tcPr>
                  <w:tcW w:w="3844" w:type="pct"/>
                  <w:vAlign w:val="center"/>
                </w:tcPr>
                <w:p w14:paraId="2FDA2AF1">
                  <w:pPr>
                    <w:jc w:val="center"/>
                    <w:rPr>
                      <w:bCs/>
                      <w:sz w:val="21"/>
                      <w:szCs w:val="21"/>
                    </w:rPr>
                  </w:pPr>
                  <w:r>
                    <w:rPr>
                      <w:bCs/>
                      <w:sz w:val="21"/>
                      <w:szCs w:val="21"/>
                    </w:rPr>
                    <w:t>对地下水环境有污染的物料或污染物泄漏后，不能及时发现和处理</w:t>
                  </w:r>
                </w:p>
              </w:tc>
            </w:tr>
            <w:tr w14:paraId="1DFDFF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pct"/>
                  <w:vAlign w:val="center"/>
                </w:tcPr>
                <w:p w14:paraId="3A217FE6">
                  <w:pPr>
                    <w:jc w:val="center"/>
                    <w:rPr>
                      <w:bCs/>
                      <w:sz w:val="21"/>
                      <w:szCs w:val="21"/>
                    </w:rPr>
                  </w:pPr>
                  <w:r>
                    <w:rPr>
                      <w:bCs/>
                      <w:sz w:val="21"/>
                      <w:szCs w:val="21"/>
                    </w:rPr>
                    <w:t>易</w:t>
                  </w:r>
                </w:p>
              </w:tc>
              <w:tc>
                <w:tcPr>
                  <w:tcW w:w="3844" w:type="pct"/>
                  <w:vAlign w:val="center"/>
                </w:tcPr>
                <w:p w14:paraId="32345DC4">
                  <w:pPr>
                    <w:jc w:val="center"/>
                    <w:rPr>
                      <w:bCs/>
                      <w:sz w:val="21"/>
                      <w:szCs w:val="21"/>
                    </w:rPr>
                  </w:pPr>
                  <w:r>
                    <w:rPr>
                      <w:bCs/>
                      <w:sz w:val="21"/>
                      <w:szCs w:val="21"/>
                    </w:rPr>
                    <w:t>对地下水环境有污染的物料或污染物泄漏后，可及时发现和处理</w:t>
                  </w:r>
                </w:p>
              </w:tc>
            </w:tr>
          </w:tbl>
          <w:p w14:paraId="343C9632">
            <w:pPr>
              <w:autoSpaceDE w:val="0"/>
              <w:autoSpaceDN w:val="0"/>
              <w:spacing w:line="360" w:lineRule="exact"/>
              <w:ind w:firstLine="420" w:firstLineChars="200"/>
              <w:jc w:val="left"/>
              <w:rPr>
                <w:rFonts w:eastAsia="黑体"/>
                <w:sz w:val="21"/>
              </w:rPr>
            </w:pPr>
            <w:r>
              <w:rPr>
                <w:rFonts w:eastAsia="黑体"/>
                <w:sz w:val="21"/>
              </w:rPr>
              <w:t>表4-19                天然包气带防污性能分级参照表</w:t>
            </w:r>
          </w:p>
          <w:tbl>
            <w:tblPr>
              <w:tblStyle w:val="9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789"/>
            </w:tblGrid>
            <w:tr w14:paraId="3668F4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14:paraId="135ACC57">
                  <w:pPr>
                    <w:widowControl/>
                    <w:spacing w:line="300" w:lineRule="exact"/>
                    <w:jc w:val="center"/>
                    <w:rPr>
                      <w:kern w:val="0"/>
                      <w:sz w:val="21"/>
                      <w:szCs w:val="21"/>
                      <w:lang w:eastAsia="en-US" w:bidi="en-US"/>
                    </w:rPr>
                  </w:pPr>
                  <w:r>
                    <w:rPr>
                      <w:sz w:val="21"/>
                      <w:szCs w:val="21"/>
                      <w:lang w:eastAsia="en-US" w:bidi="en-US"/>
                    </w:rPr>
                    <w:t>分级</w:t>
                  </w:r>
                </w:p>
              </w:tc>
              <w:tc>
                <w:tcPr>
                  <w:tcW w:w="0" w:type="auto"/>
                </w:tcPr>
                <w:p w14:paraId="1D5DE6B8">
                  <w:pPr>
                    <w:widowControl/>
                    <w:spacing w:line="300" w:lineRule="exact"/>
                    <w:jc w:val="center"/>
                    <w:rPr>
                      <w:kern w:val="0"/>
                      <w:sz w:val="21"/>
                      <w:szCs w:val="21"/>
                      <w:lang w:bidi="en-US"/>
                    </w:rPr>
                  </w:pPr>
                  <w:r>
                    <w:rPr>
                      <w:sz w:val="21"/>
                      <w:szCs w:val="21"/>
                      <w:lang w:bidi="en-US"/>
                    </w:rPr>
                    <w:t>包气带岩土的渗透性能</w:t>
                  </w:r>
                </w:p>
              </w:tc>
            </w:tr>
            <w:tr w14:paraId="37C319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14:paraId="7382C776">
                  <w:pPr>
                    <w:widowControl/>
                    <w:spacing w:line="300" w:lineRule="exact"/>
                    <w:jc w:val="center"/>
                    <w:rPr>
                      <w:kern w:val="0"/>
                      <w:sz w:val="21"/>
                      <w:szCs w:val="21"/>
                      <w:lang w:eastAsia="en-US" w:bidi="en-US"/>
                    </w:rPr>
                  </w:pPr>
                  <w:r>
                    <w:rPr>
                      <w:sz w:val="21"/>
                      <w:szCs w:val="21"/>
                      <w:lang w:eastAsia="en-US" w:bidi="en-US"/>
                    </w:rPr>
                    <w:t>强</w:t>
                  </w:r>
                </w:p>
              </w:tc>
              <w:tc>
                <w:tcPr>
                  <w:tcW w:w="0" w:type="auto"/>
                </w:tcPr>
                <w:p w14:paraId="7B2AE5E9">
                  <w:pPr>
                    <w:widowControl/>
                    <w:spacing w:line="300" w:lineRule="exact"/>
                    <w:jc w:val="center"/>
                    <w:rPr>
                      <w:kern w:val="0"/>
                      <w:sz w:val="21"/>
                      <w:szCs w:val="21"/>
                      <w:lang w:bidi="en-US"/>
                    </w:rPr>
                  </w:pPr>
                  <w:r>
                    <w:rPr>
                      <w:sz w:val="21"/>
                      <w:szCs w:val="21"/>
                      <w:lang w:bidi="en-US"/>
                    </w:rPr>
                    <w:t>岩（土）层单层厚度Mb≥1.0m，渗透系数K≤1X10</w:t>
                  </w:r>
                  <w:r>
                    <w:rPr>
                      <w:sz w:val="21"/>
                      <w:szCs w:val="21"/>
                      <w:vertAlign w:val="superscript"/>
                      <w:lang w:bidi="en-US"/>
                    </w:rPr>
                    <w:t>-6</w:t>
                  </w:r>
                  <w:r>
                    <w:rPr>
                      <w:sz w:val="21"/>
                      <w:szCs w:val="21"/>
                      <w:lang w:bidi="en-US"/>
                    </w:rPr>
                    <w:t>cm/s，且分布连续、稳定</w:t>
                  </w:r>
                </w:p>
              </w:tc>
            </w:tr>
            <w:tr w14:paraId="7B206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14:paraId="52A8AA3C">
                  <w:pPr>
                    <w:widowControl/>
                    <w:spacing w:line="300" w:lineRule="exact"/>
                    <w:jc w:val="center"/>
                    <w:rPr>
                      <w:kern w:val="0"/>
                      <w:sz w:val="21"/>
                      <w:szCs w:val="21"/>
                      <w:lang w:eastAsia="en-US" w:bidi="en-US"/>
                    </w:rPr>
                  </w:pPr>
                  <w:r>
                    <w:rPr>
                      <w:sz w:val="21"/>
                      <w:szCs w:val="21"/>
                      <w:lang w:eastAsia="en-US" w:bidi="en-US"/>
                    </w:rPr>
                    <w:t>中</w:t>
                  </w:r>
                </w:p>
              </w:tc>
              <w:tc>
                <w:tcPr>
                  <w:tcW w:w="0" w:type="auto"/>
                </w:tcPr>
                <w:p w14:paraId="2B979B10">
                  <w:pPr>
                    <w:widowControl/>
                    <w:spacing w:line="300" w:lineRule="exact"/>
                    <w:jc w:val="center"/>
                    <w:rPr>
                      <w:spacing w:val="-4"/>
                      <w:kern w:val="0"/>
                      <w:sz w:val="21"/>
                      <w:szCs w:val="21"/>
                      <w:lang w:bidi="en-US"/>
                    </w:rPr>
                  </w:pPr>
                  <w:r>
                    <w:rPr>
                      <w:spacing w:val="-4"/>
                      <w:sz w:val="21"/>
                      <w:szCs w:val="21"/>
                      <w:lang w:bidi="en-US"/>
                    </w:rPr>
                    <w:t>岩（土）层单层厚度0.5m≤Mb＜1.0m，渗透系数K≤1×10</w:t>
                  </w:r>
                  <w:r>
                    <w:rPr>
                      <w:spacing w:val="-4"/>
                      <w:sz w:val="21"/>
                      <w:szCs w:val="21"/>
                      <w:vertAlign w:val="superscript"/>
                      <w:lang w:bidi="en-US"/>
                    </w:rPr>
                    <w:t>-6</w:t>
                  </w:r>
                  <w:r>
                    <w:rPr>
                      <w:spacing w:val="-4"/>
                      <w:sz w:val="21"/>
                      <w:szCs w:val="21"/>
                      <w:lang w:bidi="en-US"/>
                    </w:rPr>
                    <w:t>cm/s，且分布连续、稳定</w:t>
                  </w:r>
                </w:p>
                <w:p w14:paraId="7224716D">
                  <w:pPr>
                    <w:widowControl/>
                    <w:spacing w:line="300" w:lineRule="exact"/>
                    <w:jc w:val="center"/>
                    <w:rPr>
                      <w:kern w:val="0"/>
                      <w:sz w:val="21"/>
                      <w:szCs w:val="21"/>
                      <w:lang w:bidi="en-US"/>
                    </w:rPr>
                  </w:pPr>
                  <w:r>
                    <w:rPr>
                      <w:spacing w:val="-4"/>
                      <w:sz w:val="21"/>
                      <w:szCs w:val="21"/>
                      <w:lang w:bidi="en-US"/>
                    </w:rPr>
                    <w:t>岩（土）层单层厚度Mb≥1.0m，渗透系数1×10</w:t>
                  </w:r>
                  <w:r>
                    <w:rPr>
                      <w:spacing w:val="-4"/>
                      <w:sz w:val="21"/>
                      <w:szCs w:val="21"/>
                      <w:vertAlign w:val="superscript"/>
                      <w:lang w:bidi="en-US"/>
                    </w:rPr>
                    <w:t>-6</w:t>
                  </w:r>
                  <w:r>
                    <w:rPr>
                      <w:spacing w:val="-4"/>
                      <w:sz w:val="21"/>
                      <w:szCs w:val="21"/>
                      <w:lang w:bidi="en-US"/>
                    </w:rPr>
                    <w:t>cm/s＜K≤1×10</w:t>
                  </w:r>
                  <w:r>
                    <w:rPr>
                      <w:spacing w:val="-4"/>
                      <w:sz w:val="21"/>
                      <w:szCs w:val="21"/>
                      <w:vertAlign w:val="superscript"/>
                      <w:lang w:bidi="en-US"/>
                    </w:rPr>
                    <w:t>-4</w:t>
                  </w:r>
                  <w:r>
                    <w:rPr>
                      <w:spacing w:val="-4"/>
                      <w:sz w:val="21"/>
                      <w:szCs w:val="21"/>
                      <w:lang w:bidi="en-US"/>
                    </w:rPr>
                    <w:t>cm/s，且分布连续、稳定</w:t>
                  </w:r>
                </w:p>
              </w:tc>
            </w:tr>
            <w:tr w14:paraId="3CECBC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tcPr>
                <w:p w14:paraId="242D87A3">
                  <w:pPr>
                    <w:widowControl/>
                    <w:spacing w:line="300" w:lineRule="exact"/>
                    <w:jc w:val="center"/>
                    <w:rPr>
                      <w:kern w:val="0"/>
                      <w:sz w:val="21"/>
                      <w:szCs w:val="21"/>
                      <w:lang w:eastAsia="en-US" w:bidi="en-US"/>
                    </w:rPr>
                  </w:pPr>
                  <w:r>
                    <w:rPr>
                      <w:sz w:val="21"/>
                      <w:szCs w:val="21"/>
                      <w:lang w:eastAsia="en-US" w:bidi="en-US"/>
                    </w:rPr>
                    <w:t>弱</w:t>
                  </w:r>
                </w:p>
              </w:tc>
              <w:tc>
                <w:tcPr>
                  <w:tcW w:w="0" w:type="auto"/>
                </w:tcPr>
                <w:p w14:paraId="01B94DDD">
                  <w:pPr>
                    <w:widowControl/>
                    <w:spacing w:line="300" w:lineRule="exact"/>
                    <w:jc w:val="center"/>
                    <w:rPr>
                      <w:kern w:val="0"/>
                      <w:sz w:val="21"/>
                      <w:szCs w:val="21"/>
                      <w:lang w:bidi="en-US"/>
                    </w:rPr>
                  </w:pPr>
                  <w:r>
                    <w:rPr>
                      <w:sz w:val="21"/>
                      <w:szCs w:val="21"/>
                      <w:lang w:bidi="en-US"/>
                    </w:rPr>
                    <w:t>岩（土）层不满足上述“强”和“中”条件</w:t>
                  </w:r>
                </w:p>
              </w:tc>
            </w:tr>
          </w:tbl>
          <w:p w14:paraId="49C58DA3">
            <w:pPr>
              <w:autoSpaceDE w:val="0"/>
              <w:autoSpaceDN w:val="0"/>
              <w:spacing w:line="360" w:lineRule="exact"/>
              <w:ind w:firstLine="420" w:firstLineChars="200"/>
              <w:jc w:val="left"/>
              <w:rPr>
                <w:rFonts w:eastAsia="黑体"/>
                <w:sz w:val="21"/>
              </w:rPr>
            </w:pPr>
            <w:r>
              <w:rPr>
                <w:rFonts w:eastAsia="黑体"/>
                <w:sz w:val="21"/>
              </w:rPr>
              <w:t>表4-20                   地下水污染防渗分区参照表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24"/>
              <w:gridCol w:w="1297"/>
              <w:gridCol w:w="1682"/>
              <w:gridCol w:w="2618"/>
            </w:tblGrid>
            <w:tr w14:paraId="507277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9" w:type="pct"/>
                  <w:vAlign w:val="center"/>
                </w:tcPr>
                <w:p w14:paraId="3AD79137">
                  <w:pPr>
                    <w:widowControl/>
                    <w:spacing w:line="300" w:lineRule="exact"/>
                    <w:jc w:val="center"/>
                    <w:rPr>
                      <w:kern w:val="0"/>
                      <w:sz w:val="21"/>
                      <w:szCs w:val="21"/>
                      <w:lang w:bidi="en-US"/>
                    </w:rPr>
                  </w:pPr>
                  <w:r>
                    <w:rPr>
                      <w:sz w:val="21"/>
                      <w:szCs w:val="21"/>
                      <w:lang w:bidi="en-US"/>
                    </w:rPr>
                    <w:t>防渗分区</w:t>
                  </w:r>
                </w:p>
              </w:tc>
              <w:tc>
                <w:tcPr>
                  <w:tcW w:w="846" w:type="pct"/>
                  <w:vAlign w:val="center"/>
                </w:tcPr>
                <w:p w14:paraId="7AEAAD24">
                  <w:pPr>
                    <w:widowControl/>
                    <w:spacing w:line="300" w:lineRule="exact"/>
                    <w:jc w:val="center"/>
                    <w:rPr>
                      <w:kern w:val="0"/>
                      <w:sz w:val="21"/>
                      <w:szCs w:val="21"/>
                      <w:lang w:bidi="en-US"/>
                    </w:rPr>
                  </w:pPr>
                  <w:r>
                    <w:rPr>
                      <w:sz w:val="21"/>
                      <w:szCs w:val="21"/>
                      <w:lang w:bidi="en-US"/>
                    </w:rPr>
                    <w:t>天然包气带防污性能</w:t>
                  </w:r>
                </w:p>
              </w:tc>
              <w:tc>
                <w:tcPr>
                  <w:tcW w:w="770" w:type="pct"/>
                  <w:vAlign w:val="center"/>
                </w:tcPr>
                <w:p w14:paraId="180126D5">
                  <w:pPr>
                    <w:widowControl/>
                    <w:spacing w:line="300" w:lineRule="exact"/>
                    <w:jc w:val="center"/>
                    <w:rPr>
                      <w:kern w:val="0"/>
                      <w:sz w:val="21"/>
                      <w:szCs w:val="21"/>
                      <w:lang w:bidi="en-US"/>
                    </w:rPr>
                  </w:pPr>
                  <w:r>
                    <w:rPr>
                      <w:sz w:val="21"/>
                      <w:szCs w:val="21"/>
                      <w:lang w:bidi="en-US"/>
                    </w:rPr>
                    <w:t>污染控制难易程度</w:t>
                  </w:r>
                </w:p>
              </w:tc>
              <w:tc>
                <w:tcPr>
                  <w:tcW w:w="999" w:type="pct"/>
                  <w:vAlign w:val="center"/>
                </w:tcPr>
                <w:p w14:paraId="7F3B6A74">
                  <w:pPr>
                    <w:widowControl/>
                    <w:spacing w:line="300" w:lineRule="exact"/>
                    <w:jc w:val="center"/>
                    <w:rPr>
                      <w:kern w:val="0"/>
                      <w:sz w:val="21"/>
                      <w:szCs w:val="21"/>
                      <w:lang w:bidi="en-US"/>
                    </w:rPr>
                  </w:pPr>
                  <w:r>
                    <w:rPr>
                      <w:sz w:val="21"/>
                      <w:szCs w:val="21"/>
                      <w:lang w:bidi="en-US"/>
                    </w:rPr>
                    <w:t>污染物类型</w:t>
                  </w:r>
                </w:p>
              </w:tc>
              <w:tc>
                <w:tcPr>
                  <w:tcW w:w="1555" w:type="pct"/>
                  <w:vAlign w:val="center"/>
                </w:tcPr>
                <w:p w14:paraId="256FE35F">
                  <w:pPr>
                    <w:widowControl/>
                    <w:spacing w:line="300" w:lineRule="exact"/>
                    <w:jc w:val="center"/>
                    <w:rPr>
                      <w:kern w:val="0"/>
                      <w:sz w:val="21"/>
                      <w:szCs w:val="21"/>
                      <w:lang w:bidi="en-US"/>
                    </w:rPr>
                  </w:pPr>
                  <w:r>
                    <w:rPr>
                      <w:sz w:val="21"/>
                      <w:szCs w:val="21"/>
                      <w:lang w:bidi="en-US"/>
                    </w:rPr>
                    <w:t>防渗技术要求</w:t>
                  </w:r>
                </w:p>
              </w:tc>
            </w:tr>
            <w:tr w14:paraId="616541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restart"/>
                  <w:vAlign w:val="center"/>
                </w:tcPr>
                <w:p w14:paraId="525E2D21">
                  <w:pPr>
                    <w:widowControl/>
                    <w:spacing w:line="300" w:lineRule="exact"/>
                    <w:jc w:val="center"/>
                    <w:rPr>
                      <w:kern w:val="0"/>
                      <w:sz w:val="21"/>
                      <w:szCs w:val="21"/>
                      <w:lang w:bidi="en-US"/>
                    </w:rPr>
                  </w:pPr>
                  <w:r>
                    <w:rPr>
                      <w:sz w:val="21"/>
                      <w:szCs w:val="21"/>
                      <w:lang w:bidi="en-US"/>
                    </w:rPr>
                    <w:t>重点防渗区</w:t>
                  </w:r>
                </w:p>
              </w:tc>
              <w:tc>
                <w:tcPr>
                  <w:tcW w:w="846" w:type="pct"/>
                  <w:vAlign w:val="center"/>
                </w:tcPr>
                <w:p w14:paraId="01F63278">
                  <w:pPr>
                    <w:widowControl/>
                    <w:spacing w:line="300" w:lineRule="exact"/>
                    <w:jc w:val="center"/>
                    <w:rPr>
                      <w:kern w:val="0"/>
                      <w:sz w:val="21"/>
                      <w:szCs w:val="21"/>
                      <w:lang w:bidi="en-US"/>
                    </w:rPr>
                  </w:pPr>
                  <w:r>
                    <w:rPr>
                      <w:sz w:val="21"/>
                      <w:szCs w:val="21"/>
                      <w:lang w:bidi="en-US"/>
                    </w:rPr>
                    <w:t>弱</w:t>
                  </w:r>
                </w:p>
              </w:tc>
              <w:tc>
                <w:tcPr>
                  <w:tcW w:w="770" w:type="pct"/>
                  <w:vAlign w:val="center"/>
                </w:tcPr>
                <w:p w14:paraId="5CFAD326">
                  <w:pPr>
                    <w:widowControl/>
                    <w:spacing w:line="300" w:lineRule="exact"/>
                    <w:jc w:val="center"/>
                    <w:rPr>
                      <w:kern w:val="0"/>
                      <w:sz w:val="21"/>
                      <w:szCs w:val="21"/>
                      <w:lang w:bidi="en-US"/>
                    </w:rPr>
                  </w:pPr>
                  <w:r>
                    <w:rPr>
                      <w:sz w:val="21"/>
                      <w:szCs w:val="21"/>
                      <w:lang w:bidi="en-US"/>
                    </w:rPr>
                    <w:t>难</w:t>
                  </w:r>
                </w:p>
              </w:tc>
              <w:tc>
                <w:tcPr>
                  <w:tcW w:w="999" w:type="pct"/>
                  <w:vMerge w:val="restart"/>
                  <w:vAlign w:val="center"/>
                </w:tcPr>
                <w:p w14:paraId="1D83436F">
                  <w:pPr>
                    <w:widowControl/>
                    <w:spacing w:line="300" w:lineRule="exact"/>
                    <w:jc w:val="center"/>
                    <w:rPr>
                      <w:kern w:val="0"/>
                      <w:sz w:val="21"/>
                      <w:szCs w:val="21"/>
                      <w:lang w:bidi="en-US"/>
                    </w:rPr>
                  </w:pPr>
                  <w:r>
                    <w:rPr>
                      <w:sz w:val="21"/>
                      <w:szCs w:val="21"/>
                      <w:lang w:bidi="en-US"/>
                    </w:rPr>
                    <w:t>重金属、持久性有机物污染物</w:t>
                  </w:r>
                </w:p>
              </w:tc>
              <w:tc>
                <w:tcPr>
                  <w:tcW w:w="1555" w:type="pct"/>
                  <w:vMerge w:val="restart"/>
                  <w:vAlign w:val="center"/>
                </w:tcPr>
                <w:p w14:paraId="4FBEAFA6">
                  <w:pPr>
                    <w:widowControl/>
                    <w:spacing w:line="300" w:lineRule="exact"/>
                    <w:jc w:val="center"/>
                    <w:rPr>
                      <w:kern w:val="0"/>
                      <w:sz w:val="21"/>
                      <w:szCs w:val="21"/>
                      <w:lang w:bidi="en-US"/>
                    </w:rPr>
                  </w:pPr>
                  <w:r>
                    <w:rPr>
                      <w:sz w:val="21"/>
                      <w:szCs w:val="21"/>
                      <w:lang w:val="zh-CN" w:bidi="en-US"/>
                    </w:rPr>
                    <w:t>等效黏土防渗层Mb≥</w:t>
                  </w:r>
                  <w:r>
                    <w:rPr>
                      <w:sz w:val="21"/>
                      <w:szCs w:val="21"/>
                      <w:lang w:bidi="en-US"/>
                    </w:rPr>
                    <w:t>6.0</w:t>
                  </w:r>
                  <w:r>
                    <w:rPr>
                      <w:sz w:val="21"/>
                      <w:szCs w:val="21"/>
                      <w:lang w:val="zh-CN" w:bidi="en-US"/>
                    </w:rPr>
                    <w:t>m，K&lt;1×10</w:t>
                  </w:r>
                  <w:r>
                    <w:rPr>
                      <w:sz w:val="21"/>
                      <w:szCs w:val="21"/>
                      <w:vertAlign w:val="superscript"/>
                      <w:lang w:val="zh-CN" w:bidi="en-US"/>
                    </w:rPr>
                    <w:t>-7</w:t>
                  </w:r>
                  <w:r>
                    <w:rPr>
                      <w:sz w:val="21"/>
                      <w:szCs w:val="21"/>
                      <w:lang w:val="zh-CN" w:bidi="en-US"/>
                    </w:rPr>
                    <w:t>cm/s，或参照GB</w:t>
                  </w:r>
                  <w:r>
                    <w:rPr>
                      <w:sz w:val="21"/>
                      <w:szCs w:val="21"/>
                      <w:lang w:bidi="en-US"/>
                    </w:rPr>
                    <w:t>18598</w:t>
                  </w:r>
                  <w:r>
                    <w:rPr>
                      <w:sz w:val="21"/>
                      <w:szCs w:val="21"/>
                      <w:lang w:val="zh-CN" w:bidi="en-US"/>
                    </w:rPr>
                    <w:t>执行</w:t>
                  </w:r>
                </w:p>
              </w:tc>
            </w:tr>
            <w:tr w14:paraId="1BBB48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14:paraId="04844AAE">
                  <w:pPr>
                    <w:widowControl/>
                    <w:jc w:val="left"/>
                    <w:rPr>
                      <w:kern w:val="0"/>
                      <w:sz w:val="21"/>
                      <w:szCs w:val="21"/>
                      <w:lang w:bidi="en-US"/>
                    </w:rPr>
                  </w:pPr>
                </w:p>
              </w:tc>
              <w:tc>
                <w:tcPr>
                  <w:tcW w:w="846" w:type="pct"/>
                  <w:vAlign w:val="center"/>
                </w:tcPr>
                <w:p w14:paraId="6231AB4F">
                  <w:pPr>
                    <w:widowControl/>
                    <w:spacing w:line="300" w:lineRule="exact"/>
                    <w:jc w:val="center"/>
                    <w:rPr>
                      <w:kern w:val="0"/>
                      <w:sz w:val="21"/>
                      <w:szCs w:val="21"/>
                      <w:lang w:eastAsia="en-US" w:bidi="en-US"/>
                    </w:rPr>
                  </w:pPr>
                  <w:r>
                    <w:rPr>
                      <w:sz w:val="21"/>
                      <w:szCs w:val="21"/>
                      <w:lang w:eastAsia="en-US" w:bidi="en-US"/>
                    </w:rPr>
                    <w:t>中-强</w:t>
                  </w:r>
                </w:p>
              </w:tc>
              <w:tc>
                <w:tcPr>
                  <w:tcW w:w="770" w:type="pct"/>
                  <w:vAlign w:val="center"/>
                </w:tcPr>
                <w:p w14:paraId="2685D516">
                  <w:pPr>
                    <w:widowControl/>
                    <w:spacing w:line="300" w:lineRule="exact"/>
                    <w:jc w:val="center"/>
                    <w:rPr>
                      <w:kern w:val="0"/>
                      <w:sz w:val="21"/>
                      <w:szCs w:val="21"/>
                      <w:lang w:eastAsia="en-US" w:bidi="en-US"/>
                    </w:rPr>
                  </w:pPr>
                  <w:r>
                    <w:rPr>
                      <w:sz w:val="21"/>
                      <w:szCs w:val="21"/>
                      <w:lang w:eastAsia="en-US" w:bidi="en-US"/>
                    </w:rPr>
                    <w:t>难</w:t>
                  </w:r>
                </w:p>
              </w:tc>
              <w:tc>
                <w:tcPr>
                  <w:tcW w:w="999" w:type="pct"/>
                  <w:vMerge w:val="continue"/>
                  <w:vAlign w:val="center"/>
                </w:tcPr>
                <w:p w14:paraId="774C693B">
                  <w:pPr>
                    <w:widowControl/>
                    <w:jc w:val="left"/>
                    <w:rPr>
                      <w:kern w:val="0"/>
                      <w:sz w:val="21"/>
                      <w:szCs w:val="21"/>
                      <w:lang w:bidi="en-US"/>
                    </w:rPr>
                  </w:pPr>
                </w:p>
              </w:tc>
              <w:tc>
                <w:tcPr>
                  <w:tcW w:w="1555" w:type="pct"/>
                  <w:vMerge w:val="continue"/>
                  <w:vAlign w:val="center"/>
                </w:tcPr>
                <w:p w14:paraId="496DFE22">
                  <w:pPr>
                    <w:widowControl/>
                    <w:jc w:val="left"/>
                    <w:rPr>
                      <w:kern w:val="0"/>
                      <w:sz w:val="21"/>
                      <w:szCs w:val="21"/>
                      <w:lang w:bidi="en-US"/>
                    </w:rPr>
                  </w:pPr>
                </w:p>
              </w:tc>
            </w:tr>
            <w:tr w14:paraId="1906C6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14:paraId="7AD46589">
                  <w:pPr>
                    <w:widowControl/>
                    <w:jc w:val="left"/>
                    <w:rPr>
                      <w:kern w:val="0"/>
                      <w:sz w:val="21"/>
                      <w:szCs w:val="21"/>
                      <w:lang w:eastAsia="en-US" w:bidi="en-US"/>
                    </w:rPr>
                  </w:pPr>
                </w:p>
              </w:tc>
              <w:tc>
                <w:tcPr>
                  <w:tcW w:w="846" w:type="pct"/>
                  <w:vAlign w:val="center"/>
                </w:tcPr>
                <w:p w14:paraId="414830BB">
                  <w:pPr>
                    <w:widowControl/>
                    <w:spacing w:line="300" w:lineRule="exact"/>
                    <w:jc w:val="center"/>
                    <w:rPr>
                      <w:kern w:val="0"/>
                      <w:sz w:val="21"/>
                      <w:szCs w:val="21"/>
                      <w:lang w:eastAsia="en-US" w:bidi="en-US"/>
                    </w:rPr>
                  </w:pPr>
                  <w:r>
                    <w:rPr>
                      <w:sz w:val="21"/>
                      <w:szCs w:val="21"/>
                      <w:lang w:eastAsia="en-US" w:bidi="en-US"/>
                    </w:rPr>
                    <w:t>弱</w:t>
                  </w:r>
                </w:p>
              </w:tc>
              <w:tc>
                <w:tcPr>
                  <w:tcW w:w="770" w:type="pct"/>
                  <w:vAlign w:val="center"/>
                </w:tcPr>
                <w:p w14:paraId="0982486F">
                  <w:pPr>
                    <w:widowControl/>
                    <w:spacing w:line="300" w:lineRule="exact"/>
                    <w:jc w:val="center"/>
                    <w:rPr>
                      <w:kern w:val="0"/>
                      <w:sz w:val="21"/>
                      <w:szCs w:val="21"/>
                      <w:lang w:eastAsia="en-US" w:bidi="en-US"/>
                    </w:rPr>
                  </w:pPr>
                  <w:r>
                    <w:rPr>
                      <w:sz w:val="21"/>
                      <w:szCs w:val="21"/>
                      <w:lang w:eastAsia="en-US" w:bidi="en-US"/>
                    </w:rPr>
                    <w:t>易</w:t>
                  </w:r>
                </w:p>
              </w:tc>
              <w:tc>
                <w:tcPr>
                  <w:tcW w:w="999" w:type="pct"/>
                  <w:vMerge w:val="continue"/>
                  <w:vAlign w:val="center"/>
                </w:tcPr>
                <w:p w14:paraId="66217D46">
                  <w:pPr>
                    <w:widowControl/>
                    <w:jc w:val="left"/>
                    <w:rPr>
                      <w:kern w:val="0"/>
                      <w:sz w:val="21"/>
                      <w:szCs w:val="21"/>
                      <w:lang w:bidi="en-US"/>
                    </w:rPr>
                  </w:pPr>
                </w:p>
              </w:tc>
              <w:tc>
                <w:tcPr>
                  <w:tcW w:w="1555" w:type="pct"/>
                  <w:vMerge w:val="continue"/>
                  <w:vAlign w:val="center"/>
                </w:tcPr>
                <w:p w14:paraId="2DCFD40D">
                  <w:pPr>
                    <w:widowControl/>
                    <w:jc w:val="left"/>
                    <w:rPr>
                      <w:kern w:val="0"/>
                      <w:sz w:val="21"/>
                      <w:szCs w:val="21"/>
                      <w:lang w:bidi="en-US"/>
                    </w:rPr>
                  </w:pPr>
                </w:p>
              </w:tc>
            </w:tr>
            <w:tr w14:paraId="4FFA9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restart"/>
                  <w:vAlign w:val="center"/>
                </w:tcPr>
                <w:p w14:paraId="33FDA730">
                  <w:pPr>
                    <w:widowControl/>
                    <w:spacing w:line="300" w:lineRule="exact"/>
                    <w:jc w:val="center"/>
                    <w:rPr>
                      <w:kern w:val="0"/>
                      <w:sz w:val="21"/>
                      <w:szCs w:val="21"/>
                      <w:lang w:eastAsia="en-US" w:bidi="en-US"/>
                    </w:rPr>
                  </w:pPr>
                  <w:r>
                    <w:rPr>
                      <w:sz w:val="21"/>
                      <w:szCs w:val="21"/>
                      <w:lang w:eastAsia="en-US" w:bidi="en-US"/>
                    </w:rPr>
                    <w:t>一般防渗区</w:t>
                  </w:r>
                </w:p>
              </w:tc>
              <w:tc>
                <w:tcPr>
                  <w:tcW w:w="846" w:type="pct"/>
                  <w:vAlign w:val="center"/>
                </w:tcPr>
                <w:p w14:paraId="25039A7B">
                  <w:pPr>
                    <w:widowControl/>
                    <w:spacing w:line="300" w:lineRule="exact"/>
                    <w:jc w:val="center"/>
                    <w:rPr>
                      <w:kern w:val="0"/>
                      <w:sz w:val="21"/>
                      <w:szCs w:val="21"/>
                      <w:lang w:eastAsia="en-US" w:bidi="en-US"/>
                    </w:rPr>
                  </w:pPr>
                  <w:r>
                    <w:rPr>
                      <w:sz w:val="21"/>
                      <w:szCs w:val="21"/>
                      <w:lang w:eastAsia="en-US" w:bidi="en-US"/>
                    </w:rPr>
                    <w:t>弱</w:t>
                  </w:r>
                </w:p>
              </w:tc>
              <w:tc>
                <w:tcPr>
                  <w:tcW w:w="770" w:type="pct"/>
                  <w:vAlign w:val="center"/>
                </w:tcPr>
                <w:p w14:paraId="164A2373">
                  <w:pPr>
                    <w:widowControl/>
                    <w:spacing w:line="300" w:lineRule="exact"/>
                    <w:jc w:val="center"/>
                    <w:rPr>
                      <w:kern w:val="0"/>
                      <w:sz w:val="21"/>
                      <w:szCs w:val="21"/>
                      <w:lang w:eastAsia="en-US" w:bidi="en-US"/>
                    </w:rPr>
                  </w:pPr>
                  <w:r>
                    <w:rPr>
                      <w:sz w:val="21"/>
                      <w:szCs w:val="21"/>
                      <w:lang w:eastAsia="en-US" w:bidi="en-US"/>
                    </w:rPr>
                    <w:t>易-难</w:t>
                  </w:r>
                </w:p>
              </w:tc>
              <w:tc>
                <w:tcPr>
                  <w:tcW w:w="999" w:type="pct"/>
                  <w:vMerge w:val="restart"/>
                  <w:vAlign w:val="center"/>
                </w:tcPr>
                <w:p w14:paraId="353EA02F">
                  <w:pPr>
                    <w:widowControl/>
                    <w:spacing w:line="300" w:lineRule="exact"/>
                    <w:jc w:val="center"/>
                    <w:rPr>
                      <w:kern w:val="0"/>
                      <w:sz w:val="21"/>
                      <w:szCs w:val="21"/>
                      <w:lang w:eastAsia="en-US" w:bidi="en-US"/>
                    </w:rPr>
                  </w:pPr>
                  <w:r>
                    <w:rPr>
                      <w:sz w:val="21"/>
                      <w:szCs w:val="21"/>
                      <w:lang w:eastAsia="en-US" w:bidi="en-US"/>
                    </w:rPr>
                    <w:t>其他类型</w:t>
                  </w:r>
                </w:p>
              </w:tc>
              <w:tc>
                <w:tcPr>
                  <w:tcW w:w="1555" w:type="pct"/>
                  <w:vMerge w:val="restart"/>
                  <w:vAlign w:val="center"/>
                </w:tcPr>
                <w:p w14:paraId="3E9407C3">
                  <w:pPr>
                    <w:widowControl/>
                    <w:spacing w:line="300" w:lineRule="exact"/>
                    <w:jc w:val="center"/>
                    <w:rPr>
                      <w:kern w:val="0"/>
                      <w:sz w:val="21"/>
                      <w:szCs w:val="21"/>
                      <w:lang w:bidi="en-US"/>
                    </w:rPr>
                  </w:pPr>
                  <w:r>
                    <w:rPr>
                      <w:sz w:val="21"/>
                      <w:szCs w:val="21"/>
                      <w:lang w:val="zh-CN" w:bidi="en-US"/>
                    </w:rPr>
                    <w:t>等效黏土防渗层Mb&gt;1.5m，K&lt;1×10</w:t>
                  </w:r>
                  <w:r>
                    <w:rPr>
                      <w:sz w:val="21"/>
                      <w:szCs w:val="21"/>
                      <w:vertAlign w:val="superscript"/>
                      <w:lang w:val="zh-CN" w:bidi="en-US"/>
                    </w:rPr>
                    <w:t>-7</w:t>
                  </w:r>
                  <w:r>
                    <w:rPr>
                      <w:sz w:val="21"/>
                      <w:szCs w:val="21"/>
                      <w:lang w:val="zh-CN" w:bidi="en-US"/>
                    </w:rPr>
                    <w:t>cm/s，或参照GB16889执行</w:t>
                  </w:r>
                </w:p>
              </w:tc>
            </w:tr>
            <w:tr w14:paraId="3CEC7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14:paraId="5AB6E272">
                  <w:pPr>
                    <w:widowControl/>
                    <w:jc w:val="left"/>
                    <w:rPr>
                      <w:kern w:val="0"/>
                      <w:sz w:val="21"/>
                      <w:szCs w:val="21"/>
                      <w:lang w:bidi="en-US"/>
                    </w:rPr>
                  </w:pPr>
                </w:p>
              </w:tc>
              <w:tc>
                <w:tcPr>
                  <w:tcW w:w="846" w:type="pct"/>
                  <w:vAlign w:val="center"/>
                </w:tcPr>
                <w:p w14:paraId="351A0BE0">
                  <w:pPr>
                    <w:widowControl/>
                    <w:spacing w:line="300" w:lineRule="exact"/>
                    <w:jc w:val="center"/>
                    <w:rPr>
                      <w:kern w:val="0"/>
                      <w:sz w:val="21"/>
                      <w:szCs w:val="21"/>
                      <w:lang w:eastAsia="en-US" w:bidi="en-US"/>
                    </w:rPr>
                  </w:pPr>
                  <w:r>
                    <w:rPr>
                      <w:sz w:val="21"/>
                      <w:szCs w:val="21"/>
                      <w:lang w:eastAsia="en-US" w:bidi="en-US"/>
                    </w:rPr>
                    <w:t>中-强</w:t>
                  </w:r>
                </w:p>
              </w:tc>
              <w:tc>
                <w:tcPr>
                  <w:tcW w:w="770" w:type="pct"/>
                  <w:vAlign w:val="center"/>
                </w:tcPr>
                <w:p w14:paraId="43466FC2">
                  <w:pPr>
                    <w:widowControl/>
                    <w:spacing w:line="300" w:lineRule="exact"/>
                    <w:jc w:val="center"/>
                    <w:rPr>
                      <w:kern w:val="0"/>
                      <w:sz w:val="21"/>
                      <w:szCs w:val="21"/>
                      <w:lang w:eastAsia="en-US" w:bidi="en-US"/>
                    </w:rPr>
                  </w:pPr>
                  <w:r>
                    <w:rPr>
                      <w:sz w:val="21"/>
                      <w:szCs w:val="21"/>
                      <w:lang w:eastAsia="en-US" w:bidi="en-US"/>
                    </w:rPr>
                    <w:t>难</w:t>
                  </w:r>
                </w:p>
              </w:tc>
              <w:tc>
                <w:tcPr>
                  <w:tcW w:w="999" w:type="pct"/>
                  <w:vMerge w:val="continue"/>
                  <w:vAlign w:val="center"/>
                </w:tcPr>
                <w:p w14:paraId="003A4816">
                  <w:pPr>
                    <w:widowControl/>
                    <w:jc w:val="left"/>
                    <w:rPr>
                      <w:kern w:val="0"/>
                      <w:sz w:val="21"/>
                      <w:szCs w:val="21"/>
                      <w:lang w:eastAsia="en-US" w:bidi="en-US"/>
                    </w:rPr>
                  </w:pPr>
                </w:p>
              </w:tc>
              <w:tc>
                <w:tcPr>
                  <w:tcW w:w="1555" w:type="pct"/>
                  <w:vMerge w:val="continue"/>
                  <w:vAlign w:val="center"/>
                </w:tcPr>
                <w:p w14:paraId="56EC28F7">
                  <w:pPr>
                    <w:widowControl/>
                    <w:jc w:val="left"/>
                    <w:rPr>
                      <w:kern w:val="0"/>
                      <w:sz w:val="21"/>
                      <w:szCs w:val="21"/>
                      <w:lang w:bidi="en-US"/>
                    </w:rPr>
                  </w:pPr>
                </w:p>
              </w:tc>
            </w:tr>
            <w:tr w14:paraId="67AF8C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14:paraId="566B764B">
                  <w:pPr>
                    <w:widowControl/>
                    <w:jc w:val="left"/>
                    <w:rPr>
                      <w:kern w:val="0"/>
                      <w:sz w:val="21"/>
                      <w:szCs w:val="21"/>
                      <w:lang w:eastAsia="en-US" w:bidi="en-US"/>
                    </w:rPr>
                  </w:pPr>
                </w:p>
              </w:tc>
              <w:tc>
                <w:tcPr>
                  <w:tcW w:w="846" w:type="pct"/>
                  <w:vAlign w:val="center"/>
                </w:tcPr>
                <w:p w14:paraId="73A5EC2A">
                  <w:pPr>
                    <w:widowControl/>
                    <w:spacing w:line="300" w:lineRule="exact"/>
                    <w:jc w:val="center"/>
                    <w:rPr>
                      <w:kern w:val="0"/>
                      <w:sz w:val="21"/>
                      <w:szCs w:val="21"/>
                      <w:lang w:eastAsia="en-US" w:bidi="en-US"/>
                    </w:rPr>
                  </w:pPr>
                  <w:r>
                    <w:rPr>
                      <w:sz w:val="21"/>
                      <w:szCs w:val="21"/>
                      <w:lang w:eastAsia="en-US" w:bidi="en-US"/>
                    </w:rPr>
                    <w:t>中</w:t>
                  </w:r>
                </w:p>
              </w:tc>
              <w:tc>
                <w:tcPr>
                  <w:tcW w:w="770" w:type="pct"/>
                  <w:vAlign w:val="center"/>
                </w:tcPr>
                <w:p w14:paraId="3F620E0E">
                  <w:pPr>
                    <w:widowControl/>
                    <w:spacing w:line="300" w:lineRule="exact"/>
                    <w:jc w:val="center"/>
                    <w:rPr>
                      <w:kern w:val="0"/>
                      <w:sz w:val="21"/>
                      <w:szCs w:val="21"/>
                      <w:lang w:eastAsia="en-US" w:bidi="en-US"/>
                    </w:rPr>
                  </w:pPr>
                  <w:r>
                    <w:rPr>
                      <w:sz w:val="21"/>
                      <w:szCs w:val="21"/>
                      <w:lang w:eastAsia="en-US" w:bidi="en-US"/>
                    </w:rPr>
                    <w:t>易</w:t>
                  </w:r>
                </w:p>
              </w:tc>
              <w:tc>
                <w:tcPr>
                  <w:tcW w:w="999" w:type="pct"/>
                  <w:vMerge w:val="restart"/>
                  <w:vAlign w:val="center"/>
                </w:tcPr>
                <w:p w14:paraId="2FC2003C">
                  <w:pPr>
                    <w:widowControl/>
                    <w:spacing w:line="300" w:lineRule="exact"/>
                    <w:jc w:val="center"/>
                    <w:rPr>
                      <w:kern w:val="0"/>
                      <w:sz w:val="21"/>
                      <w:szCs w:val="21"/>
                      <w:lang w:bidi="en-US"/>
                    </w:rPr>
                  </w:pPr>
                  <w:r>
                    <w:rPr>
                      <w:sz w:val="21"/>
                      <w:szCs w:val="21"/>
                      <w:lang w:bidi="en-US"/>
                    </w:rPr>
                    <w:t>重金属、持久性有机物污染物</w:t>
                  </w:r>
                </w:p>
              </w:tc>
              <w:tc>
                <w:tcPr>
                  <w:tcW w:w="1555" w:type="pct"/>
                  <w:vMerge w:val="continue"/>
                  <w:vAlign w:val="center"/>
                </w:tcPr>
                <w:p w14:paraId="408FCCC6">
                  <w:pPr>
                    <w:widowControl/>
                    <w:jc w:val="left"/>
                    <w:rPr>
                      <w:kern w:val="0"/>
                      <w:sz w:val="21"/>
                      <w:szCs w:val="21"/>
                      <w:lang w:bidi="en-US"/>
                    </w:rPr>
                  </w:pPr>
                </w:p>
              </w:tc>
            </w:tr>
            <w:tr w14:paraId="4E7423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Merge w:val="continue"/>
                  <w:vAlign w:val="center"/>
                </w:tcPr>
                <w:p w14:paraId="54B338B5">
                  <w:pPr>
                    <w:widowControl/>
                    <w:jc w:val="left"/>
                    <w:rPr>
                      <w:kern w:val="0"/>
                      <w:sz w:val="21"/>
                      <w:szCs w:val="21"/>
                      <w:lang w:bidi="en-US"/>
                    </w:rPr>
                  </w:pPr>
                </w:p>
              </w:tc>
              <w:tc>
                <w:tcPr>
                  <w:tcW w:w="846" w:type="pct"/>
                  <w:vAlign w:val="center"/>
                </w:tcPr>
                <w:p w14:paraId="7A935C61">
                  <w:pPr>
                    <w:widowControl/>
                    <w:spacing w:line="300" w:lineRule="exact"/>
                    <w:jc w:val="center"/>
                    <w:rPr>
                      <w:kern w:val="0"/>
                      <w:sz w:val="21"/>
                      <w:szCs w:val="21"/>
                      <w:lang w:bidi="en-US"/>
                    </w:rPr>
                  </w:pPr>
                  <w:r>
                    <w:rPr>
                      <w:sz w:val="21"/>
                      <w:szCs w:val="21"/>
                      <w:lang w:bidi="en-US"/>
                    </w:rPr>
                    <w:t>强</w:t>
                  </w:r>
                </w:p>
              </w:tc>
              <w:tc>
                <w:tcPr>
                  <w:tcW w:w="770" w:type="pct"/>
                  <w:vAlign w:val="center"/>
                </w:tcPr>
                <w:p w14:paraId="024BF346">
                  <w:pPr>
                    <w:widowControl/>
                    <w:spacing w:line="300" w:lineRule="exact"/>
                    <w:jc w:val="center"/>
                    <w:rPr>
                      <w:kern w:val="0"/>
                      <w:sz w:val="21"/>
                      <w:szCs w:val="21"/>
                      <w:lang w:bidi="en-US"/>
                    </w:rPr>
                  </w:pPr>
                  <w:r>
                    <w:rPr>
                      <w:sz w:val="21"/>
                      <w:szCs w:val="21"/>
                      <w:lang w:bidi="en-US"/>
                    </w:rPr>
                    <w:t>易</w:t>
                  </w:r>
                </w:p>
              </w:tc>
              <w:tc>
                <w:tcPr>
                  <w:tcW w:w="999" w:type="pct"/>
                  <w:vMerge w:val="continue"/>
                  <w:vAlign w:val="center"/>
                </w:tcPr>
                <w:p w14:paraId="36C065A0">
                  <w:pPr>
                    <w:widowControl/>
                    <w:jc w:val="left"/>
                    <w:rPr>
                      <w:kern w:val="0"/>
                      <w:sz w:val="21"/>
                      <w:szCs w:val="21"/>
                      <w:lang w:bidi="en-US"/>
                    </w:rPr>
                  </w:pPr>
                </w:p>
              </w:tc>
              <w:tc>
                <w:tcPr>
                  <w:tcW w:w="1555" w:type="pct"/>
                  <w:vMerge w:val="continue"/>
                  <w:vAlign w:val="center"/>
                </w:tcPr>
                <w:p w14:paraId="0E077084">
                  <w:pPr>
                    <w:widowControl/>
                    <w:jc w:val="left"/>
                    <w:rPr>
                      <w:kern w:val="0"/>
                      <w:sz w:val="21"/>
                      <w:szCs w:val="21"/>
                      <w:lang w:bidi="en-US"/>
                    </w:rPr>
                  </w:pPr>
                </w:p>
              </w:tc>
            </w:tr>
            <w:tr w14:paraId="6B4156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pct"/>
                  <w:vAlign w:val="center"/>
                </w:tcPr>
                <w:p w14:paraId="588AD9F4">
                  <w:pPr>
                    <w:widowControl/>
                    <w:spacing w:line="300" w:lineRule="exact"/>
                    <w:jc w:val="center"/>
                    <w:rPr>
                      <w:kern w:val="0"/>
                      <w:sz w:val="21"/>
                      <w:szCs w:val="21"/>
                      <w:lang w:bidi="en-US"/>
                    </w:rPr>
                  </w:pPr>
                  <w:r>
                    <w:rPr>
                      <w:sz w:val="21"/>
                      <w:szCs w:val="21"/>
                      <w:lang w:bidi="en-US"/>
                    </w:rPr>
                    <w:t>简单防渗区</w:t>
                  </w:r>
                </w:p>
              </w:tc>
              <w:tc>
                <w:tcPr>
                  <w:tcW w:w="846" w:type="pct"/>
                  <w:vAlign w:val="center"/>
                </w:tcPr>
                <w:p w14:paraId="61D84180">
                  <w:pPr>
                    <w:widowControl/>
                    <w:spacing w:line="300" w:lineRule="exact"/>
                    <w:jc w:val="center"/>
                    <w:rPr>
                      <w:kern w:val="0"/>
                      <w:sz w:val="21"/>
                      <w:szCs w:val="21"/>
                      <w:lang w:bidi="en-US"/>
                    </w:rPr>
                  </w:pPr>
                  <w:r>
                    <w:rPr>
                      <w:sz w:val="21"/>
                      <w:szCs w:val="21"/>
                      <w:lang w:bidi="en-US"/>
                    </w:rPr>
                    <w:t>中-强</w:t>
                  </w:r>
                </w:p>
              </w:tc>
              <w:tc>
                <w:tcPr>
                  <w:tcW w:w="770" w:type="pct"/>
                  <w:vAlign w:val="center"/>
                </w:tcPr>
                <w:p w14:paraId="4055BFDD">
                  <w:pPr>
                    <w:widowControl/>
                    <w:spacing w:line="300" w:lineRule="exact"/>
                    <w:jc w:val="center"/>
                    <w:rPr>
                      <w:kern w:val="0"/>
                      <w:sz w:val="21"/>
                      <w:szCs w:val="21"/>
                      <w:lang w:bidi="en-US"/>
                    </w:rPr>
                  </w:pPr>
                  <w:r>
                    <w:rPr>
                      <w:sz w:val="21"/>
                      <w:szCs w:val="21"/>
                      <w:lang w:bidi="en-US"/>
                    </w:rPr>
                    <w:t>易</w:t>
                  </w:r>
                </w:p>
              </w:tc>
              <w:tc>
                <w:tcPr>
                  <w:tcW w:w="999" w:type="pct"/>
                  <w:vAlign w:val="center"/>
                </w:tcPr>
                <w:p w14:paraId="34AE5E7F">
                  <w:pPr>
                    <w:widowControl/>
                    <w:spacing w:line="300" w:lineRule="exact"/>
                    <w:jc w:val="center"/>
                    <w:rPr>
                      <w:kern w:val="0"/>
                      <w:sz w:val="21"/>
                      <w:szCs w:val="21"/>
                      <w:lang w:bidi="en-US"/>
                    </w:rPr>
                  </w:pPr>
                  <w:r>
                    <w:rPr>
                      <w:sz w:val="21"/>
                      <w:szCs w:val="21"/>
                      <w:lang w:bidi="en-US"/>
                    </w:rPr>
                    <w:t>其他类型</w:t>
                  </w:r>
                </w:p>
              </w:tc>
              <w:tc>
                <w:tcPr>
                  <w:tcW w:w="1555" w:type="pct"/>
                  <w:vAlign w:val="center"/>
                </w:tcPr>
                <w:p w14:paraId="206C067B">
                  <w:pPr>
                    <w:widowControl/>
                    <w:spacing w:line="300" w:lineRule="exact"/>
                    <w:jc w:val="center"/>
                    <w:rPr>
                      <w:kern w:val="0"/>
                      <w:sz w:val="21"/>
                      <w:szCs w:val="21"/>
                      <w:lang w:bidi="en-US"/>
                    </w:rPr>
                  </w:pPr>
                  <w:r>
                    <w:rPr>
                      <w:sz w:val="21"/>
                      <w:szCs w:val="21"/>
                      <w:lang w:bidi="en-US"/>
                    </w:rPr>
                    <w:t>一般地面硬化</w:t>
                  </w:r>
                </w:p>
              </w:tc>
            </w:tr>
          </w:tbl>
          <w:p w14:paraId="6E061D9B">
            <w:pPr>
              <w:pStyle w:val="87"/>
              <w:numPr>
                <w:ilvl w:val="0"/>
                <w:numId w:val="5"/>
              </w:numPr>
              <w:spacing w:line="460" w:lineRule="exact"/>
              <w:ind w:firstLineChars="0"/>
            </w:pPr>
            <w:r>
              <w:t>重点防渗区</w:t>
            </w:r>
          </w:p>
          <w:p w14:paraId="7BAAC202">
            <w:pPr>
              <w:spacing w:line="460" w:lineRule="exact"/>
              <w:ind w:firstLine="480" w:firstLineChars="200"/>
            </w:pPr>
            <w:r>
              <w:t>重点污染防治区主要包括沥青罐区、</w:t>
            </w:r>
            <w:r>
              <w:rPr>
                <w:rFonts w:hint="eastAsia"/>
              </w:rPr>
              <w:t>醇醚储罐区、</w:t>
            </w:r>
            <w:r>
              <w:t>危废暂存间防渗措施：</w:t>
            </w:r>
            <w:r>
              <w:rPr>
                <w:rFonts w:hint="eastAsia"/>
              </w:rPr>
              <w:t>应按照有关防渗要求建设必须做好防渗措施，根据《环境影响评价技术导则 地下水环境》（HJ610-2016）要求，等效黏土防渗层Mb≥</w:t>
            </w:r>
            <w:r>
              <w:t>6.0</w:t>
            </w:r>
            <w:r>
              <w:rPr>
                <w:rFonts w:hint="eastAsia"/>
              </w:rPr>
              <w:t>m，K≤10</w:t>
            </w:r>
            <w:r>
              <w:rPr>
                <w:rFonts w:hint="eastAsia"/>
                <w:vertAlign w:val="superscript"/>
              </w:rPr>
              <w:t>-7</w:t>
            </w:r>
            <w:r>
              <w:rPr>
                <w:rFonts w:hint="eastAsia"/>
              </w:rPr>
              <w:t>cm/s的防渗性能，防止渗滤液泄漏污染地下水；危废暂存间应严格按照《危险废物贮存污染控制标准》（GB18957-2023）中有关规定进行建设</w:t>
            </w:r>
            <w:r>
              <w:t>。</w:t>
            </w:r>
          </w:p>
          <w:p w14:paraId="60E1CCEC">
            <w:pPr>
              <w:pStyle w:val="87"/>
              <w:numPr>
                <w:ilvl w:val="0"/>
                <w:numId w:val="5"/>
              </w:numPr>
              <w:spacing w:line="460" w:lineRule="exact"/>
              <w:ind w:firstLineChars="0"/>
            </w:pPr>
            <w:r>
              <w:t>一般防渗区</w:t>
            </w:r>
          </w:p>
          <w:p w14:paraId="517F5FDC">
            <w:pPr>
              <w:spacing w:line="460" w:lineRule="exact"/>
              <w:ind w:firstLine="480" w:firstLineChars="200"/>
            </w:pPr>
            <w:r>
              <w:t>主要包括水泥稳定土生产区、混凝土生产区、</w:t>
            </w:r>
            <w:r>
              <w:rPr>
                <w:rFonts w:hint="eastAsia"/>
              </w:rPr>
              <w:t>沥青混凝土生产区、</w:t>
            </w:r>
            <w:r>
              <w:t>料仓、</w:t>
            </w:r>
            <w:r>
              <w:rPr>
                <w:rFonts w:hint="eastAsia"/>
              </w:rPr>
              <w:t>预制场、实验室、</w:t>
            </w:r>
            <w:r>
              <w:t>一般固废仓库</w:t>
            </w:r>
            <w:r>
              <w:rPr>
                <w:rFonts w:hint="eastAsia"/>
              </w:rPr>
              <w:t>、蓄水池和沉淀池</w:t>
            </w:r>
            <w:r>
              <w:t>等，</w:t>
            </w:r>
            <w:r>
              <w:rPr>
                <w:rFonts w:hint="eastAsia"/>
              </w:rPr>
              <w:t>采取防渗措施后的基础层等效黏土防渗层Mb≥1.5m，k≤10</w:t>
            </w:r>
            <w:r>
              <w:rPr>
                <w:rFonts w:hint="eastAsia"/>
                <w:vertAlign w:val="superscript"/>
              </w:rPr>
              <w:t>-7</w:t>
            </w:r>
            <w:r>
              <w:rPr>
                <w:rFonts w:hint="eastAsia"/>
              </w:rPr>
              <w:t>cm/s</w:t>
            </w:r>
            <w:r>
              <w:t>。</w:t>
            </w:r>
          </w:p>
          <w:p w14:paraId="20064325">
            <w:pPr>
              <w:spacing w:line="460" w:lineRule="exact"/>
              <w:ind w:firstLine="480" w:firstLineChars="20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简单防渗区</w:t>
            </w:r>
          </w:p>
          <w:p w14:paraId="17D22D40">
            <w:pPr>
              <w:spacing w:line="460" w:lineRule="exact"/>
              <w:ind w:firstLine="480" w:firstLineChars="200"/>
            </w:pPr>
            <w:r>
              <w:rPr>
                <w:rFonts w:hint="eastAsia"/>
              </w:rPr>
              <w:t>主要包括办公及生活区</w:t>
            </w:r>
            <w:r>
              <w:rPr>
                <w:szCs w:val="26"/>
              </w:rPr>
              <w:t>均采取灰土铺底，再在上层铺10～15cm的混凝土进行硬化。此外，要求企业应充分做好污水管道的防渗处理，杜绝污水渗漏，确保污水收集处理系统衔接良好，严格用水管理，防止</w:t>
            </w:r>
            <w:r>
              <w:rPr>
                <w:rFonts w:ascii="宋体" w:hAnsi="宋体"/>
                <w:szCs w:val="26"/>
              </w:rPr>
              <w:t>污水“跑、冒、滴、漏”</w:t>
            </w:r>
            <w:r>
              <w:rPr>
                <w:szCs w:val="26"/>
              </w:rPr>
              <w:t>现象的发生，这样可以保证项目区内产生的全部废水汇集后纳管，可以很大程度的消除周边地区污染物排放对地下水环境的影响</w:t>
            </w:r>
            <w:r>
              <w:rPr>
                <w:rFonts w:hint="eastAsia"/>
                <w:szCs w:val="26"/>
              </w:rPr>
              <w:t>。分区防渗情况见图</w:t>
            </w:r>
            <w:r>
              <w:rPr>
                <w:szCs w:val="26"/>
              </w:rPr>
              <w:t>2-3</w:t>
            </w:r>
            <w:r>
              <w:rPr>
                <w:rFonts w:hint="eastAsia"/>
                <w:szCs w:val="26"/>
              </w:rPr>
              <w:t>。</w:t>
            </w:r>
          </w:p>
          <w:p w14:paraId="5DA81E61">
            <w:pPr>
              <w:spacing w:line="460" w:lineRule="exact"/>
              <w:ind w:firstLine="480" w:firstLineChars="200"/>
            </w:pPr>
            <w:r>
              <w:t>在采取以上分区防渗措施后，</w:t>
            </w:r>
            <w:r>
              <w:rPr>
                <w:rFonts w:hint="eastAsia"/>
              </w:rPr>
              <w:t>对地下水及土壤环境影响程度较小。</w:t>
            </w:r>
          </w:p>
          <w:p w14:paraId="51A0D027">
            <w:pPr>
              <w:spacing w:line="460" w:lineRule="exact"/>
              <w:ind w:firstLine="482" w:firstLineChars="200"/>
              <w:rPr>
                <w:b/>
                <w:bCs/>
              </w:rPr>
            </w:pPr>
            <w:r>
              <w:rPr>
                <w:b/>
                <w:bCs/>
              </w:rPr>
              <w:t>6、环境风险分析</w:t>
            </w:r>
          </w:p>
          <w:p w14:paraId="215E4C20">
            <w:pPr>
              <w:spacing w:line="460" w:lineRule="exact"/>
              <w:ind w:firstLine="480" w:firstLineChars="200"/>
            </w:pPr>
            <w:r>
              <w:rPr>
                <w:rFonts w:hint="eastAsia"/>
              </w:rPr>
              <w:t>（1）环境风险评价目的</w:t>
            </w:r>
          </w:p>
          <w:p w14:paraId="399B26F1">
            <w:pPr>
              <w:spacing w:line="460" w:lineRule="exact"/>
              <w:ind w:firstLine="480" w:firstLineChars="200"/>
            </w:pPr>
            <w:r>
              <w:t>环境风险评估的目的是分析和预测建设项目存在的潜在危险、有害因素，建设项目建设和运营期间可能发生的突发性事件或事故（一般不包括人为破坏及自然灾害</w:t>
            </w:r>
            <w:r>
              <w:rPr>
                <w:rFonts w:hint="eastAsia"/>
              </w:rPr>
              <w:t>）</w:t>
            </w:r>
            <w:r>
              <w:t>，引起有毒有害和易燃易爆等物质泄漏，所造成的人身安全与环境影响和损害程度，提出合理可行的防范、应急及减缓措施，以使建设项目事故率、损失和环境影响达到可接受水平。</w:t>
            </w:r>
          </w:p>
          <w:p w14:paraId="1031B1B0">
            <w:pPr>
              <w:spacing w:line="460" w:lineRule="exact"/>
              <w:ind w:firstLine="480" w:firstLineChars="200"/>
            </w:pPr>
            <w:r>
              <w:rPr>
                <w:rFonts w:hint="eastAsia"/>
              </w:rPr>
              <w:t>（2）风险调查</w:t>
            </w:r>
          </w:p>
          <w:p w14:paraId="5D7A6103">
            <w:pPr>
              <w:spacing w:line="460" w:lineRule="exact"/>
              <w:ind w:firstLine="480" w:firstLineChars="200"/>
            </w:pPr>
            <w:r>
              <w:rPr>
                <w:rFonts w:hint="eastAsia"/>
              </w:rPr>
              <w:t>根据《建设项目环境风险评价技术导则》（HJ169-2018）附录B中规定，</w:t>
            </w:r>
            <w:r>
              <w:t>项目涉及风险</w:t>
            </w:r>
            <w:r>
              <w:rPr>
                <w:rFonts w:hint="eastAsia"/>
              </w:rPr>
              <w:t>物质</w:t>
            </w:r>
            <w:r>
              <w:t>的主要为废机油、导热油</w:t>
            </w:r>
            <w:r>
              <w:rPr>
                <w:rFonts w:hint="eastAsia"/>
              </w:rPr>
              <w:t>。</w:t>
            </w:r>
          </w:p>
          <w:p w14:paraId="3AE89325">
            <w:pPr>
              <w:spacing w:line="460" w:lineRule="exact"/>
              <w:ind w:firstLine="480" w:firstLineChars="200"/>
            </w:pPr>
            <w:r>
              <w:rPr>
                <w:rFonts w:hint="eastAsia"/>
              </w:rPr>
              <w:t>（3）环境风险潜势初判</w:t>
            </w:r>
          </w:p>
          <w:p w14:paraId="0761D13B">
            <w:pPr>
              <w:spacing w:line="460" w:lineRule="exact"/>
              <w:ind w:firstLine="480" w:firstLineChars="200"/>
            </w:pPr>
            <w:r>
              <w:rPr>
                <w:rFonts w:hint="eastAsia"/>
              </w:rPr>
              <w:t>1）危险物质及工艺系统危险性（P）的分级</w:t>
            </w:r>
          </w:p>
          <w:p w14:paraId="4EA46F4B">
            <w:pPr>
              <w:spacing w:line="460" w:lineRule="exact"/>
              <w:ind w:firstLine="480" w:firstLineChars="2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Ansi="宋体"/>
              </w:rPr>
              <w:t>危险物质数量与临界量比值（Q）</w:t>
            </w:r>
          </w:p>
          <w:p w14:paraId="154E6631">
            <w:pPr>
              <w:spacing w:line="460" w:lineRule="exact"/>
              <w:ind w:firstLine="480" w:firstLineChars="200"/>
            </w:pPr>
            <w:r>
              <w:t>根据《建设项目环境风险评价技术导则》（HJ169-2018），计算所涉及的每种危险物质在厂界内的最大存在总量与其在附录B中对应临界量的比值Q。当只涉及一种危险物质时，计算该物质的总量与其临界量比值，即为Q；当存在多种危险物质时，则按下式计算物质总量与其临界量比值(Q)：</w:t>
            </w:r>
          </w:p>
          <w:p w14:paraId="7BB32663">
            <w:pPr>
              <w:spacing w:line="460" w:lineRule="exact"/>
              <w:ind w:firstLine="480" w:firstLineChars="200"/>
            </w:pPr>
            <w:r>
              <w:drawing>
                <wp:anchor distT="0" distB="0" distL="114300" distR="114300" simplePos="0" relativeHeight="251660288" behindDoc="0" locked="0" layoutInCell="1" allowOverlap="1">
                  <wp:simplePos x="0" y="0"/>
                  <wp:positionH relativeFrom="column">
                    <wp:posOffset>1035050</wp:posOffset>
                  </wp:positionH>
                  <wp:positionV relativeFrom="paragraph">
                    <wp:posOffset>5080</wp:posOffset>
                  </wp:positionV>
                  <wp:extent cx="2816225" cy="427355"/>
                  <wp:effectExtent l="0" t="0" r="0" b="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16225" cy="427355"/>
                          </a:xfrm>
                          <a:prstGeom prst="rect">
                            <a:avLst/>
                          </a:prstGeom>
                          <a:noFill/>
                          <a:ln>
                            <a:noFill/>
                          </a:ln>
                        </pic:spPr>
                      </pic:pic>
                    </a:graphicData>
                  </a:graphic>
                </wp:anchor>
              </w:drawing>
            </w:r>
            <w:r>
              <w:t>式中，q</w:t>
            </w:r>
            <w:r>
              <w:rPr>
                <w:vertAlign w:val="subscript"/>
              </w:rPr>
              <w:t>1</w:t>
            </w:r>
            <w:r>
              <w:t>，q</w:t>
            </w:r>
            <w:r>
              <w:rPr>
                <w:vertAlign w:val="subscript"/>
              </w:rPr>
              <w:t>2</w:t>
            </w:r>
            <w:r>
              <w:t>...q</w:t>
            </w:r>
            <w:r>
              <w:rPr>
                <w:vertAlign w:val="subscript"/>
              </w:rPr>
              <w:t>n</w:t>
            </w:r>
            <w:r>
              <w:t>—每种危险物质的最大存在总量，t。</w:t>
            </w:r>
          </w:p>
          <w:p w14:paraId="22D493D6">
            <w:pPr>
              <w:spacing w:line="460" w:lineRule="exact"/>
              <w:ind w:firstLine="1200" w:firstLineChars="500"/>
            </w:pPr>
            <w:r>
              <w:t>Q</w:t>
            </w:r>
            <w:r>
              <w:rPr>
                <w:vertAlign w:val="subscript"/>
              </w:rPr>
              <w:t>1</w:t>
            </w:r>
            <w:r>
              <w:t>，Q</w:t>
            </w:r>
            <w:r>
              <w:rPr>
                <w:vertAlign w:val="subscript"/>
              </w:rPr>
              <w:t>2</w:t>
            </w:r>
            <w:r>
              <w:t>...Q</w:t>
            </w:r>
            <w:r>
              <w:rPr>
                <w:vertAlign w:val="subscript"/>
              </w:rPr>
              <w:t>n</w:t>
            </w:r>
            <w:r>
              <w:t>—每种危险物质的临界量，t。</w:t>
            </w:r>
          </w:p>
          <w:p w14:paraId="5038338F">
            <w:pPr>
              <w:spacing w:line="460" w:lineRule="exact"/>
              <w:ind w:firstLine="480" w:firstLineChars="200"/>
            </w:pPr>
            <w:r>
              <w:t>当Q&lt;1时，该项目环境风险潜势为I。</w:t>
            </w:r>
          </w:p>
          <w:p w14:paraId="171EE558">
            <w:pPr>
              <w:spacing w:line="460" w:lineRule="exact"/>
              <w:ind w:firstLine="480" w:firstLineChars="200"/>
            </w:pPr>
            <w:r>
              <w:t>当Q≥1时，将Q值划分为：（1）I≤Q&lt;10；（2）10≤Q&lt;100；（3）Q≥100。</w:t>
            </w:r>
          </w:p>
          <w:p w14:paraId="17512621">
            <w:pPr>
              <w:spacing w:line="460" w:lineRule="exact"/>
              <w:ind w:firstLine="480" w:firstLineChars="200"/>
            </w:pPr>
            <w:r>
              <w:t>建设项目环境风险物质识别情况见下表</w:t>
            </w:r>
            <w:r>
              <w:rPr>
                <w:rFonts w:hint="eastAsia"/>
              </w:rPr>
              <w:t>4</w:t>
            </w:r>
            <w:r>
              <w:t>-21</w:t>
            </w:r>
            <w:r>
              <w:rPr>
                <w:rFonts w:hint="eastAsia"/>
              </w:rPr>
              <w:t>。</w:t>
            </w:r>
          </w:p>
          <w:p w14:paraId="1F308C91">
            <w:pPr>
              <w:pStyle w:val="76"/>
              <w:ind w:firstLine="420"/>
              <w:rPr>
                <w:color w:val="auto"/>
              </w:rPr>
            </w:pPr>
            <w:r>
              <w:rPr>
                <w:color w:val="auto"/>
              </w:rPr>
              <w:t>表4-21             项目主要物质风险识别结果一览表</w:t>
            </w:r>
          </w:p>
          <w:tbl>
            <w:tblPr>
              <w:tblStyle w:val="24"/>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67"/>
              <w:gridCol w:w="2082"/>
              <w:gridCol w:w="1771"/>
              <w:gridCol w:w="1689"/>
              <w:gridCol w:w="1700"/>
            </w:tblGrid>
            <w:tr w14:paraId="765972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4" w:type="pct"/>
                  <w:vAlign w:val="center"/>
                </w:tcPr>
                <w:p w14:paraId="248D6295">
                  <w:pPr>
                    <w:widowControl/>
                    <w:jc w:val="center"/>
                    <w:textAlignment w:val="center"/>
                    <w:rPr>
                      <w:sz w:val="21"/>
                      <w:szCs w:val="21"/>
                    </w:rPr>
                  </w:pPr>
                  <w:r>
                    <w:rPr>
                      <w:kern w:val="0"/>
                      <w:sz w:val="21"/>
                      <w:szCs w:val="21"/>
                      <w:lang w:bidi="ar"/>
                    </w:rPr>
                    <w:t>序号</w:t>
                  </w:r>
                </w:p>
              </w:tc>
              <w:tc>
                <w:tcPr>
                  <w:tcW w:w="1238" w:type="pct"/>
                  <w:vAlign w:val="center"/>
                </w:tcPr>
                <w:p w14:paraId="5F0BA1AE">
                  <w:pPr>
                    <w:widowControl/>
                    <w:jc w:val="center"/>
                    <w:textAlignment w:val="center"/>
                    <w:rPr>
                      <w:sz w:val="21"/>
                      <w:szCs w:val="21"/>
                    </w:rPr>
                  </w:pPr>
                  <w:r>
                    <w:rPr>
                      <w:kern w:val="0"/>
                      <w:sz w:val="21"/>
                      <w:szCs w:val="21"/>
                      <w:lang w:bidi="ar"/>
                    </w:rPr>
                    <w:t>物质名称</w:t>
                  </w:r>
                </w:p>
              </w:tc>
              <w:tc>
                <w:tcPr>
                  <w:tcW w:w="1053" w:type="pct"/>
                  <w:vAlign w:val="center"/>
                </w:tcPr>
                <w:p w14:paraId="5C4668DA">
                  <w:pPr>
                    <w:widowControl/>
                    <w:jc w:val="center"/>
                    <w:textAlignment w:val="center"/>
                    <w:rPr>
                      <w:sz w:val="21"/>
                      <w:szCs w:val="21"/>
                    </w:rPr>
                  </w:pPr>
                  <w:r>
                    <w:rPr>
                      <w:kern w:val="0"/>
                      <w:sz w:val="21"/>
                      <w:szCs w:val="21"/>
                      <w:lang w:bidi="ar"/>
                    </w:rPr>
                    <w:t>最大贮存量(t)</w:t>
                  </w:r>
                </w:p>
              </w:tc>
              <w:tc>
                <w:tcPr>
                  <w:tcW w:w="1004" w:type="pct"/>
                  <w:vAlign w:val="center"/>
                </w:tcPr>
                <w:p w14:paraId="14314877">
                  <w:pPr>
                    <w:widowControl/>
                    <w:jc w:val="center"/>
                    <w:textAlignment w:val="center"/>
                    <w:rPr>
                      <w:sz w:val="21"/>
                      <w:szCs w:val="21"/>
                    </w:rPr>
                  </w:pPr>
                  <w:r>
                    <w:rPr>
                      <w:kern w:val="0"/>
                      <w:sz w:val="21"/>
                      <w:szCs w:val="21"/>
                      <w:lang w:bidi="ar"/>
                    </w:rPr>
                    <w:t>临界量(t)</w:t>
                  </w:r>
                </w:p>
              </w:tc>
              <w:tc>
                <w:tcPr>
                  <w:tcW w:w="1011" w:type="pct"/>
                  <w:vAlign w:val="center"/>
                </w:tcPr>
                <w:p w14:paraId="41B5CBD5">
                  <w:pPr>
                    <w:widowControl/>
                    <w:jc w:val="center"/>
                    <w:textAlignment w:val="center"/>
                    <w:rPr>
                      <w:sz w:val="21"/>
                      <w:szCs w:val="21"/>
                    </w:rPr>
                  </w:pPr>
                  <w:r>
                    <w:rPr>
                      <w:kern w:val="0"/>
                      <w:sz w:val="21"/>
                      <w:szCs w:val="21"/>
                      <w:lang w:bidi="ar"/>
                    </w:rPr>
                    <w:t>该物质Q值</w:t>
                  </w:r>
                </w:p>
              </w:tc>
            </w:tr>
            <w:tr w14:paraId="51AAE4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4" w:type="pct"/>
                  <w:vAlign w:val="center"/>
                </w:tcPr>
                <w:p w14:paraId="608EA868">
                  <w:pPr>
                    <w:widowControl/>
                    <w:jc w:val="center"/>
                    <w:textAlignment w:val="center"/>
                    <w:rPr>
                      <w:kern w:val="0"/>
                      <w:sz w:val="21"/>
                      <w:szCs w:val="21"/>
                      <w:lang w:bidi="ar"/>
                    </w:rPr>
                  </w:pPr>
                  <w:r>
                    <w:rPr>
                      <w:kern w:val="0"/>
                      <w:sz w:val="21"/>
                      <w:szCs w:val="21"/>
                      <w:lang w:bidi="ar"/>
                    </w:rPr>
                    <w:t>1</w:t>
                  </w:r>
                </w:p>
              </w:tc>
              <w:tc>
                <w:tcPr>
                  <w:tcW w:w="1238" w:type="pct"/>
                  <w:vAlign w:val="center"/>
                </w:tcPr>
                <w:p w14:paraId="5BDF809C">
                  <w:pPr>
                    <w:widowControl/>
                    <w:jc w:val="center"/>
                    <w:textAlignment w:val="center"/>
                    <w:rPr>
                      <w:kern w:val="0"/>
                      <w:sz w:val="21"/>
                      <w:szCs w:val="21"/>
                      <w:lang w:bidi="ar"/>
                    </w:rPr>
                  </w:pPr>
                  <w:r>
                    <w:rPr>
                      <w:kern w:val="0"/>
                      <w:sz w:val="21"/>
                      <w:szCs w:val="21"/>
                      <w:lang w:bidi="ar"/>
                    </w:rPr>
                    <w:t>废机油</w:t>
                  </w:r>
                </w:p>
              </w:tc>
              <w:tc>
                <w:tcPr>
                  <w:tcW w:w="1053" w:type="pct"/>
                  <w:vAlign w:val="center"/>
                </w:tcPr>
                <w:p w14:paraId="2855D0EB">
                  <w:pPr>
                    <w:widowControl/>
                    <w:jc w:val="center"/>
                    <w:textAlignment w:val="center"/>
                    <w:rPr>
                      <w:sz w:val="21"/>
                      <w:szCs w:val="21"/>
                    </w:rPr>
                  </w:pPr>
                  <w:r>
                    <w:rPr>
                      <w:sz w:val="21"/>
                      <w:szCs w:val="21"/>
                    </w:rPr>
                    <w:t>0.62</w:t>
                  </w:r>
                </w:p>
              </w:tc>
              <w:tc>
                <w:tcPr>
                  <w:tcW w:w="1004" w:type="pct"/>
                  <w:vAlign w:val="center"/>
                </w:tcPr>
                <w:p w14:paraId="7F3C7E97">
                  <w:pPr>
                    <w:widowControl/>
                    <w:jc w:val="center"/>
                    <w:textAlignment w:val="center"/>
                    <w:rPr>
                      <w:sz w:val="21"/>
                      <w:szCs w:val="21"/>
                    </w:rPr>
                  </w:pPr>
                  <w:r>
                    <w:rPr>
                      <w:sz w:val="21"/>
                      <w:szCs w:val="21"/>
                    </w:rPr>
                    <w:t>2500</w:t>
                  </w:r>
                </w:p>
              </w:tc>
              <w:tc>
                <w:tcPr>
                  <w:tcW w:w="1011" w:type="pct"/>
                  <w:vAlign w:val="center"/>
                </w:tcPr>
                <w:p w14:paraId="4ED16209">
                  <w:pPr>
                    <w:widowControl/>
                    <w:jc w:val="center"/>
                    <w:textAlignment w:val="center"/>
                    <w:rPr>
                      <w:sz w:val="21"/>
                      <w:szCs w:val="21"/>
                    </w:rPr>
                  </w:pPr>
                  <w:r>
                    <w:rPr>
                      <w:sz w:val="21"/>
                      <w:szCs w:val="21"/>
                    </w:rPr>
                    <w:t>0.000248</w:t>
                  </w:r>
                </w:p>
              </w:tc>
            </w:tr>
            <w:tr w14:paraId="395100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4" w:type="pct"/>
                  <w:vAlign w:val="center"/>
                </w:tcPr>
                <w:p w14:paraId="2417D3FB">
                  <w:pPr>
                    <w:widowControl/>
                    <w:jc w:val="center"/>
                    <w:textAlignment w:val="center"/>
                    <w:rPr>
                      <w:sz w:val="21"/>
                      <w:szCs w:val="21"/>
                    </w:rPr>
                  </w:pPr>
                  <w:r>
                    <w:rPr>
                      <w:kern w:val="0"/>
                      <w:sz w:val="21"/>
                      <w:szCs w:val="21"/>
                      <w:lang w:bidi="ar"/>
                    </w:rPr>
                    <w:t>2</w:t>
                  </w:r>
                </w:p>
              </w:tc>
              <w:tc>
                <w:tcPr>
                  <w:tcW w:w="1238" w:type="pct"/>
                  <w:vAlign w:val="center"/>
                </w:tcPr>
                <w:p w14:paraId="412BF94F">
                  <w:pPr>
                    <w:widowControl/>
                    <w:jc w:val="center"/>
                    <w:textAlignment w:val="center"/>
                    <w:rPr>
                      <w:sz w:val="21"/>
                      <w:szCs w:val="21"/>
                    </w:rPr>
                  </w:pPr>
                  <w:r>
                    <w:rPr>
                      <w:kern w:val="0"/>
                      <w:sz w:val="21"/>
                      <w:szCs w:val="21"/>
                      <w:lang w:bidi="ar"/>
                    </w:rPr>
                    <w:t>导热油</w:t>
                  </w:r>
                </w:p>
              </w:tc>
              <w:tc>
                <w:tcPr>
                  <w:tcW w:w="1053" w:type="pct"/>
                  <w:vAlign w:val="center"/>
                </w:tcPr>
                <w:p w14:paraId="4F081D38">
                  <w:pPr>
                    <w:widowControl/>
                    <w:jc w:val="center"/>
                    <w:textAlignment w:val="center"/>
                    <w:rPr>
                      <w:sz w:val="21"/>
                      <w:szCs w:val="21"/>
                    </w:rPr>
                  </w:pPr>
                  <w:r>
                    <w:rPr>
                      <w:sz w:val="21"/>
                      <w:szCs w:val="21"/>
                    </w:rPr>
                    <w:t>4</w:t>
                  </w:r>
                </w:p>
              </w:tc>
              <w:tc>
                <w:tcPr>
                  <w:tcW w:w="1004" w:type="pct"/>
                  <w:vAlign w:val="center"/>
                </w:tcPr>
                <w:p w14:paraId="0555DF2A">
                  <w:pPr>
                    <w:widowControl/>
                    <w:jc w:val="center"/>
                    <w:textAlignment w:val="center"/>
                    <w:rPr>
                      <w:sz w:val="21"/>
                      <w:szCs w:val="21"/>
                    </w:rPr>
                  </w:pPr>
                  <w:r>
                    <w:rPr>
                      <w:sz w:val="21"/>
                      <w:szCs w:val="21"/>
                    </w:rPr>
                    <w:t>2500</w:t>
                  </w:r>
                </w:p>
              </w:tc>
              <w:tc>
                <w:tcPr>
                  <w:tcW w:w="1011" w:type="pct"/>
                  <w:vAlign w:val="center"/>
                </w:tcPr>
                <w:p w14:paraId="4A5EFE5D">
                  <w:pPr>
                    <w:widowControl/>
                    <w:jc w:val="center"/>
                    <w:textAlignment w:val="center"/>
                    <w:rPr>
                      <w:sz w:val="21"/>
                      <w:szCs w:val="21"/>
                    </w:rPr>
                  </w:pPr>
                  <w:r>
                    <w:rPr>
                      <w:sz w:val="21"/>
                      <w:szCs w:val="21"/>
                    </w:rPr>
                    <w:t>0.0016</w:t>
                  </w:r>
                </w:p>
              </w:tc>
            </w:tr>
            <w:tr w14:paraId="585D0F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4" w:type="pct"/>
                  <w:vAlign w:val="center"/>
                </w:tcPr>
                <w:p w14:paraId="561BB69D">
                  <w:pPr>
                    <w:widowControl/>
                    <w:jc w:val="center"/>
                    <w:textAlignment w:val="center"/>
                    <w:rPr>
                      <w:kern w:val="0"/>
                      <w:sz w:val="21"/>
                      <w:szCs w:val="21"/>
                      <w:lang w:bidi="ar"/>
                    </w:rPr>
                  </w:pPr>
                  <w:r>
                    <w:rPr>
                      <w:bCs/>
                      <w:sz w:val="21"/>
                      <w:szCs w:val="21"/>
                    </w:rPr>
                    <w:t>∑q</w:t>
                  </w:r>
                  <w:r>
                    <w:rPr>
                      <w:bCs/>
                      <w:sz w:val="21"/>
                      <w:szCs w:val="21"/>
                      <w:vertAlign w:val="subscript"/>
                    </w:rPr>
                    <w:t>i/</w:t>
                  </w:r>
                  <w:r>
                    <w:rPr>
                      <w:bCs/>
                      <w:sz w:val="21"/>
                      <w:szCs w:val="21"/>
                    </w:rPr>
                    <w:t>Q</w:t>
                  </w:r>
                  <w:r>
                    <w:rPr>
                      <w:bCs/>
                      <w:sz w:val="21"/>
                      <w:szCs w:val="21"/>
                      <w:vertAlign w:val="subscript"/>
                    </w:rPr>
                    <w:t>i</w:t>
                  </w:r>
                  <w:r>
                    <w:rPr>
                      <w:bCs/>
                      <w:sz w:val="21"/>
                      <w:szCs w:val="21"/>
                    </w:rPr>
                    <w:t>）</w:t>
                  </w:r>
                </w:p>
              </w:tc>
              <w:tc>
                <w:tcPr>
                  <w:tcW w:w="1238" w:type="pct"/>
                  <w:vAlign w:val="center"/>
                </w:tcPr>
                <w:p w14:paraId="003984F3">
                  <w:pPr>
                    <w:widowControl/>
                    <w:jc w:val="center"/>
                    <w:textAlignment w:val="center"/>
                    <w:rPr>
                      <w:kern w:val="0"/>
                      <w:sz w:val="21"/>
                      <w:szCs w:val="21"/>
                      <w:lang w:bidi="ar"/>
                    </w:rPr>
                  </w:pPr>
                  <w:r>
                    <w:rPr>
                      <w:bCs/>
                      <w:sz w:val="21"/>
                      <w:szCs w:val="21"/>
                    </w:rPr>
                    <w:t>/</w:t>
                  </w:r>
                </w:p>
              </w:tc>
              <w:tc>
                <w:tcPr>
                  <w:tcW w:w="1053" w:type="pct"/>
                  <w:vAlign w:val="center"/>
                </w:tcPr>
                <w:p w14:paraId="39ADFE92">
                  <w:pPr>
                    <w:widowControl/>
                    <w:jc w:val="center"/>
                    <w:textAlignment w:val="center"/>
                    <w:rPr>
                      <w:sz w:val="21"/>
                      <w:szCs w:val="21"/>
                    </w:rPr>
                  </w:pPr>
                  <w:r>
                    <w:rPr>
                      <w:bCs/>
                      <w:sz w:val="21"/>
                      <w:szCs w:val="21"/>
                    </w:rPr>
                    <w:t>/</w:t>
                  </w:r>
                </w:p>
              </w:tc>
              <w:tc>
                <w:tcPr>
                  <w:tcW w:w="1004" w:type="pct"/>
                  <w:vAlign w:val="center"/>
                </w:tcPr>
                <w:p w14:paraId="630C0BE4">
                  <w:pPr>
                    <w:widowControl/>
                    <w:jc w:val="center"/>
                    <w:textAlignment w:val="center"/>
                    <w:rPr>
                      <w:sz w:val="21"/>
                      <w:szCs w:val="21"/>
                    </w:rPr>
                  </w:pPr>
                  <w:r>
                    <w:rPr>
                      <w:rFonts w:hint="eastAsia"/>
                      <w:bCs/>
                      <w:sz w:val="21"/>
                      <w:szCs w:val="21"/>
                    </w:rPr>
                    <w:t>/</w:t>
                  </w:r>
                </w:p>
              </w:tc>
              <w:tc>
                <w:tcPr>
                  <w:tcW w:w="1011" w:type="pct"/>
                  <w:vAlign w:val="center"/>
                </w:tcPr>
                <w:p w14:paraId="603124C9">
                  <w:pPr>
                    <w:widowControl/>
                    <w:jc w:val="center"/>
                    <w:textAlignment w:val="center"/>
                    <w:rPr>
                      <w:sz w:val="21"/>
                      <w:szCs w:val="21"/>
                    </w:rPr>
                  </w:pPr>
                  <w:r>
                    <w:rPr>
                      <w:rFonts w:hint="eastAsia"/>
                      <w:sz w:val="21"/>
                      <w:szCs w:val="21"/>
                    </w:rPr>
                    <w:t>0</w:t>
                  </w:r>
                  <w:r>
                    <w:rPr>
                      <w:sz w:val="21"/>
                      <w:szCs w:val="21"/>
                    </w:rPr>
                    <w:t>.001848</w:t>
                  </w:r>
                </w:p>
              </w:tc>
            </w:tr>
          </w:tbl>
          <w:p w14:paraId="61950545">
            <w:pPr>
              <w:spacing w:line="480" w:lineRule="exact"/>
              <w:ind w:firstLine="480" w:firstLineChars="200"/>
            </w:pPr>
            <w:r>
              <w:rPr>
                <w:rFonts w:hint="eastAsia"/>
              </w:rPr>
              <w:t>本项目</w:t>
            </w:r>
            <w:r>
              <w:rPr>
                <w:rFonts w:hint="eastAsia"/>
                <w:bCs/>
              </w:rPr>
              <w:t>危险物质</w:t>
            </w:r>
            <w:r>
              <w:t>未构成重大危险源，</w:t>
            </w:r>
            <w:r>
              <w:rPr>
                <w:rFonts w:hint="eastAsia"/>
              </w:rPr>
              <w:t>其</w:t>
            </w:r>
            <w:r>
              <w:t>存在量</w:t>
            </w:r>
            <w:r>
              <w:rPr>
                <w:rFonts w:hint="eastAsia"/>
              </w:rPr>
              <w:t>和临界量比值（</w:t>
            </w:r>
            <w:r>
              <w:t>Q</w:t>
            </w:r>
            <w:r>
              <w:rPr>
                <w:rFonts w:hint="eastAsia"/>
              </w:rPr>
              <w:t>）＜</w:t>
            </w:r>
            <w:r>
              <w:t>1</w:t>
            </w:r>
            <w:r>
              <w:rPr>
                <w:rFonts w:hint="eastAsia"/>
              </w:rPr>
              <w:t>，则该项目环境风险潜势为</w:t>
            </w:r>
            <w:r>
              <w:t>I</w:t>
            </w:r>
            <w:r>
              <w:rPr>
                <w:rFonts w:hint="eastAsia"/>
              </w:rPr>
              <w:t>。</w:t>
            </w:r>
          </w:p>
          <w:p w14:paraId="2CF800EF">
            <w:pPr>
              <w:spacing w:line="480" w:lineRule="exact"/>
              <w:ind w:firstLine="480" w:firstLineChars="200"/>
              <w:rPr>
                <w:rFonts w:hAnsi="宋体"/>
              </w:rPr>
            </w:pPr>
            <w:r>
              <w:rPr>
                <w:rFonts w:hint="eastAsia" w:hAnsi="宋体"/>
              </w:rPr>
              <w:t>2）环境</w:t>
            </w:r>
            <w:r>
              <w:rPr>
                <w:rFonts w:hAnsi="宋体"/>
              </w:rPr>
              <w:t>风险评价等级</w:t>
            </w:r>
          </w:p>
          <w:p w14:paraId="414894A2">
            <w:pPr>
              <w:spacing w:line="480" w:lineRule="exact"/>
              <w:ind w:firstLine="480" w:firstLineChars="200"/>
              <w:rPr>
                <w:rFonts w:hAnsi="宋体"/>
              </w:rPr>
            </w:pPr>
            <w:r>
              <w:rPr>
                <w:rFonts w:hint="eastAsia" w:hAnsi="宋体"/>
              </w:rPr>
              <w:t>根据《建设项目环境风险评价技术导则》（</w:t>
            </w:r>
            <w:r>
              <w:rPr>
                <w:rFonts w:hAnsi="宋体"/>
              </w:rPr>
              <w:t>HJ169-2018</w:t>
            </w:r>
            <w:r>
              <w:rPr>
                <w:rFonts w:hint="eastAsia" w:hAnsi="宋体"/>
              </w:rPr>
              <w:t>）确定</w:t>
            </w:r>
            <w:r>
              <w:rPr>
                <w:rFonts w:hAnsi="宋体"/>
              </w:rPr>
              <w:t>本项目评价等级</w:t>
            </w:r>
            <w:r>
              <w:rPr>
                <w:rFonts w:hint="eastAsia" w:hAnsi="宋体"/>
              </w:rPr>
              <w:t>，评价工作等级划分表见</w:t>
            </w:r>
            <w:r>
              <w:rPr>
                <w:rFonts w:hint="eastAsia" w:hAnsi="宋体"/>
                <w:lang w:bidi="en-US"/>
              </w:rPr>
              <w:t>4-</w:t>
            </w:r>
            <w:r>
              <w:rPr>
                <w:rFonts w:hAnsi="宋体"/>
                <w:lang w:bidi="en-US"/>
              </w:rPr>
              <w:t>22</w:t>
            </w:r>
            <w:r>
              <w:rPr>
                <w:rFonts w:hint="eastAsia" w:hAnsi="宋体"/>
                <w:lang w:bidi="en-US"/>
              </w:rPr>
              <w:t>。</w:t>
            </w:r>
          </w:p>
          <w:p w14:paraId="187AF374">
            <w:pPr>
              <w:ind w:firstLine="420" w:firstLineChars="200"/>
              <w:rPr>
                <w:rFonts w:eastAsia="黑体"/>
                <w:sz w:val="21"/>
              </w:rPr>
            </w:pPr>
            <w:r>
              <w:rPr>
                <w:rFonts w:eastAsia="黑体"/>
                <w:sz w:val="21"/>
              </w:rPr>
              <w:t>表</w:t>
            </w:r>
            <w:r>
              <w:rPr>
                <w:rFonts w:eastAsia="黑体"/>
                <w:sz w:val="21"/>
                <w:lang w:bidi="en-US"/>
              </w:rPr>
              <w:t>4-22</w:t>
            </w:r>
            <w:r>
              <w:rPr>
                <w:rFonts w:eastAsia="黑体"/>
                <w:sz w:val="21"/>
              </w:rPr>
              <w:t xml:space="preserve">                  评价工作等级划分表</w:t>
            </w:r>
          </w:p>
          <w:tbl>
            <w:tblPr>
              <w:tblStyle w:val="24"/>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834"/>
              <w:gridCol w:w="862"/>
              <w:gridCol w:w="862"/>
              <w:gridCol w:w="2243"/>
            </w:tblGrid>
            <w:tr w14:paraId="7C900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5" w:type="dxa"/>
                  <w:tcBorders>
                    <w:tl2br w:val="nil"/>
                    <w:tr2bl w:val="nil"/>
                  </w:tcBorders>
                  <w:vAlign w:val="center"/>
                </w:tcPr>
                <w:p w14:paraId="3FDA727F">
                  <w:pPr>
                    <w:jc w:val="center"/>
                    <w:rPr>
                      <w:rFonts w:hAnsi="宋体"/>
                      <w:bCs/>
                      <w:sz w:val="21"/>
                      <w:lang w:bidi="en-US"/>
                    </w:rPr>
                  </w:pPr>
                  <w:r>
                    <w:rPr>
                      <w:rFonts w:hAnsi="宋体"/>
                      <w:bCs/>
                      <w:sz w:val="21"/>
                      <w:lang w:bidi="en-US"/>
                    </w:rPr>
                    <w:t>环境风险潜势</w:t>
                  </w:r>
                </w:p>
              </w:tc>
              <w:tc>
                <w:tcPr>
                  <w:tcW w:w="2077" w:type="dxa"/>
                  <w:tcBorders>
                    <w:tl2br w:val="nil"/>
                    <w:tr2bl w:val="nil"/>
                  </w:tcBorders>
                  <w:vAlign w:val="center"/>
                </w:tcPr>
                <w:p w14:paraId="3A67454F">
                  <w:pPr>
                    <w:jc w:val="center"/>
                    <w:rPr>
                      <w:rFonts w:hAnsi="宋体"/>
                      <w:bCs/>
                      <w:sz w:val="21"/>
                      <w:lang w:bidi="en-US"/>
                    </w:rPr>
                  </w:pPr>
                  <w:r>
                    <w:rPr>
                      <w:rFonts w:hint="eastAsia" w:hAnsi="宋体"/>
                      <w:bCs/>
                      <w:sz w:val="21"/>
                      <w:lang w:bidi="en-US"/>
                    </w:rPr>
                    <w:t>Ⅳ</w:t>
                  </w:r>
                  <w:r>
                    <w:rPr>
                      <w:rFonts w:hAnsi="宋体"/>
                      <w:bCs/>
                      <w:sz w:val="21"/>
                      <w:lang w:bidi="en-US"/>
                    </w:rPr>
                    <w:t>、</w:t>
                  </w:r>
                  <w:r>
                    <w:rPr>
                      <w:rFonts w:hint="eastAsia" w:hAnsi="宋体"/>
                      <w:bCs/>
                      <w:sz w:val="21"/>
                      <w:lang w:bidi="en-US"/>
                    </w:rPr>
                    <w:t>Ⅳ</w:t>
                  </w:r>
                  <w:r>
                    <w:rPr>
                      <w:rFonts w:hAnsi="宋体"/>
                      <w:bCs/>
                      <w:sz w:val="21"/>
                      <w:lang w:bidi="en-US"/>
                    </w:rPr>
                    <w:t>+</w:t>
                  </w:r>
                </w:p>
              </w:tc>
              <w:tc>
                <w:tcPr>
                  <w:tcW w:w="950" w:type="dxa"/>
                  <w:tcBorders>
                    <w:tl2br w:val="nil"/>
                    <w:tr2bl w:val="nil"/>
                  </w:tcBorders>
                  <w:vAlign w:val="center"/>
                </w:tcPr>
                <w:p w14:paraId="26DAB301">
                  <w:pPr>
                    <w:jc w:val="center"/>
                    <w:rPr>
                      <w:rFonts w:hAnsi="宋体"/>
                      <w:bCs/>
                      <w:sz w:val="21"/>
                      <w:lang w:bidi="en-US"/>
                    </w:rPr>
                  </w:pPr>
                  <w:r>
                    <w:rPr>
                      <w:rFonts w:hint="eastAsia" w:hAnsi="宋体"/>
                      <w:bCs/>
                      <w:sz w:val="21"/>
                      <w:lang w:bidi="en-US"/>
                    </w:rPr>
                    <w:t>Ⅲ</w:t>
                  </w:r>
                </w:p>
              </w:tc>
              <w:tc>
                <w:tcPr>
                  <w:tcW w:w="950" w:type="dxa"/>
                  <w:tcBorders>
                    <w:tl2br w:val="nil"/>
                    <w:tr2bl w:val="nil"/>
                  </w:tcBorders>
                  <w:vAlign w:val="center"/>
                </w:tcPr>
                <w:p w14:paraId="2F11F5E5">
                  <w:pPr>
                    <w:jc w:val="center"/>
                    <w:rPr>
                      <w:rFonts w:hAnsi="宋体"/>
                      <w:bCs/>
                      <w:sz w:val="21"/>
                      <w:lang w:bidi="en-US"/>
                    </w:rPr>
                  </w:pPr>
                  <w:r>
                    <w:rPr>
                      <w:rFonts w:hint="eastAsia" w:hAnsi="宋体"/>
                      <w:bCs/>
                      <w:sz w:val="21"/>
                      <w:lang w:bidi="en-US"/>
                    </w:rPr>
                    <w:t>Ⅱ</w:t>
                  </w:r>
                </w:p>
              </w:tc>
              <w:tc>
                <w:tcPr>
                  <w:tcW w:w="2612" w:type="dxa"/>
                  <w:tcBorders>
                    <w:tl2br w:val="nil"/>
                    <w:tr2bl w:val="nil"/>
                  </w:tcBorders>
                  <w:vAlign w:val="center"/>
                </w:tcPr>
                <w:p w14:paraId="5F13256F">
                  <w:pPr>
                    <w:jc w:val="center"/>
                    <w:rPr>
                      <w:rFonts w:hAnsi="宋体"/>
                      <w:bCs/>
                      <w:sz w:val="21"/>
                      <w:lang w:bidi="en-US"/>
                    </w:rPr>
                  </w:pPr>
                  <w:r>
                    <w:rPr>
                      <w:rFonts w:hint="eastAsia" w:hAnsi="宋体"/>
                      <w:bCs/>
                      <w:sz w:val="21"/>
                      <w:lang w:bidi="en-US"/>
                    </w:rPr>
                    <w:t>Ⅰ</w:t>
                  </w:r>
                </w:p>
              </w:tc>
            </w:tr>
            <w:tr w14:paraId="16598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5" w:type="dxa"/>
                  <w:tcBorders>
                    <w:tl2br w:val="nil"/>
                    <w:tr2bl w:val="nil"/>
                  </w:tcBorders>
                  <w:vAlign w:val="center"/>
                </w:tcPr>
                <w:p w14:paraId="3D27A0C7">
                  <w:pPr>
                    <w:jc w:val="center"/>
                    <w:rPr>
                      <w:rFonts w:hAnsi="宋体"/>
                      <w:bCs/>
                      <w:sz w:val="21"/>
                      <w:lang w:bidi="en-US"/>
                    </w:rPr>
                  </w:pPr>
                  <w:r>
                    <w:rPr>
                      <w:rFonts w:hAnsi="宋体"/>
                      <w:bCs/>
                      <w:sz w:val="21"/>
                      <w:lang w:bidi="en-US"/>
                    </w:rPr>
                    <w:t>评价工作等级</w:t>
                  </w:r>
                </w:p>
              </w:tc>
              <w:tc>
                <w:tcPr>
                  <w:tcW w:w="2077" w:type="dxa"/>
                  <w:tcBorders>
                    <w:tl2br w:val="nil"/>
                    <w:tr2bl w:val="nil"/>
                  </w:tcBorders>
                  <w:vAlign w:val="center"/>
                </w:tcPr>
                <w:p w14:paraId="344FC5FD">
                  <w:pPr>
                    <w:jc w:val="center"/>
                    <w:rPr>
                      <w:rFonts w:hAnsi="宋体"/>
                      <w:bCs/>
                      <w:sz w:val="21"/>
                      <w:lang w:bidi="en-US"/>
                    </w:rPr>
                  </w:pPr>
                  <w:r>
                    <w:rPr>
                      <w:rFonts w:hAnsi="宋体"/>
                      <w:bCs/>
                      <w:sz w:val="21"/>
                      <w:lang w:bidi="en-US"/>
                    </w:rPr>
                    <w:t>一</w:t>
                  </w:r>
                </w:p>
              </w:tc>
              <w:tc>
                <w:tcPr>
                  <w:tcW w:w="950" w:type="dxa"/>
                  <w:tcBorders>
                    <w:tl2br w:val="nil"/>
                    <w:tr2bl w:val="nil"/>
                  </w:tcBorders>
                  <w:vAlign w:val="center"/>
                </w:tcPr>
                <w:p w14:paraId="736B50A0">
                  <w:pPr>
                    <w:jc w:val="center"/>
                    <w:rPr>
                      <w:rFonts w:hAnsi="宋体"/>
                      <w:bCs/>
                      <w:sz w:val="21"/>
                      <w:lang w:bidi="en-US"/>
                    </w:rPr>
                  </w:pPr>
                  <w:r>
                    <w:rPr>
                      <w:rFonts w:hAnsi="宋体"/>
                      <w:bCs/>
                      <w:sz w:val="21"/>
                      <w:lang w:bidi="en-US"/>
                    </w:rPr>
                    <w:t>二</w:t>
                  </w:r>
                </w:p>
              </w:tc>
              <w:tc>
                <w:tcPr>
                  <w:tcW w:w="950" w:type="dxa"/>
                  <w:tcBorders>
                    <w:tl2br w:val="nil"/>
                    <w:tr2bl w:val="nil"/>
                  </w:tcBorders>
                  <w:vAlign w:val="center"/>
                </w:tcPr>
                <w:p w14:paraId="77010288">
                  <w:pPr>
                    <w:jc w:val="center"/>
                    <w:rPr>
                      <w:rFonts w:hAnsi="宋体"/>
                      <w:bCs/>
                      <w:sz w:val="21"/>
                      <w:lang w:bidi="en-US"/>
                    </w:rPr>
                  </w:pPr>
                  <w:r>
                    <w:rPr>
                      <w:rFonts w:hAnsi="宋体"/>
                      <w:bCs/>
                      <w:sz w:val="21"/>
                      <w:lang w:bidi="en-US"/>
                    </w:rPr>
                    <w:t>三</w:t>
                  </w:r>
                </w:p>
              </w:tc>
              <w:tc>
                <w:tcPr>
                  <w:tcW w:w="2612" w:type="dxa"/>
                  <w:tcBorders>
                    <w:tl2br w:val="nil"/>
                    <w:tr2bl w:val="nil"/>
                  </w:tcBorders>
                  <w:vAlign w:val="center"/>
                </w:tcPr>
                <w:p w14:paraId="7CCB17B5">
                  <w:pPr>
                    <w:jc w:val="center"/>
                    <w:rPr>
                      <w:rFonts w:hAnsi="宋体"/>
                      <w:bCs/>
                      <w:sz w:val="21"/>
                      <w:lang w:bidi="en-US"/>
                    </w:rPr>
                  </w:pPr>
                  <w:r>
                    <w:rPr>
                      <w:rFonts w:hAnsi="宋体"/>
                      <w:bCs/>
                      <w:sz w:val="21"/>
                      <w:lang w:bidi="en-US"/>
                    </w:rPr>
                    <w:t>简单分析 a</w:t>
                  </w:r>
                </w:p>
              </w:tc>
            </w:tr>
            <w:tr w14:paraId="4813A4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44" w:type="dxa"/>
                  <w:gridSpan w:val="5"/>
                  <w:tcBorders>
                    <w:tl2br w:val="nil"/>
                    <w:tr2bl w:val="nil"/>
                  </w:tcBorders>
                  <w:vAlign w:val="center"/>
                </w:tcPr>
                <w:p w14:paraId="03C8C3FE">
                  <w:pPr>
                    <w:jc w:val="left"/>
                    <w:rPr>
                      <w:rFonts w:hAnsi="宋体"/>
                      <w:bCs/>
                      <w:sz w:val="21"/>
                      <w:lang w:bidi="en-US"/>
                    </w:rPr>
                  </w:pPr>
                  <w:r>
                    <w:rPr>
                      <w:rFonts w:hAnsi="宋体"/>
                      <w:bCs/>
                      <w:sz w:val="21"/>
                      <w:lang w:bidi="en-US"/>
                    </w:rPr>
                    <w:t>a 是相对于详细评价工作内容而言，在描述危险物质、环境影响途径、环境危害后果、风险防范措施等方面给出定性的说明。</w:t>
                  </w:r>
                </w:p>
              </w:tc>
            </w:tr>
          </w:tbl>
          <w:p w14:paraId="34A897F7">
            <w:pPr>
              <w:spacing w:line="480" w:lineRule="exact"/>
              <w:ind w:firstLine="480" w:firstLineChars="200"/>
              <w:rPr>
                <w:rFonts w:hAnsi="宋体"/>
              </w:rPr>
            </w:pPr>
            <w:r>
              <w:rPr>
                <w:rFonts w:hint="eastAsia" w:hAnsi="宋体"/>
              </w:rPr>
              <w:t>根据</w:t>
            </w:r>
            <w:r>
              <w:rPr>
                <w:rFonts w:hAnsi="宋体"/>
              </w:rPr>
              <w:t>《建设项目环境风险评价技术导则》（HJ169-20</w:t>
            </w:r>
            <w:r>
              <w:rPr>
                <w:rFonts w:hint="eastAsia" w:hAnsi="宋体"/>
              </w:rPr>
              <w:t>18</w:t>
            </w:r>
            <w:r>
              <w:rPr>
                <w:rFonts w:hAnsi="宋体"/>
              </w:rPr>
              <w:t>）</w:t>
            </w:r>
            <w:r>
              <w:rPr>
                <w:rFonts w:hint="eastAsia" w:hAnsi="宋体"/>
              </w:rPr>
              <w:t>中判定原则，</w:t>
            </w:r>
            <w:r>
              <w:rPr>
                <w:rFonts w:hAnsi="宋体"/>
              </w:rPr>
              <w:t>本项目</w:t>
            </w:r>
            <w:r>
              <w:rPr>
                <w:rFonts w:hint="eastAsia" w:hAnsi="宋体"/>
              </w:rPr>
              <w:t>环境风险潜势为</w:t>
            </w:r>
            <w:r>
              <w:rPr>
                <w:rFonts w:hint="eastAsia"/>
              </w:rPr>
              <w:t>Ⅰ</w:t>
            </w:r>
            <w:r>
              <w:rPr>
                <w:rFonts w:hint="eastAsia" w:hAnsi="宋体"/>
              </w:rPr>
              <w:t>，故进行</w:t>
            </w:r>
            <w:r>
              <w:rPr>
                <w:rFonts w:hAnsi="宋体"/>
              </w:rPr>
              <w:t>简单分析</w:t>
            </w:r>
            <w:r>
              <w:rPr>
                <w:rFonts w:hint="eastAsia" w:hAnsi="宋体"/>
              </w:rPr>
              <w:t>。</w:t>
            </w:r>
          </w:p>
          <w:p w14:paraId="657576C6">
            <w:pPr>
              <w:spacing w:line="460" w:lineRule="exact"/>
              <w:ind w:firstLine="480" w:firstLineChars="200"/>
            </w:pPr>
            <w:r>
              <w:rPr>
                <w:rFonts w:hint="eastAsia"/>
                <w:bCs/>
              </w:rPr>
              <w:t>（</w:t>
            </w:r>
            <w:r>
              <w:rPr>
                <w:bCs/>
              </w:rPr>
              <w:t>4</w:t>
            </w:r>
            <w:r>
              <w:rPr>
                <w:rFonts w:hint="eastAsia"/>
                <w:bCs/>
              </w:rPr>
              <w:t>）</w:t>
            </w:r>
            <w:r>
              <w:rPr>
                <w:bCs/>
              </w:rPr>
              <w:t>环境风险类型及危害分析</w:t>
            </w:r>
          </w:p>
          <w:p w14:paraId="665A6E8E">
            <w:pPr>
              <w:spacing w:line="460" w:lineRule="exact"/>
              <w:ind w:firstLine="480" w:firstLineChars="200"/>
            </w:pPr>
            <w:r>
              <w:t>本项目在生产及贮运过程中存在发生泄漏、火灾、爆炸等风险事故的可能性，主要环境风险事故类型及可能产生的后果见下表</w:t>
            </w:r>
            <w:r>
              <w:rPr>
                <w:rFonts w:hint="eastAsia"/>
              </w:rPr>
              <w:t>4</w:t>
            </w:r>
            <w:r>
              <w:t>-23</w:t>
            </w:r>
            <w:r>
              <w:rPr>
                <w:rFonts w:hint="eastAsia"/>
              </w:rPr>
              <w:t>。</w:t>
            </w:r>
          </w:p>
          <w:p w14:paraId="36503B9E">
            <w:pPr>
              <w:pStyle w:val="76"/>
              <w:ind w:firstLine="420"/>
              <w:rPr>
                <w:color w:val="auto"/>
              </w:rPr>
            </w:pPr>
            <w:r>
              <w:rPr>
                <w:color w:val="auto"/>
              </w:rPr>
              <w:t>表4-23            本项目环境风险类型及危害分析一览表</w:t>
            </w:r>
          </w:p>
          <w:tbl>
            <w:tblPr>
              <w:tblStyle w:val="2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503"/>
              <w:gridCol w:w="2053"/>
              <w:gridCol w:w="4861"/>
            </w:tblGrid>
            <w:tr w14:paraId="0EBAA0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3" w:type="pct"/>
                  <w:vAlign w:val="center"/>
                </w:tcPr>
                <w:p w14:paraId="3F0BE3CE">
                  <w:pPr>
                    <w:widowControl/>
                    <w:jc w:val="center"/>
                    <w:textAlignment w:val="center"/>
                    <w:rPr>
                      <w:sz w:val="21"/>
                      <w:szCs w:val="21"/>
                    </w:rPr>
                  </w:pPr>
                  <w:r>
                    <w:rPr>
                      <w:kern w:val="0"/>
                      <w:sz w:val="21"/>
                      <w:szCs w:val="21"/>
                      <w:lang w:bidi="ar"/>
                    </w:rPr>
                    <w:t>风险类型</w:t>
                  </w:r>
                </w:p>
              </w:tc>
              <w:tc>
                <w:tcPr>
                  <w:tcW w:w="1219" w:type="pct"/>
                  <w:vAlign w:val="center"/>
                </w:tcPr>
                <w:p w14:paraId="462F33A5">
                  <w:pPr>
                    <w:widowControl/>
                    <w:jc w:val="center"/>
                    <w:textAlignment w:val="center"/>
                    <w:rPr>
                      <w:sz w:val="21"/>
                      <w:szCs w:val="21"/>
                    </w:rPr>
                  </w:pPr>
                  <w:r>
                    <w:rPr>
                      <w:kern w:val="0"/>
                      <w:sz w:val="21"/>
                      <w:szCs w:val="21"/>
                      <w:lang w:bidi="ar"/>
                    </w:rPr>
                    <w:t>产生原因</w:t>
                  </w:r>
                </w:p>
              </w:tc>
              <w:tc>
                <w:tcPr>
                  <w:tcW w:w="2887" w:type="pct"/>
                  <w:vAlign w:val="center"/>
                </w:tcPr>
                <w:p w14:paraId="1BDD2AAB">
                  <w:pPr>
                    <w:widowControl/>
                    <w:jc w:val="center"/>
                    <w:textAlignment w:val="center"/>
                    <w:rPr>
                      <w:sz w:val="21"/>
                      <w:szCs w:val="21"/>
                    </w:rPr>
                  </w:pPr>
                  <w:r>
                    <w:rPr>
                      <w:kern w:val="0"/>
                      <w:sz w:val="21"/>
                      <w:szCs w:val="21"/>
                      <w:lang w:bidi="ar"/>
                    </w:rPr>
                    <w:t>可能产生的后果</w:t>
                  </w:r>
                </w:p>
              </w:tc>
            </w:tr>
            <w:tr w14:paraId="795808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893" w:type="pct"/>
                  <w:vAlign w:val="center"/>
                </w:tcPr>
                <w:p w14:paraId="28BBECBA">
                  <w:pPr>
                    <w:widowControl/>
                    <w:jc w:val="center"/>
                    <w:textAlignment w:val="center"/>
                    <w:rPr>
                      <w:sz w:val="21"/>
                      <w:szCs w:val="21"/>
                    </w:rPr>
                  </w:pPr>
                  <w:r>
                    <w:rPr>
                      <w:kern w:val="0"/>
                      <w:sz w:val="21"/>
                      <w:szCs w:val="21"/>
                      <w:lang w:bidi="ar"/>
                    </w:rPr>
                    <w:t>危险物质泄漏</w:t>
                  </w:r>
                </w:p>
              </w:tc>
              <w:tc>
                <w:tcPr>
                  <w:tcW w:w="1219" w:type="pct"/>
                  <w:vAlign w:val="center"/>
                </w:tcPr>
                <w:p w14:paraId="4C756C7E">
                  <w:pPr>
                    <w:widowControl/>
                    <w:jc w:val="center"/>
                    <w:textAlignment w:val="center"/>
                    <w:rPr>
                      <w:sz w:val="21"/>
                      <w:szCs w:val="21"/>
                    </w:rPr>
                  </w:pPr>
                  <w:r>
                    <w:rPr>
                      <w:kern w:val="0"/>
                      <w:sz w:val="21"/>
                      <w:szCs w:val="21"/>
                      <w:lang w:bidi="ar"/>
                    </w:rPr>
                    <w:t>人为操作不当；设备缺陷或故障；系统故障等</w:t>
                  </w:r>
                </w:p>
              </w:tc>
              <w:tc>
                <w:tcPr>
                  <w:tcW w:w="2887" w:type="pct"/>
                  <w:vAlign w:val="center"/>
                </w:tcPr>
                <w:p w14:paraId="4FCFFE35">
                  <w:pPr>
                    <w:widowControl/>
                    <w:jc w:val="center"/>
                    <w:textAlignment w:val="center"/>
                    <w:rPr>
                      <w:sz w:val="21"/>
                      <w:szCs w:val="21"/>
                    </w:rPr>
                  </w:pPr>
                  <w:r>
                    <w:rPr>
                      <w:kern w:val="0"/>
                      <w:sz w:val="21"/>
                      <w:szCs w:val="21"/>
                      <w:lang w:bidi="ar"/>
                    </w:rPr>
                    <w:t>沥青、</w:t>
                  </w:r>
                  <w:r>
                    <w:rPr>
                      <w:rFonts w:hint="eastAsia"/>
                      <w:kern w:val="0"/>
                      <w:sz w:val="21"/>
                      <w:szCs w:val="21"/>
                      <w:lang w:bidi="ar"/>
                    </w:rPr>
                    <w:t>醇醚</w:t>
                  </w:r>
                  <w:r>
                    <w:rPr>
                      <w:kern w:val="0"/>
                      <w:sz w:val="21"/>
                      <w:szCs w:val="21"/>
                      <w:lang w:bidi="ar"/>
                    </w:rPr>
                    <w:t>等污染物</w:t>
                  </w:r>
                  <w:r>
                    <w:rPr>
                      <w:rFonts w:hint="eastAsia"/>
                      <w:kern w:val="0"/>
                      <w:sz w:val="21"/>
                      <w:szCs w:val="21"/>
                      <w:lang w:bidi="ar"/>
                    </w:rPr>
                    <w:t>泄露</w:t>
                  </w:r>
                  <w:r>
                    <w:rPr>
                      <w:kern w:val="0"/>
                      <w:sz w:val="21"/>
                      <w:szCs w:val="21"/>
                      <w:lang w:bidi="ar"/>
                    </w:rPr>
                    <w:t>以及环保设施故障导致废气事故性排放，对空气</w:t>
                  </w:r>
                  <w:r>
                    <w:rPr>
                      <w:rFonts w:hint="eastAsia"/>
                      <w:kern w:val="0"/>
                      <w:sz w:val="21"/>
                      <w:szCs w:val="21"/>
                      <w:lang w:bidi="ar"/>
                    </w:rPr>
                    <w:t>、地下水和土壤</w:t>
                  </w:r>
                  <w:r>
                    <w:rPr>
                      <w:kern w:val="0"/>
                      <w:sz w:val="21"/>
                      <w:szCs w:val="21"/>
                      <w:lang w:bidi="ar"/>
                    </w:rPr>
                    <w:t>环境</w:t>
                  </w:r>
                  <w:r>
                    <w:rPr>
                      <w:rFonts w:hint="eastAsia"/>
                      <w:kern w:val="0"/>
                      <w:sz w:val="21"/>
                      <w:szCs w:val="21"/>
                      <w:lang w:bidi="ar"/>
                    </w:rPr>
                    <w:t>造成污染；废活性炭、焦油沉渣、电捕焦油器废油、废导热油、废机油、废含油手套和抹布等危险废物泄露，对空气、地下水和土壤环境造成污染</w:t>
                  </w:r>
                </w:p>
              </w:tc>
            </w:tr>
            <w:tr w14:paraId="75DEE7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3" w:type="pct"/>
                  <w:vAlign w:val="center"/>
                </w:tcPr>
                <w:p w14:paraId="41444686">
                  <w:pPr>
                    <w:widowControl/>
                    <w:jc w:val="center"/>
                    <w:textAlignment w:val="center"/>
                    <w:rPr>
                      <w:kern w:val="0"/>
                      <w:sz w:val="21"/>
                      <w:szCs w:val="21"/>
                      <w:lang w:bidi="ar"/>
                    </w:rPr>
                  </w:pPr>
                  <w:r>
                    <w:rPr>
                      <w:kern w:val="0"/>
                      <w:sz w:val="21"/>
                      <w:szCs w:val="21"/>
                      <w:lang w:bidi="ar"/>
                    </w:rPr>
                    <w:t>火灾、爆炸等引发的伴生/次生污染物排放</w:t>
                  </w:r>
                </w:p>
              </w:tc>
              <w:tc>
                <w:tcPr>
                  <w:tcW w:w="1219" w:type="pct"/>
                  <w:vAlign w:val="center"/>
                </w:tcPr>
                <w:p w14:paraId="73524B95">
                  <w:pPr>
                    <w:widowControl/>
                    <w:jc w:val="center"/>
                    <w:textAlignment w:val="center"/>
                    <w:rPr>
                      <w:kern w:val="0"/>
                      <w:sz w:val="21"/>
                      <w:szCs w:val="21"/>
                      <w:lang w:bidi="ar"/>
                    </w:rPr>
                  </w:pPr>
                  <w:r>
                    <w:rPr>
                      <w:kern w:val="0"/>
                      <w:sz w:val="21"/>
                      <w:szCs w:val="21"/>
                      <w:lang w:bidi="ar"/>
                    </w:rPr>
                    <w:t>遇高温或明火</w:t>
                  </w:r>
                </w:p>
              </w:tc>
              <w:tc>
                <w:tcPr>
                  <w:tcW w:w="2887" w:type="pct"/>
                  <w:vAlign w:val="center"/>
                </w:tcPr>
                <w:p w14:paraId="372A8937">
                  <w:pPr>
                    <w:widowControl/>
                    <w:jc w:val="center"/>
                    <w:textAlignment w:val="center"/>
                    <w:rPr>
                      <w:kern w:val="0"/>
                      <w:sz w:val="21"/>
                      <w:szCs w:val="21"/>
                      <w:lang w:bidi="ar"/>
                    </w:rPr>
                  </w:pPr>
                  <w:r>
                    <w:rPr>
                      <w:kern w:val="0"/>
                      <w:sz w:val="21"/>
                      <w:szCs w:val="21"/>
                      <w:lang w:bidi="ar"/>
                    </w:rPr>
                    <w:t>沥青、</w:t>
                  </w:r>
                  <w:r>
                    <w:rPr>
                      <w:rFonts w:hint="eastAsia"/>
                      <w:kern w:val="0"/>
                      <w:sz w:val="21"/>
                      <w:szCs w:val="21"/>
                      <w:lang w:bidi="ar"/>
                    </w:rPr>
                    <w:t>醇醚、</w:t>
                  </w:r>
                  <w:r>
                    <w:rPr>
                      <w:kern w:val="0"/>
                      <w:sz w:val="21"/>
                      <w:szCs w:val="21"/>
                      <w:lang w:bidi="ar"/>
                    </w:rPr>
                    <w:t>机油</w:t>
                  </w:r>
                  <w:r>
                    <w:rPr>
                      <w:rFonts w:hint="eastAsia"/>
                      <w:kern w:val="0"/>
                      <w:sz w:val="21"/>
                      <w:szCs w:val="21"/>
                      <w:lang w:bidi="ar"/>
                    </w:rPr>
                    <w:t>、导热油</w:t>
                  </w:r>
                  <w:r>
                    <w:rPr>
                      <w:kern w:val="0"/>
                      <w:sz w:val="21"/>
                      <w:szCs w:val="21"/>
                      <w:lang w:bidi="ar"/>
                    </w:rPr>
                    <w:t>等易燃物料一旦泄漏，或燃烧产生的废气</w:t>
                  </w:r>
                  <w:r>
                    <w:rPr>
                      <w:rFonts w:hint="eastAsia"/>
                      <w:kern w:val="0"/>
                      <w:sz w:val="21"/>
                      <w:szCs w:val="21"/>
                      <w:lang w:bidi="ar"/>
                    </w:rPr>
                    <w:t>、粉尘爆炸</w:t>
                  </w:r>
                  <w:r>
                    <w:rPr>
                      <w:kern w:val="0"/>
                      <w:sz w:val="21"/>
                      <w:szCs w:val="21"/>
                      <w:lang w:bidi="ar"/>
                    </w:rPr>
                    <w:t>等将对空气环境造成影响；火灾会产生大量的消防废水，泄漏液体、消防废水不能及时处理或应急措施不当时，事故废水或泄漏物料如不及时进行收集，可能通过雨水管网，进入厂界外环境，将对周边水体造成影响</w:t>
                  </w:r>
                </w:p>
              </w:tc>
            </w:tr>
          </w:tbl>
          <w:p w14:paraId="03512460">
            <w:pPr>
              <w:spacing w:line="460" w:lineRule="exact"/>
              <w:ind w:firstLine="480" w:firstLineChars="200"/>
              <w:rPr>
                <w:bCs/>
              </w:rPr>
            </w:pPr>
            <w:r>
              <w:rPr>
                <w:rFonts w:hint="eastAsia"/>
                <w:bCs/>
              </w:rPr>
              <w:t>（5）</w:t>
            </w:r>
            <w:r>
              <w:rPr>
                <w:bCs/>
              </w:rPr>
              <w:t>风险防范措施</w:t>
            </w:r>
          </w:p>
          <w:p w14:paraId="5AED3909">
            <w:pPr>
              <w:spacing w:line="460" w:lineRule="exact"/>
              <w:ind w:firstLine="480" w:firstLineChars="200"/>
            </w:pPr>
            <w:r>
              <w:rPr>
                <w:rFonts w:hint="eastAsia" w:ascii="宋体" w:hAnsi="宋体" w:cs="宋体"/>
              </w:rPr>
              <w:t>1）</w:t>
            </w:r>
            <w:r>
              <w:t>危险品贮存要求</w:t>
            </w:r>
          </w:p>
          <w:p w14:paraId="59B1F705">
            <w:pPr>
              <w:spacing w:line="460" w:lineRule="exact"/>
              <w:ind w:firstLine="480" w:firstLineChars="200"/>
            </w:pPr>
            <w:r>
              <w:t>本项目危险废物暂存间应根据相关规范，满足以下要求：</w:t>
            </w:r>
          </w:p>
          <w:p w14:paraId="1B5E691D">
            <w:pPr>
              <w:spacing w:line="460" w:lineRule="exact"/>
              <w:ind w:firstLine="480" w:firstLineChars="200"/>
            </w:pPr>
            <w:r>
              <w:t>a</w:t>
            </w:r>
            <w:r>
              <w:rPr>
                <w:rFonts w:hint="eastAsia"/>
              </w:rPr>
              <w:t>沥青罐区、醇醚罐区、危废暂存间等按照重点防渗区进行防渗</w:t>
            </w:r>
            <w:r>
              <w:t>。</w:t>
            </w:r>
          </w:p>
          <w:p w14:paraId="0FF33F66">
            <w:pPr>
              <w:spacing w:line="460" w:lineRule="exact"/>
              <w:ind w:firstLine="480" w:firstLineChars="200"/>
            </w:pPr>
            <w:r>
              <w:t>b.危废暂存间禁火，避免阳光直射、暴晒，远离热源、电源和火源，库房建筑及各种设备均应符合《建筑设计防火规范》中的规定。按化学品不同类别、性质、危险程度、灭火方法等分区分类贮存，并附上明显标示。性质相抵的禁止同库储存。</w:t>
            </w:r>
          </w:p>
          <w:p w14:paraId="7AEB56D5">
            <w:pPr>
              <w:spacing w:line="460" w:lineRule="exact"/>
              <w:ind w:firstLine="480" w:firstLineChars="200"/>
            </w:pPr>
            <w:r>
              <w:t>c.</w:t>
            </w:r>
            <w:r>
              <w:rPr>
                <w:rFonts w:hint="eastAsia"/>
              </w:rPr>
              <w:t>储存</w:t>
            </w:r>
            <w:r>
              <w:t>沥青、</w:t>
            </w:r>
            <w:r>
              <w:rPr>
                <w:rFonts w:hint="eastAsia"/>
              </w:rPr>
              <w:t>醇醚、导热油、</w:t>
            </w:r>
            <w:r>
              <w:t>废机油</w:t>
            </w:r>
            <w:r>
              <w:rPr>
                <w:rFonts w:hint="eastAsia"/>
              </w:rPr>
              <w:t>的装置四周应设置围堰</w:t>
            </w:r>
            <w:r>
              <w:t>，在发生事故时可及时将污染物收集。</w:t>
            </w:r>
          </w:p>
          <w:p w14:paraId="2D2512F7">
            <w:pPr>
              <w:spacing w:line="460" w:lineRule="exact"/>
              <w:ind w:firstLine="480" w:firstLineChars="200"/>
            </w:pPr>
            <w:r>
              <w:rPr>
                <w:rFonts w:hint="eastAsia"/>
              </w:rPr>
              <w:t>①储罐附近禁止使用明火；</w:t>
            </w:r>
          </w:p>
          <w:p w14:paraId="02555C69">
            <w:pPr>
              <w:spacing w:line="460" w:lineRule="exact"/>
              <w:ind w:firstLine="480" w:firstLineChars="200"/>
            </w:pPr>
            <w:r>
              <w:rPr>
                <w:rFonts w:hint="eastAsia"/>
              </w:rPr>
              <w:t>②储罐周围定期巡查，发现问题及时处理；</w:t>
            </w:r>
          </w:p>
          <w:p w14:paraId="1FC6D0FC">
            <w:pPr>
              <w:spacing w:line="460" w:lineRule="exact"/>
              <w:ind w:firstLine="480" w:firstLineChars="200"/>
            </w:pPr>
            <w:r>
              <w:rPr>
                <w:rFonts w:hint="eastAsia"/>
              </w:rPr>
              <w:t>③厂区内配备一定数量的消防器材，防止火灾发生；</w:t>
            </w:r>
          </w:p>
          <w:p w14:paraId="294C06CD">
            <w:pPr>
              <w:spacing w:line="460" w:lineRule="exact"/>
              <w:ind w:firstLine="480" w:firstLineChars="200"/>
            </w:pPr>
            <w:r>
              <w:rPr>
                <w:rFonts w:hint="eastAsia"/>
              </w:rPr>
              <w:t>④提高操作管理水平，严防操作事故的发生；</w:t>
            </w:r>
          </w:p>
          <w:p w14:paraId="64ADBA3E">
            <w:pPr>
              <w:spacing w:line="460" w:lineRule="exact"/>
              <w:ind w:firstLine="480" w:firstLineChars="200"/>
            </w:pPr>
            <w:r>
              <w:rPr>
                <w:rFonts w:hint="eastAsia"/>
              </w:rPr>
              <w:t>⑤燃料泄露时，迅速撤离泄露污染区人员至安全区，并进行隔离，严格限制出入，切断火源。应急人员戴自给正压呼吸器，穿防静电工作服。不要直接接触泄露物，尽可能切断泄露源，防止流入下水道。小量泄露：用沙土或其它不燃材料吸附吸收。也可以大量水冲洗。大量泄露：构筑物围堤或挖坑收容，用泡沫覆盖。用防爆泵转移至槽车或专用收集器内。</w:t>
            </w:r>
          </w:p>
          <w:p w14:paraId="000780EA">
            <w:pPr>
              <w:spacing w:line="460" w:lineRule="exact"/>
              <w:ind w:firstLine="480" w:firstLineChars="200"/>
            </w:pPr>
            <w:r>
              <w:rPr>
                <w:rFonts w:hint="eastAsia"/>
              </w:rPr>
              <w:t>⑥当沥青、醇醚、导热油、废机油溢出发生火灾时，宜采用抗溶泡沫灭火剂灭火，采用时增加泡沫供给强度；局部火灾可采用手提式干粉灭火器或泡沫灭火器灭火。</w:t>
            </w:r>
          </w:p>
          <w:p w14:paraId="3C01AA3D">
            <w:pPr>
              <w:spacing w:line="460" w:lineRule="exact"/>
              <w:ind w:firstLine="480" w:firstLineChars="200"/>
            </w:pPr>
            <w:r>
              <w:t>2）易燃易爆品贮存区事故风险防范措施</w:t>
            </w:r>
          </w:p>
          <w:p w14:paraId="26ECAF98">
            <w:pPr>
              <w:spacing w:line="460" w:lineRule="exact"/>
              <w:ind w:firstLine="480" w:firstLineChars="200"/>
            </w:pPr>
            <w:r>
              <w:t>a.在总平面图布置上，各建筑单体之间要按有关设计规范要求，留有足够的防火间距。虽然本工程生产中使用和储存的危险物不构成重大危险源，其储存地仍应远离水源、居住区等。在设计压力容器设备时，严格执行钢制压力容器设计规范。</w:t>
            </w:r>
          </w:p>
          <w:p w14:paraId="611924FF">
            <w:pPr>
              <w:spacing w:line="460" w:lineRule="exact"/>
              <w:ind w:firstLine="480" w:firstLineChars="200"/>
            </w:pPr>
            <w:r>
              <w:t>b.贮存区周围设环形消防通道，合理进行竖向布置、排雨水、排洪设计。</w:t>
            </w:r>
          </w:p>
          <w:p w14:paraId="1CAD2F1E">
            <w:pPr>
              <w:spacing w:line="460" w:lineRule="exact"/>
              <w:ind w:firstLine="480" w:firstLineChars="200"/>
            </w:pPr>
            <w:r>
              <w:t>c.做好储存瓶防雷、防静电、保护和工作接地设计，满足有关规范要求。</w:t>
            </w:r>
          </w:p>
          <w:p w14:paraId="3AF55BA1">
            <w:pPr>
              <w:spacing w:line="460" w:lineRule="exact"/>
              <w:ind w:firstLine="480" w:firstLineChars="200"/>
            </w:pPr>
            <w:r>
              <w:t>3）物质泄漏防范措施</w:t>
            </w:r>
          </w:p>
          <w:p w14:paraId="71C8FF22">
            <w:pPr>
              <w:spacing w:line="460" w:lineRule="exact"/>
              <w:ind w:firstLine="480" w:firstLineChars="200"/>
            </w:pPr>
            <w:r>
              <w:t>物质泄漏事故的防治是生产和储运过程中最重要的环节，发生泄漏事故可能引起火灾和爆炸等一系列重大事故。经验表明：设备失灵和人为的操作失误是引发泄漏的主要原因。因此选用良好的设备、精心设计和制造、认真的管理和操作人员的责任心是减少泄漏事故的关键。</w:t>
            </w:r>
          </w:p>
          <w:p w14:paraId="46F0BEC7">
            <w:pPr>
              <w:spacing w:line="460" w:lineRule="exact"/>
              <w:ind w:firstLine="480" w:firstLineChars="200"/>
            </w:pPr>
            <w:r>
              <w:t>a.装卸料时要严格按照规章操作，避免泄漏事故的发生</w:t>
            </w:r>
            <w:r>
              <w:rPr>
                <w:rFonts w:hint="eastAsia"/>
              </w:rPr>
              <w:t>。</w:t>
            </w:r>
          </w:p>
          <w:p w14:paraId="1CD3A2D9">
            <w:pPr>
              <w:spacing w:line="460" w:lineRule="exact"/>
              <w:ind w:firstLine="480" w:firstLineChars="200"/>
            </w:pPr>
            <w:r>
              <w:t>b.加强人员巡查及日常的维护，争取在第一时间发现泄漏事故并将其影响降至最低。</w:t>
            </w:r>
          </w:p>
          <w:p w14:paraId="7E1B2E67">
            <w:pPr>
              <w:spacing w:line="460" w:lineRule="exact"/>
              <w:ind w:firstLine="480" w:firstLineChars="200"/>
            </w:pPr>
            <w:r>
              <w:t>4）事故火灾风险防范措施</w:t>
            </w:r>
          </w:p>
          <w:p w14:paraId="73D021DF">
            <w:pPr>
              <w:spacing w:line="460" w:lineRule="exact"/>
              <w:ind w:firstLine="480" w:firstLineChars="200"/>
            </w:pPr>
            <w:r>
              <w:t>a.定期对设备、存储仓库进行安全检测，检测内容、时间、人员应有记录保存。安全检测应根据安全性、危险性设定检测频次。</w:t>
            </w:r>
          </w:p>
          <w:p w14:paraId="12B05CFA">
            <w:pPr>
              <w:spacing w:line="460" w:lineRule="exact"/>
              <w:ind w:firstLine="480" w:firstLineChars="200"/>
            </w:pPr>
            <w:r>
              <w:t>b.火源的管理严禁火源进入原料区，对明火严格控制，明火发生源为火柴、打火机等，维修用火控制，对设备维修检查，需进行维修焊接，应经安全部门确认、准许，并有记录在案。机动车在厂内行驶，须安装阻火器，必要设备安装防火、防爆装置。</w:t>
            </w:r>
          </w:p>
          <w:p w14:paraId="12EBAB21">
            <w:pPr>
              <w:spacing w:line="460" w:lineRule="exact"/>
              <w:ind w:firstLine="480" w:firstLineChars="200"/>
            </w:pPr>
            <w:r>
              <w:t>5）危险物品运输风险事故防范措施</w:t>
            </w:r>
          </w:p>
          <w:p w14:paraId="7610CF53">
            <w:pPr>
              <w:spacing w:line="460" w:lineRule="exact"/>
              <w:ind w:firstLine="480" w:firstLineChars="200"/>
            </w:pPr>
            <w:r>
              <w:t>a.对危险物品的装卸、转移应由专业人员或经过严格培训的员工来操作建立一套完整的作业操作技术规划，严格遵守操作规定。其中，应专门定制专用的运输箱，所有涉及危险物质运输的车辆必须经过专门的防渗漏、密封处理，严控设计危险物质的各个回收、贮存、运输过程的安全；</w:t>
            </w:r>
          </w:p>
          <w:p w14:paraId="7DEEA826">
            <w:pPr>
              <w:spacing w:line="460" w:lineRule="exact"/>
              <w:ind w:firstLine="480" w:firstLineChars="200"/>
            </w:pPr>
            <w:r>
              <w:t>b.厂区内危险物品运输主要采用叉车，装卸站进、出口，宜分开设置，当进、出口合用时，站内应设回车场；</w:t>
            </w:r>
          </w:p>
          <w:p w14:paraId="47B5A387">
            <w:pPr>
              <w:spacing w:line="460" w:lineRule="exact"/>
              <w:ind w:firstLine="480" w:firstLineChars="200"/>
            </w:pPr>
            <w:r>
              <w:t>c.装卸站车场应采用现浇混凝土地面，装车时应小心轻放。</w:t>
            </w:r>
          </w:p>
          <w:p w14:paraId="1E4F5746">
            <w:pPr>
              <w:pStyle w:val="76"/>
              <w:ind w:firstLine="420"/>
              <w:rPr>
                <w:color w:val="auto"/>
              </w:rPr>
            </w:pPr>
            <w:r>
              <w:rPr>
                <w:color w:val="auto"/>
              </w:rPr>
              <w:t>表4-24          建设项目环境风险简单分析内容一览表</w:t>
            </w:r>
          </w:p>
          <w:tbl>
            <w:tblPr>
              <w:tblStyle w:val="2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6823"/>
            </w:tblGrid>
            <w:tr w14:paraId="7997E5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64D3DB1D">
                  <w:pPr>
                    <w:widowControl/>
                    <w:jc w:val="center"/>
                    <w:textAlignment w:val="center"/>
                    <w:rPr>
                      <w:sz w:val="21"/>
                      <w:szCs w:val="21"/>
                    </w:rPr>
                  </w:pPr>
                  <w:r>
                    <w:rPr>
                      <w:kern w:val="0"/>
                      <w:sz w:val="21"/>
                      <w:szCs w:val="21"/>
                      <w:lang w:bidi="ar"/>
                    </w:rPr>
                    <w:t>建设项目名称</w:t>
                  </w:r>
                </w:p>
              </w:tc>
              <w:tc>
                <w:tcPr>
                  <w:tcW w:w="4052" w:type="pct"/>
                  <w:vAlign w:val="center"/>
                </w:tcPr>
                <w:p w14:paraId="2E89DAB4">
                  <w:pPr>
                    <w:widowControl/>
                    <w:ind w:firstLine="210" w:firstLineChars="100"/>
                    <w:jc w:val="center"/>
                    <w:textAlignment w:val="center"/>
                    <w:rPr>
                      <w:sz w:val="21"/>
                      <w:szCs w:val="21"/>
                    </w:rPr>
                  </w:pPr>
                  <w:r>
                    <w:rPr>
                      <w:rFonts w:hint="eastAsia"/>
                      <w:sz w:val="21"/>
                      <w:szCs w:val="21"/>
                    </w:rPr>
                    <w:t>S240线准东大井服务区至奇台公路改扩建项目临时厂区建设项目</w:t>
                  </w:r>
                </w:p>
              </w:tc>
            </w:tr>
            <w:tr w14:paraId="27F808A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5359104B">
                  <w:pPr>
                    <w:widowControl/>
                    <w:jc w:val="center"/>
                    <w:textAlignment w:val="center"/>
                    <w:rPr>
                      <w:sz w:val="21"/>
                      <w:szCs w:val="21"/>
                    </w:rPr>
                  </w:pPr>
                  <w:r>
                    <w:rPr>
                      <w:kern w:val="0"/>
                      <w:sz w:val="21"/>
                      <w:szCs w:val="21"/>
                      <w:lang w:bidi="ar"/>
                    </w:rPr>
                    <w:t>建设地点</w:t>
                  </w:r>
                </w:p>
              </w:tc>
              <w:tc>
                <w:tcPr>
                  <w:tcW w:w="4052" w:type="pct"/>
                  <w:vAlign w:val="center"/>
                </w:tcPr>
                <w:p w14:paraId="1AD2E716">
                  <w:pPr>
                    <w:widowControl/>
                    <w:jc w:val="center"/>
                    <w:textAlignment w:val="center"/>
                    <w:rPr>
                      <w:sz w:val="21"/>
                      <w:szCs w:val="21"/>
                    </w:rPr>
                  </w:pPr>
                  <w:r>
                    <w:rPr>
                      <w:rFonts w:hint="eastAsia"/>
                      <w:sz w:val="21"/>
                      <w:szCs w:val="21"/>
                    </w:rPr>
                    <w:t>新疆维吾尔自治区昌吉回族自治州奇台县喇嘛湖梁工业园区</w:t>
                  </w:r>
                </w:p>
              </w:tc>
            </w:tr>
            <w:tr w14:paraId="5F3CD1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71713B25">
                  <w:pPr>
                    <w:widowControl/>
                    <w:jc w:val="center"/>
                    <w:textAlignment w:val="center"/>
                    <w:rPr>
                      <w:sz w:val="21"/>
                      <w:szCs w:val="21"/>
                    </w:rPr>
                  </w:pPr>
                  <w:r>
                    <w:rPr>
                      <w:kern w:val="0"/>
                      <w:sz w:val="21"/>
                      <w:szCs w:val="21"/>
                      <w:lang w:bidi="ar"/>
                    </w:rPr>
                    <w:t>地理坐标</w:t>
                  </w:r>
                </w:p>
              </w:tc>
              <w:tc>
                <w:tcPr>
                  <w:tcW w:w="4052" w:type="pct"/>
                  <w:vAlign w:val="center"/>
                </w:tcPr>
                <w:p w14:paraId="1FF6EF08">
                  <w:pPr>
                    <w:widowControl/>
                    <w:jc w:val="center"/>
                    <w:textAlignment w:val="center"/>
                    <w:rPr>
                      <w:sz w:val="21"/>
                      <w:szCs w:val="21"/>
                    </w:rPr>
                  </w:pPr>
                  <w:r>
                    <w:rPr>
                      <w:sz w:val="21"/>
                      <w:szCs w:val="21"/>
                    </w:rPr>
                    <w:t>89°37′21.948″E，44°8′15.721″N</w:t>
                  </w:r>
                </w:p>
              </w:tc>
            </w:tr>
            <w:tr w14:paraId="338CEC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3B440C5F">
                  <w:pPr>
                    <w:widowControl/>
                    <w:jc w:val="center"/>
                    <w:textAlignment w:val="center"/>
                    <w:rPr>
                      <w:sz w:val="21"/>
                      <w:szCs w:val="21"/>
                    </w:rPr>
                  </w:pPr>
                  <w:r>
                    <w:rPr>
                      <w:kern w:val="0"/>
                      <w:sz w:val="21"/>
                      <w:szCs w:val="21"/>
                      <w:lang w:bidi="ar"/>
                    </w:rPr>
                    <w:t>主要危险物质及分布</w:t>
                  </w:r>
                </w:p>
              </w:tc>
              <w:tc>
                <w:tcPr>
                  <w:tcW w:w="4052" w:type="pct"/>
                  <w:vAlign w:val="center"/>
                </w:tcPr>
                <w:p w14:paraId="3C9B7965">
                  <w:pPr>
                    <w:widowControl/>
                    <w:textAlignment w:val="center"/>
                    <w:rPr>
                      <w:sz w:val="21"/>
                      <w:szCs w:val="21"/>
                    </w:rPr>
                  </w:pPr>
                  <w:r>
                    <w:rPr>
                      <w:rFonts w:hint="eastAsia"/>
                      <w:kern w:val="0"/>
                      <w:sz w:val="21"/>
                      <w:szCs w:val="21"/>
                      <w:lang w:bidi="ar"/>
                    </w:rPr>
                    <w:t>所涉及的风险物质</w:t>
                  </w:r>
                  <w:r>
                    <w:rPr>
                      <w:kern w:val="0"/>
                      <w:sz w:val="21"/>
                      <w:szCs w:val="21"/>
                      <w:lang w:bidi="ar"/>
                    </w:rPr>
                    <w:t>沥青、</w:t>
                  </w:r>
                  <w:r>
                    <w:rPr>
                      <w:rFonts w:hint="eastAsia"/>
                      <w:kern w:val="0"/>
                      <w:sz w:val="21"/>
                      <w:szCs w:val="21"/>
                      <w:lang w:bidi="ar"/>
                    </w:rPr>
                    <w:t>醇醚、</w:t>
                  </w:r>
                  <w:r>
                    <w:rPr>
                      <w:kern w:val="0"/>
                      <w:sz w:val="21"/>
                      <w:szCs w:val="21"/>
                      <w:lang w:bidi="ar"/>
                    </w:rPr>
                    <w:t>导热油分布于沥青站；</w:t>
                  </w:r>
                  <w:r>
                    <w:rPr>
                      <w:rFonts w:hint="eastAsia"/>
                      <w:kern w:val="0"/>
                      <w:sz w:val="21"/>
                      <w:szCs w:val="21"/>
                      <w:lang w:bidi="ar"/>
                    </w:rPr>
                    <w:t>废活性炭、焦油沉渣、电捕焦油器废油、废导热油、废机油、</w:t>
                  </w:r>
                  <w:r>
                    <w:rPr>
                      <w:sz w:val="21"/>
                      <w:szCs w:val="21"/>
                    </w:rPr>
                    <w:t>废含油手套</w:t>
                  </w:r>
                  <w:r>
                    <w:rPr>
                      <w:rFonts w:hint="eastAsia"/>
                      <w:sz w:val="21"/>
                      <w:szCs w:val="21"/>
                    </w:rPr>
                    <w:t>和</w:t>
                  </w:r>
                  <w:r>
                    <w:rPr>
                      <w:sz w:val="21"/>
                      <w:szCs w:val="21"/>
                    </w:rPr>
                    <w:t>抹布</w:t>
                  </w:r>
                  <w:r>
                    <w:rPr>
                      <w:kern w:val="0"/>
                      <w:sz w:val="21"/>
                      <w:szCs w:val="21"/>
                      <w:lang w:bidi="ar"/>
                    </w:rPr>
                    <w:t>分布于危废暂存间</w:t>
                  </w:r>
                </w:p>
              </w:tc>
            </w:tr>
            <w:tr w14:paraId="71BBD3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404EA943">
                  <w:pPr>
                    <w:widowControl/>
                    <w:jc w:val="center"/>
                    <w:textAlignment w:val="center"/>
                    <w:rPr>
                      <w:sz w:val="21"/>
                      <w:szCs w:val="21"/>
                    </w:rPr>
                  </w:pPr>
                  <w:r>
                    <w:rPr>
                      <w:kern w:val="0"/>
                      <w:sz w:val="21"/>
                      <w:szCs w:val="21"/>
                      <w:lang w:bidi="ar"/>
                    </w:rPr>
                    <w:t>环境影响途径及危害后果</w:t>
                  </w:r>
                  <w:r>
                    <w:rPr>
                      <w:rFonts w:hint="eastAsia"/>
                      <w:kern w:val="0"/>
                      <w:sz w:val="21"/>
                      <w:szCs w:val="21"/>
                      <w:lang w:bidi="ar"/>
                    </w:rPr>
                    <w:t>（大气、地表水、地下水等）</w:t>
                  </w:r>
                </w:p>
              </w:tc>
              <w:tc>
                <w:tcPr>
                  <w:tcW w:w="4052" w:type="pct"/>
                  <w:vAlign w:val="center"/>
                </w:tcPr>
                <w:p w14:paraId="24C03A6C">
                  <w:pPr>
                    <w:widowControl/>
                    <w:textAlignment w:val="center"/>
                    <w:rPr>
                      <w:bCs/>
                      <w:kern w:val="0"/>
                      <w:sz w:val="21"/>
                      <w:szCs w:val="21"/>
                      <w:lang w:bidi="ar"/>
                    </w:rPr>
                  </w:pPr>
                  <w:r>
                    <w:rPr>
                      <w:bCs/>
                      <w:kern w:val="0"/>
                      <w:sz w:val="21"/>
                      <w:szCs w:val="21"/>
                      <w:lang w:bidi="ar"/>
                    </w:rPr>
                    <w:t>本项目可能发生的事故包括</w:t>
                  </w:r>
                </w:p>
                <w:p w14:paraId="7D8DF4DB">
                  <w:pPr>
                    <w:widowControl/>
                    <w:textAlignment w:val="center"/>
                    <w:rPr>
                      <w:bCs/>
                      <w:kern w:val="0"/>
                      <w:sz w:val="21"/>
                      <w:szCs w:val="21"/>
                      <w:lang w:bidi="ar"/>
                    </w:rPr>
                  </w:pPr>
                  <w:r>
                    <w:rPr>
                      <w:bCs/>
                      <w:kern w:val="0"/>
                      <w:sz w:val="21"/>
                      <w:szCs w:val="21"/>
                      <w:lang w:bidi="ar"/>
                    </w:rPr>
                    <w:fldChar w:fldCharType="begin"/>
                  </w:r>
                  <w:r>
                    <w:rPr>
                      <w:bCs/>
                      <w:kern w:val="0"/>
                      <w:sz w:val="21"/>
                      <w:szCs w:val="21"/>
                      <w:lang w:bidi="ar"/>
                    </w:rPr>
                    <w:instrText xml:space="preserve"> </w:instrText>
                  </w:r>
                  <w:r>
                    <w:rPr>
                      <w:rFonts w:hint="eastAsia"/>
                      <w:bCs/>
                      <w:kern w:val="0"/>
                      <w:sz w:val="21"/>
                      <w:szCs w:val="21"/>
                      <w:lang w:bidi="ar"/>
                    </w:rPr>
                    <w:instrText xml:space="preserve">= 1 \* GB3</w:instrText>
                  </w:r>
                  <w:r>
                    <w:rPr>
                      <w:bCs/>
                      <w:kern w:val="0"/>
                      <w:sz w:val="21"/>
                      <w:szCs w:val="21"/>
                      <w:lang w:bidi="ar"/>
                    </w:rPr>
                    <w:instrText xml:space="preserve"> </w:instrText>
                  </w:r>
                  <w:r>
                    <w:rPr>
                      <w:bCs/>
                      <w:kern w:val="0"/>
                      <w:sz w:val="21"/>
                      <w:szCs w:val="21"/>
                      <w:lang w:bidi="ar"/>
                    </w:rPr>
                    <w:fldChar w:fldCharType="separate"/>
                  </w:r>
                  <w:r>
                    <w:rPr>
                      <w:rFonts w:hint="eastAsia"/>
                      <w:bCs/>
                      <w:kern w:val="0"/>
                      <w:sz w:val="21"/>
                      <w:szCs w:val="21"/>
                      <w:lang w:bidi="ar"/>
                    </w:rPr>
                    <w:t>①</w:t>
                  </w:r>
                  <w:r>
                    <w:rPr>
                      <w:kern w:val="0"/>
                      <w:sz w:val="21"/>
                      <w:szCs w:val="21"/>
                      <w:lang w:bidi="ar"/>
                    </w:rPr>
                    <w:fldChar w:fldCharType="end"/>
                  </w:r>
                  <w:r>
                    <w:rPr>
                      <w:rFonts w:hint="eastAsia"/>
                      <w:bCs/>
                      <w:kern w:val="0"/>
                      <w:sz w:val="21"/>
                      <w:szCs w:val="21"/>
                      <w:lang w:bidi="ar"/>
                    </w:rPr>
                    <w:t>沥青、醇醚等污染物泄露以及环保设施故障导致废气事故性排放，对空气、地下水和土壤环境造成污染；废活性炭、焦油沉渣、电捕焦油器废油、废导热油、废机油、废含油手套和抹布等危险废物泄露，对空气、地下水和土壤环境造成污染；</w:t>
                  </w:r>
                </w:p>
                <w:p w14:paraId="364AE18E">
                  <w:pPr>
                    <w:widowControl/>
                    <w:textAlignment w:val="center"/>
                    <w:rPr>
                      <w:bCs/>
                      <w:kern w:val="0"/>
                      <w:sz w:val="21"/>
                      <w:szCs w:val="21"/>
                      <w:lang w:bidi="ar"/>
                    </w:rPr>
                  </w:pPr>
                  <w:r>
                    <w:rPr>
                      <w:bCs/>
                      <w:kern w:val="0"/>
                      <w:sz w:val="21"/>
                      <w:szCs w:val="21"/>
                      <w:lang w:bidi="ar"/>
                    </w:rPr>
                    <w:fldChar w:fldCharType="begin"/>
                  </w:r>
                  <w:r>
                    <w:rPr>
                      <w:bCs/>
                      <w:kern w:val="0"/>
                      <w:sz w:val="21"/>
                      <w:szCs w:val="21"/>
                      <w:lang w:bidi="ar"/>
                    </w:rPr>
                    <w:instrText xml:space="preserve"> </w:instrText>
                  </w:r>
                  <w:r>
                    <w:rPr>
                      <w:rFonts w:hint="eastAsia"/>
                      <w:bCs/>
                      <w:kern w:val="0"/>
                      <w:sz w:val="21"/>
                      <w:szCs w:val="21"/>
                      <w:lang w:bidi="ar"/>
                    </w:rPr>
                    <w:instrText xml:space="preserve">= 2 \* GB3</w:instrText>
                  </w:r>
                  <w:r>
                    <w:rPr>
                      <w:bCs/>
                      <w:kern w:val="0"/>
                      <w:sz w:val="21"/>
                      <w:szCs w:val="21"/>
                      <w:lang w:bidi="ar"/>
                    </w:rPr>
                    <w:instrText xml:space="preserve"> </w:instrText>
                  </w:r>
                  <w:r>
                    <w:rPr>
                      <w:bCs/>
                      <w:kern w:val="0"/>
                      <w:sz w:val="21"/>
                      <w:szCs w:val="21"/>
                      <w:lang w:bidi="ar"/>
                    </w:rPr>
                    <w:fldChar w:fldCharType="separate"/>
                  </w:r>
                  <w:r>
                    <w:rPr>
                      <w:rFonts w:hint="eastAsia"/>
                      <w:bCs/>
                      <w:kern w:val="0"/>
                      <w:sz w:val="21"/>
                      <w:szCs w:val="21"/>
                      <w:lang w:bidi="ar"/>
                    </w:rPr>
                    <w:t>②</w:t>
                  </w:r>
                  <w:r>
                    <w:rPr>
                      <w:kern w:val="0"/>
                      <w:sz w:val="21"/>
                      <w:szCs w:val="21"/>
                      <w:lang w:bidi="ar"/>
                    </w:rPr>
                    <w:fldChar w:fldCharType="end"/>
                  </w:r>
                  <w:r>
                    <w:rPr>
                      <w:rFonts w:hint="eastAsia"/>
                      <w:bCs/>
                      <w:kern w:val="0"/>
                      <w:sz w:val="21"/>
                      <w:szCs w:val="21"/>
                      <w:lang w:bidi="ar"/>
                    </w:rPr>
                    <w:t>沥青、醇醚、机油、导热油等易燃物料一旦泄漏，或燃烧产生的废气、粉尘爆炸等将对空气环境造成影响；火灾会产生大量的消防废水，泄漏液体、消防废水不能及时处理或应急措施不当时，事故废水或泄漏物料如不及时进行收集，可能通过雨水管网，进入厂界外环境，将对周边水体造成影响</w:t>
                  </w:r>
                  <w:r>
                    <w:rPr>
                      <w:bCs/>
                      <w:kern w:val="0"/>
                      <w:sz w:val="21"/>
                      <w:szCs w:val="21"/>
                      <w:lang w:bidi="ar"/>
                    </w:rPr>
                    <w:t>；</w:t>
                  </w:r>
                </w:p>
              </w:tc>
            </w:tr>
            <w:tr w14:paraId="663E2E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vAlign w:val="center"/>
                </w:tcPr>
                <w:p w14:paraId="4DB00005">
                  <w:pPr>
                    <w:widowControl/>
                    <w:jc w:val="center"/>
                    <w:textAlignment w:val="center"/>
                    <w:rPr>
                      <w:sz w:val="21"/>
                      <w:szCs w:val="21"/>
                    </w:rPr>
                  </w:pPr>
                  <w:r>
                    <w:rPr>
                      <w:kern w:val="0"/>
                      <w:sz w:val="21"/>
                      <w:szCs w:val="21"/>
                      <w:lang w:bidi="ar"/>
                    </w:rPr>
                    <w:t>风险防范要求</w:t>
                  </w:r>
                </w:p>
              </w:tc>
              <w:tc>
                <w:tcPr>
                  <w:tcW w:w="4052" w:type="pct"/>
                  <w:vAlign w:val="center"/>
                </w:tcPr>
                <w:p w14:paraId="27AAAC4E">
                  <w:pPr>
                    <w:widowControl/>
                    <w:textAlignment w:val="center"/>
                    <w:rPr>
                      <w:kern w:val="0"/>
                      <w:sz w:val="21"/>
                      <w:szCs w:val="21"/>
                      <w:lang w:bidi="ar"/>
                    </w:rPr>
                  </w:pPr>
                  <w:r>
                    <w:rPr>
                      <w:rFonts w:hint="eastAsia"/>
                      <w:kern w:val="0"/>
                      <w:sz w:val="21"/>
                      <w:szCs w:val="21"/>
                      <w:lang w:bidi="ar"/>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p w14:paraId="1DB394A3">
                  <w:pPr>
                    <w:widowControl/>
                    <w:textAlignment w:val="center"/>
                    <w:rPr>
                      <w:kern w:val="0"/>
                      <w:sz w:val="21"/>
                      <w:szCs w:val="21"/>
                      <w:lang w:bidi="ar"/>
                    </w:rPr>
                  </w:pPr>
                  <w:r>
                    <w:rPr>
                      <w:rFonts w:hint="eastAsia"/>
                      <w:kern w:val="0"/>
                      <w:sz w:val="21"/>
                      <w:szCs w:val="21"/>
                      <w:lang w:bidi="ar"/>
                    </w:rPr>
                    <w:t>加强人员巡查及日常的维护，争取在第一时间发现泄漏事故并将其影响降至最低；</w:t>
                  </w:r>
                </w:p>
                <w:p w14:paraId="49BFB308">
                  <w:pPr>
                    <w:widowControl/>
                    <w:textAlignment w:val="center"/>
                    <w:rPr>
                      <w:sz w:val="21"/>
                      <w:szCs w:val="21"/>
                    </w:rPr>
                  </w:pPr>
                  <w:r>
                    <w:rPr>
                      <w:rFonts w:hint="eastAsia"/>
                      <w:sz w:val="21"/>
                      <w:szCs w:val="21"/>
                    </w:rPr>
                    <w:t>储存沥青、醇醚、导热油、废机油的装置四周应设置围堰；</w:t>
                  </w:r>
                </w:p>
                <w:p w14:paraId="73FDAF62">
                  <w:pPr>
                    <w:widowControl/>
                    <w:textAlignment w:val="center"/>
                    <w:rPr>
                      <w:sz w:val="21"/>
                      <w:szCs w:val="21"/>
                    </w:rPr>
                  </w:pPr>
                  <w:r>
                    <w:rPr>
                      <w:sz w:val="21"/>
                      <w:szCs w:val="21"/>
                    </w:rPr>
                    <w:t>沥青罐区、醇醚罐区、危废暂存间等按照重点防渗区进行防渗，编制应急预案</w:t>
                  </w:r>
                  <w:r>
                    <w:rPr>
                      <w:rFonts w:hint="eastAsia"/>
                      <w:sz w:val="21"/>
                      <w:szCs w:val="21"/>
                    </w:rPr>
                    <w:t>。</w:t>
                  </w:r>
                </w:p>
              </w:tc>
            </w:tr>
          </w:tbl>
          <w:p w14:paraId="59B7CECF">
            <w:pPr>
              <w:pStyle w:val="55"/>
              <w:spacing w:line="460" w:lineRule="exact"/>
              <w:ind w:firstLine="482"/>
              <w:rPr>
                <w:b/>
              </w:rPr>
            </w:pPr>
            <w:r>
              <w:rPr>
                <w:rFonts w:hint="eastAsia"/>
                <w:b/>
              </w:rPr>
              <w:t>7、服务期满后的生态恢复措施</w:t>
            </w:r>
          </w:p>
          <w:p w14:paraId="104027B0">
            <w:pPr>
              <w:pStyle w:val="55"/>
            </w:pPr>
            <w:r>
              <w:t>（1）拆除与清理</w:t>
            </w:r>
          </w:p>
          <w:p w14:paraId="083F471C">
            <w:pPr>
              <w:pStyle w:val="55"/>
            </w:pPr>
            <w:r>
              <w:rPr>
                <w:rFonts w:eastAsia="MS Gothic"/>
              </w:rPr>
              <w:t>‌</w:t>
            </w:r>
            <w:r>
              <w:t xml:space="preserve"> </w:t>
            </w:r>
            <w:r>
              <w:fldChar w:fldCharType="begin"/>
            </w:r>
            <w:r>
              <w:instrText xml:space="preserve"> = 1 \* GB3 </w:instrText>
            </w:r>
            <w:r>
              <w:fldChar w:fldCharType="separate"/>
            </w:r>
            <w:r>
              <w:rPr>
                <w:rFonts w:hint="eastAsia" w:ascii="宋体" w:hAnsi="宋体" w:cs="宋体"/>
              </w:rPr>
              <w:t>①</w:t>
            </w:r>
            <w:r>
              <w:fldChar w:fldCharType="end"/>
            </w:r>
            <w:r>
              <w:t>彻底拆除临时建筑物</w:t>
            </w:r>
            <w:r>
              <w:rPr>
                <w:rFonts w:eastAsia="MS Gothic"/>
              </w:rPr>
              <w:t>‌</w:t>
            </w:r>
          </w:p>
          <w:p w14:paraId="7E97AB2D">
            <w:pPr>
              <w:pStyle w:val="55"/>
              <w:ind w:firstLine="240" w:firstLineChars="100"/>
            </w:pPr>
            <w:r>
              <w:t>使用结束后需拆除所有建筑及设施，清理施工残留物（如混凝土块、废弃材料），消除污染源，确保场地恢复基础条件。</w:t>
            </w:r>
          </w:p>
          <w:p w14:paraId="1B8ECB6B">
            <w:pPr>
              <w:pStyle w:val="55"/>
            </w:pPr>
            <w:r>
              <w:rPr>
                <w:rFonts w:eastAsia="MS Gothic"/>
              </w:rPr>
              <w:t>‌</w:t>
            </w:r>
            <w:r>
              <w:t>（2）场地平整与垃圾处理</w:t>
            </w:r>
            <w:r>
              <w:rPr>
                <w:rFonts w:eastAsia="MS Gothic"/>
              </w:rPr>
              <w:t>‌</w:t>
            </w:r>
          </w:p>
          <w:p w14:paraId="501E9B44">
            <w:pPr>
              <w:pStyle w:val="55"/>
              <w:ind w:firstLine="240" w:firstLineChars="100"/>
            </w:pPr>
            <w:r>
              <w:t>对硬化地面进行破除，清理表层建筑垃圾并分类处置，避免二次污染。</w:t>
            </w:r>
          </w:p>
          <w:p w14:paraId="41375FE9">
            <w:pPr>
              <w:pStyle w:val="55"/>
            </w:pPr>
            <w:r>
              <w:t>（3）土壤修复与改良</w:t>
            </w:r>
          </w:p>
          <w:p w14:paraId="0467502E">
            <w:pPr>
              <w:pStyle w:val="55"/>
            </w:pPr>
            <w:r>
              <w:rPr>
                <w:rFonts w:eastAsia="MS Gothic"/>
              </w:rPr>
              <w:t>‌</w:t>
            </w:r>
            <w:r>
              <w:t xml:space="preserve"> </w:t>
            </w:r>
            <w:r>
              <w:fldChar w:fldCharType="begin"/>
            </w:r>
            <w:r>
              <w:instrText xml:space="preserve"> = 1 \* GB3 </w:instrText>
            </w:r>
            <w:r>
              <w:fldChar w:fldCharType="separate"/>
            </w:r>
            <w:r>
              <w:rPr>
                <w:rFonts w:hint="eastAsia" w:ascii="宋体" w:hAnsi="宋体" w:cs="宋体"/>
              </w:rPr>
              <w:t>①</w:t>
            </w:r>
            <w:r>
              <w:fldChar w:fldCharType="end"/>
            </w:r>
            <w:r>
              <w:t>表土剥离与回覆</w:t>
            </w:r>
            <w:r>
              <w:rPr>
                <w:rFonts w:eastAsia="MS Gothic"/>
              </w:rPr>
              <w:t>‌</w:t>
            </w:r>
          </w:p>
          <w:p w14:paraId="0A7BA2B8">
            <w:pPr>
              <w:pStyle w:val="55"/>
              <w:ind w:firstLine="240" w:firstLineChars="100"/>
            </w:pPr>
            <w:r>
              <w:t>施工前剥离表层土壤并集中保存，生态恢复时优先回填利用，保障土壤肥力和结构。</w:t>
            </w:r>
          </w:p>
          <w:p w14:paraId="441E348D">
            <w:pPr>
              <w:pStyle w:val="55"/>
            </w:pPr>
            <w:r>
              <w:rPr>
                <w:rFonts w:eastAsia="MS Gothic"/>
              </w:rPr>
              <w:t>‌</w:t>
            </w:r>
            <w:r>
              <w:t>（4）植被恢复</w:t>
            </w:r>
          </w:p>
          <w:p w14:paraId="55D2D88B">
            <w:pPr>
              <w:pStyle w:val="55"/>
            </w:pPr>
            <w:r>
              <w:rPr>
                <w:rFonts w:eastAsia="MS Gothic"/>
              </w:rPr>
              <w:t>‌</w:t>
            </w:r>
            <w:r>
              <w:t xml:space="preserve">  </w:t>
            </w:r>
            <w:r>
              <w:fldChar w:fldCharType="begin"/>
            </w:r>
            <w:r>
              <w:instrText xml:space="preserve"> = 1 \* GB3 </w:instrText>
            </w:r>
            <w:r>
              <w:fldChar w:fldCharType="separate"/>
            </w:r>
            <w:r>
              <w:rPr>
                <w:rFonts w:hint="eastAsia" w:ascii="宋体" w:hAnsi="宋体" w:cs="宋体"/>
              </w:rPr>
              <w:t>①</w:t>
            </w:r>
            <w:r>
              <w:fldChar w:fldCharType="end"/>
            </w:r>
            <w:r>
              <w:t>因地制宜选择植物</w:t>
            </w:r>
            <w:r>
              <w:rPr>
                <w:rFonts w:eastAsia="MS Gothic"/>
              </w:rPr>
              <w:t>‌</w:t>
            </w:r>
          </w:p>
          <w:p w14:paraId="14CA25BD">
            <w:pPr>
              <w:pStyle w:val="55"/>
              <w:ind w:firstLine="240" w:firstLineChars="100"/>
            </w:pPr>
            <w:r>
              <w:fldChar w:fldCharType="begin"/>
            </w:r>
            <w:r>
              <w:instrText xml:space="preserve"> = 2 \* GB3 </w:instrText>
            </w:r>
            <w:r>
              <w:fldChar w:fldCharType="separate"/>
            </w:r>
            <w:r>
              <w:rPr>
                <w:rFonts w:hint="eastAsia" w:ascii="宋体" w:hAnsi="宋体" w:cs="宋体"/>
              </w:rPr>
              <w:t>②</w:t>
            </w:r>
            <w:r>
              <w:fldChar w:fldCharType="end"/>
            </w:r>
            <w:r>
              <w:t>平坦区域：采用本地适生树种及草本植物，构建多层次植被结构。</w:t>
            </w:r>
          </w:p>
          <w:p w14:paraId="2A1683F3">
            <w:pPr>
              <w:pStyle w:val="55"/>
            </w:pPr>
            <w:r>
              <w:rPr>
                <w:rFonts w:eastAsia="MS Gothic"/>
              </w:rPr>
              <w:t>‌</w:t>
            </w:r>
            <w:r>
              <w:t>（5）水土保持与生态防护</w:t>
            </w:r>
          </w:p>
          <w:p w14:paraId="3CD0D546">
            <w:pPr>
              <w:pStyle w:val="55"/>
            </w:pPr>
            <w:r>
              <w:rPr>
                <w:rFonts w:eastAsia="MS Gothic"/>
              </w:rPr>
              <w:t>‌</w:t>
            </w:r>
            <w:r>
              <w:t>植被种植防止水土流失。</w:t>
            </w:r>
          </w:p>
          <w:p w14:paraId="3292A9A9">
            <w:pPr>
              <w:pStyle w:val="55"/>
            </w:pPr>
            <w:r>
              <w:rPr>
                <w:rFonts w:eastAsia="MS Gothic"/>
              </w:rPr>
              <w:t>‌</w:t>
            </w:r>
            <w:r>
              <w:t>（6）监管与长效保障</w:t>
            </w:r>
          </w:p>
          <w:p w14:paraId="3F8379F5">
            <w:pPr>
              <w:pStyle w:val="55"/>
            </w:pPr>
            <w:r>
              <w:rPr>
                <w:rFonts w:eastAsia="MS Gothic"/>
              </w:rPr>
              <w:t>‌</w:t>
            </w:r>
            <w:r>
              <w:t xml:space="preserve">  </w:t>
            </w:r>
            <w:r>
              <w:fldChar w:fldCharType="begin"/>
            </w:r>
            <w:r>
              <w:instrText xml:space="preserve"> = 1 \* GB3 </w:instrText>
            </w:r>
            <w:r>
              <w:fldChar w:fldCharType="separate"/>
            </w:r>
            <w:r>
              <w:rPr>
                <w:rFonts w:hint="eastAsia" w:ascii="宋体" w:hAnsi="宋体" w:cs="宋体"/>
              </w:rPr>
              <w:t>①</w:t>
            </w:r>
            <w:r>
              <w:fldChar w:fldCharType="end"/>
            </w:r>
            <w:r>
              <w:t>全过程督导机制</w:t>
            </w:r>
            <w:r>
              <w:rPr>
                <w:rFonts w:eastAsia="MS Gothic"/>
              </w:rPr>
              <w:t>‌</w:t>
            </w:r>
          </w:p>
          <w:p w14:paraId="31EA835F">
            <w:pPr>
              <w:pStyle w:val="55"/>
            </w:pPr>
            <w:r>
              <w:t>建立多部门联合监管体系，对恢复过程定期检查，整改不达标区域。</w:t>
            </w:r>
          </w:p>
          <w:p w14:paraId="0CBEA569">
            <w:pPr>
              <w:pStyle w:val="55"/>
            </w:pPr>
            <w:r>
              <w:rPr>
                <w:rFonts w:eastAsia="MS Gothic"/>
              </w:rPr>
              <w:t>‌</w:t>
            </w:r>
            <w:r>
              <w:t xml:space="preserve">  </w:t>
            </w:r>
            <w:r>
              <w:fldChar w:fldCharType="begin"/>
            </w:r>
            <w:r>
              <w:instrText xml:space="preserve"> = 2 \* GB3 </w:instrText>
            </w:r>
            <w:r>
              <w:fldChar w:fldCharType="separate"/>
            </w:r>
            <w:r>
              <w:rPr>
                <w:rFonts w:hint="eastAsia" w:ascii="宋体" w:hAnsi="宋体" w:cs="宋体"/>
              </w:rPr>
              <w:t>②</w:t>
            </w:r>
            <w:r>
              <w:fldChar w:fldCharType="end"/>
            </w:r>
            <w:r>
              <w:t>验收与后续维护</w:t>
            </w:r>
            <w:r>
              <w:rPr>
                <w:rFonts w:eastAsia="MS Gothic"/>
              </w:rPr>
              <w:t>‌</w:t>
            </w:r>
          </w:p>
          <w:p w14:paraId="08DC7514">
            <w:pPr>
              <w:pStyle w:val="55"/>
              <w:ind w:firstLine="240" w:firstLineChars="100"/>
            </w:pPr>
            <w:r>
              <w:t>恢复完成后需评估植被覆盖率、土壤稳定性和生物多样性指标，确保达到可交付状态。</w:t>
            </w:r>
          </w:p>
          <w:p w14:paraId="7A7F2E12">
            <w:pPr>
              <w:pStyle w:val="55"/>
              <w:spacing w:line="460" w:lineRule="exact"/>
              <w:ind w:firstLine="482"/>
              <w:rPr>
                <w:b/>
              </w:rPr>
            </w:pPr>
            <w:r>
              <w:rPr>
                <w:b/>
              </w:rPr>
              <w:t>8.环保投资估算</w:t>
            </w:r>
          </w:p>
          <w:p w14:paraId="7C1756AE">
            <w:pPr>
              <w:pStyle w:val="55"/>
              <w:spacing w:line="460" w:lineRule="exact"/>
            </w:pPr>
            <w:r>
              <w:t>本项目总投资为2000万元，其中环保设施的投资为231.5万元，环保投资占总投资的11.58%，详见下表</w:t>
            </w:r>
            <w:r>
              <w:rPr>
                <w:rFonts w:hint="eastAsia"/>
              </w:rPr>
              <w:t>4</w:t>
            </w:r>
            <w:r>
              <w:t>-25</w:t>
            </w:r>
            <w:r>
              <w:rPr>
                <w:rFonts w:hint="eastAsia"/>
              </w:rPr>
              <w:t>。</w:t>
            </w:r>
          </w:p>
          <w:p w14:paraId="26655204">
            <w:pPr>
              <w:pStyle w:val="76"/>
              <w:ind w:firstLine="420"/>
              <w:rPr>
                <w:color w:val="auto"/>
              </w:rPr>
            </w:pPr>
            <w:r>
              <w:rPr>
                <w:color w:val="auto"/>
              </w:rPr>
              <w:t>表4-25                  环境保护投资估算</w:t>
            </w:r>
          </w:p>
          <w:tbl>
            <w:tblPr>
              <w:tblStyle w:val="2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43"/>
              <w:gridCol w:w="1099"/>
              <w:gridCol w:w="2136"/>
              <w:gridCol w:w="3229"/>
              <w:gridCol w:w="1310"/>
            </w:tblGrid>
            <w:tr w14:paraId="476077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04" w:type="pct"/>
                  <w:gridSpan w:val="3"/>
                  <w:vAlign w:val="center"/>
                </w:tcPr>
                <w:p w14:paraId="18082039">
                  <w:pPr>
                    <w:jc w:val="center"/>
                    <w:rPr>
                      <w:sz w:val="21"/>
                      <w:szCs w:val="21"/>
                    </w:rPr>
                  </w:pPr>
                  <w:r>
                    <w:rPr>
                      <w:sz w:val="21"/>
                      <w:szCs w:val="21"/>
                    </w:rPr>
                    <w:t>环保项目</w:t>
                  </w:r>
                </w:p>
              </w:tc>
              <w:tc>
                <w:tcPr>
                  <w:tcW w:w="1918" w:type="pct"/>
                  <w:vAlign w:val="center"/>
                </w:tcPr>
                <w:p w14:paraId="0AC8EA1A">
                  <w:pPr>
                    <w:jc w:val="center"/>
                    <w:rPr>
                      <w:sz w:val="21"/>
                      <w:szCs w:val="21"/>
                    </w:rPr>
                  </w:pPr>
                  <w:r>
                    <w:rPr>
                      <w:sz w:val="21"/>
                      <w:szCs w:val="21"/>
                    </w:rPr>
                    <w:t>工程内容</w:t>
                  </w:r>
                </w:p>
              </w:tc>
              <w:tc>
                <w:tcPr>
                  <w:tcW w:w="778" w:type="pct"/>
                  <w:vAlign w:val="center"/>
                </w:tcPr>
                <w:p w14:paraId="58C98E2F">
                  <w:pPr>
                    <w:jc w:val="center"/>
                    <w:rPr>
                      <w:sz w:val="21"/>
                      <w:szCs w:val="21"/>
                    </w:rPr>
                  </w:pPr>
                  <w:r>
                    <w:rPr>
                      <w:sz w:val="21"/>
                      <w:szCs w:val="21"/>
                    </w:rPr>
                    <w:t>投资估算</w:t>
                  </w:r>
                </w:p>
              </w:tc>
            </w:tr>
            <w:tr w14:paraId="76374F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2" w:type="pct"/>
                  <w:vMerge w:val="restart"/>
                  <w:vAlign w:val="center"/>
                </w:tcPr>
                <w:p w14:paraId="5AD11AC2">
                  <w:pPr>
                    <w:jc w:val="center"/>
                    <w:rPr>
                      <w:sz w:val="21"/>
                      <w:szCs w:val="21"/>
                    </w:rPr>
                  </w:pPr>
                  <w:r>
                    <w:rPr>
                      <w:rFonts w:hint="eastAsia"/>
                      <w:sz w:val="21"/>
                      <w:szCs w:val="21"/>
                    </w:rPr>
                    <w:t>施工期</w:t>
                  </w:r>
                </w:p>
              </w:tc>
              <w:tc>
                <w:tcPr>
                  <w:tcW w:w="1922" w:type="pct"/>
                  <w:gridSpan w:val="2"/>
                  <w:vAlign w:val="center"/>
                </w:tcPr>
                <w:p w14:paraId="22FC5FBE">
                  <w:pPr>
                    <w:jc w:val="center"/>
                    <w:rPr>
                      <w:sz w:val="21"/>
                      <w:szCs w:val="21"/>
                    </w:rPr>
                  </w:pPr>
                  <w:r>
                    <w:rPr>
                      <w:rFonts w:hint="eastAsia"/>
                      <w:sz w:val="21"/>
                      <w:szCs w:val="21"/>
                    </w:rPr>
                    <w:t>废气治理</w:t>
                  </w:r>
                </w:p>
              </w:tc>
              <w:tc>
                <w:tcPr>
                  <w:tcW w:w="1918" w:type="pct"/>
                  <w:vAlign w:val="center"/>
                </w:tcPr>
                <w:p w14:paraId="46F1B8A4">
                  <w:pPr>
                    <w:jc w:val="center"/>
                    <w:rPr>
                      <w:sz w:val="21"/>
                      <w:szCs w:val="21"/>
                    </w:rPr>
                  </w:pPr>
                  <w:r>
                    <w:rPr>
                      <w:rFonts w:hint="eastAsia"/>
                      <w:sz w:val="21"/>
                      <w:szCs w:val="21"/>
                    </w:rPr>
                    <w:t>施工围挡、物料遮盖</w:t>
                  </w:r>
                </w:p>
              </w:tc>
              <w:tc>
                <w:tcPr>
                  <w:tcW w:w="778" w:type="pct"/>
                  <w:vAlign w:val="center"/>
                </w:tcPr>
                <w:p w14:paraId="42454365">
                  <w:pPr>
                    <w:jc w:val="center"/>
                    <w:rPr>
                      <w:sz w:val="21"/>
                      <w:szCs w:val="21"/>
                    </w:rPr>
                  </w:pPr>
                  <w:r>
                    <w:rPr>
                      <w:sz w:val="21"/>
                      <w:szCs w:val="21"/>
                    </w:rPr>
                    <w:t>4</w:t>
                  </w:r>
                </w:p>
              </w:tc>
            </w:tr>
            <w:tr w14:paraId="4CFD1BEE">
              <w:tblPrEx>
                <w:tblCellMar>
                  <w:top w:w="0" w:type="dxa"/>
                  <w:left w:w="108" w:type="dxa"/>
                  <w:bottom w:w="0" w:type="dxa"/>
                  <w:right w:w="108" w:type="dxa"/>
                </w:tblCellMar>
              </w:tblPrEx>
              <w:trPr>
                <w:trHeight w:val="340" w:hRule="atLeast"/>
                <w:jc w:val="center"/>
              </w:trPr>
              <w:tc>
                <w:tcPr>
                  <w:tcW w:w="382" w:type="pct"/>
                  <w:vMerge w:val="continue"/>
                  <w:vAlign w:val="center"/>
                </w:tcPr>
                <w:p w14:paraId="42DFE1D6">
                  <w:pPr>
                    <w:jc w:val="center"/>
                    <w:rPr>
                      <w:sz w:val="21"/>
                      <w:szCs w:val="21"/>
                    </w:rPr>
                  </w:pPr>
                </w:p>
              </w:tc>
              <w:tc>
                <w:tcPr>
                  <w:tcW w:w="1922" w:type="pct"/>
                  <w:gridSpan w:val="2"/>
                  <w:vAlign w:val="center"/>
                </w:tcPr>
                <w:p w14:paraId="21E7B95E">
                  <w:pPr>
                    <w:jc w:val="center"/>
                    <w:rPr>
                      <w:sz w:val="21"/>
                      <w:szCs w:val="21"/>
                    </w:rPr>
                  </w:pPr>
                  <w:r>
                    <w:rPr>
                      <w:rFonts w:hint="eastAsia"/>
                      <w:sz w:val="21"/>
                      <w:szCs w:val="21"/>
                    </w:rPr>
                    <w:t>废水治理</w:t>
                  </w:r>
                </w:p>
              </w:tc>
              <w:tc>
                <w:tcPr>
                  <w:tcW w:w="1918" w:type="pct"/>
                  <w:vAlign w:val="center"/>
                </w:tcPr>
                <w:p w14:paraId="51BF10D5">
                  <w:pPr>
                    <w:jc w:val="center"/>
                    <w:rPr>
                      <w:sz w:val="21"/>
                      <w:szCs w:val="21"/>
                    </w:rPr>
                  </w:pPr>
                  <w:r>
                    <w:rPr>
                      <w:rFonts w:hint="eastAsia"/>
                      <w:sz w:val="21"/>
                      <w:szCs w:val="21"/>
                    </w:rPr>
                    <w:t>食堂废水经隔油池处理</w:t>
                  </w:r>
                </w:p>
              </w:tc>
              <w:tc>
                <w:tcPr>
                  <w:tcW w:w="778" w:type="pct"/>
                  <w:vAlign w:val="center"/>
                </w:tcPr>
                <w:p w14:paraId="29F5925F">
                  <w:pPr>
                    <w:jc w:val="center"/>
                    <w:rPr>
                      <w:sz w:val="21"/>
                      <w:szCs w:val="21"/>
                    </w:rPr>
                  </w:pPr>
                  <w:r>
                    <w:rPr>
                      <w:rFonts w:hint="eastAsia"/>
                      <w:sz w:val="21"/>
                      <w:szCs w:val="21"/>
                    </w:rPr>
                    <w:t>3</w:t>
                  </w:r>
                </w:p>
              </w:tc>
            </w:tr>
            <w:tr w14:paraId="2F0F94D9">
              <w:tblPrEx>
                <w:tblCellMar>
                  <w:top w:w="0" w:type="dxa"/>
                  <w:left w:w="108" w:type="dxa"/>
                  <w:bottom w:w="0" w:type="dxa"/>
                  <w:right w:w="108" w:type="dxa"/>
                </w:tblCellMar>
              </w:tblPrEx>
              <w:trPr>
                <w:trHeight w:val="340" w:hRule="atLeast"/>
                <w:jc w:val="center"/>
              </w:trPr>
              <w:tc>
                <w:tcPr>
                  <w:tcW w:w="382" w:type="pct"/>
                  <w:vMerge w:val="continue"/>
                  <w:vAlign w:val="center"/>
                </w:tcPr>
                <w:p w14:paraId="25255600">
                  <w:pPr>
                    <w:jc w:val="center"/>
                    <w:rPr>
                      <w:sz w:val="21"/>
                      <w:szCs w:val="21"/>
                    </w:rPr>
                  </w:pPr>
                </w:p>
              </w:tc>
              <w:tc>
                <w:tcPr>
                  <w:tcW w:w="1922" w:type="pct"/>
                  <w:gridSpan w:val="2"/>
                  <w:vAlign w:val="center"/>
                </w:tcPr>
                <w:p w14:paraId="2460FDFE">
                  <w:pPr>
                    <w:jc w:val="center"/>
                    <w:rPr>
                      <w:sz w:val="21"/>
                      <w:szCs w:val="21"/>
                    </w:rPr>
                  </w:pPr>
                  <w:r>
                    <w:rPr>
                      <w:rFonts w:hint="eastAsia"/>
                      <w:sz w:val="21"/>
                      <w:szCs w:val="21"/>
                    </w:rPr>
                    <w:t>噪声治理</w:t>
                  </w:r>
                </w:p>
              </w:tc>
              <w:tc>
                <w:tcPr>
                  <w:tcW w:w="1918" w:type="pct"/>
                  <w:vAlign w:val="center"/>
                </w:tcPr>
                <w:p w14:paraId="37FCB165">
                  <w:pPr>
                    <w:jc w:val="center"/>
                    <w:rPr>
                      <w:sz w:val="21"/>
                      <w:szCs w:val="21"/>
                    </w:rPr>
                  </w:pPr>
                  <w:r>
                    <w:rPr>
                      <w:rFonts w:hint="eastAsia"/>
                      <w:sz w:val="21"/>
                      <w:szCs w:val="21"/>
                    </w:rPr>
                    <w:t>隔声降噪措施</w:t>
                  </w:r>
                </w:p>
              </w:tc>
              <w:tc>
                <w:tcPr>
                  <w:tcW w:w="778" w:type="pct"/>
                  <w:vAlign w:val="center"/>
                </w:tcPr>
                <w:p w14:paraId="742E4B67">
                  <w:pPr>
                    <w:jc w:val="center"/>
                    <w:rPr>
                      <w:sz w:val="21"/>
                      <w:szCs w:val="21"/>
                    </w:rPr>
                  </w:pPr>
                  <w:r>
                    <w:rPr>
                      <w:rFonts w:hint="eastAsia"/>
                      <w:sz w:val="21"/>
                      <w:szCs w:val="21"/>
                    </w:rPr>
                    <w:t>1</w:t>
                  </w:r>
                </w:p>
              </w:tc>
            </w:tr>
            <w:tr w14:paraId="0CE7F9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2" w:type="pct"/>
                  <w:vMerge w:val="continue"/>
                  <w:vAlign w:val="center"/>
                </w:tcPr>
                <w:p w14:paraId="671CA087">
                  <w:pPr>
                    <w:jc w:val="center"/>
                    <w:rPr>
                      <w:sz w:val="21"/>
                      <w:szCs w:val="21"/>
                    </w:rPr>
                  </w:pPr>
                </w:p>
              </w:tc>
              <w:tc>
                <w:tcPr>
                  <w:tcW w:w="1922" w:type="pct"/>
                  <w:gridSpan w:val="2"/>
                  <w:vAlign w:val="center"/>
                </w:tcPr>
                <w:p w14:paraId="504736D4">
                  <w:pPr>
                    <w:jc w:val="center"/>
                    <w:rPr>
                      <w:sz w:val="21"/>
                      <w:szCs w:val="21"/>
                    </w:rPr>
                  </w:pPr>
                  <w:r>
                    <w:rPr>
                      <w:rFonts w:hint="eastAsia"/>
                      <w:sz w:val="21"/>
                      <w:szCs w:val="21"/>
                    </w:rPr>
                    <w:t>固废治理</w:t>
                  </w:r>
                </w:p>
              </w:tc>
              <w:tc>
                <w:tcPr>
                  <w:tcW w:w="1918" w:type="pct"/>
                  <w:vAlign w:val="center"/>
                </w:tcPr>
                <w:p w14:paraId="570F5069">
                  <w:pPr>
                    <w:jc w:val="center"/>
                    <w:rPr>
                      <w:sz w:val="21"/>
                      <w:szCs w:val="21"/>
                    </w:rPr>
                  </w:pPr>
                  <w:r>
                    <w:rPr>
                      <w:rFonts w:hint="eastAsia"/>
                      <w:sz w:val="21"/>
                      <w:szCs w:val="21"/>
                    </w:rPr>
                    <w:t>生活垃圾设置垃圾箱收集</w:t>
                  </w:r>
                </w:p>
              </w:tc>
              <w:tc>
                <w:tcPr>
                  <w:tcW w:w="778" w:type="pct"/>
                  <w:vAlign w:val="center"/>
                </w:tcPr>
                <w:p w14:paraId="018CAD7B">
                  <w:pPr>
                    <w:jc w:val="center"/>
                    <w:rPr>
                      <w:sz w:val="21"/>
                      <w:szCs w:val="21"/>
                    </w:rPr>
                  </w:pPr>
                  <w:r>
                    <w:rPr>
                      <w:rFonts w:hint="eastAsia"/>
                      <w:sz w:val="21"/>
                      <w:szCs w:val="21"/>
                    </w:rPr>
                    <w:t>1</w:t>
                  </w:r>
                </w:p>
              </w:tc>
            </w:tr>
            <w:tr w14:paraId="535B538C">
              <w:tblPrEx>
                <w:tblCellMar>
                  <w:top w:w="0" w:type="dxa"/>
                  <w:left w:w="108" w:type="dxa"/>
                  <w:bottom w:w="0" w:type="dxa"/>
                  <w:right w:w="108" w:type="dxa"/>
                </w:tblCellMar>
              </w:tblPrEx>
              <w:trPr>
                <w:trHeight w:val="340" w:hRule="atLeast"/>
                <w:jc w:val="center"/>
              </w:trPr>
              <w:tc>
                <w:tcPr>
                  <w:tcW w:w="382" w:type="pct"/>
                  <w:vMerge w:val="restart"/>
                  <w:vAlign w:val="center"/>
                </w:tcPr>
                <w:p w14:paraId="03CE0800">
                  <w:pPr>
                    <w:jc w:val="center"/>
                    <w:rPr>
                      <w:sz w:val="21"/>
                      <w:szCs w:val="21"/>
                    </w:rPr>
                  </w:pPr>
                  <w:r>
                    <w:rPr>
                      <w:sz w:val="21"/>
                      <w:szCs w:val="21"/>
                    </w:rPr>
                    <w:t>运营期</w:t>
                  </w:r>
                </w:p>
              </w:tc>
              <w:tc>
                <w:tcPr>
                  <w:tcW w:w="653" w:type="pct"/>
                  <w:vMerge w:val="restart"/>
                  <w:vAlign w:val="center"/>
                </w:tcPr>
                <w:p w14:paraId="1215A033">
                  <w:pPr>
                    <w:jc w:val="center"/>
                    <w:rPr>
                      <w:sz w:val="21"/>
                      <w:szCs w:val="21"/>
                    </w:rPr>
                  </w:pPr>
                  <w:r>
                    <w:rPr>
                      <w:rFonts w:hint="eastAsia"/>
                      <w:sz w:val="21"/>
                      <w:szCs w:val="21"/>
                    </w:rPr>
                    <w:t>废水治理</w:t>
                  </w:r>
                </w:p>
              </w:tc>
              <w:tc>
                <w:tcPr>
                  <w:tcW w:w="1269" w:type="pct"/>
                  <w:vAlign w:val="center"/>
                </w:tcPr>
                <w:p w14:paraId="62AF80D8">
                  <w:pPr>
                    <w:jc w:val="center"/>
                    <w:rPr>
                      <w:sz w:val="21"/>
                      <w:szCs w:val="21"/>
                    </w:rPr>
                  </w:pPr>
                  <w:r>
                    <w:rPr>
                      <w:rFonts w:hint="eastAsia"/>
                      <w:sz w:val="21"/>
                      <w:szCs w:val="21"/>
                    </w:rPr>
                    <w:t>设备及车辆冲洗废水</w:t>
                  </w:r>
                </w:p>
              </w:tc>
              <w:tc>
                <w:tcPr>
                  <w:tcW w:w="1918" w:type="pct"/>
                  <w:vAlign w:val="center"/>
                </w:tcPr>
                <w:p w14:paraId="01EEC0C7">
                  <w:pPr>
                    <w:jc w:val="center"/>
                    <w:rPr>
                      <w:sz w:val="21"/>
                      <w:szCs w:val="21"/>
                    </w:rPr>
                  </w:pPr>
                  <w:r>
                    <w:rPr>
                      <w:rFonts w:hint="eastAsia"/>
                      <w:sz w:val="21"/>
                      <w:szCs w:val="21"/>
                    </w:rPr>
                    <w:t>3个</w:t>
                  </w:r>
                  <w:r>
                    <w:rPr>
                      <w:sz w:val="21"/>
                      <w:szCs w:val="21"/>
                    </w:rPr>
                    <w:t>沉淀池</w:t>
                  </w:r>
                </w:p>
              </w:tc>
              <w:tc>
                <w:tcPr>
                  <w:tcW w:w="778" w:type="pct"/>
                  <w:vAlign w:val="center"/>
                </w:tcPr>
                <w:p w14:paraId="3F6651C2">
                  <w:pPr>
                    <w:jc w:val="center"/>
                    <w:rPr>
                      <w:rFonts w:eastAsia="等线"/>
                      <w:sz w:val="21"/>
                      <w:szCs w:val="21"/>
                    </w:rPr>
                  </w:pPr>
                  <w:r>
                    <w:rPr>
                      <w:rFonts w:eastAsia="等线"/>
                      <w:sz w:val="21"/>
                      <w:szCs w:val="21"/>
                    </w:rPr>
                    <w:t>2</w:t>
                  </w:r>
                </w:p>
              </w:tc>
            </w:tr>
            <w:tr w14:paraId="77301C6C">
              <w:tblPrEx>
                <w:tblCellMar>
                  <w:top w:w="0" w:type="dxa"/>
                  <w:left w:w="108" w:type="dxa"/>
                  <w:bottom w:w="0" w:type="dxa"/>
                  <w:right w:w="108" w:type="dxa"/>
                </w:tblCellMar>
              </w:tblPrEx>
              <w:trPr>
                <w:trHeight w:val="340" w:hRule="atLeast"/>
                <w:jc w:val="center"/>
              </w:trPr>
              <w:tc>
                <w:tcPr>
                  <w:tcW w:w="382" w:type="pct"/>
                  <w:vMerge w:val="continue"/>
                  <w:vAlign w:val="center"/>
                </w:tcPr>
                <w:p w14:paraId="3C94F39A">
                  <w:pPr>
                    <w:jc w:val="center"/>
                    <w:rPr>
                      <w:sz w:val="21"/>
                      <w:szCs w:val="21"/>
                    </w:rPr>
                  </w:pPr>
                </w:p>
              </w:tc>
              <w:tc>
                <w:tcPr>
                  <w:tcW w:w="653" w:type="pct"/>
                  <w:vMerge w:val="continue"/>
                  <w:vAlign w:val="center"/>
                </w:tcPr>
                <w:p w14:paraId="395226B3">
                  <w:pPr>
                    <w:jc w:val="center"/>
                    <w:rPr>
                      <w:sz w:val="21"/>
                      <w:szCs w:val="21"/>
                    </w:rPr>
                  </w:pPr>
                </w:p>
              </w:tc>
              <w:tc>
                <w:tcPr>
                  <w:tcW w:w="1269" w:type="pct"/>
                  <w:vAlign w:val="center"/>
                </w:tcPr>
                <w:p w14:paraId="1FA36D02">
                  <w:pPr>
                    <w:ind w:firstLine="420" w:firstLineChars="200"/>
                    <w:rPr>
                      <w:sz w:val="21"/>
                      <w:szCs w:val="21"/>
                    </w:rPr>
                  </w:pPr>
                  <w:r>
                    <w:rPr>
                      <w:rFonts w:hint="eastAsia"/>
                      <w:sz w:val="21"/>
                      <w:szCs w:val="21"/>
                    </w:rPr>
                    <w:t>地下水</w:t>
                  </w:r>
                </w:p>
              </w:tc>
              <w:tc>
                <w:tcPr>
                  <w:tcW w:w="1918" w:type="pct"/>
                  <w:vAlign w:val="center"/>
                </w:tcPr>
                <w:p w14:paraId="5B99A03F">
                  <w:pPr>
                    <w:jc w:val="center"/>
                    <w:rPr>
                      <w:sz w:val="21"/>
                      <w:szCs w:val="21"/>
                    </w:rPr>
                  </w:pPr>
                  <w:r>
                    <w:rPr>
                      <w:rFonts w:hint="eastAsia"/>
                      <w:sz w:val="21"/>
                      <w:szCs w:val="21"/>
                    </w:rPr>
                    <w:t>分区防渗（沥青罐区、醇醚储罐区、危废暂存间设置重点防渗区；水泥稳定土生产区、混凝土生产区、沥青混凝土生产区、钢筋加工厂、料仓、预制场、实验室、一般固废仓库、蓄水池和沉淀池设置为一般防渗区）</w:t>
                  </w:r>
                </w:p>
              </w:tc>
              <w:tc>
                <w:tcPr>
                  <w:tcW w:w="778" w:type="pct"/>
                  <w:vAlign w:val="center"/>
                </w:tcPr>
                <w:p w14:paraId="2FA56568">
                  <w:pPr>
                    <w:jc w:val="center"/>
                    <w:rPr>
                      <w:rFonts w:eastAsia="等线"/>
                      <w:sz w:val="21"/>
                      <w:szCs w:val="21"/>
                    </w:rPr>
                  </w:pPr>
                  <w:r>
                    <w:rPr>
                      <w:rFonts w:eastAsia="等线"/>
                      <w:sz w:val="21"/>
                      <w:szCs w:val="21"/>
                    </w:rPr>
                    <w:t>52</w:t>
                  </w:r>
                </w:p>
              </w:tc>
            </w:tr>
            <w:tr w14:paraId="4C1C117C">
              <w:tblPrEx>
                <w:tblCellMar>
                  <w:top w:w="0" w:type="dxa"/>
                  <w:left w:w="108" w:type="dxa"/>
                  <w:bottom w:w="0" w:type="dxa"/>
                  <w:right w:w="108" w:type="dxa"/>
                </w:tblCellMar>
              </w:tblPrEx>
              <w:trPr>
                <w:trHeight w:val="340" w:hRule="atLeast"/>
                <w:jc w:val="center"/>
              </w:trPr>
              <w:tc>
                <w:tcPr>
                  <w:tcW w:w="382" w:type="pct"/>
                  <w:vMerge w:val="continue"/>
                  <w:vAlign w:val="center"/>
                </w:tcPr>
                <w:p w14:paraId="71A10B0E">
                  <w:pPr>
                    <w:widowControl/>
                    <w:jc w:val="left"/>
                    <w:rPr>
                      <w:sz w:val="21"/>
                      <w:szCs w:val="21"/>
                    </w:rPr>
                  </w:pPr>
                </w:p>
              </w:tc>
              <w:tc>
                <w:tcPr>
                  <w:tcW w:w="653" w:type="pct"/>
                  <w:vMerge w:val="restart"/>
                  <w:vAlign w:val="center"/>
                </w:tcPr>
                <w:p w14:paraId="4A321930">
                  <w:pPr>
                    <w:jc w:val="center"/>
                    <w:rPr>
                      <w:sz w:val="21"/>
                      <w:szCs w:val="21"/>
                    </w:rPr>
                  </w:pPr>
                  <w:r>
                    <w:rPr>
                      <w:sz w:val="21"/>
                      <w:szCs w:val="21"/>
                    </w:rPr>
                    <w:t>大气污染治理</w:t>
                  </w:r>
                </w:p>
              </w:tc>
              <w:tc>
                <w:tcPr>
                  <w:tcW w:w="1269" w:type="pct"/>
                  <w:vAlign w:val="center"/>
                </w:tcPr>
                <w:p w14:paraId="7EFD1F13">
                  <w:pPr>
                    <w:jc w:val="center"/>
                    <w:rPr>
                      <w:sz w:val="21"/>
                      <w:szCs w:val="21"/>
                    </w:rPr>
                  </w:pPr>
                  <w:r>
                    <w:rPr>
                      <w:rFonts w:hint="eastAsia"/>
                      <w:sz w:val="21"/>
                      <w:szCs w:val="21"/>
                    </w:rPr>
                    <w:t>沥青混凝土生产线沥青加热搅拌废气</w:t>
                  </w:r>
                </w:p>
              </w:tc>
              <w:tc>
                <w:tcPr>
                  <w:tcW w:w="1918" w:type="pct"/>
                  <w:vAlign w:val="center"/>
                </w:tcPr>
                <w:p w14:paraId="4F9E1789">
                  <w:pPr>
                    <w:jc w:val="center"/>
                    <w:rPr>
                      <w:sz w:val="21"/>
                      <w:szCs w:val="21"/>
                    </w:rPr>
                  </w:pPr>
                  <w:r>
                    <w:rPr>
                      <w:rFonts w:hint="eastAsia"/>
                      <w:sz w:val="21"/>
                      <w:szCs w:val="21"/>
                    </w:rPr>
                    <w:t>1套“喷淋塔+电捕焦油器+活性炭”</w:t>
                  </w:r>
                </w:p>
              </w:tc>
              <w:tc>
                <w:tcPr>
                  <w:tcW w:w="778" w:type="pct"/>
                  <w:vAlign w:val="center"/>
                </w:tcPr>
                <w:p w14:paraId="7EF9B184">
                  <w:pPr>
                    <w:jc w:val="center"/>
                    <w:rPr>
                      <w:sz w:val="21"/>
                      <w:szCs w:val="21"/>
                    </w:rPr>
                  </w:pPr>
                  <w:r>
                    <w:rPr>
                      <w:rFonts w:eastAsia="等线"/>
                      <w:sz w:val="21"/>
                      <w:szCs w:val="21"/>
                    </w:rPr>
                    <w:t>30</w:t>
                  </w:r>
                </w:p>
              </w:tc>
            </w:tr>
            <w:tr w14:paraId="51F5F7CD">
              <w:tblPrEx>
                <w:tblCellMar>
                  <w:top w:w="0" w:type="dxa"/>
                  <w:left w:w="108" w:type="dxa"/>
                  <w:bottom w:w="0" w:type="dxa"/>
                  <w:right w:w="108" w:type="dxa"/>
                </w:tblCellMar>
              </w:tblPrEx>
              <w:trPr>
                <w:trHeight w:val="340" w:hRule="atLeast"/>
                <w:jc w:val="center"/>
              </w:trPr>
              <w:tc>
                <w:tcPr>
                  <w:tcW w:w="382" w:type="pct"/>
                  <w:vMerge w:val="continue"/>
                  <w:vAlign w:val="center"/>
                </w:tcPr>
                <w:p w14:paraId="6BD797B0">
                  <w:pPr>
                    <w:widowControl/>
                    <w:jc w:val="left"/>
                    <w:rPr>
                      <w:sz w:val="21"/>
                      <w:szCs w:val="21"/>
                    </w:rPr>
                  </w:pPr>
                </w:p>
              </w:tc>
              <w:tc>
                <w:tcPr>
                  <w:tcW w:w="653" w:type="pct"/>
                  <w:vMerge w:val="continue"/>
                  <w:vAlign w:val="center"/>
                </w:tcPr>
                <w:p w14:paraId="48E32C61">
                  <w:pPr>
                    <w:jc w:val="center"/>
                    <w:rPr>
                      <w:sz w:val="21"/>
                      <w:szCs w:val="21"/>
                    </w:rPr>
                  </w:pPr>
                </w:p>
              </w:tc>
              <w:tc>
                <w:tcPr>
                  <w:tcW w:w="1269" w:type="pct"/>
                  <w:vAlign w:val="center"/>
                </w:tcPr>
                <w:p w14:paraId="4E2A5F60">
                  <w:pPr>
                    <w:jc w:val="center"/>
                    <w:rPr>
                      <w:sz w:val="21"/>
                      <w:szCs w:val="21"/>
                    </w:rPr>
                  </w:pPr>
                  <w:r>
                    <w:rPr>
                      <w:rFonts w:hint="eastAsia"/>
                      <w:sz w:val="21"/>
                      <w:szCs w:val="21"/>
                    </w:rPr>
                    <w:t>水泥稳定土生产线搅拌粉尘、水泥混凝土土生产线搅拌粉尘</w:t>
                  </w:r>
                </w:p>
              </w:tc>
              <w:tc>
                <w:tcPr>
                  <w:tcW w:w="1918" w:type="pct"/>
                  <w:vAlign w:val="center"/>
                </w:tcPr>
                <w:p w14:paraId="4A99D36B">
                  <w:pPr>
                    <w:jc w:val="center"/>
                    <w:rPr>
                      <w:sz w:val="21"/>
                      <w:szCs w:val="21"/>
                    </w:rPr>
                  </w:pPr>
                  <w:r>
                    <w:rPr>
                      <w:sz w:val="21"/>
                      <w:szCs w:val="21"/>
                    </w:rPr>
                    <w:t>2</w:t>
                  </w:r>
                  <w:r>
                    <w:rPr>
                      <w:rFonts w:hint="eastAsia"/>
                      <w:sz w:val="21"/>
                      <w:szCs w:val="21"/>
                    </w:rPr>
                    <w:t>套</w:t>
                  </w:r>
                  <w:r>
                    <w:rPr>
                      <w:sz w:val="21"/>
                      <w:szCs w:val="21"/>
                    </w:rPr>
                    <w:t>袋式除尘器</w:t>
                  </w:r>
                </w:p>
              </w:tc>
              <w:tc>
                <w:tcPr>
                  <w:tcW w:w="778" w:type="pct"/>
                  <w:vAlign w:val="center"/>
                </w:tcPr>
                <w:p w14:paraId="0A509F25">
                  <w:pPr>
                    <w:jc w:val="center"/>
                    <w:rPr>
                      <w:rFonts w:eastAsia="等线"/>
                      <w:sz w:val="21"/>
                      <w:szCs w:val="21"/>
                    </w:rPr>
                  </w:pPr>
                  <w:r>
                    <w:rPr>
                      <w:rFonts w:eastAsia="等线"/>
                      <w:sz w:val="21"/>
                      <w:szCs w:val="21"/>
                    </w:rPr>
                    <w:t>20</w:t>
                  </w:r>
                </w:p>
              </w:tc>
            </w:tr>
            <w:tr w14:paraId="36895E36">
              <w:tblPrEx>
                <w:tblCellMar>
                  <w:top w:w="0" w:type="dxa"/>
                  <w:left w:w="108" w:type="dxa"/>
                  <w:bottom w:w="0" w:type="dxa"/>
                  <w:right w:w="108" w:type="dxa"/>
                </w:tblCellMar>
              </w:tblPrEx>
              <w:trPr>
                <w:trHeight w:val="340" w:hRule="atLeast"/>
                <w:jc w:val="center"/>
              </w:trPr>
              <w:tc>
                <w:tcPr>
                  <w:tcW w:w="382" w:type="pct"/>
                  <w:vMerge w:val="continue"/>
                  <w:vAlign w:val="center"/>
                </w:tcPr>
                <w:p w14:paraId="36475DAC">
                  <w:pPr>
                    <w:widowControl/>
                    <w:jc w:val="left"/>
                    <w:rPr>
                      <w:sz w:val="21"/>
                      <w:szCs w:val="21"/>
                    </w:rPr>
                  </w:pPr>
                </w:p>
              </w:tc>
              <w:tc>
                <w:tcPr>
                  <w:tcW w:w="653" w:type="pct"/>
                  <w:vMerge w:val="continue"/>
                  <w:vAlign w:val="center"/>
                </w:tcPr>
                <w:p w14:paraId="6AE15697">
                  <w:pPr>
                    <w:jc w:val="center"/>
                    <w:rPr>
                      <w:sz w:val="21"/>
                      <w:szCs w:val="21"/>
                    </w:rPr>
                  </w:pPr>
                </w:p>
              </w:tc>
              <w:tc>
                <w:tcPr>
                  <w:tcW w:w="1269" w:type="pct"/>
                  <w:vAlign w:val="center"/>
                </w:tcPr>
                <w:p w14:paraId="61C3C727">
                  <w:pPr>
                    <w:jc w:val="center"/>
                    <w:rPr>
                      <w:sz w:val="21"/>
                      <w:szCs w:val="21"/>
                    </w:rPr>
                  </w:pPr>
                  <w:r>
                    <w:rPr>
                      <w:rFonts w:hint="eastAsia"/>
                      <w:sz w:val="21"/>
                      <w:szCs w:val="21"/>
                    </w:rPr>
                    <w:t>沥青混凝土生产线骨料烘干废气</w:t>
                  </w:r>
                </w:p>
              </w:tc>
              <w:tc>
                <w:tcPr>
                  <w:tcW w:w="1918" w:type="pct"/>
                  <w:vAlign w:val="center"/>
                </w:tcPr>
                <w:p w14:paraId="2EBC1D61">
                  <w:pPr>
                    <w:jc w:val="center"/>
                    <w:rPr>
                      <w:sz w:val="21"/>
                      <w:szCs w:val="21"/>
                    </w:rPr>
                  </w:pPr>
                  <w:r>
                    <w:rPr>
                      <w:rFonts w:hint="eastAsia"/>
                      <w:sz w:val="21"/>
                      <w:szCs w:val="21"/>
                    </w:rPr>
                    <w:t>1套“低氮燃烧装置+袋式除尘器”</w:t>
                  </w:r>
                </w:p>
              </w:tc>
              <w:tc>
                <w:tcPr>
                  <w:tcW w:w="778" w:type="pct"/>
                  <w:vAlign w:val="center"/>
                </w:tcPr>
                <w:p w14:paraId="01BFCF89">
                  <w:pPr>
                    <w:jc w:val="center"/>
                    <w:rPr>
                      <w:rFonts w:eastAsia="等线"/>
                      <w:sz w:val="21"/>
                      <w:szCs w:val="21"/>
                    </w:rPr>
                  </w:pPr>
                  <w:r>
                    <w:rPr>
                      <w:rFonts w:eastAsia="等线"/>
                      <w:sz w:val="21"/>
                      <w:szCs w:val="21"/>
                    </w:rPr>
                    <w:t>15</w:t>
                  </w:r>
                </w:p>
              </w:tc>
            </w:tr>
            <w:tr w14:paraId="21500D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2" w:type="pct"/>
                  <w:vMerge w:val="continue"/>
                  <w:vAlign w:val="center"/>
                </w:tcPr>
                <w:p w14:paraId="3217EFDC">
                  <w:pPr>
                    <w:widowControl/>
                    <w:jc w:val="left"/>
                    <w:rPr>
                      <w:sz w:val="21"/>
                      <w:szCs w:val="21"/>
                    </w:rPr>
                  </w:pPr>
                </w:p>
              </w:tc>
              <w:tc>
                <w:tcPr>
                  <w:tcW w:w="653" w:type="pct"/>
                  <w:vMerge w:val="continue"/>
                  <w:vAlign w:val="center"/>
                </w:tcPr>
                <w:p w14:paraId="5B599C5E">
                  <w:pPr>
                    <w:jc w:val="center"/>
                    <w:rPr>
                      <w:sz w:val="21"/>
                      <w:szCs w:val="21"/>
                    </w:rPr>
                  </w:pPr>
                </w:p>
              </w:tc>
              <w:tc>
                <w:tcPr>
                  <w:tcW w:w="1269" w:type="pct"/>
                  <w:vAlign w:val="center"/>
                </w:tcPr>
                <w:p w14:paraId="17D0AD00">
                  <w:pPr>
                    <w:jc w:val="center"/>
                    <w:rPr>
                      <w:sz w:val="21"/>
                      <w:szCs w:val="21"/>
                    </w:rPr>
                  </w:pPr>
                  <w:r>
                    <w:rPr>
                      <w:rFonts w:hint="eastAsia"/>
                      <w:sz w:val="21"/>
                      <w:szCs w:val="21"/>
                    </w:rPr>
                    <w:t>醇醚燃料燃烧废气</w:t>
                  </w:r>
                </w:p>
              </w:tc>
              <w:tc>
                <w:tcPr>
                  <w:tcW w:w="1918" w:type="pct"/>
                  <w:vAlign w:val="center"/>
                </w:tcPr>
                <w:p w14:paraId="3B898D3A">
                  <w:pPr>
                    <w:jc w:val="center"/>
                    <w:rPr>
                      <w:sz w:val="21"/>
                      <w:szCs w:val="21"/>
                    </w:rPr>
                  </w:pPr>
                  <w:r>
                    <w:rPr>
                      <w:sz w:val="21"/>
                      <w:szCs w:val="21"/>
                    </w:rPr>
                    <w:t>1</w:t>
                  </w:r>
                  <w:r>
                    <w:rPr>
                      <w:rFonts w:hint="eastAsia"/>
                      <w:sz w:val="21"/>
                      <w:szCs w:val="21"/>
                    </w:rPr>
                    <w:t>套低氮燃烧装置</w:t>
                  </w:r>
                </w:p>
              </w:tc>
              <w:tc>
                <w:tcPr>
                  <w:tcW w:w="778" w:type="pct"/>
                  <w:vAlign w:val="center"/>
                </w:tcPr>
                <w:p w14:paraId="26FBB4B3">
                  <w:pPr>
                    <w:jc w:val="center"/>
                    <w:rPr>
                      <w:rFonts w:eastAsia="等线"/>
                      <w:sz w:val="21"/>
                      <w:szCs w:val="21"/>
                    </w:rPr>
                  </w:pPr>
                  <w:r>
                    <w:rPr>
                      <w:rFonts w:eastAsia="等线"/>
                      <w:sz w:val="21"/>
                      <w:szCs w:val="21"/>
                    </w:rPr>
                    <w:t>5</w:t>
                  </w:r>
                </w:p>
              </w:tc>
            </w:tr>
            <w:tr w14:paraId="698DD357">
              <w:tblPrEx>
                <w:tblCellMar>
                  <w:top w:w="0" w:type="dxa"/>
                  <w:left w:w="108" w:type="dxa"/>
                  <w:bottom w:w="0" w:type="dxa"/>
                  <w:right w:w="108" w:type="dxa"/>
                </w:tblCellMar>
              </w:tblPrEx>
              <w:trPr>
                <w:trHeight w:val="340" w:hRule="atLeast"/>
                <w:jc w:val="center"/>
              </w:trPr>
              <w:tc>
                <w:tcPr>
                  <w:tcW w:w="382" w:type="pct"/>
                  <w:vMerge w:val="continue"/>
                  <w:vAlign w:val="center"/>
                </w:tcPr>
                <w:p w14:paraId="64305780">
                  <w:pPr>
                    <w:widowControl/>
                    <w:jc w:val="left"/>
                    <w:rPr>
                      <w:sz w:val="21"/>
                      <w:szCs w:val="21"/>
                    </w:rPr>
                  </w:pPr>
                </w:p>
              </w:tc>
              <w:tc>
                <w:tcPr>
                  <w:tcW w:w="653" w:type="pct"/>
                  <w:vMerge w:val="continue"/>
                  <w:vAlign w:val="center"/>
                </w:tcPr>
                <w:p w14:paraId="2D99B626">
                  <w:pPr>
                    <w:widowControl/>
                    <w:jc w:val="left"/>
                    <w:rPr>
                      <w:sz w:val="21"/>
                      <w:szCs w:val="21"/>
                    </w:rPr>
                  </w:pPr>
                </w:p>
              </w:tc>
              <w:tc>
                <w:tcPr>
                  <w:tcW w:w="1269" w:type="pct"/>
                  <w:vAlign w:val="center"/>
                </w:tcPr>
                <w:p w14:paraId="7CED91D0">
                  <w:pPr>
                    <w:jc w:val="center"/>
                    <w:rPr>
                      <w:sz w:val="21"/>
                      <w:szCs w:val="21"/>
                    </w:rPr>
                  </w:pPr>
                  <w:r>
                    <w:rPr>
                      <w:sz w:val="21"/>
                      <w:szCs w:val="21"/>
                    </w:rPr>
                    <w:t>筒仓</w:t>
                  </w:r>
                </w:p>
              </w:tc>
              <w:tc>
                <w:tcPr>
                  <w:tcW w:w="1918" w:type="pct"/>
                  <w:vAlign w:val="center"/>
                </w:tcPr>
                <w:p w14:paraId="40FFD9BD">
                  <w:pPr>
                    <w:jc w:val="center"/>
                    <w:rPr>
                      <w:sz w:val="21"/>
                      <w:szCs w:val="21"/>
                    </w:rPr>
                  </w:pPr>
                  <w:r>
                    <w:rPr>
                      <w:rFonts w:hint="eastAsia"/>
                      <w:sz w:val="21"/>
                      <w:szCs w:val="21"/>
                    </w:rPr>
                    <w:t>1</w:t>
                  </w:r>
                  <w:r>
                    <w:rPr>
                      <w:sz w:val="21"/>
                      <w:szCs w:val="21"/>
                    </w:rPr>
                    <w:t>4</w:t>
                  </w:r>
                  <w:r>
                    <w:rPr>
                      <w:rFonts w:hint="eastAsia"/>
                      <w:sz w:val="21"/>
                      <w:szCs w:val="21"/>
                    </w:rPr>
                    <w:t>套</w:t>
                  </w:r>
                  <w:r>
                    <w:rPr>
                      <w:sz w:val="21"/>
                      <w:szCs w:val="21"/>
                    </w:rPr>
                    <w:t>仓顶滤芯式除尘器</w:t>
                  </w:r>
                </w:p>
              </w:tc>
              <w:tc>
                <w:tcPr>
                  <w:tcW w:w="778" w:type="pct"/>
                  <w:vAlign w:val="center"/>
                </w:tcPr>
                <w:p w14:paraId="32510732">
                  <w:pPr>
                    <w:jc w:val="center"/>
                    <w:rPr>
                      <w:sz w:val="21"/>
                      <w:szCs w:val="21"/>
                    </w:rPr>
                  </w:pPr>
                  <w:r>
                    <w:rPr>
                      <w:rFonts w:eastAsia="等线"/>
                      <w:sz w:val="21"/>
                      <w:szCs w:val="21"/>
                    </w:rPr>
                    <w:t>28</w:t>
                  </w:r>
                </w:p>
              </w:tc>
            </w:tr>
            <w:tr w14:paraId="6AC86C7B">
              <w:tblPrEx>
                <w:tblCellMar>
                  <w:top w:w="0" w:type="dxa"/>
                  <w:left w:w="108" w:type="dxa"/>
                  <w:bottom w:w="0" w:type="dxa"/>
                  <w:right w:w="108" w:type="dxa"/>
                </w:tblCellMar>
              </w:tblPrEx>
              <w:trPr>
                <w:trHeight w:val="340" w:hRule="atLeast"/>
                <w:jc w:val="center"/>
              </w:trPr>
              <w:tc>
                <w:tcPr>
                  <w:tcW w:w="382" w:type="pct"/>
                  <w:vMerge w:val="continue"/>
                  <w:vAlign w:val="center"/>
                </w:tcPr>
                <w:p w14:paraId="00F1AA12">
                  <w:pPr>
                    <w:widowControl/>
                    <w:jc w:val="left"/>
                    <w:rPr>
                      <w:sz w:val="21"/>
                      <w:szCs w:val="21"/>
                    </w:rPr>
                  </w:pPr>
                </w:p>
              </w:tc>
              <w:tc>
                <w:tcPr>
                  <w:tcW w:w="653" w:type="pct"/>
                  <w:vMerge w:val="continue"/>
                  <w:vAlign w:val="center"/>
                </w:tcPr>
                <w:p w14:paraId="52161282">
                  <w:pPr>
                    <w:widowControl/>
                    <w:jc w:val="left"/>
                    <w:rPr>
                      <w:sz w:val="21"/>
                      <w:szCs w:val="21"/>
                    </w:rPr>
                  </w:pPr>
                </w:p>
              </w:tc>
              <w:tc>
                <w:tcPr>
                  <w:tcW w:w="1269" w:type="pct"/>
                  <w:vAlign w:val="center"/>
                </w:tcPr>
                <w:p w14:paraId="33D0F83E">
                  <w:pPr>
                    <w:jc w:val="center"/>
                    <w:rPr>
                      <w:sz w:val="21"/>
                      <w:szCs w:val="21"/>
                    </w:rPr>
                  </w:pPr>
                  <w:r>
                    <w:rPr>
                      <w:sz w:val="21"/>
                      <w:szCs w:val="21"/>
                    </w:rPr>
                    <w:t>厂区、道路洒水降尘</w:t>
                  </w:r>
                </w:p>
              </w:tc>
              <w:tc>
                <w:tcPr>
                  <w:tcW w:w="1918" w:type="pct"/>
                  <w:vAlign w:val="center"/>
                </w:tcPr>
                <w:p w14:paraId="72D040DB">
                  <w:pPr>
                    <w:jc w:val="center"/>
                    <w:rPr>
                      <w:sz w:val="21"/>
                      <w:szCs w:val="21"/>
                    </w:rPr>
                  </w:pPr>
                  <w:r>
                    <w:rPr>
                      <w:sz w:val="21"/>
                      <w:szCs w:val="21"/>
                    </w:rPr>
                    <w:t>洒水车</w:t>
                  </w:r>
                </w:p>
              </w:tc>
              <w:tc>
                <w:tcPr>
                  <w:tcW w:w="778" w:type="pct"/>
                  <w:vAlign w:val="center"/>
                </w:tcPr>
                <w:p w14:paraId="3A5505B3">
                  <w:pPr>
                    <w:jc w:val="center"/>
                    <w:rPr>
                      <w:sz w:val="21"/>
                      <w:szCs w:val="21"/>
                    </w:rPr>
                  </w:pPr>
                  <w:r>
                    <w:rPr>
                      <w:rFonts w:eastAsia="等线"/>
                      <w:sz w:val="21"/>
                      <w:szCs w:val="21"/>
                    </w:rPr>
                    <w:t>3</w:t>
                  </w:r>
                </w:p>
              </w:tc>
            </w:tr>
            <w:tr w14:paraId="502D0A0B">
              <w:tblPrEx>
                <w:tblCellMar>
                  <w:top w:w="0" w:type="dxa"/>
                  <w:left w:w="108" w:type="dxa"/>
                  <w:bottom w:w="0" w:type="dxa"/>
                  <w:right w:w="108" w:type="dxa"/>
                </w:tblCellMar>
              </w:tblPrEx>
              <w:trPr>
                <w:trHeight w:val="340" w:hRule="atLeast"/>
                <w:jc w:val="center"/>
              </w:trPr>
              <w:tc>
                <w:tcPr>
                  <w:tcW w:w="382" w:type="pct"/>
                  <w:vMerge w:val="continue"/>
                  <w:vAlign w:val="center"/>
                </w:tcPr>
                <w:p w14:paraId="25F69D53">
                  <w:pPr>
                    <w:widowControl/>
                    <w:jc w:val="left"/>
                    <w:rPr>
                      <w:sz w:val="21"/>
                      <w:szCs w:val="21"/>
                    </w:rPr>
                  </w:pPr>
                </w:p>
              </w:tc>
              <w:tc>
                <w:tcPr>
                  <w:tcW w:w="653" w:type="pct"/>
                  <w:vMerge w:val="continue"/>
                  <w:vAlign w:val="center"/>
                </w:tcPr>
                <w:p w14:paraId="00FE4FB3">
                  <w:pPr>
                    <w:widowControl/>
                    <w:jc w:val="left"/>
                    <w:rPr>
                      <w:sz w:val="21"/>
                      <w:szCs w:val="21"/>
                    </w:rPr>
                  </w:pPr>
                </w:p>
              </w:tc>
              <w:tc>
                <w:tcPr>
                  <w:tcW w:w="1269" w:type="pct"/>
                  <w:vAlign w:val="center"/>
                </w:tcPr>
                <w:p w14:paraId="374431A3">
                  <w:pPr>
                    <w:jc w:val="center"/>
                    <w:rPr>
                      <w:sz w:val="21"/>
                      <w:szCs w:val="21"/>
                    </w:rPr>
                  </w:pPr>
                  <w:r>
                    <w:rPr>
                      <w:sz w:val="21"/>
                      <w:szCs w:val="21"/>
                    </w:rPr>
                    <w:t>堆场</w:t>
                  </w:r>
                </w:p>
              </w:tc>
              <w:tc>
                <w:tcPr>
                  <w:tcW w:w="1918" w:type="pct"/>
                  <w:vAlign w:val="center"/>
                </w:tcPr>
                <w:p w14:paraId="4E31091D">
                  <w:pPr>
                    <w:jc w:val="center"/>
                    <w:rPr>
                      <w:sz w:val="21"/>
                      <w:szCs w:val="21"/>
                    </w:rPr>
                  </w:pPr>
                  <w:r>
                    <w:rPr>
                      <w:sz w:val="21"/>
                      <w:szCs w:val="21"/>
                    </w:rPr>
                    <w:t>堆场覆盖防尘网</w:t>
                  </w:r>
                </w:p>
              </w:tc>
              <w:tc>
                <w:tcPr>
                  <w:tcW w:w="778" w:type="pct"/>
                  <w:vAlign w:val="center"/>
                </w:tcPr>
                <w:p w14:paraId="4A378D1A">
                  <w:pPr>
                    <w:jc w:val="center"/>
                    <w:rPr>
                      <w:rFonts w:eastAsia="等线"/>
                      <w:sz w:val="21"/>
                      <w:szCs w:val="21"/>
                    </w:rPr>
                  </w:pPr>
                  <w:r>
                    <w:rPr>
                      <w:rFonts w:eastAsia="等线"/>
                      <w:sz w:val="21"/>
                      <w:szCs w:val="21"/>
                    </w:rPr>
                    <w:t>2</w:t>
                  </w:r>
                </w:p>
              </w:tc>
            </w:tr>
            <w:tr w14:paraId="2CAE1C63">
              <w:tblPrEx>
                <w:tblCellMar>
                  <w:top w:w="0" w:type="dxa"/>
                  <w:left w:w="108" w:type="dxa"/>
                  <w:bottom w:w="0" w:type="dxa"/>
                  <w:right w:w="108" w:type="dxa"/>
                </w:tblCellMar>
              </w:tblPrEx>
              <w:trPr>
                <w:trHeight w:val="340" w:hRule="atLeast"/>
                <w:jc w:val="center"/>
              </w:trPr>
              <w:tc>
                <w:tcPr>
                  <w:tcW w:w="382" w:type="pct"/>
                  <w:vMerge w:val="continue"/>
                  <w:vAlign w:val="center"/>
                </w:tcPr>
                <w:p w14:paraId="6AE71B8A">
                  <w:pPr>
                    <w:widowControl/>
                    <w:jc w:val="left"/>
                    <w:rPr>
                      <w:sz w:val="21"/>
                      <w:szCs w:val="21"/>
                    </w:rPr>
                  </w:pPr>
                </w:p>
              </w:tc>
              <w:tc>
                <w:tcPr>
                  <w:tcW w:w="653" w:type="pct"/>
                  <w:vMerge w:val="continue"/>
                  <w:vAlign w:val="center"/>
                </w:tcPr>
                <w:p w14:paraId="3F186B47">
                  <w:pPr>
                    <w:widowControl/>
                    <w:jc w:val="left"/>
                    <w:rPr>
                      <w:sz w:val="21"/>
                      <w:szCs w:val="21"/>
                    </w:rPr>
                  </w:pPr>
                </w:p>
              </w:tc>
              <w:tc>
                <w:tcPr>
                  <w:tcW w:w="1269" w:type="pct"/>
                  <w:vAlign w:val="center"/>
                </w:tcPr>
                <w:p w14:paraId="26D85D3C">
                  <w:pPr>
                    <w:jc w:val="center"/>
                    <w:rPr>
                      <w:sz w:val="21"/>
                      <w:szCs w:val="21"/>
                    </w:rPr>
                  </w:pPr>
                  <w:r>
                    <w:rPr>
                      <w:sz w:val="21"/>
                      <w:szCs w:val="21"/>
                    </w:rPr>
                    <w:t>输送廊道</w:t>
                  </w:r>
                </w:p>
              </w:tc>
              <w:tc>
                <w:tcPr>
                  <w:tcW w:w="1918" w:type="pct"/>
                  <w:vAlign w:val="center"/>
                </w:tcPr>
                <w:p w14:paraId="557D837D">
                  <w:pPr>
                    <w:jc w:val="center"/>
                    <w:rPr>
                      <w:sz w:val="21"/>
                      <w:szCs w:val="21"/>
                    </w:rPr>
                  </w:pPr>
                  <w:r>
                    <w:rPr>
                      <w:sz w:val="21"/>
                      <w:szCs w:val="21"/>
                    </w:rPr>
                    <w:t>全封闭</w:t>
                  </w:r>
                </w:p>
              </w:tc>
              <w:tc>
                <w:tcPr>
                  <w:tcW w:w="778" w:type="pct"/>
                  <w:vAlign w:val="center"/>
                </w:tcPr>
                <w:p w14:paraId="4B2A3132">
                  <w:pPr>
                    <w:jc w:val="center"/>
                    <w:rPr>
                      <w:rFonts w:eastAsia="等线"/>
                      <w:sz w:val="21"/>
                      <w:szCs w:val="21"/>
                    </w:rPr>
                  </w:pPr>
                  <w:r>
                    <w:rPr>
                      <w:rFonts w:eastAsia="等线"/>
                      <w:sz w:val="21"/>
                      <w:szCs w:val="21"/>
                    </w:rPr>
                    <w:t>8</w:t>
                  </w:r>
                </w:p>
              </w:tc>
            </w:tr>
            <w:tr w14:paraId="42182395">
              <w:tblPrEx>
                <w:tblCellMar>
                  <w:top w:w="0" w:type="dxa"/>
                  <w:left w:w="108" w:type="dxa"/>
                  <w:bottom w:w="0" w:type="dxa"/>
                  <w:right w:w="108" w:type="dxa"/>
                </w:tblCellMar>
              </w:tblPrEx>
              <w:trPr>
                <w:trHeight w:val="340" w:hRule="atLeast"/>
                <w:jc w:val="center"/>
              </w:trPr>
              <w:tc>
                <w:tcPr>
                  <w:tcW w:w="382" w:type="pct"/>
                  <w:vMerge w:val="continue"/>
                  <w:vAlign w:val="center"/>
                </w:tcPr>
                <w:p w14:paraId="2E83D7E9">
                  <w:pPr>
                    <w:widowControl/>
                    <w:jc w:val="left"/>
                    <w:rPr>
                      <w:sz w:val="21"/>
                      <w:szCs w:val="21"/>
                    </w:rPr>
                  </w:pPr>
                </w:p>
              </w:tc>
              <w:tc>
                <w:tcPr>
                  <w:tcW w:w="653" w:type="pct"/>
                  <w:vMerge w:val="restart"/>
                  <w:vAlign w:val="center"/>
                </w:tcPr>
                <w:p w14:paraId="12FEC63C">
                  <w:pPr>
                    <w:jc w:val="center"/>
                    <w:rPr>
                      <w:sz w:val="21"/>
                      <w:szCs w:val="21"/>
                    </w:rPr>
                  </w:pPr>
                  <w:r>
                    <w:rPr>
                      <w:sz w:val="21"/>
                      <w:szCs w:val="21"/>
                    </w:rPr>
                    <w:t>固废治理</w:t>
                  </w:r>
                </w:p>
              </w:tc>
              <w:tc>
                <w:tcPr>
                  <w:tcW w:w="1269" w:type="pct"/>
                  <w:vAlign w:val="center"/>
                </w:tcPr>
                <w:p w14:paraId="5307B54D">
                  <w:pPr>
                    <w:jc w:val="center"/>
                    <w:rPr>
                      <w:sz w:val="21"/>
                      <w:szCs w:val="21"/>
                    </w:rPr>
                  </w:pPr>
                  <w:r>
                    <w:rPr>
                      <w:sz w:val="21"/>
                      <w:szCs w:val="21"/>
                    </w:rPr>
                    <w:t>危废暂存</w:t>
                  </w:r>
                </w:p>
              </w:tc>
              <w:tc>
                <w:tcPr>
                  <w:tcW w:w="1918" w:type="pct"/>
                  <w:vAlign w:val="center"/>
                </w:tcPr>
                <w:p w14:paraId="69C32C14">
                  <w:pPr>
                    <w:jc w:val="center"/>
                    <w:rPr>
                      <w:sz w:val="21"/>
                      <w:szCs w:val="21"/>
                    </w:rPr>
                  </w:pPr>
                  <w:r>
                    <w:rPr>
                      <w:sz w:val="21"/>
                      <w:szCs w:val="21"/>
                    </w:rPr>
                    <w:t>20m</w:t>
                  </w:r>
                  <w:r>
                    <w:rPr>
                      <w:sz w:val="21"/>
                      <w:szCs w:val="21"/>
                      <w:vertAlign w:val="superscript"/>
                    </w:rPr>
                    <w:t>2</w:t>
                  </w:r>
                  <w:r>
                    <w:rPr>
                      <w:sz w:val="21"/>
                      <w:szCs w:val="21"/>
                    </w:rPr>
                    <w:t>危废间、厂区重点防渗</w:t>
                  </w:r>
                  <w:r>
                    <w:rPr>
                      <w:rFonts w:hint="eastAsia"/>
                      <w:sz w:val="21"/>
                      <w:szCs w:val="21"/>
                    </w:rPr>
                    <w:t>，危险废物委托处置费用</w:t>
                  </w:r>
                </w:p>
              </w:tc>
              <w:tc>
                <w:tcPr>
                  <w:tcW w:w="778" w:type="pct"/>
                  <w:vAlign w:val="center"/>
                </w:tcPr>
                <w:p w14:paraId="7F7EE4B0">
                  <w:pPr>
                    <w:jc w:val="center"/>
                    <w:rPr>
                      <w:sz w:val="21"/>
                      <w:szCs w:val="21"/>
                    </w:rPr>
                  </w:pPr>
                  <w:r>
                    <w:rPr>
                      <w:sz w:val="21"/>
                      <w:szCs w:val="21"/>
                    </w:rPr>
                    <w:t>20</w:t>
                  </w:r>
                </w:p>
              </w:tc>
            </w:tr>
            <w:tr w14:paraId="62DBCFA7">
              <w:tblPrEx>
                <w:tblCellMar>
                  <w:top w:w="0" w:type="dxa"/>
                  <w:left w:w="108" w:type="dxa"/>
                  <w:bottom w:w="0" w:type="dxa"/>
                  <w:right w:w="108" w:type="dxa"/>
                </w:tblCellMar>
              </w:tblPrEx>
              <w:trPr>
                <w:trHeight w:val="340" w:hRule="atLeast"/>
                <w:jc w:val="center"/>
              </w:trPr>
              <w:tc>
                <w:tcPr>
                  <w:tcW w:w="382" w:type="pct"/>
                  <w:vMerge w:val="continue"/>
                  <w:vAlign w:val="center"/>
                </w:tcPr>
                <w:p w14:paraId="3319D77B">
                  <w:pPr>
                    <w:widowControl/>
                    <w:jc w:val="left"/>
                    <w:rPr>
                      <w:sz w:val="21"/>
                      <w:szCs w:val="21"/>
                    </w:rPr>
                  </w:pPr>
                </w:p>
              </w:tc>
              <w:tc>
                <w:tcPr>
                  <w:tcW w:w="653" w:type="pct"/>
                  <w:vMerge w:val="continue"/>
                  <w:vAlign w:val="center"/>
                </w:tcPr>
                <w:p w14:paraId="016C670C">
                  <w:pPr>
                    <w:widowControl/>
                    <w:jc w:val="left"/>
                    <w:rPr>
                      <w:sz w:val="21"/>
                      <w:szCs w:val="21"/>
                    </w:rPr>
                  </w:pPr>
                </w:p>
              </w:tc>
              <w:tc>
                <w:tcPr>
                  <w:tcW w:w="1269" w:type="pct"/>
                  <w:vAlign w:val="center"/>
                </w:tcPr>
                <w:p w14:paraId="36B9F746">
                  <w:pPr>
                    <w:jc w:val="center"/>
                    <w:rPr>
                      <w:sz w:val="21"/>
                      <w:szCs w:val="21"/>
                    </w:rPr>
                  </w:pPr>
                  <w:r>
                    <w:rPr>
                      <w:sz w:val="21"/>
                      <w:szCs w:val="21"/>
                    </w:rPr>
                    <w:t>生活垃圾处置</w:t>
                  </w:r>
                </w:p>
              </w:tc>
              <w:tc>
                <w:tcPr>
                  <w:tcW w:w="1918" w:type="pct"/>
                  <w:vAlign w:val="center"/>
                </w:tcPr>
                <w:p w14:paraId="17500FF3">
                  <w:pPr>
                    <w:jc w:val="center"/>
                    <w:rPr>
                      <w:sz w:val="21"/>
                      <w:szCs w:val="21"/>
                    </w:rPr>
                  </w:pPr>
                  <w:r>
                    <w:rPr>
                      <w:sz w:val="21"/>
                      <w:szCs w:val="21"/>
                    </w:rPr>
                    <w:t>垃圾收集设施</w:t>
                  </w:r>
                </w:p>
              </w:tc>
              <w:tc>
                <w:tcPr>
                  <w:tcW w:w="778" w:type="pct"/>
                  <w:vAlign w:val="center"/>
                </w:tcPr>
                <w:p w14:paraId="7580A235">
                  <w:pPr>
                    <w:jc w:val="center"/>
                    <w:rPr>
                      <w:sz w:val="21"/>
                      <w:szCs w:val="21"/>
                    </w:rPr>
                  </w:pPr>
                  <w:r>
                    <w:rPr>
                      <w:rFonts w:eastAsia="等线"/>
                      <w:sz w:val="21"/>
                      <w:szCs w:val="21"/>
                    </w:rPr>
                    <w:t>0.5</w:t>
                  </w:r>
                </w:p>
              </w:tc>
            </w:tr>
            <w:tr w14:paraId="032D38F9">
              <w:tblPrEx>
                <w:tblCellMar>
                  <w:top w:w="0" w:type="dxa"/>
                  <w:left w:w="108" w:type="dxa"/>
                  <w:bottom w:w="0" w:type="dxa"/>
                  <w:right w:w="108" w:type="dxa"/>
                </w:tblCellMar>
              </w:tblPrEx>
              <w:trPr>
                <w:trHeight w:val="340" w:hRule="atLeast"/>
                <w:jc w:val="center"/>
              </w:trPr>
              <w:tc>
                <w:tcPr>
                  <w:tcW w:w="382" w:type="pct"/>
                  <w:vMerge w:val="continue"/>
                  <w:vAlign w:val="center"/>
                </w:tcPr>
                <w:p w14:paraId="2F03377B">
                  <w:pPr>
                    <w:widowControl/>
                    <w:jc w:val="left"/>
                    <w:rPr>
                      <w:sz w:val="21"/>
                      <w:szCs w:val="21"/>
                    </w:rPr>
                  </w:pPr>
                </w:p>
              </w:tc>
              <w:tc>
                <w:tcPr>
                  <w:tcW w:w="653" w:type="pct"/>
                  <w:vMerge w:val="continue"/>
                  <w:vAlign w:val="center"/>
                </w:tcPr>
                <w:p w14:paraId="29744386">
                  <w:pPr>
                    <w:widowControl/>
                    <w:jc w:val="left"/>
                    <w:rPr>
                      <w:sz w:val="21"/>
                      <w:szCs w:val="21"/>
                    </w:rPr>
                  </w:pPr>
                </w:p>
              </w:tc>
              <w:tc>
                <w:tcPr>
                  <w:tcW w:w="1269" w:type="pct"/>
                  <w:vAlign w:val="center"/>
                </w:tcPr>
                <w:p w14:paraId="6C4F3D59">
                  <w:pPr>
                    <w:jc w:val="center"/>
                    <w:rPr>
                      <w:sz w:val="21"/>
                      <w:szCs w:val="21"/>
                    </w:rPr>
                  </w:pPr>
                  <w:r>
                    <w:rPr>
                      <w:rFonts w:hint="eastAsia"/>
                      <w:sz w:val="21"/>
                      <w:szCs w:val="21"/>
                    </w:rPr>
                    <w:t>一般固废暂存</w:t>
                  </w:r>
                </w:p>
              </w:tc>
              <w:tc>
                <w:tcPr>
                  <w:tcW w:w="1918" w:type="pct"/>
                  <w:vAlign w:val="center"/>
                </w:tcPr>
                <w:p w14:paraId="36F17F16">
                  <w:pPr>
                    <w:jc w:val="center"/>
                    <w:rPr>
                      <w:sz w:val="21"/>
                      <w:szCs w:val="21"/>
                    </w:rPr>
                  </w:pPr>
                  <w:r>
                    <w:rPr>
                      <w:rFonts w:hint="eastAsia"/>
                      <w:sz w:val="21"/>
                      <w:szCs w:val="21"/>
                    </w:rPr>
                    <w:t>钢筋加工废钢筋暂存设施</w:t>
                  </w:r>
                </w:p>
              </w:tc>
              <w:tc>
                <w:tcPr>
                  <w:tcW w:w="778" w:type="pct"/>
                  <w:vAlign w:val="center"/>
                </w:tcPr>
                <w:p w14:paraId="69A53D4A">
                  <w:pPr>
                    <w:jc w:val="center"/>
                    <w:rPr>
                      <w:rFonts w:eastAsia="等线"/>
                      <w:sz w:val="21"/>
                      <w:szCs w:val="21"/>
                    </w:rPr>
                  </w:pPr>
                  <w:r>
                    <w:rPr>
                      <w:rFonts w:hint="eastAsia" w:eastAsia="等线"/>
                      <w:sz w:val="21"/>
                      <w:szCs w:val="21"/>
                    </w:rPr>
                    <w:t>2</w:t>
                  </w:r>
                </w:p>
              </w:tc>
            </w:tr>
            <w:tr w14:paraId="7B98AC1D">
              <w:tblPrEx>
                <w:tblCellMar>
                  <w:top w:w="0" w:type="dxa"/>
                  <w:left w:w="108" w:type="dxa"/>
                  <w:bottom w:w="0" w:type="dxa"/>
                  <w:right w:w="108" w:type="dxa"/>
                </w:tblCellMar>
              </w:tblPrEx>
              <w:trPr>
                <w:trHeight w:val="340" w:hRule="atLeast"/>
                <w:jc w:val="center"/>
              </w:trPr>
              <w:tc>
                <w:tcPr>
                  <w:tcW w:w="382" w:type="pct"/>
                  <w:vMerge w:val="continue"/>
                  <w:vAlign w:val="center"/>
                </w:tcPr>
                <w:p w14:paraId="25BA1203">
                  <w:pPr>
                    <w:widowControl/>
                    <w:jc w:val="left"/>
                    <w:rPr>
                      <w:sz w:val="21"/>
                      <w:szCs w:val="21"/>
                    </w:rPr>
                  </w:pPr>
                </w:p>
              </w:tc>
              <w:tc>
                <w:tcPr>
                  <w:tcW w:w="653" w:type="pct"/>
                  <w:vAlign w:val="center"/>
                </w:tcPr>
                <w:p w14:paraId="6E51B67B">
                  <w:pPr>
                    <w:jc w:val="center"/>
                    <w:rPr>
                      <w:sz w:val="21"/>
                      <w:szCs w:val="21"/>
                    </w:rPr>
                  </w:pPr>
                  <w:r>
                    <w:rPr>
                      <w:sz w:val="21"/>
                      <w:szCs w:val="21"/>
                    </w:rPr>
                    <w:t>噪声治理</w:t>
                  </w:r>
                </w:p>
              </w:tc>
              <w:tc>
                <w:tcPr>
                  <w:tcW w:w="1269" w:type="pct"/>
                  <w:vAlign w:val="center"/>
                </w:tcPr>
                <w:p w14:paraId="4FD29221">
                  <w:pPr>
                    <w:jc w:val="center"/>
                    <w:rPr>
                      <w:sz w:val="21"/>
                      <w:szCs w:val="21"/>
                    </w:rPr>
                  </w:pPr>
                  <w:r>
                    <w:rPr>
                      <w:sz w:val="21"/>
                      <w:szCs w:val="21"/>
                    </w:rPr>
                    <w:t>车间噪声治理</w:t>
                  </w:r>
                </w:p>
              </w:tc>
              <w:tc>
                <w:tcPr>
                  <w:tcW w:w="1918" w:type="pct"/>
                  <w:vAlign w:val="center"/>
                </w:tcPr>
                <w:p w14:paraId="5C3CE928">
                  <w:pPr>
                    <w:jc w:val="center"/>
                    <w:rPr>
                      <w:sz w:val="21"/>
                      <w:szCs w:val="21"/>
                    </w:rPr>
                  </w:pPr>
                  <w:r>
                    <w:rPr>
                      <w:sz w:val="21"/>
                      <w:szCs w:val="21"/>
                    </w:rPr>
                    <w:t>减振垫、消声器等，车间隔音板</w:t>
                  </w:r>
                </w:p>
              </w:tc>
              <w:tc>
                <w:tcPr>
                  <w:tcW w:w="778" w:type="pct"/>
                  <w:vAlign w:val="center"/>
                </w:tcPr>
                <w:p w14:paraId="27C99653">
                  <w:pPr>
                    <w:jc w:val="center"/>
                    <w:rPr>
                      <w:sz w:val="21"/>
                      <w:szCs w:val="21"/>
                    </w:rPr>
                  </w:pPr>
                  <w:r>
                    <w:rPr>
                      <w:rFonts w:eastAsia="等线"/>
                      <w:sz w:val="21"/>
                      <w:szCs w:val="21"/>
                    </w:rPr>
                    <w:t>5</w:t>
                  </w:r>
                </w:p>
              </w:tc>
            </w:tr>
            <w:tr w14:paraId="68CABD86">
              <w:tblPrEx>
                <w:tblCellMar>
                  <w:top w:w="0" w:type="dxa"/>
                  <w:left w:w="108" w:type="dxa"/>
                  <w:bottom w:w="0" w:type="dxa"/>
                  <w:right w:w="108" w:type="dxa"/>
                </w:tblCellMar>
              </w:tblPrEx>
              <w:trPr>
                <w:trHeight w:val="340" w:hRule="atLeast"/>
                <w:jc w:val="center"/>
              </w:trPr>
              <w:tc>
                <w:tcPr>
                  <w:tcW w:w="382" w:type="pct"/>
                  <w:vMerge w:val="continue"/>
                  <w:vAlign w:val="center"/>
                </w:tcPr>
                <w:p w14:paraId="29D41745">
                  <w:pPr>
                    <w:widowControl/>
                    <w:jc w:val="left"/>
                    <w:rPr>
                      <w:sz w:val="21"/>
                      <w:szCs w:val="21"/>
                    </w:rPr>
                  </w:pPr>
                </w:p>
              </w:tc>
              <w:tc>
                <w:tcPr>
                  <w:tcW w:w="1922" w:type="pct"/>
                  <w:gridSpan w:val="2"/>
                  <w:vAlign w:val="center"/>
                </w:tcPr>
                <w:p w14:paraId="73FEB158">
                  <w:pPr>
                    <w:jc w:val="center"/>
                    <w:rPr>
                      <w:sz w:val="21"/>
                      <w:szCs w:val="21"/>
                    </w:rPr>
                  </w:pPr>
                  <w:r>
                    <w:rPr>
                      <w:rFonts w:hint="eastAsia"/>
                      <w:sz w:val="21"/>
                      <w:szCs w:val="21"/>
                    </w:rPr>
                    <w:t>环境风险</w:t>
                  </w:r>
                </w:p>
              </w:tc>
              <w:tc>
                <w:tcPr>
                  <w:tcW w:w="1918" w:type="pct"/>
                  <w:vAlign w:val="center"/>
                </w:tcPr>
                <w:p w14:paraId="0CE68318">
                  <w:pPr>
                    <w:jc w:val="center"/>
                    <w:rPr>
                      <w:sz w:val="21"/>
                      <w:szCs w:val="21"/>
                    </w:rPr>
                  </w:pPr>
                  <w:r>
                    <w:rPr>
                      <w:kern w:val="0"/>
                      <w:sz w:val="21"/>
                      <w:szCs w:val="21"/>
                    </w:rPr>
                    <w:t>加强日常监管和设备检修，加强管理，防止泄漏</w:t>
                  </w:r>
                  <w:r>
                    <w:rPr>
                      <w:rFonts w:hint="eastAsia"/>
                      <w:kern w:val="0"/>
                      <w:sz w:val="21"/>
                      <w:szCs w:val="21"/>
                    </w:rPr>
                    <w:t>；编制应急预案</w:t>
                  </w:r>
                </w:p>
              </w:tc>
              <w:tc>
                <w:tcPr>
                  <w:tcW w:w="778" w:type="pct"/>
                  <w:vAlign w:val="center"/>
                </w:tcPr>
                <w:p w14:paraId="023FE898">
                  <w:pPr>
                    <w:jc w:val="center"/>
                    <w:rPr>
                      <w:rFonts w:eastAsia="等线"/>
                      <w:sz w:val="21"/>
                      <w:szCs w:val="21"/>
                    </w:rPr>
                  </w:pPr>
                  <w:r>
                    <w:rPr>
                      <w:rFonts w:eastAsia="等线"/>
                      <w:sz w:val="21"/>
                      <w:szCs w:val="21"/>
                    </w:rPr>
                    <w:t>10</w:t>
                  </w:r>
                </w:p>
              </w:tc>
            </w:tr>
            <w:tr w14:paraId="022DC3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82" w:type="pct"/>
                  <w:vMerge w:val="continue"/>
                  <w:vAlign w:val="center"/>
                </w:tcPr>
                <w:p w14:paraId="0EC90A3D">
                  <w:pPr>
                    <w:widowControl/>
                    <w:jc w:val="left"/>
                    <w:rPr>
                      <w:sz w:val="21"/>
                      <w:szCs w:val="21"/>
                    </w:rPr>
                  </w:pPr>
                </w:p>
              </w:tc>
              <w:tc>
                <w:tcPr>
                  <w:tcW w:w="1922" w:type="pct"/>
                  <w:gridSpan w:val="2"/>
                  <w:vAlign w:val="center"/>
                </w:tcPr>
                <w:p w14:paraId="519A86C0">
                  <w:pPr>
                    <w:jc w:val="center"/>
                    <w:rPr>
                      <w:sz w:val="21"/>
                      <w:szCs w:val="21"/>
                    </w:rPr>
                  </w:pPr>
                  <w:r>
                    <w:rPr>
                      <w:rFonts w:hint="eastAsia"/>
                      <w:sz w:val="21"/>
                      <w:szCs w:val="21"/>
                    </w:rPr>
                    <w:t>其他</w:t>
                  </w:r>
                </w:p>
              </w:tc>
              <w:tc>
                <w:tcPr>
                  <w:tcW w:w="1918" w:type="pct"/>
                  <w:vAlign w:val="center"/>
                </w:tcPr>
                <w:p w14:paraId="30305442">
                  <w:pPr>
                    <w:jc w:val="center"/>
                    <w:rPr>
                      <w:kern w:val="0"/>
                      <w:sz w:val="21"/>
                      <w:szCs w:val="21"/>
                    </w:rPr>
                  </w:pPr>
                  <w:r>
                    <w:rPr>
                      <w:rFonts w:hint="eastAsia"/>
                      <w:sz w:val="21"/>
                      <w:szCs w:val="21"/>
                    </w:rPr>
                    <w:t>排污口规范化设置、标识标牌设置、自行监测；设施运行维护费用</w:t>
                  </w:r>
                </w:p>
              </w:tc>
              <w:tc>
                <w:tcPr>
                  <w:tcW w:w="778" w:type="pct"/>
                  <w:vAlign w:val="center"/>
                </w:tcPr>
                <w:p w14:paraId="491D4004">
                  <w:pPr>
                    <w:jc w:val="center"/>
                    <w:rPr>
                      <w:rFonts w:eastAsia="等线"/>
                      <w:sz w:val="21"/>
                      <w:szCs w:val="21"/>
                    </w:rPr>
                  </w:pPr>
                  <w:r>
                    <w:rPr>
                      <w:rFonts w:eastAsia="等线"/>
                      <w:sz w:val="21"/>
                      <w:szCs w:val="21"/>
                    </w:rPr>
                    <w:t>10</w:t>
                  </w:r>
                </w:p>
              </w:tc>
            </w:tr>
            <w:tr w14:paraId="76552C6C">
              <w:tblPrEx>
                <w:tblCellMar>
                  <w:top w:w="0" w:type="dxa"/>
                  <w:left w:w="108" w:type="dxa"/>
                  <w:bottom w:w="0" w:type="dxa"/>
                  <w:right w:w="108" w:type="dxa"/>
                </w:tblCellMar>
              </w:tblPrEx>
              <w:trPr>
                <w:trHeight w:val="340" w:hRule="atLeast"/>
                <w:jc w:val="center"/>
              </w:trPr>
              <w:tc>
                <w:tcPr>
                  <w:tcW w:w="382" w:type="pct"/>
                  <w:vAlign w:val="center"/>
                </w:tcPr>
                <w:p w14:paraId="7F090A6A">
                  <w:pPr>
                    <w:widowControl/>
                    <w:jc w:val="left"/>
                    <w:rPr>
                      <w:sz w:val="21"/>
                      <w:szCs w:val="21"/>
                    </w:rPr>
                  </w:pPr>
                  <w:r>
                    <w:rPr>
                      <w:rFonts w:hint="eastAsia"/>
                      <w:sz w:val="21"/>
                      <w:szCs w:val="21"/>
                    </w:rPr>
                    <w:t>服务期满后</w:t>
                  </w:r>
                </w:p>
              </w:tc>
              <w:tc>
                <w:tcPr>
                  <w:tcW w:w="1922" w:type="pct"/>
                  <w:gridSpan w:val="2"/>
                  <w:vAlign w:val="center"/>
                </w:tcPr>
                <w:p w14:paraId="18E17667">
                  <w:pPr>
                    <w:jc w:val="center"/>
                    <w:rPr>
                      <w:sz w:val="21"/>
                      <w:szCs w:val="21"/>
                    </w:rPr>
                  </w:pPr>
                  <w:r>
                    <w:rPr>
                      <w:rFonts w:hint="eastAsia"/>
                      <w:sz w:val="21"/>
                      <w:szCs w:val="21"/>
                    </w:rPr>
                    <w:t>生态恢复</w:t>
                  </w:r>
                </w:p>
              </w:tc>
              <w:tc>
                <w:tcPr>
                  <w:tcW w:w="1918" w:type="pct"/>
                  <w:vAlign w:val="center"/>
                </w:tcPr>
                <w:p w14:paraId="1C88047E">
                  <w:pPr>
                    <w:jc w:val="center"/>
                    <w:rPr>
                      <w:kern w:val="0"/>
                      <w:sz w:val="21"/>
                      <w:szCs w:val="21"/>
                    </w:rPr>
                  </w:pPr>
                  <w:r>
                    <w:rPr>
                      <w:rFonts w:hint="eastAsia"/>
                      <w:kern w:val="0"/>
                      <w:sz w:val="21"/>
                      <w:szCs w:val="21"/>
                    </w:rPr>
                    <w:t>服务期满后进行植被恢复</w:t>
                  </w:r>
                </w:p>
              </w:tc>
              <w:tc>
                <w:tcPr>
                  <w:tcW w:w="778" w:type="pct"/>
                  <w:vAlign w:val="center"/>
                </w:tcPr>
                <w:p w14:paraId="29211CA8">
                  <w:pPr>
                    <w:jc w:val="center"/>
                    <w:rPr>
                      <w:rFonts w:eastAsia="等线"/>
                      <w:sz w:val="21"/>
                      <w:szCs w:val="21"/>
                    </w:rPr>
                  </w:pPr>
                  <w:r>
                    <w:rPr>
                      <w:rFonts w:hint="eastAsia" w:eastAsia="等线"/>
                      <w:sz w:val="21"/>
                      <w:szCs w:val="21"/>
                    </w:rPr>
                    <w:t>1</w:t>
                  </w:r>
                  <w:r>
                    <w:rPr>
                      <w:rFonts w:eastAsia="等线"/>
                      <w:sz w:val="21"/>
                      <w:szCs w:val="21"/>
                    </w:rPr>
                    <w:t>0</w:t>
                  </w:r>
                </w:p>
              </w:tc>
            </w:tr>
            <w:tr w14:paraId="0FE2C7E0">
              <w:tblPrEx>
                <w:tblCellMar>
                  <w:top w:w="0" w:type="dxa"/>
                  <w:left w:w="108" w:type="dxa"/>
                  <w:bottom w:w="0" w:type="dxa"/>
                  <w:right w:w="108" w:type="dxa"/>
                </w:tblCellMar>
              </w:tblPrEx>
              <w:trPr>
                <w:trHeight w:val="340" w:hRule="atLeast"/>
                <w:jc w:val="center"/>
              </w:trPr>
              <w:tc>
                <w:tcPr>
                  <w:tcW w:w="4222" w:type="pct"/>
                  <w:gridSpan w:val="4"/>
                  <w:vAlign w:val="center"/>
                </w:tcPr>
                <w:p w14:paraId="2B0FDD0E">
                  <w:pPr>
                    <w:jc w:val="center"/>
                    <w:rPr>
                      <w:sz w:val="21"/>
                      <w:szCs w:val="21"/>
                    </w:rPr>
                  </w:pPr>
                  <w:r>
                    <w:rPr>
                      <w:rFonts w:hint="eastAsia"/>
                      <w:sz w:val="21"/>
                      <w:szCs w:val="21"/>
                    </w:rPr>
                    <w:t>合计</w:t>
                  </w:r>
                </w:p>
              </w:tc>
              <w:tc>
                <w:tcPr>
                  <w:tcW w:w="778" w:type="pct"/>
                  <w:vAlign w:val="center"/>
                </w:tcPr>
                <w:p w14:paraId="1AA03A21">
                  <w:pPr>
                    <w:jc w:val="center"/>
                    <w:rPr>
                      <w:sz w:val="21"/>
                      <w:szCs w:val="21"/>
                    </w:rPr>
                  </w:pPr>
                  <w:r>
                    <w:rPr>
                      <w:rFonts w:eastAsia="等线"/>
                      <w:sz w:val="21"/>
                      <w:szCs w:val="21"/>
                    </w:rPr>
                    <w:t>231.5</w:t>
                  </w:r>
                </w:p>
              </w:tc>
            </w:tr>
          </w:tbl>
          <w:p w14:paraId="0A1AA595">
            <w:pPr>
              <w:adjustRightInd w:val="0"/>
              <w:snapToGrid w:val="0"/>
              <w:spacing w:line="460" w:lineRule="exact"/>
              <w:ind w:firstLine="442" w:firstLineChars="200"/>
              <w:rPr>
                <w:b/>
                <w:spacing w:val="-10"/>
              </w:rPr>
            </w:pPr>
            <w:r>
              <w:rPr>
                <w:b/>
                <w:spacing w:val="-10"/>
              </w:rPr>
              <w:t>9</w:t>
            </w:r>
            <w:r>
              <w:rPr>
                <w:rFonts w:hint="eastAsia"/>
                <w:b/>
                <w:spacing w:val="-10"/>
              </w:rPr>
              <w:t>、环境管理</w:t>
            </w:r>
          </w:p>
          <w:p w14:paraId="209890A1">
            <w:pPr>
              <w:spacing w:line="480" w:lineRule="exact"/>
              <w:ind w:firstLine="480" w:firstLineChars="200"/>
              <w:rPr>
                <w:rFonts w:hAnsi="宋体"/>
                <w:bCs/>
              </w:rPr>
            </w:pPr>
            <w:r>
              <w:rPr>
                <w:rFonts w:hAnsi="宋体"/>
                <w:bCs/>
              </w:rPr>
              <w:t>（1）环境管理</w:t>
            </w:r>
          </w:p>
          <w:p w14:paraId="17F14130">
            <w:pPr>
              <w:spacing w:line="480" w:lineRule="exact"/>
              <w:ind w:firstLine="480" w:firstLineChars="200"/>
              <w:rPr>
                <w:rFonts w:hAnsi="宋体"/>
                <w:bCs/>
              </w:rPr>
            </w:pPr>
            <w:r>
              <w:rPr>
                <w:rFonts w:hAnsi="宋体"/>
                <w:bCs/>
              </w:rPr>
              <w:t>根据《中华人民共和国环境保护法》和中华人民共和国国务院令第253号《建设项目环境保护管理条例》，建设单位必须把环境保护工作纳入工作计划，建立环境保护责任制度，采取有效措施，防止环境破坏。</w:t>
            </w:r>
          </w:p>
          <w:p w14:paraId="1D5E99F8">
            <w:pPr>
              <w:spacing w:line="480" w:lineRule="exact"/>
              <w:ind w:firstLine="480" w:firstLineChars="200"/>
              <w:rPr>
                <w:rFonts w:hAnsi="宋体"/>
                <w:bCs/>
              </w:rPr>
            </w:pPr>
            <w:r>
              <w:rPr>
                <w:rFonts w:hAnsi="宋体"/>
                <w:bCs/>
              </w:rPr>
              <w:t>环境管理是以环境科学理论为基础，运用经济、法律、技术、行政、教育等手段对经济、社会发展过程中施加给环境的污染和破坏影响进行调节控制，实现经济、社会和环境效益的和谐统一。</w:t>
            </w:r>
          </w:p>
          <w:p w14:paraId="5145762A">
            <w:pPr>
              <w:spacing w:line="480" w:lineRule="exact"/>
              <w:ind w:firstLine="480" w:firstLineChars="200"/>
              <w:rPr>
                <w:rFonts w:hAnsi="宋体"/>
                <w:bCs/>
              </w:rPr>
            </w:pPr>
            <w:r>
              <w:rPr>
                <w:rFonts w:hAnsi="宋体"/>
                <w:bCs/>
              </w:rPr>
              <w:t>为全面贯彻和落实国家以及地方环保法律、法规，加强企业内部污染物排放监督控制，有效控制、减轻施工期以及运营期间环境污染影响，保护项目所在地的环境质量，企业内部必须建立行之有效的环境管理机构。</w:t>
            </w:r>
          </w:p>
          <w:p w14:paraId="70D31680">
            <w:pPr>
              <w:spacing w:line="480" w:lineRule="exact"/>
              <w:ind w:firstLine="480" w:firstLineChars="200"/>
              <w:rPr>
                <w:rFonts w:hAnsi="宋体"/>
                <w:bCs/>
              </w:rPr>
            </w:pPr>
            <w:r>
              <w:rPr>
                <w:rFonts w:hAnsi="宋体"/>
                <w:bCs/>
              </w:rPr>
              <w:t>1）环境管理基本任务</w:t>
            </w:r>
          </w:p>
          <w:p w14:paraId="6D132642">
            <w:pPr>
              <w:spacing w:line="480" w:lineRule="exact"/>
              <w:ind w:firstLine="480" w:firstLineChars="200"/>
              <w:rPr>
                <w:rFonts w:hAnsi="宋体"/>
                <w:bCs/>
              </w:rPr>
            </w:pPr>
            <w:r>
              <w:rPr>
                <w:rFonts w:hAnsi="宋体"/>
                <w:bCs/>
              </w:rPr>
              <w:t>环境管理基本任务有二：一是控制污染物的排放量；二是避免污染物排放对环境质量损害。建设单位应将本企业环境管理作为企业管理重要组成部分，建立环境质量管理系统，制定环境规划，协调发展生产经营与环境保护的关系而达到生产目标与环境目标统一及经济效益与环境效益统一。</w:t>
            </w:r>
          </w:p>
          <w:p w14:paraId="12AF9243">
            <w:pPr>
              <w:spacing w:line="480" w:lineRule="exact"/>
              <w:ind w:firstLine="480" w:firstLineChars="200"/>
              <w:rPr>
                <w:rFonts w:hAnsi="宋体"/>
                <w:bCs/>
              </w:rPr>
            </w:pPr>
            <w:r>
              <w:rPr>
                <w:rFonts w:hAnsi="宋体"/>
                <w:bCs/>
              </w:rPr>
              <w:t>2）环境管理机构设置</w:t>
            </w:r>
          </w:p>
          <w:p w14:paraId="748AD78C">
            <w:pPr>
              <w:spacing w:line="480" w:lineRule="exact"/>
              <w:ind w:firstLine="480" w:firstLineChars="200"/>
              <w:rPr>
                <w:rFonts w:hAnsi="宋体"/>
                <w:bCs/>
              </w:rPr>
            </w:pPr>
            <w:r>
              <w:rPr>
                <w:rFonts w:hAnsi="宋体"/>
                <w:bCs/>
              </w:rPr>
              <w:t>本项目环境管理纳入</w:t>
            </w:r>
            <w:r>
              <w:rPr>
                <w:rFonts w:hint="eastAsia"/>
              </w:rPr>
              <w:t>公司</w:t>
            </w:r>
            <w:r>
              <w:rPr>
                <w:rFonts w:hAnsi="宋体"/>
                <w:bCs/>
              </w:rPr>
              <w:t>环境管理计划，将本项目的环境管理与全公司环境管理统一，主要职责如下：</w:t>
            </w:r>
          </w:p>
          <w:p w14:paraId="0D7C1371">
            <w:pPr>
              <w:spacing w:line="480" w:lineRule="exact"/>
              <w:ind w:firstLine="480" w:firstLineChars="200"/>
              <w:rPr>
                <w:rFonts w:hAnsi="宋体"/>
                <w:bCs/>
              </w:rPr>
            </w:pPr>
            <w:r>
              <w:rPr>
                <w:rFonts w:hAnsi="宋体"/>
                <w:bCs/>
              </w:rPr>
              <w:t>①建立健全环境保护工作规章制度，明确环保责任制及其奖惩办法；</w:t>
            </w:r>
          </w:p>
          <w:p w14:paraId="6C029A02">
            <w:pPr>
              <w:spacing w:line="480" w:lineRule="exact"/>
              <w:ind w:firstLine="480" w:firstLineChars="200"/>
              <w:rPr>
                <w:rFonts w:hAnsi="宋体"/>
                <w:bCs/>
              </w:rPr>
            </w:pPr>
            <w:r>
              <w:rPr>
                <w:rFonts w:hAnsi="宋体"/>
                <w:bCs/>
              </w:rPr>
              <w:t>②确定本项目的环境目标管理，对各岗位进行监督与考核；</w:t>
            </w:r>
          </w:p>
          <w:p w14:paraId="3ADB3544">
            <w:pPr>
              <w:spacing w:line="480" w:lineRule="exact"/>
              <w:ind w:firstLine="480" w:firstLineChars="200"/>
              <w:rPr>
                <w:rFonts w:hAnsi="宋体"/>
                <w:bCs/>
              </w:rPr>
            </w:pPr>
            <w:r>
              <w:rPr>
                <w:rFonts w:hAnsi="宋体"/>
                <w:bCs/>
              </w:rPr>
              <w:t>③建立环保档案，包括环评报告、环保工程验收报告及其它环境统计资料；</w:t>
            </w:r>
          </w:p>
          <w:p w14:paraId="069732F8">
            <w:pPr>
              <w:spacing w:line="480" w:lineRule="exact"/>
              <w:ind w:firstLine="480" w:firstLineChars="200"/>
              <w:rPr>
                <w:rFonts w:hAnsi="宋体"/>
                <w:bCs/>
              </w:rPr>
            </w:pPr>
            <w:r>
              <w:rPr>
                <w:rFonts w:hAnsi="宋体"/>
                <w:bCs/>
              </w:rPr>
              <w:t>④收集与管理有关污染物排放标准、环保法规、环保技术资料；</w:t>
            </w:r>
          </w:p>
          <w:p w14:paraId="718B0F96">
            <w:pPr>
              <w:spacing w:line="480" w:lineRule="exact"/>
              <w:ind w:firstLine="480" w:firstLineChars="200"/>
              <w:rPr>
                <w:rFonts w:hAnsi="宋体"/>
                <w:bCs/>
              </w:rPr>
            </w:pPr>
            <w:r>
              <w:rPr>
                <w:rFonts w:hAnsi="宋体"/>
                <w:bCs/>
              </w:rPr>
              <w:t>3）环境管理措施</w:t>
            </w:r>
          </w:p>
          <w:p w14:paraId="7EE1CFDF">
            <w:pPr>
              <w:spacing w:line="480" w:lineRule="exact"/>
              <w:ind w:firstLine="480" w:firstLineChars="200"/>
              <w:rPr>
                <w:rFonts w:hAnsi="宋体"/>
                <w:bCs/>
              </w:rPr>
            </w:pPr>
            <w:r>
              <w:rPr>
                <w:rFonts w:hAnsi="宋体"/>
                <w:bCs/>
              </w:rPr>
              <w:t>为使环境管理工作科学化、规范化、合理化，确保各项环保措施落实到位，在管理方面采取以下措施：</w:t>
            </w:r>
          </w:p>
          <w:p w14:paraId="37F08AE2">
            <w:pPr>
              <w:spacing w:line="480" w:lineRule="exact"/>
              <w:ind w:firstLine="480" w:firstLineChars="200"/>
              <w:rPr>
                <w:rFonts w:hAnsi="宋体"/>
                <w:bCs/>
              </w:rPr>
            </w:pPr>
            <w:r>
              <w:rPr>
                <w:rFonts w:hAnsi="宋体"/>
                <w:bCs/>
              </w:rPr>
              <w:t>①建立IS014000 环境管理体系，并建议同时进行QHSE（质量、健康、安全、环保）审核。</w:t>
            </w:r>
          </w:p>
          <w:p w14:paraId="220CD718">
            <w:pPr>
              <w:spacing w:line="480" w:lineRule="exact"/>
              <w:ind w:firstLine="480" w:firstLineChars="200"/>
              <w:rPr>
                <w:rFonts w:hAnsi="宋体"/>
                <w:bCs/>
              </w:rPr>
            </w:pPr>
            <w:r>
              <w:rPr>
                <w:rFonts w:hAnsi="宋体"/>
                <w:bCs/>
              </w:rPr>
              <w:t>②强化对环保设施运行监督管理职能，建立完善的环保设施运行、维护、维修等技术档案，加强对环保设施操作人员技术培训，确保环保设施处于正常的运行情况，污染物排放连续达标。</w:t>
            </w:r>
          </w:p>
          <w:p w14:paraId="61A48923">
            <w:pPr>
              <w:spacing w:line="480" w:lineRule="exact"/>
              <w:ind w:firstLine="480" w:firstLineChars="200"/>
              <w:rPr>
                <w:rFonts w:hAnsi="宋体"/>
                <w:bCs/>
              </w:rPr>
            </w:pPr>
            <w:r>
              <w:rPr>
                <w:rFonts w:hAnsi="宋体"/>
                <w:bCs/>
              </w:rPr>
              <w:t>③加强环境监测数据统计工作，建立完善的污染源及物料流失档案，做好每天巡检工作。</w:t>
            </w:r>
          </w:p>
          <w:p w14:paraId="002DE041">
            <w:pPr>
              <w:spacing w:line="480" w:lineRule="exact"/>
              <w:ind w:firstLine="480" w:firstLineChars="200"/>
              <w:rPr>
                <w:rFonts w:hAnsi="宋体"/>
                <w:bCs/>
              </w:rPr>
            </w:pPr>
            <w:r>
              <w:rPr>
                <w:rFonts w:hAnsi="宋体"/>
                <w:bCs/>
              </w:rPr>
              <w:t>④制订环境保护岗位目标责任制，将环境管理纳入生产管理体系，将环境评估与经济效益评估相结合，建立严格奖惩机制。</w:t>
            </w:r>
          </w:p>
          <w:p w14:paraId="7B00DD99">
            <w:pPr>
              <w:spacing w:line="480" w:lineRule="exact"/>
              <w:ind w:firstLine="480" w:firstLineChars="200"/>
              <w:rPr>
                <w:rFonts w:hAnsi="宋体"/>
                <w:bCs/>
              </w:rPr>
            </w:pPr>
            <w:r>
              <w:rPr>
                <w:rFonts w:hAnsi="宋体"/>
                <w:bCs/>
              </w:rPr>
              <w:t>⑤加强对职工进行环保法律法规的宣传、教育和学习，进行岗位培训，使职工意识到环境保护的重要意义，包括与企业生产、生存和发展的关系，企业应具有危机感和责任感，把环保工作落到实处，落实到每一位职工。</w:t>
            </w:r>
          </w:p>
          <w:p w14:paraId="6B423B6E">
            <w:pPr>
              <w:spacing w:line="480" w:lineRule="exact"/>
              <w:ind w:firstLine="480" w:firstLineChars="200"/>
              <w:rPr>
                <w:rFonts w:hAnsi="宋体"/>
                <w:bCs/>
              </w:rPr>
            </w:pPr>
            <w:r>
              <w:rPr>
                <w:rFonts w:hAnsi="宋体"/>
                <w:bCs/>
              </w:rPr>
              <w:t>（2）企业环境信息公开</w:t>
            </w:r>
          </w:p>
          <w:p w14:paraId="66EED522">
            <w:pPr>
              <w:spacing w:line="480" w:lineRule="exact"/>
              <w:ind w:firstLine="480" w:firstLineChars="200"/>
              <w:rPr>
                <w:rFonts w:hAnsi="宋体"/>
                <w:bCs/>
              </w:rPr>
            </w:pPr>
            <w:r>
              <w:rPr>
                <w:rFonts w:hAnsi="宋体"/>
                <w:bCs/>
              </w:rPr>
              <w:t>根据《企业事业单位环境信息公开办法》（环境保护部第31号）相关规定，企业事业单位应当建立健全本单位环境信息公开制度，制定机构负责本单位环境信息公开日常工作。根据企业特点，</w:t>
            </w:r>
            <w:r>
              <w:rPr>
                <w:rFonts w:hint="eastAsia" w:hAnsi="宋体"/>
                <w:bCs/>
              </w:rPr>
              <w:t>在</w:t>
            </w:r>
            <w:r>
              <w:rPr>
                <w:rFonts w:hAnsi="宋体"/>
                <w:bCs/>
              </w:rPr>
              <w:t>网站或本单位的资料索取点、信息公开栏、信息亭、电子屏幕或其他便于公众及时、准确获得信息的场所和方式公开下列信息：</w:t>
            </w:r>
          </w:p>
          <w:p w14:paraId="73736206">
            <w:pPr>
              <w:spacing w:line="480" w:lineRule="exact"/>
              <w:ind w:firstLine="480" w:firstLineChars="200"/>
              <w:rPr>
                <w:rFonts w:hAnsi="宋体"/>
                <w:bCs/>
              </w:rPr>
            </w:pPr>
            <w:r>
              <w:rPr>
                <w:rFonts w:hAnsi="宋体"/>
                <w:bCs/>
              </w:rPr>
              <w:t>①项目基础信息：包括单位名称、组织机构代码、法定代表人、生产地址、联系方式，以及生产经营和管理服务的主要内容、产品及规模。</w:t>
            </w:r>
          </w:p>
          <w:p w14:paraId="2C8476DE">
            <w:pPr>
              <w:spacing w:line="480" w:lineRule="exact"/>
              <w:ind w:firstLine="480" w:firstLineChars="200"/>
              <w:rPr>
                <w:rFonts w:hAnsi="宋体"/>
                <w:bCs/>
              </w:rPr>
            </w:pPr>
            <w:r>
              <w:rPr>
                <w:rFonts w:hAnsi="宋体"/>
                <w:bCs/>
              </w:rPr>
              <w:t>②排污信息：包括主要污染物及特征污染物的名称、排放方式、排放口数量和分布情况、排放浓度和总量、超标情况，及执行的污染物排放标准、核定的排放总量。</w:t>
            </w:r>
          </w:p>
          <w:p w14:paraId="70D0F1B2">
            <w:pPr>
              <w:spacing w:line="480" w:lineRule="exact"/>
              <w:ind w:firstLine="480" w:firstLineChars="200"/>
              <w:rPr>
                <w:rFonts w:hAnsi="宋体"/>
                <w:bCs/>
              </w:rPr>
            </w:pPr>
            <w:r>
              <w:rPr>
                <w:rFonts w:hAnsi="宋体"/>
                <w:bCs/>
              </w:rPr>
              <w:t>③防治污染设施的建设和运行情况。</w:t>
            </w:r>
          </w:p>
          <w:p w14:paraId="1AD52BB5">
            <w:pPr>
              <w:spacing w:line="480" w:lineRule="exact"/>
              <w:ind w:firstLine="480" w:firstLineChars="200"/>
              <w:rPr>
                <w:rFonts w:hAnsi="宋体"/>
                <w:bCs/>
              </w:rPr>
            </w:pPr>
            <w:r>
              <w:rPr>
                <w:rFonts w:hAnsi="宋体"/>
                <w:bCs/>
              </w:rPr>
              <w:t>④建设项目环境影响评价及其他环境保护行政许可情况。</w:t>
            </w:r>
          </w:p>
          <w:p w14:paraId="7EFA83E9">
            <w:pPr>
              <w:spacing w:line="480" w:lineRule="exact"/>
              <w:ind w:firstLine="480" w:firstLineChars="200"/>
              <w:rPr>
                <w:rFonts w:hAnsi="宋体"/>
                <w:bCs/>
              </w:rPr>
            </w:pPr>
            <w:r>
              <w:rPr>
                <w:rFonts w:hint="eastAsia" w:ascii="宋体" w:hAnsi="宋体" w:cs="宋体"/>
                <w:bCs/>
                <w:lang w:eastAsia="ja-JP"/>
              </w:rPr>
              <w:t>⑤</w:t>
            </w:r>
            <w:r>
              <w:rPr>
                <w:rFonts w:hAnsi="宋体"/>
                <w:bCs/>
              </w:rPr>
              <w:t>其他应当公开的环境信息。</w:t>
            </w:r>
          </w:p>
          <w:p w14:paraId="6BA37495">
            <w:pPr>
              <w:spacing w:line="480" w:lineRule="exact"/>
              <w:ind w:firstLine="480" w:firstLineChars="200"/>
              <w:rPr>
                <w:rFonts w:hAnsi="宋体"/>
                <w:bCs/>
              </w:rPr>
            </w:pPr>
            <w:r>
              <w:rPr>
                <w:rFonts w:hAnsi="宋体"/>
                <w:bCs/>
              </w:rPr>
              <w:t>如若公司的环境信息发生变更或有新生成时，应在环境信息生成或者变更之日起三十日内予以公开。环境保护主管部门应当宣传和引导公众监督企业事业单位环境信息公开工作。</w:t>
            </w:r>
          </w:p>
          <w:p w14:paraId="78BC6A8B">
            <w:pPr>
              <w:topLinePunct/>
              <w:spacing w:line="460" w:lineRule="exact"/>
              <w:ind w:firstLine="480" w:firstLineChars="200"/>
              <w:rPr>
                <w:snapToGrid w:val="0"/>
                <w:kern w:val="0"/>
              </w:rPr>
            </w:pPr>
            <w:r>
              <w:rPr>
                <w:rFonts w:hint="eastAsia"/>
                <w:snapToGrid w:val="0"/>
                <w:kern w:val="0"/>
              </w:rPr>
              <w:t>（3）与</w:t>
            </w:r>
            <w:r>
              <w:rPr>
                <w:snapToGrid w:val="0"/>
                <w:kern w:val="0"/>
              </w:rPr>
              <w:t>排污许可制度</w:t>
            </w:r>
            <w:r>
              <w:rPr>
                <w:rFonts w:hint="eastAsia"/>
                <w:snapToGrid w:val="0"/>
                <w:kern w:val="0"/>
              </w:rPr>
              <w:t>的</w:t>
            </w:r>
            <w:r>
              <w:rPr>
                <w:snapToGrid w:val="0"/>
                <w:kern w:val="0"/>
              </w:rPr>
              <w:t>衔接</w:t>
            </w:r>
          </w:p>
          <w:p w14:paraId="6F503E6B">
            <w:pPr>
              <w:pStyle w:val="58"/>
              <w:spacing w:line="460" w:lineRule="exact"/>
              <w:ind w:firstLine="480"/>
              <w:rPr>
                <w:snapToGrid w:val="0"/>
                <w:color w:val="auto"/>
              </w:rPr>
            </w:pPr>
            <w:r>
              <w:rPr>
                <w:snapToGrid w:val="0"/>
                <w:color w:val="auto"/>
              </w:rPr>
              <w:t>根据《关于做好环境影响评价制度与排污许可制衔接相关工作的通知》（环办环评[2017]84 号）文件，要求做好《建设项目环境影响评价分类管理名录》和《固定污染源排污许可分类管理名录》的衔接，按照建设项目对环境的影响程度、污染物产生量和排放量，实行统一分类管理。因此</w:t>
            </w:r>
            <w:r>
              <w:rPr>
                <w:rFonts w:hint="eastAsia"/>
                <w:snapToGrid w:val="0"/>
                <w:color w:val="auto"/>
              </w:rPr>
              <w:t>本评价要求</w:t>
            </w:r>
            <w:r>
              <w:rPr>
                <w:snapToGrid w:val="0"/>
                <w:color w:val="auto"/>
              </w:rPr>
              <w:t>，本工程在投入生产或使用并产生实际排污行为之前申请排污许可。</w:t>
            </w:r>
          </w:p>
          <w:p w14:paraId="74778CAC">
            <w:pPr>
              <w:topLinePunct/>
              <w:spacing w:line="480" w:lineRule="exact"/>
              <w:ind w:firstLine="480" w:firstLineChars="200"/>
              <w:rPr>
                <w:snapToGrid w:val="0"/>
                <w:kern w:val="0"/>
              </w:rPr>
            </w:pPr>
            <w:r>
              <w:rPr>
                <w:rFonts w:hint="eastAsia"/>
                <w:snapToGrid w:val="0"/>
                <w:kern w:val="0"/>
              </w:rPr>
              <w:t>（</w:t>
            </w:r>
            <w:r>
              <w:rPr>
                <w:snapToGrid w:val="0"/>
                <w:kern w:val="0"/>
              </w:rPr>
              <w:t>5</w:t>
            </w:r>
            <w:r>
              <w:rPr>
                <w:rFonts w:hint="eastAsia"/>
                <w:snapToGrid w:val="0"/>
                <w:kern w:val="0"/>
              </w:rPr>
              <w:t>）排污口规范化管理</w:t>
            </w:r>
          </w:p>
          <w:p w14:paraId="295CA1CA">
            <w:pPr>
              <w:spacing w:line="460" w:lineRule="exact"/>
              <w:ind w:firstLine="480" w:firstLineChars="200"/>
            </w:pPr>
            <w:r>
              <w:rPr>
                <w:rFonts w:hint="eastAsia"/>
                <w:kern w:val="0"/>
              </w:rPr>
              <w:t>根据国家标准《排污单位污染物排放口二维码标识技术规范》（HJ 1297-2023）、《环境保护图形标志-排放口（源）》（GB15562.1</w:t>
            </w:r>
            <w:r>
              <w:rPr>
                <w:kern w:val="0"/>
              </w:rPr>
              <w:t>-</w:t>
            </w:r>
            <w:r>
              <w:rPr>
                <w:rFonts w:hint="eastAsia"/>
                <w:kern w:val="0"/>
              </w:rPr>
              <w:t>1995）、《环境保护图形标志-固体废物贮存（处置）场》（GB15562.2-1995）及其修改单和《危险废物识别标志设置技术规范》（HJ 1276-2022）和国家环境保护总局《污染物规范化治理要求（试行）》的文件要求，企业所有排放口（包括水、气、声、渣）必须按照</w:t>
            </w:r>
            <w:r>
              <w:rPr>
                <w:rFonts w:ascii="宋体" w:hAnsi="宋体"/>
                <w:kern w:val="0"/>
              </w:rPr>
              <w:t>“</w:t>
            </w:r>
            <w:r>
              <w:rPr>
                <w:rFonts w:hint="eastAsia" w:ascii="宋体" w:hAnsi="宋体"/>
                <w:kern w:val="0"/>
              </w:rPr>
              <w:t>便于采样、便于计量检测、便于日常现场监督检查</w:t>
            </w:r>
            <w:r>
              <w:rPr>
                <w:rFonts w:ascii="宋体" w:hAnsi="宋体"/>
                <w:kern w:val="0"/>
              </w:rPr>
              <w:t>”</w:t>
            </w:r>
            <w:r>
              <w:rPr>
                <w:rFonts w:hint="eastAsia"/>
                <w:kern w:val="0"/>
              </w:rPr>
              <w:t>的原则和规范，设置与之相适应的环境保护图形标志牌，绘制企业排放口分布图，同时对污水排放口安装流量计和工业废水处理装置在线监测系统。</w:t>
            </w:r>
          </w:p>
          <w:p w14:paraId="61B78D3C">
            <w:pPr>
              <w:spacing w:line="460" w:lineRule="exact"/>
              <w:ind w:firstLine="480" w:firstLineChars="200"/>
              <w:rPr>
                <w:kern w:val="0"/>
              </w:rPr>
            </w:pPr>
            <w:r>
              <w:rPr>
                <w:rFonts w:hint="eastAsia"/>
                <w:kern w:val="0"/>
              </w:rPr>
              <w:t>①废气烟囱（烟囱）规范化</w:t>
            </w:r>
          </w:p>
          <w:p w14:paraId="59B2223E">
            <w:pPr>
              <w:spacing w:line="460" w:lineRule="exact"/>
              <w:ind w:firstLine="480" w:firstLineChars="200"/>
              <w:rPr>
                <w:kern w:val="0"/>
              </w:rPr>
            </w:pPr>
            <w:r>
              <w:rPr>
                <w:rFonts w:hint="eastAsia"/>
                <w:kern w:val="0"/>
              </w:rPr>
              <w:t>烟囱的采样口的设置应符合《污染源监测技术规范》要求，废气排气筒设置便于采样，监测的采样口和采样平台，附近设置环境保护标志。</w:t>
            </w:r>
          </w:p>
          <w:p w14:paraId="21D8907F">
            <w:pPr>
              <w:spacing w:line="460" w:lineRule="exact"/>
              <w:ind w:firstLine="480" w:firstLineChars="200"/>
              <w:rPr>
                <w:kern w:val="0"/>
              </w:rPr>
            </w:pPr>
            <w:r>
              <w:rPr>
                <w:rFonts w:hint="eastAsia"/>
                <w:kern w:val="0"/>
              </w:rPr>
              <w:t>②固体废物贮存、堆放场规范化</w:t>
            </w:r>
          </w:p>
          <w:p w14:paraId="0C2C282A">
            <w:pPr>
              <w:spacing w:line="460" w:lineRule="exact"/>
              <w:ind w:firstLine="480" w:firstLineChars="200"/>
              <w:rPr>
                <w:kern w:val="0"/>
              </w:rPr>
            </w:pPr>
            <w:r>
              <w:rPr>
                <w:rFonts w:hint="eastAsia"/>
                <w:kern w:val="0"/>
              </w:rPr>
              <w:t>生产车间设置防雨、防渗设施，并采用水泥硬化。设置明显的警示标志。</w:t>
            </w:r>
          </w:p>
          <w:p w14:paraId="150D8670">
            <w:pPr>
              <w:spacing w:line="460" w:lineRule="exact"/>
              <w:ind w:firstLine="480" w:firstLineChars="200"/>
              <w:rPr>
                <w:kern w:val="0"/>
              </w:rPr>
            </w:pPr>
            <w:r>
              <w:rPr>
                <w:rFonts w:hint="eastAsia"/>
                <w:kern w:val="0"/>
              </w:rPr>
              <w:t>③排污口设置标志牌要求</w:t>
            </w:r>
          </w:p>
          <w:p w14:paraId="42EB2C7C">
            <w:pPr>
              <w:spacing w:line="460" w:lineRule="exact"/>
              <w:ind w:firstLine="480" w:firstLineChars="200"/>
              <w:rPr>
                <w:kern w:val="0"/>
              </w:rPr>
            </w:pPr>
            <w:r>
              <w:rPr>
                <w:rFonts w:hint="eastAsia"/>
                <w:kern w:val="0"/>
              </w:rPr>
              <w:t>环境保护图形标志牌设置位置应距离污染物排放口及固体废物处置场或采样点较近且醒目处，设置高度一般为标志牌上缘距离地面约</w:t>
            </w:r>
            <w:r>
              <w:rPr>
                <w:kern w:val="0"/>
              </w:rPr>
              <w:t>2m</w:t>
            </w:r>
            <w:r>
              <w:rPr>
                <w:rFonts w:hint="eastAsia"/>
                <w:kern w:val="0"/>
              </w:rPr>
              <w:t>。</w:t>
            </w:r>
          </w:p>
          <w:p w14:paraId="53167AEB">
            <w:pPr>
              <w:spacing w:line="460" w:lineRule="exact"/>
              <w:ind w:firstLine="480" w:firstLineChars="200"/>
              <w:rPr>
                <w:kern w:val="0"/>
              </w:rPr>
            </w:pPr>
            <w:r>
              <w:rPr>
                <w:rFonts w:hint="eastAsia"/>
                <w:kern w:val="0"/>
              </w:rPr>
              <w:t>规范化排污口的有关设置（如图形标志牌、计量装置、监控装置等）属环保设施，排污单位必须负责日常的维护保养，任何单位和个人不得擅自拆除，如需要变更的需报环境管理部门同意并办理变更手续。</w:t>
            </w:r>
          </w:p>
          <w:p w14:paraId="20767C77">
            <w:pPr>
              <w:pStyle w:val="89"/>
              <w:ind w:firstLine="420" w:firstLineChars="200"/>
              <w:jc w:val="both"/>
              <w:rPr>
                <w:kern w:val="24"/>
                <w:szCs w:val="21"/>
              </w:rPr>
            </w:pPr>
            <w:r>
              <w:rPr>
                <w:rFonts w:hint="eastAsia"/>
                <w:kern w:val="24"/>
                <w:szCs w:val="21"/>
              </w:rPr>
              <w:t>表</w:t>
            </w:r>
            <w:r>
              <w:rPr>
                <w:kern w:val="24"/>
                <w:szCs w:val="21"/>
              </w:rPr>
              <w:t>4-26</w:t>
            </w:r>
            <w:r>
              <w:rPr>
                <w:rFonts w:hint="eastAsia"/>
              </w:rPr>
              <w:t xml:space="preserve">         </w:t>
            </w:r>
            <w:r>
              <w:rPr>
                <w:rFonts w:hint="eastAsia"/>
                <w:kern w:val="24"/>
                <w:szCs w:val="21"/>
              </w:rPr>
              <w:t>环境保护图形标志的形状及颜色</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2461"/>
              <w:gridCol w:w="2587"/>
              <w:gridCol w:w="1618"/>
            </w:tblGrid>
            <w:tr w14:paraId="2BB33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1040" w:type="pct"/>
                  <w:vAlign w:val="center"/>
                </w:tcPr>
                <w:p w14:paraId="7C9194B4">
                  <w:pPr>
                    <w:widowControl/>
                    <w:jc w:val="center"/>
                    <w:rPr>
                      <w:rFonts w:eastAsia="Times New Roman"/>
                      <w:kern w:val="0"/>
                      <w:szCs w:val="21"/>
                      <w:lang w:bidi="en-US"/>
                    </w:rPr>
                  </w:pPr>
                  <w:r>
                    <w:rPr>
                      <w:rFonts w:hint="eastAsia" w:ascii="宋体" w:hAnsi="宋体" w:cs="宋体"/>
                      <w:kern w:val="0"/>
                      <w:szCs w:val="21"/>
                      <w:lang w:bidi="en-US"/>
                    </w:rPr>
                    <w:t>标志名称</w:t>
                  </w:r>
                </w:p>
              </w:tc>
              <w:tc>
                <w:tcPr>
                  <w:tcW w:w="1462" w:type="pct"/>
                  <w:vAlign w:val="center"/>
                </w:tcPr>
                <w:p w14:paraId="7802B56C">
                  <w:pPr>
                    <w:widowControl/>
                    <w:jc w:val="center"/>
                    <w:rPr>
                      <w:rFonts w:eastAsia="Times New Roman"/>
                      <w:kern w:val="0"/>
                      <w:szCs w:val="21"/>
                      <w:lang w:bidi="en-US"/>
                    </w:rPr>
                  </w:pPr>
                  <w:r>
                    <w:rPr>
                      <w:rFonts w:hint="eastAsia" w:ascii="宋体" w:hAnsi="宋体" w:cs="宋体"/>
                      <w:kern w:val="0"/>
                      <w:szCs w:val="21"/>
                      <w:lang w:bidi="en-US"/>
                    </w:rPr>
                    <w:t>形状</w:t>
                  </w:r>
                </w:p>
              </w:tc>
              <w:tc>
                <w:tcPr>
                  <w:tcW w:w="1537" w:type="pct"/>
                  <w:vAlign w:val="center"/>
                </w:tcPr>
                <w:p w14:paraId="1AF6F024">
                  <w:pPr>
                    <w:widowControl/>
                    <w:jc w:val="center"/>
                    <w:rPr>
                      <w:rFonts w:eastAsia="Times New Roman"/>
                      <w:kern w:val="0"/>
                      <w:szCs w:val="21"/>
                      <w:lang w:bidi="en-US"/>
                    </w:rPr>
                  </w:pPr>
                  <w:r>
                    <w:rPr>
                      <w:rFonts w:hint="eastAsia" w:ascii="宋体" w:hAnsi="宋体" w:cs="宋体"/>
                      <w:kern w:val="0"/>
                      <w:szCs w:val="21"/>
                      <w:lang w:bidi="en-US"/>
                    </w:rPr>
                    <w:t>背景颜色</w:t>
                  </w:r>
                </w:p>
              </w:tc>
              <w:tc>
                <w:tcPr>
                  <w:tcW w:w="961" w:type="pct"/>
                  <w:vAlign w:val="center"/>
                </w:tcPr>
                <w:p w14:paraId="0E674AF4">
                  <w:pPr>
                    <w:widowControl/>
                    <w:jc w:val="center"/>
                    <w:rPr>
                      <w:rFonts w:eastAsia="Times New Roman"/>
                      <w:kern w:val="0"/>
                      <w:szCs w:val="21"/>
                      <w:lang w:bidi="en-US"/>
                    </w:rPr>
                  </w:pPr>
                  <w:r>
                    <w:rPr>
                      <w:rFonts w:hint="eastAsia" w:ascii="宋体" w:hAnsi="宋体" w:cs="宋体"/>
                      <w:kern w:val="0"/>
                      <w:szCs w:val="21"/>
                      <w:lang w:bidi="en-US"/>
                    </w:rPr>
                    <w:t>图形颜色</w:t>
                  </w:r>
                </w:p>
              </w:tc>
            </w:tr>
            <w:tr w14:paraId="3B3A83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0" w:type="pct"/>
                  <w:vAlign w:val="center"/>
                </w:tcPr>
                <w:p w14:paraId="163C96DF">
                  <w:pPr>
                    <w:widowControl/>
                    <w:jc w:val="center"/>
                    <w:rPr>
                      <w:rFonts w:eastAsia="Times New Roman"/>
                      <w:kern w:val="0"/>
                      <w:szCs w:val="21"/>
                      <w:lang w:bidi="en-US"/>
                    </w:rPr>
                  </w:pPr>
                  <w:r>
                    <w:rPr>
                      <w:rFonts w:hint="eastAsia" w:ascii="宋体" w:hAnsi="宋体" w:cs="宋体"/>
                      <w:kern w:val="0"/>
                      <w:szCs w:val="21"/>
                      <w:lang w:bidi="en-US"/>
                    </w:rPr>
                    <w:t>警告标志</w:t>
                  </w:r>
                </w:p>
              </w:tc>
              <w:tc>
                <w:tcPr>
                  <w:tcW w:w="1462" w:type="pct"/>
                  <w:vAlign w:val="center"/>
                </w:tcPr>
                <w:p w14:paraId="2D749CDD">
                  <w:pPr>
                    <w:widowControl/>
                    <w:jc w:val="center"/>
                    <w:rPr>
                      <w:rFonts w:eastAsia="Times New Roman"/>
                      <w:kern w:val="0"/>
                      <w:szCs w:val="21"/>
                      <w:lang w:bidi="en-US"/>
                    </w:rPr>
                  </w:pPr>
                  <w:r>
                    <w:rPr>
                      <w:rFonts w:hint="eastAsia" w:ascii="宋体" w:hAnsi="宋体" w:cs="宋体"/>
                      <w:kern w:val="0"/>
                      <w:szCs w:val="21"/>
                      <w:lang w:bidi="en-US"/>
                    </w:rPr>
                    <w:t>三角形边框</w:t>
                  </w:r>
                </w:p>
              </w:tc>
              <w:tc>
                <w:tcPr>
                  <w:tcW w:w="1537" w:type="pct"/>
                  <w:vAlign w:val="center"/>
                </w:tcPr>
                <w:p w14:paraId="6DB2986F">
                  <w:pPr>
                    <w:widowControl/>
                    <w:jc w:val="center"/>
                    <w:rPr>
                      <w:rFonts w:eastAsia="Times New Roman"/>
                      <w:kern w:val="0"/>
                      <w:szCs w:val="21"/>
                      <w:lang w:bidi="en-US"/>
                    </w:rPr>
                  </w:pPr>
                  <w:r>
                    <w:rPr>
                      <w:rFonts w:hint="eastAsia" w:ascii="宋体" w:hAnsi="宋体" w:cs="宋体"/>
                      <w:kern w:val="0"/>
                      <w:szCs w:val="21"/>
                      <w:lang w:bidi="en-US"/>
                    </w:rPr>
                    <w:t>黄色</w:t>
                  </w:r>
                </w:p>
              </w:tc>
              <w:tc>
                <w:tcPr>
                  <w:tcW w:w="961" w:type="pct"/>
                  <w:vAlign w:val="center"/>
                </w:tcPr>
                <w:p w14:paraId="778EC578">
                  <w:pPr>
                    <w:widowControl/>
                    <w:jc w:val="center"/>
                    <w:rPr>
                      <w:rFonts w:eastAsia="Times New Roman"/>
                      <w:kern w:val="0"/>
                      <w:szCs w:val="21"/>
                      <w:lang w:bidi="en-US"/>
                    </w:rPr>
                  </w:pPr>
                  <w:r>
                    <w:rPr>
                      <w:rFonts w:hint="eastAsia" w:ascii="宋体" w:hAnsi="宋体" w:cs="宋体"/>
                      <w:kern w:val="0"/>
                      <w:szCs w:val="21"/>
                      <w:lang w:bidi="en-US"/>
                    </w:rPr>
                    <w:t>黑色</w:t>
                  </w:r>
                </w:p>
              </w:tc>
            </w:tr>
            <w:tr w14:paraId="042061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0" w:type="pct"/>
                  <w:vAlign w:val="center"/>
                </w:tcPr>
                <w:p w14:paraId="4EC85069">
                  <w:pPr>
                    <w:widowControl/>
                    <w:jc w:val="center"/>
                    <w:rPr>
                      <w:rFonts w:eastAsia="Times New Roman"/>
                      <w:kern w:val="0"/>
                      <w:szCs w:val="21"/>
                      <w:lang w:bidi="en-US"/>
                    </w:rPr>
                  </w:pPr>
                  <w:r>
                    <w:rPr>
                      <w:rFonts w:hint="eastAsia" w:ascii="宋体" w:hAnsi="宋体" w:cs="宋体"/>
                      <w:kern w:val="0"/>
                      <w:szCs w:val="21"/>
                      <w:lang w:bidi="en-US"/>
                    </w:rPr>
                    <w:t>提示标志</w:t>
                  </w:r>
                </w:p>
              </w:tc>
              <w:tc>
                <w:tcPr>
                  <w:tcW w:w="1462" w:type="pct"/>
                  <w:vAlign w:val="center"/>
                </w:tcPr>
                <w:p w14:paraId="75C1A2E9">
                  <w:pPr>
                    <w:widowControl/>
                    <w:jc w:val="center"/>
                    <w:rPr>
                      <w:rFonts w:eastAsia="Times New Roman"/>
                      <w:kern w:val="0"/>
                      <w:szCs w:val="21"/>
                      <w:lang w:bidi="en-US"/>
                    </w:rPr>
                  </w:pPr>
                  <w:r>
                    <w:rPr>
                      <w:rFonts w:hint="eastAsia" w:ascii="宋体" w:hAnsi="宋体" w:cs="宋体"/>
                      <w:kern w:val="0"/>
                      <w:szCs w:val="21"/>
                      <w:lang w:bidi="en-US"/>
                    </w:rPr>
                    <w:t>正方形边框</w:t>
                  </w:r>
                </w:p>
              </w:tc>
              <w:tc>
                <w:tcPr>
                  <w:tcW w:w="1537" w:type="pct"/>
                  <w:vAlign w:val="center"/>
                </w:tcPr>
                <w:p w14:paraId="2093AB86">
                  <w:pPr>
                    <w:widowControl/>
                    <w:jc w:val="center"/>
                    <w:rPr>
                      <w:rFonts w:eastAsia="Times New Roman"/>
                      <w:kern w:val="0"/>
                      <w:szCs w:val="21"/>
                      <w:lang w:bidi="en-US"/>
                    </w:rPr>
                  </w:pPr>
                  <w:r>
                    <w:rPr>
                      <w:rFonts w:hint="eastAsia" w:ascii="宋体" w:hAnsi="宋体" w:cs="宋体"/>
                      <w:kern w:val="0"/>
                      <w:szCs w:val="21"/>
                      <w:lang w:bidi="en-US"/>
                    </w:rPr>
                    <w:t>绿色</w:t>
                  </w:r>
                </w:p>
              </w:tc>
              <w:tc>
                <w:tcPr>
                  <w:tcW w:w="961" w:type="pct"/>
                  <w:vAlign w:val="center"/>
                </w:tcPr>
                <w:p w14:paraId="5C27F64A">
                  <w:pPr>
                    <w:widowControl/>
                    <w:jc w:val="center"/>
                    <w:rPr>
                      <w:rFonts w:eastAsia="Times New Roman"/>
                      <w:kern w:val="0"/>
                      <w:szCs w:val="21"/>
                      <w:lang w:bidi="en-US"/>
                    </w:rPr>
                  </w:pPr>
                  <w:r>
                    <w:rPr>
                      <w:rFonts w:hint="eastAsia" w:ascii="宋体" w:hAnsi="宋体" w:cs="宋体"/>
                      <w:kern w:val="0"/>
                      <w:szCs w:val="21"/>
                      <w:lang w:bidi="en-US"/>
                    </w:rPr>
                    <w:t>白色</w:t>
                  </w:r>
                </w:p>
              </w:tc>
            </w:tr>
          </w:tbl>
          <w:p w14:paraId="69392131">
            <w:pPr>
              <w:pStyle w:val="89"/>
              <w:ind w:firstLine="420" w:firstLineChars="200"/>
              <w:jc w:val="both"/>
              <w:rPr>
                <w:kern w:val="24"/>
                <w:szCs w:val="21"/>
              </w:rPr>
            </w:pPr>
            <w:bookmarkStart w:id="26" w:name="_Hlk132714049"/>
            <w:r>
              <w:rPr>
                <w:rFonts w:hint="eastAsia"/>
                <w:kern w:val="24"/>
                <w:szCs w:val="21"/>
              </w:rPr>
              <w:t>表</w:t>
            </w:r>
            <w:r>
              <w:rPr>
                <w:kern w:val="24"/>
                <w:szCs w:val="21"/>
              </w:rPr>
              <w:t xml:space="preserve">4-27 </w:t>
            </w:r>
            <w:r>
              <w:rPr>
                <w:rFonts w:hint="eastAsia"/>
                <w:kern w:val="24"/>
                <w:szCs w:val="21"/>
              </w:rPr>
              <w:t xml:space="preserve">              环境</w:t>
            </w:r>
            <w:r>
              <w:rPr>
                <w:rFonts w:hint="eastAsia"/>
              </w:rPr>
              <w:t>保护</w:t>
            </w:r>
            <w:r>
              <w:rPr>
                <w:rFonts w:hint="eastAsia"/>
                <w:kern w:val="24"/>
                <w:szCs w:val="21"/>
              </w:rPr>
              <w:t>图形符号一览表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2779"/>
              <w:gridCol w:w="2781"/>
              <w:gridCol w:w="1131"/>
              <w:gridCol w:w="54"/>
              <w:gridCol w:w="1184"/>
            </w:tblGrid>
            <w:tr w14:paraId="7C6237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4FBB4857">
                  <w:pPr>
                    <w:widowControl/>
                    <w:jc w:val="center"/>
                    <w:rPr>
                      <w:rFonts w:eastAsia="Times New Roman"/>
                      <w:kern w:val="0"/>
                      <w:szCs w:val="22"/>
                      <w:lang w:bidi="en-US"/>
                    </w:rPr>
                  </w:pPr>
                  <w:r>
                    <w:rPr>
                      <w:rFonts w:hint="eastAsia" w:ascii="宋体" w:hAnsi="宋体" w:cs="宋体"/>
                      <w:kern w:val="0"/>
                      <w:szCs w:val="22"/>
                      <w:lang w:bidi="en-US"/>
                    </w:rPr>
                    <w:t>序号</w:t>
                  </w:r>
                </w:p>
              </w:tc>
              <w:tc>
                <w:tcPr>
                  <w:tcW w:w="1651" w:type="pct"/>
                  <w:vAlign w:val="center"/>
                </w:tcPr>
                <w:p w14:paraId="5ED30EE4">
                  <w:pPr>
                    <w:widowControl/>
                    <w:jc w:val="center"/>
                    <w:rPr>
                      <w:rFonts w:eastAsia="Times New Roman"/>
                      <w:kern w:val="0"/>
                      <w:szCs w:val="22"/>
                      <w:lang w:eastAsia="en-US" w:bidi="en-US"/>
                    </w:rPr>
                  </w:pPr>
                  <w:r>
                    <w:rPr>
                      <w:rFonts w:hint="eastAsia" w:ascii="宋体" w:hAnsi="宋体" w:cs="宋体"/>
                      <w:kern w:val="0"/>
                      <w:szCs w:val="22"/>
                      <w:lang w:bidi="en-US"/>
                    </w:rPr>
                    <w:t>提示图形符合</w:t>
                  </w:r>
                </w:p>
              </w:tc>
              <w:tc>
                <w:tcPr>
                  <w:tcW w:w="1652" w:type="pct"/>
                  <w:vAlign w:val="center"/>
                </w:tcPr>
                <w:p w14:paraId="61EF2023">
                  <w:pPr>
                    <w:widowControl/>
                    <w:jc w:val="center"/>
                    <w:rPr>
                      <w:rFonts w:eastAsia="Times New Roman"/>
                      <w:kern w:val="0"/>
                      <w:szCs w:val="22"/>
                      <w:lang w:bidi="en-US"/>
                    </w:rPr>
                  </w:pPr>
                  <w:r>
                    <w:rPr>
                      <w:rFonts w:hint="eastAsia" w:ascii="宋体" w:hAnsi="宋体" w:cs="宋体"/>
                      <w:kern w:val="0"/>
                      <w:szCs w:val="22"/>
                      <w:lang w:bidi="en-US"/>
                    </w:rPr>
                    <w:t>警告图形符号</w:t>
                  </w:r>
                </w:p>
              </w:tc>
              <w:tc>
                <w:tcPr>
                  <w:tcW w:w="672" w:type="pct"/>
                  <w:vAlign w:val="center"/>
                </w:tcPr>
                <w:p w14:paraId="2DB0BA5B">
                  <w:pPr>
                    <w:widowControl/>
                    <w:jc w:val="center"/>
                    <w:rPr>
                      <w:rFonts w:eastAsia="Times New Roman"/>
                      <w:kern w:val="0"/>
                      <w:szCs w:val="22"/>
                      <w:lang w:bidi="en-US"/>
                    </w:rPr>
                  </w:pPr>
                  <w:r>
                    <w:rPr>
                      <w:rFonts w:hint="eastAsia" w:ascii="宋体" w:hAnsi="宋体" w:cs="宋体"/>
                      <w:kern w:val="0"/>
                      <w:szCs w:val="22"/>
                      <w:lang w:bidi="en-US"/>
                    </w:rPr>
                    <w:t>名称</w:t>
                  </w:r>
                </w:p>
              </w:tc>
              <w:tc>
                <w:tcPr>
                  <w:tcW w:w="735" w:type="pct"/>
                  <w:gridSpan w:val="2"/>
                  <w:vAlign w:val="center"/>
                </w:tcPr>
                <w:p w14:paraId="6FE9EE27">
                  <w:pPr>
                    <w:widowControl/>
                    <w:jc w:val="center"/>
                    <w:rPr>
                      <w:rFonts w:eastAsia="Times New Roman"/>
                      <w:kern w:val="0"/>
                      <w:szCs w:val="22"/>
                      <w:lang w:bidi="en-US"/>
                    </w:rPr>
                  </w:pPr>
                  <w:r>
                    <w:rPr>
                      <w:rFonts w:hint="eastAsia" w:ascii="宋体" w:hAnsi="宋体" w:cs="宋体"/>
                      <w:kern w:val="0"/>
                      <w:szCs w:val="22"/>
                      <w:lang w:bidi="en-US"/>
                    </w:rPr>
                    <w:t>功能</w:t>
                  </w:r>
                </w:p>
              </w:tc>
            </w:tr>
            <w:tr w14:paraId="39014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5F014B50">
                  <w:pPr>
                    <w:widowControl/>
                    <w:jc w:val="center"/>
                    <w:rPr>
                      <w:rFonts w:eastAsia="Times New Roman"/>
                      <w:kern w:val="0"/>
                      <w:szCs w:val="22"/>
                      <w:lang w:bidi="en-US"/>
                    </w:rPr>
                  </w:pPr>
                  <w:r>
                    <w:rPr>
                      <w:rFonts w:eastAsia="Times New Roman"/>
                      <w:kern w:val="0"/>
                      <w:szCs w:val="22"/>
                      <w:lang w:bidi="en-US"/>
                    </w:rPr>
                    <w:t>1</w:t>
                  </w:r>
                </w:p>
              </w:tc>
              <w:tc>
                <w:tcPr>
                  <w:tcW w:w="1651" w:type="pct"/>
                  <w:vAlign w:val="center"/>
                </w:tcPr>
                <w:p w14:paraId="4FB32D6E">
                  <w:pPr>
                    <w:widowControl/>
                    <w:spacing w:before="48" w:beforeLines="20" w:after="48" w:afterLines="20"/>
                    <w:jc w:val="center"/>
                    <w:rPr>
                      <w:rFonts w:eastAsia="Times New Roman"/>
                      <w:kern w:val="0"/>
                      <w:szCs w:val="22"/>
                      <w:lang w:eastAsia="en-US" w:bidi="en-US"/>
                    </w:rPr>
                  </w:pPr>
                  <w:r>
                    <w:rPr>
                      <w:rFonts w:eastAsia="Times New Roman"/>
                      <w:kern w:val="0"/>
                      <w:szCs w:val="22"/>
                    </w:rPr>
                    <w:drawing>
                      <wp:inline distT="0" distB="0" distL="0" distR="0">
                        <wp:extent cx="1095375" cy="1104265"/>
                        <wp:effectExtent l="0" t="0" r="9525" b="63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95375" cy="1104265"/>
                                </a:xfrm>
                                <a:prstGeom prst="rect">
                                  <a:avLst/>
                                </a:prstGeom>
                                <a:noFill/>
                                <a:ln>
                                  <a:noFill/>
                                </a:ln>
                              </pic:spPr>
                            </pic:pic>
                          </a:graphicData>
                        </a:graphic>
                      </wp:inline>
                    </w:drawing>
                  </w:r>
                </w:p>
              </w:tc>
              <w:tc>
                <w:tcPr>
                  <w:tcW w:w="1652" w:type="pct"/>
                  <w:vAlign w:val="center"/>
                </w:tcPr>
                <w:p w14:paraId="27E2A7FC">
                  <w:pPr>
                    <w:widowControl/>
                    <w:jc w:val="center"/>
                    <w:rPr>
                      <w:rFonts w:eastAsia="Times New Roman"/>
                      <w:kern w:val="0"/>
                      <w:szCs w:val="22"/>
                      <w:lang w:eastAsia="en-US" w:bidi="en-US"/>
                    </w:rPr>
                  </w:pPr>
                  <w:r>
                    <w:rPr>
                      <w:rFonts w:eastAsia="Times New Roman"/>
                      <w:kern w:val="0"/>
                      <w:szCs w:val="22"/>
                    </w:rPr>
                    <w:drawing>
                      <wp:inline distT="0" distB="0" distL="0" distR="0">
                        <wp:extent cx="1078230" cy="1078230"/>
                        <wp:effectExtent l="0" t="0" r="7620" b="762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78230" cy="1078230"/>
                                </a:xfrm>
                                <a:prstGeom prst="rect">
                                  <a:avLst/>
                                </a:prstGeom>
                                <a:noFill/>
                                <a:ln>
                                  <a:noFill/>
                                </a:ln>
                              </pic:spPr>
                            </pic:pic>
                          </a:graphicData>
                        </a:graphic>
                      </wp:inline>
                    </w:drawing>
                  </w:r>
                </w:p>
              </w:tc>
              <w:tc>
                <w:tcPr>
                  <w:tcW w:w="672" w:type="pct"/>
                  <w:vAlign w:val="center"/>
                </w:tcPr>
                <w:p w14:paraId="3D532BEA">
                  <w:pPr>
                    <w:widowControl/>
                    <w:jc w:val="center"/>
                    <w:rPr>
                      <w:rFonts w:eastAsia="Times New Roman"/>
                      <w:kern w:val="0"/>
                      <w:szCs w:val="22"/>
                      <w:lang w:bidi="en-US"/>
                    </w:rPr>
                  </w:pPr>
                  <w:r>
                    <w:rPr>
                      <w:rFonts w:hint="eastAsia" w:ascii="宋体" w:hAnsi="宋体" w:cs="宋体"/>
                      <w:kern w:val="0"/>
                      <w:szCs w:val="22"/>
                      <w:lang w:bidi="en-US"/>
                    </w:rPr>
                    <w:t>废气排放口</w:t>
                  </w:r>
                </w:p>
              </w:tc>
              <w:tc>
                <w:tcPr>
                  <w:tcW w:w="735" w:type="pct"/>
                  <w:gridSpan w:val="2"/>
                  <w:vAlign w:val="center"/>
                </w:tcPr>
                <w:p w14:paraId="3AC880C8">
                  <w:pPr>
                    <w:widowControl/>
                    <w:jc w:val="center"/>
                    <w:rPr>
                      <w:rFonts w:eastAsia="Times New Roman"/>
                      <w:kern w:val="0"/>
                      <w:szCs w:val="22"/>
                      <w:lang w:bidi="en-US"/>
                    </w:rPr>
                  </w:pPr>
                  <w:r>
                    <w:rPr>
                      <w:rFonts w:hint="eastAsia" w:ascii="宋体" w:hAnsi="宋体" w:cs="宋体"/>
                      <w:kern w:val="0"/>
                      <w:szCs w:val="22"/>
                      <w:lang w:bidi="en-US"/>
                    </w:rPr>
                    <w:t>表示废气向大气环境排放</w:t>
                  </w:r>
                </w:p>
              </w:tc>
            </w:tr>
            <w:tr w14:paraId="0075B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01ACF07D">
                  <w:pPr>
                    <w:widowControl/>
                    <w:jc w:val="center"/>
                    <w:rPr>
                      <w:rFonts w:eastAsia="Times New Roman"/>
                      <w:kern w:val="0"/>
                      <w:szCs w:val="22"/>
                      <w:lang w:bidi="en-US"/>
                    </w:rPr>
                  </w:pPr>
                  <w:r>
                    <w:rPr>
                      <w:rFonts w:eastAsia="Times New Roman"/>
                      <w:kern w:val="0"/>
                      <w:szCs w:val="22"/>
                      <w:lang w:bidi="en-US"/>
                    </w:rPr>
                    <w:t>2</w:t>
                  </w:r>
                </w:p>
              </w:tc>
              <w:tc>
                <w:tcPr>
                  <w:tcW w:w="1651" w:type="pct"/>
                  <w:vAlign w:val="center"/>
                </w:tcPr>
                <w:p w14:paraId="62928C4D">
                  <w:pPr>
                    <w:widowControl/>
                    <w:spacing w:before="48" w:beforeLines="20" w:after="48" w:afterLines="20"/>
                    <w:jc w:val="center"/>
                    <w:rPr>
                      <w:rFonts w:eastAsia="Times New Roman"/>
                      <w:kern w:val="0"/>
                      <w:szCs w:val="22"/>
                      <w:lang w:eastAsia="en-US" w:bidi="en-US"/>
                    </w:rPr>
                  </w:pPr>
                  <w:r>
                    <w:rPr>
                      <w:rFonts w:eastAsia="Times New Roman"/>
                      <w:kern w:val="0"/>
                      <w:szCs w:val="22"/>
                    </w:rPr>
                    <w:drawing>
                      <wp:inline distT="0" distB="0" distL="0" distR="0">
                        <wp:extent cx="1190625" cy="1198880"/>
                        <wp:effectExtent l="0" t="0" r="9525"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190625" cy="1198880"/>
                                </a:xfrm>
                                <a:prstGeom prst="rect">
                                  <a:avLst/>
                                </a:prstGeom>
                                <a:noFill/>
                                <a:ln>
                                  <a:noFill/>
                                </a:ln>
                              </pic:spPr>
                            </pic:pic>
                          </a:graphicData>
                        </a:graphic>
                      </wp:inline>
                    </w:drawing>
                  </w:r>
                </w:p>
              </w:tc>
              <w:tc>
                <w:tcPr>
                  <w:tcW w:w="1652" w:type="pct"/>
                  <w:vAlign w:val="center"/>
                </w:tcPr>
                <w:p w14:paraId="2B1D5C37">
                  <w:pPr>
                    <w:widowControl/>
                    <w:jc w:val="center"/>
                    <w:rPr>
                      <w:rFonts w:eastAsia="Times New Roman"/>
                      <w:kern w:val="0"/>
                      <w:szCs w:val="22"/>
                      <w:lang w:eastAsia="en-US" w:bidi="en-US"/>
                    </w:rPr>
                  </w:pPr>
                  <w:r>
                    <w:rPr>
                      <w:rFonts w:eastAsia="Times New Roman"/>
                      <w:kern w:val="0"/>
                      <w:szCs w:val="22"/>
                    </w:rPr>
                    <w:drawing>
                      <wp:inline distT="0" distB="0" distL="0" distR="0">
                        <wp:extent cx="1190625" cy="1198880"/>
                        <wp:effectExtent l="0" t="0" r="952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190625" cy="1198880"/>
                                </a:xfrm>
                                <a:prstGeom prst="rect">
                                  <a:avLst/>
                                </a:prstGeom>
                                <a:noFill/>
                                <a:ln>
                                  <a:noFill/>
                                </a:ln>
                              </pic:spPr>
                            </pic:pic>
                          </a:graphicData>
                        </a:graphic>
                      </wp:inline>
                    </w:drawing>
                  </w:r>
                </w:p>
              </w:tc>
              <w:tc>
                <w:tcPr>
                  <w:tcW w:w="672" w:type="pct"/>
                  <w:vAlign w:val="center"/>
                </w:tcPr>
                <w:p w14:paraId="2067663A">
                  <w:pPr>
                    <w:widowControl/>
                    <w:jc w:val="center"/>
                    <w:rPr>
                      <w:rFonts w:eastAsia="Times New Roman"/>
                      <w:kern w:val="0"/>
                      <w:szCs w:val="22"/>
                      <w:lang w:bidi="en-US"/>
                    </w:rPr>
                  </w:pPr>
                  <w:r>
                    <w:rPr>
                      <w:rFonts w:hint="eastAsia" w:ascii="宋体" w:hAnsi="宋体" w:cs="宋体"/>
                      <w:kern w:val="0"/>
                      <w:szCs w:val="22"/>
                      <w:lang w:bidi="en-US"/>
                    </w:rPr>
                    <w:t>废水排放口</w:t>
                  </w:r>
                </w:p>
              </w:tc>
              <w:tc>
                <w:tcPr>
                  <w:tcW w:w="735" w:type="pct"/>
                  <w:gridSpan w:val="2"/>
                  <w:vAlign w:val="center"/>
                </w:tcPr>
                <w:p w14:paraId="39C9740C">
                  <w:pPr>
                    <w:widowControl/>
                    <w:jc w:val="center"/>
                    <w:rPr>
                      <w:rFonts w:eastAsia="Times New Roman"/>
                      <w:kern w:val="0"/>
                      <w:szCs w:val="22"/>
                      <w:lang w:bidi="en-US"/>
                    </w:rPr>
                  </w:pPr>
                  <w:r>
                    <w:rPr>
                      <w:rFonts w:hint="eastAsia" w:ascii="宋体" w:hAnsi="宋体" w:cs="宋体"/>
                      <w:kern w:val="0"/>
                      <w:szCs w:val="22"/>
                      <w:lang w:bidi="en-US"/>
                    </w:rPr>
                    <w:t>表示废水向水体排放</w:t>
                  </w:r>
                </w:p>
              </w:tc>
            </w:tr>
            <w:tr w14:paraId="49A538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3E851E9C">
                  <w:pPr>
                    <w:widowControl/>
                    <w:jc w:val="center"/>
                    <w:rPr>
                      <w:rFonts w:eastAsia="Times New Roman"/>
                      <w:kern w:val="0"/>
                      <w:szCs w:val="22"/>
                      <w:lang w:bidi="en-US"/>
                    </w:rPr>
                  </w:pPr>
                  <w:r>
                    <w:rPr>
                      <w:rFonts w:eastAsia="Times New Roman"/>
                      <w:kern w:val="0"/>
                      <w:szCs w:val="22"/>
                      <w:lang w:bidi="en-US"/>
                    </w:rPr>
                    <w:t>3</w:t>
                  </w:r>
                </w:p>
              </w:tc>
              <w:tc>
                <w:tcPr>
                  <w:tcW w:w="1651" w:type="pct"/>
                  <w:vAlign w:val="center"/>
                </w:tcPr>
                <w:p w14:paraId="13F41C65">
                  <w:pPr>
                    <w:widowControl/>
                    <w:spacing w:before="48" w:beforeLines="20" w:after="48" w:afterLines="20"/>
                    <w:jc w:val="center"/>
                    <w:rPr>
                      <w:rFonts w:eastAsia="Times New Roman"/>
                      <w:kern w:val="0"/>
                      <w:szCs w:val="22"/>
                      <w:lang w:eastAsia="en-US" w:bidi="en-US"/>
                    </w:rPr>
                  </w:pPr>
                  <w:r>
                    <w:rPr>
                      <w:rFonts w:eastAsia="Times New Roman"/>
                      <w:kern w:val="0"/>
                      <w:szCs w:val="22"/>
                    </w:rPr>
                    <w:drawing>
                      <wp:inline distT="0" distB="0" distL="0" distR="0">
                        <wp:extent cx="1164590" cy="1164590"/>
                        <wp:effectExtent l="0" t="0" r="16510" b="165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164590" cy="1164590"/>
                                </a:xfrm>
                                <a:prstGeom prst="rect">
                                  <a:avLst/>
                                </a:prstGeom>
                                <a:noFill/>
                                <a:ln>
                                  <a:noFill/>
                                </a:ln>
                              </pic:spPr>
                            </pic:pic>
                          </a:graphicData>
                        </a:graphic>
                      </wp:inline>
                    </w:drawing>
                  </w:r>
                </w:p>
              </w:tc>
              <w:tc>
                <w:tcPr>
                  <w:tcW w:w="1652" w:type="pct"/>
                  <w:vAlign w:val="center"/>
                </w:tcPr>
                <w:p w14:paraId="16F205D7">
                  <w:pPr>
                    <w:widowControl/>
                    <w:jc w:val="center"/>
                    <w:rPr>
                      <w:rFonts w:eastAsia="Times New Roman"/>
                      <w:kern w:val="0"/>
                      <w:szCs w:val="22"/>
                      <w:lang w:eastAsia="en-US" w:bidi="en-US"/>
                    </w:rPr>
                  </w:pPr>
                  <w:r>
                    <w:rPr>
                      <w:rFonts w:eastAsia="Times New Roman"/>
                      <w:kern w:val="0"/>
                      <w:szCs w:val="22"/>
                    </w:rPr>
                    <w:drawing>
                      <wp:inline distT="0" distB="0" distL="0" distR="0">
                        <wp:extent cx="1242060" cy="1104265"/>
                        <wp:effectExtent l="0" t="0" r="15240"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42060" cy="1104265"/>
                                </a:xfrm>
                                <a:prstGeom prst="rect">
                                  <a:avLst/>
                                </a:prstGeom>
                                <a:noFill/>
                                <a:ln>
                                  <a:noFill/>
                                </a:ln>
                              </pic:spPr>
                            </pic:pic>
                          </a:graphicData>
                        </a:graphic>
                      </wp:inline>
                    </w:drawing>
                  </w:r>
                </w:p>
              </w:tc>
              <w:tc>
                <w:tcPr>
                  <w:tcW w:w="672" w:type="pct"/>
                  <w:vAlign w:val="center"/>
                </w:tcPr>
                <w:p w14:paraId="5DD6D6F4">
                  <w:pPr>
                    <w:widowControl/>
                    <w:jc w:val="center"/>
                    <w:rPr>
                      <w:rFonts w:eastAsia="Times New Roman"/>
                      <w:kern w:val="0"/>
                      <w:szCs w:val="22"/>
                      <w:lang w:bidi="en-US"/>
                    </w:rPr>
                  </w:pPr>
                  <w:r>
                    <w:rPr>
                      <w:rFonts w:hint="eastAsia" w:ascii="宋体" w:hAnsi="宋体" w:cs="宋体"/>
                      <w:kern w:val="0"/>
                      <w:szCs w:val="22"/>
                      <w:lang w:bidi="en-US"/>
                    </w:rPr>
                    <w:t>噪声排放源</w:t>
                  </w:r>
                </w:p>
              </w:tc>
              <w:tc>
                <w:tcPr>
                  <w:tcW w:w="735" w:type="pct"/>
                  <w:gridSpan w:val="2"/>
                  <w:vAlign w:val="center"/>
                </w:tcPr>
                <w:p w14:paraId="16014448">
                  <w:pPr>
                    <w:widowControl/>
                    <w:jc w:val="center"/>
                    <w:rPr>
                      <w:rFonts w:eastAsia="Times New Roman"/>
                      <w:kern w:val="0"/>
                      <w:szCs w:val="22"/>
                      <w:lang w:bidi="en-US"/>
                    </w:rPr>
                  </w:pPr>
                  <w:r>
                    <w:rPr>
                      <w:rFonts w:hint="eastAsia" w:ascii="宋体" w:hAnsi="宋体" w:cs="宋体"/>
                      <w:kern w:val="0"/>
                      <w:szCs w:val="22"/>
                      <w:lang w:bidi="en-US"/>
                    </w:rPr>
                    <w:t>表示噪声向外环境排放</w:t>
                  </w:r>
                </w:p>
              </w:tc>
            </w:tr>
            <w:tr w14:paraId="3BC0E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627099E2">
                  <w:pPr>
                    <w:widowControl/>
                    <w:jc w:val="center"/>
                    <w:rPr>
                      <w:rFonts w:eastAsia="Times New Roman"/>
                      <w:kern w:val="0"/>
                      <w:szCs w:val="22"/>
                      <w:lang w:bidi="en-US"/>
                    </w:rPr>
                  </w:pPr>
                  <w:r>
                    <w:rPr>
                      <w:rFonts w:eastAsia="Times New Roman"/>
                      <w:kern w:val="0"/>
                      <w:szCs w:val="22"/>
                      <w:lang w:bidi="en-US"/>
                    </w:rPr>
                    <w:t>4</w:t>
                  </w:r>
                </w:p>
              </w:tc>
              <w:tc>
                <w:tcPr>
                  <w:tcW w:w="1651" w:type="pct"/>
                  <w:vAlign w:val="center"/>
                </w:tcPr>
                <w:p w14:paraId="14CC593B">
                  <w:pPr>
                    <w:widowControl/>
                    <w:spacing w:before="48" w:beforeLines="20" w:after="48" w:afterLines="20"/>
                    <w:jc w:val="center"/>
                    <w:rPr>
                      <w:rFonts w:eastAsia="Times New Roman"/>
                      <w:kern w:val="0"/>
                      <w:szCs w:val="22"/>
                      <w:lang w:eastAsia="en-US" w:bidi="en-US"/>
                    </w:rPr>
                  </w:pPr>
                  <w:r>
                    <w:rPr>
                      <w:rFonts w:eastAsia="Times New Roman"/>
                      <w:kern w:val="0"/>
                      <w:szCs w:val="22"/>
                    </w:rPr>
                    <w:drawing>
                      <wp:inline distT="0" distB="0" distL="0" distR="0">
                        <wp:extent cx="1164590" cy="1164590"/>
                        <wp:effectExtent l="0" t="0" r="16510" b="165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64590" cy="1164590"/>
                                </a:xfrm>
                                <a:prstGeom prst="rect">
                                  <a:avLst/>
                                </a:prstGeom>
                                <a:noFill/>
                                <a:ln>
                                  <a:noFill/>
                                </a:ln>
                              </pic:spPr>
                            </pic:pic>
                          </a:graphicData>
                        </a:graphic>
                      </wp:inline>
                    </w:drawing>
                  </w:r>
                </w:p>
              </w:tc>
              <w:tc>
                <w:tcPr>
                  <w:tcW w:w="1652" w:type="pct"/>
                  <w:vAlign w:val="center"/>
                </w:tcPr>
                <w:p w14:paraId="7E87F602">
                  <w:pPr>
                    <w:widowControl/>
                    <w:jc w:val="center"/>
                    <w:rPr>
                      <w:rFonts w:eastAsia="Times New Roman"/>
                      <w:kern w:val="0"/>
                      <w:szCs w:val="22"/>
                      <w:lang w:eastAsia="en-US" w:bidi="en-US"/>
                    </w:rPr>
                  </w:pPr>
                  <w:r>
                    <w:rPr>
                      <w:rFonts w:eastAsia="Times New Roman"/>
                      <w:kern w:val="0"/>
                      <w:szCs w:val="22"/>
                    </w:rPr>
                    <w:drawing>
                      <wp:inline distT="0" distB="0" distL="0" distR="0">
                        <wp:extent cx="1242060" cy="1155700"/>
                        <wp:effectExtent l="0" t="0" r="1524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42060" cy="1155700"/>
                                </a:xfrm>
                                <a:prstGeom prst="rect">
                                  <a:avLst/>
                                </a:prstGeom>
                                <a:noFill/>
                                <a:ln>
                                  <a:noFill/>
                                </a:ln>
                              </pic:spPr>
                            </pic:pic>
                          </a:graphicData>
                        </a:graphic>
                      </wp:inline>
                    </w:drawing>
                  </w:r>
                </w:p>
              </w:tc>
              <w:tc>
                <w:tcPr>
                  <w:tcW w:w="672" w:type="pct"/>
                  <w:vAlign w:val="center"/>
                </w:tcPr>
                <w:p w14:paraId="40F5B92A">
                  <w:pPr>
                    <w:widowControl/>
                    <w:jc w:val="center"/>
                    <w:rPr>
                      <w:rFonts w:eastAsia="Times New Roman"/>
                      <w:kern w:val="0"/>
                      <w:szCs w:val="22"/>
                      <w:lang w:eastAsia="en-US" w:bidi="en-US"/>
                    </w:rPr>
                  </w:pPr>
                  <w:r>
                    <w:rPr>
                      <w:rFonts w:hint="eastAsia" w:ascii="宋体" w:hAnsi="宋体" w:cs="宋体"/>
                      <w:kern w:val="0"/>
                      <w:szCs w:val="22"/>
                      <w:lang w:eastAsia="en-US" w:bidi="en-US"/>
                    </w:rPr>
                    <w:t>一般固体废物</w:t>
                  </w:r>
                </w:p>
              </w:tc>
              <w:tc>
                <w:tcPr>
                  <w:tcW w:w="735" w:type="pct"/>
                  <w:gridSpan w:val="2"/>
                  <w:vAlign w:val="center"/>
                </w:tcPr>
                <w:p w14:paraId="2DCD65A3">
                  <w:pPr>
                    <w:widowControl/>
                    <w:jc w:val="center"/>
                    <w:rPr>
                      <w:rFonts w:eastAsia="Times New Roman"/>
                      <w:kern w:val="0"/>
                      <w:szCs w:val="22"/>
                      <w:lang w:bidi="en-US"/>
                    </w:rPr>
                  </w:pPr>
                  <w:r>
                    <w:rPr>
                      <w:rFonts w:hint="eastAsia" w:ascii="宋体" w:hAnsi="宋体" w:cs="宋体"/>
                      <w:kern w:val="0"/>
                      <w:szCs w:val="22"/>
                      <w:lang w:bidi="en-US"/>
                    </w:rPr>
                    <w:t>表示一般固体废物贮存、处置场</w:t>
                  </w:r>
                </w:p>
              </w:tc>
            </w:tr>
            <w:tr w14:paraId="1416C5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14:paraId="739772A9">
                  <w:pPr>
                    <w:widowControl/>
                    <w:jc w:val="center"/>
                    <w:rPr>
                      <w:rFonts w:eastAsia="Times New Roman"/>
                      <w:kern w:val="0"/>
                      <w:szCs w:val="22"/>
                      <w:lang w:bidi="en-US"/>
                    </w:rPr>
                  </w:pPr>
                  <w:r>
                    <w:rPr>
                      <w:rFonts w:hint="eastAsia" w:ascii="宋体" w:hAnsi="宋体" w:cs="宋体"/>
                      <w:kern w:val="0"/>
                      <w:szCs w:val="22"/>
                      <w:lang w:bidi="en-US"/>
                    </w:rPr>
                    <w:t>危险废物</w:t>
                  </w:r>
                </w:p>
              </w:tc>
            </w:tr>
            <w:tr w14:paraId="361CEF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489C7B15">
                  <w:pPr>
                    <w:widowControl/>
                    <w:jc w:val="center"/>
                    <w:rPr>
                      <w:rFonts w:eastAsia="Times New Roman"/>
                      <w:kern w:val="0"/>
                      <w:szCs w:val="22"/>
                      <w:lang w:bidi="en-US"/>
                    </w:rPr>
                  </w:pPr>
                  <w:r>
                    <w:rPr>
                      <w:rFonts w:eastAsia="Times New Roman"/>
                      <w:kern w:val="0"/>
                      <w:szCs w:val="22"/>
                      <w:lang w:bidi="en-US"/>
                    </w:rPr>
                    <w:t>5</w:t>
                  </w:r>
                </w:p>
              </w:tc>
              <w:tc>
                <w:tcPr>
                  <w:tcW w:w="4007" w:type="pct"/>
                  <w:gridSpan w:val="4"/>
                  <w:vAlign w:val="center"/>
                </w:tcPr>
                <w:p w14:paraId="362AB97C">
                  <w:pPr>
                    <w:widowControl/>
                    <w:jc w:val="center"/>
                    <w:rPr>
                      <w:rFonts w:eastAsia="Times New Roman"/>
                      <w:kern w:val="0"/>
                      <w:szCs w:val="22"/>
                      <w:lang w:bidi="en-US"/>
                    </w:rPr>
                  </w:pPr>
                  <w:r>
                    <w:rPr>
                      <w:rFonts w:eastAsia="Times New Roman"/>
                      <w:kern w:val="0"/>
                      <w:szCs w:val="22"/>
                    </w:rPr>
                    <w:drawing>
                      <wp:inline distT="0" distB="0" distL="0" distR="0">
                        <wp:extent cx="2837815" cy="2837815"/>
                        <wp:effectExtent l="0" t="0" r="635" b="635"/>
                        <wp:docPr id="3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837815" cy="2837815"/>
                                </a:xfrm>
                                <a:prstGeom prst="rect">
                                  <a:avLst/>
                                </a:prstGeom>
                                <a:noFill/>
                                <a:ln>
                                  <a:noFill/>
                                </a:ln>
                              </pic:spPr>
                            </pic:pic>
                          </a:graphicData>
                        </a:graphic>
                      </wp:inline>
                    </w:drawing>
                  </w:r>
                </w:p>
              </w:tc>
              <w:tc>
                <w:tcPr>
                  <w:tcW w:w="703" w:type="pct"/>
                  <w:vAlign w:val="center"/>
                </w:tcPr>
                <w:p w14:paraId="201A9042">
                  <w:pPr>
                    <w:widowControl/>
                    <w:jc w:val="center"/>
                    <w:rPr>
                      <w:rFonts w:eastAsia="Times New Roman"/>
                      <w:kern w:val="0"/>
                      <w:szCs w:val="22"/>
                      <w:lang w:bidi="en-US"/>
                    </w:rPr>
                  </w:pPr>
                  <w:r>
                    <w:rPr>
                      <w:rFonts w:hint="eastAsia" w:ascii="宋体" w:hAnsi="宋体" w:cs="宋体"/>
                      <w:kern w:val="0"/>
                      <w:szCs w:val="22"/>
                      <w:lang w:bidi="en-US"/>
                    </w:rPr>
                    <w:t>危险废物标签</w:t>
                  </w:r>
                </w:p>
              </w:tc>
            </w:tr>
            <w:tr w14:paraId="1501E8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Align w:val="center"/>
                </w:tcPr>
                <w:p w14:paraId="0F0A71C1">
                  <w:pPr>
                    <w:widowControl/>
                    <w:jc w:val="center"/>
                    <w:rPr>
                      <w:rFonts w:eastAsia="Times New Roman"/>
                      <w:kern w:val="0"/>
                      <w:szCs w:val="22"/>
                      <w:lang w:bidi="en-US"/>
                    </w:rPr>
                  </w:pPr>
                  <w:r>
                    <w:rPr>
                      <w:rFonts w:eastAsia="Times New Roman"/>
                      <w:kern w:val="0"/>
                      <w:szCs w:val="22"/>
                      <w:lang w:bidi="en-US"/>
                    </w:rPr>
                    <w:t>6</w:t>
                  </w:r>
                </w:p>
              </w:tc>
              <w:tc>
                <w:tcPr>
                  <w:tcW w:w="4007" w:type="pct"/>
                  <w:gridSpan w:val="4"/>
                  <w:vAlign w:val="center"/>
                </w:tcPr>
                <w:p w14:paraId="1EBAB1E9">
                  <w:pPr>
                    <w:widowControl/>
                    <w:jc w:val="center"/>
                    <w:rPr>
                      <w:rFonts w:eastAsia="Times New Roman"/>
                      <w:kern w:val="0"/>
                      <w:szCs w:val="22"/>
                      <w:lang w:bidi="en-US"/>
                    </w:rPr>
                  </w:pPr>
                  <w:r>
                    <w:rPr>
                      <w:rFonts w:eastAsia="Times New Roman"/>
                      <w:kern w:val="0"/>
                      <w:szCs w:val="22"/>
                    </w:rPr>
                    <w:drawing>
                      <wp:inline distT="0" distB="0" distL="0" distR="0">
                        <wp:extent cx="2836545" cy="1785620"/>
                        <wp:effectExtent l="0" t="0" r="1905"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848527" cy="1793105"/>
                                </a:xfrm>
                                <a:prstGeom prst="rect">
                                  <a:avLst/>
                                </a:prstGeom>
                                <a:noFill/>
                                <a:ln>
                                  <a:noFill/>
                                </a:ln>
                              </pic:spPr>
                            </pic:pic>
                          </a:graphicData>
                        </a:graphic>
                      </wp:inline>
                    </w:drawing>
                  </w:r>
                </w:p>
              </w:tc>
              <w:tc>
                <w:tcPr>
                  <w:tcW w:w="703" w:type="pct"/>
                  <w:vAlign w:val="center"/>
                </w:tcPr>
                <w:p w14:paraId="7B480558">
                  <w:pPr>
                    <w:widowControl/>
                    <w:jc w:val="center"/>
                    <w:rPr>
                      <w:rFonts w:eastAsia="Times New Roman"/>
                      <w:kern w:val="0"/>
                      <w:szCs w:val="22"/>
                      <w:lang w:bidi="en-US"/>
                    </w:rPr>
                  </w:pPr>
                  <w:r>
                    <w:rPr>
                      <w:rFonts w:hint="eastAsia" w:ascii="宋体" w:hAnsi="宋体" w:cs="宋体"/>
                      <w:kern w:val="0"/>
                      <w:szCs w:val="22"/>
                      <w:lang w:bidi="en-US"/>
                    </w:rPr>
                    <w:t>危险废物贮存设施标志</w:t>
                  </w:r>
                </w:p>
                <w:bookmarkEnd w:id="26"/>
              </w:tc>
            </w:tr>
          </w:tbl>
          <w:p w14:paraId="0547D0F3">
            <w:pPr>
              <w:autoSpaceDE w:val="0"/>
              <w:autoSpaceDN w:val="0"/>
              <w:spacing w:line="460" w:lineRule="exact"/>
              <w:ind w:firstLine="480" w:firstLineChars="200"/>
            </w:pPr>
          </w:p>
          <w:p w14:paraId="3B4F0A5D">
            <w:pPr>
              <w:adjustRightInd w:val="0"/>
              <w:snapToGrid w:val="0"/>
              <w:spacing w:line="360" w:lineRule="auto"/>
              <w:ind w:firstLine="442" w:firstLineChars="200"/>
              <w:rPr>
                <w:b/>
                <w:spacing w:val="-10"/>
              </w:rPr>
            </w:pPr>
          </w:p>
        </w:tc>
      </w:tr>
    </w:tbl>
    <w:p w14:paraId="4E3535A9">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14:paraId="6A586EAE">
      <w:pPr>
        <w:pStyle w:val="19"/>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7" w:name="_Hlk54167917"/>
      <w:r>
        <w:rPr>
          <w:rFonts w:ascii="Times New Roman" w:hAnsi="Times New Roman" w:eastAsia="黑体"/>
          <w:snapToGrid w:val="0"/>
          <w:sz w:val="30"/>
          <w:szCs w:val="30"/>
        </w:rPr>
        <w:t>环境保护措施监督检查清单</w:t>
      </w:r>
      <w:bookmarkEnd w:id="27"/>
    </w:p>
    <w:tbl>
      <w:tblPr>
        <w:tblStyle w:val="24"/>
        <w:tblW w:w="8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151"/>
        <w:gridCol w:w="1340"/>
        <w:gridCol w:w="1860"/>
        <w:gridCol w:w="2046"/>
      </w:tblGrid>
      <w:tr w14:paraId="15B41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59" w:type="dxa"/>
            <w:tcBorders>
              <w:tl2br w:val="single" w:color="auto" w:sz="4" w:space="0"/>
            </w:tcBorders>
          </w:tcPr>
          <w:p w14:paraId="5D9B04B1">
            <w:pPr>
              <w:adjustRightInd w:val="0"/>
              <w:snapToGrid w:val="0"/>
              <w:ind w:firstLine="630" w:firstLineChars="300"/>
              <w:rPr>
                <w:sz w:val="21"/>
                <w:szCs w:val="21"/>
              </w:rPr>
            </w:pPr>
            <w:r>
              <w:rPr>
                <w:sz w:val="21"/>
                <w:szCs w:val="21"/>
              </w:rPr>
              <w:t>内容</w:t>
            </w:r>
          </w:p>
          <w:p w14:paraId="1F0FE154">
            <w:pPr>
              <w:adjustRightInd w:val="0"/>
              <w:snapToGrid w:val="0"/>
              <w:rPr>
                <w:sz w:val="21"/>
                <w:szCs w:val="21"/>
              </w:rPr>
            </w:pPr>
            <w:r>
              <w:rPr>
                <w:sz w:val="21"/>
                <w:szCs w:val="21"/>
              </w:rPr>
              <w:t>要素</w:t>
            </w:r>
          </w:p>
        </w:tc>
        <w:tc>
          <w:tcPr>
            <w:tcW w:w="2151" w:type="dxa"/>
            <w:vAlign w:val="center"/>
          </w:tcPr>
          <w:p w14:paraId="3F4423FD">
            <w:pPr>
              <w:adjustRightInd w:val="0"/>
              <w:snapToGrid w:val="0"/>
              <w:jc w:val="center"/>
              <w:rPr>
                <w:sz w:val="21"/>
                <w:szCs w:val="21"/>
              </w:rPr>
            </w:pPr>
            <w:r>
              <w:rPr>
                <w:sz w:val="21"/>
                <w:szCs w:val="21"/>
              </w:rPr>
              <w:t>排放口</w:t>
            </w:r>
            <w:r>
              <w:rPr>
                <w:rFonts w:hint="eastAsia"/>
                <w:sz w:val="21"/>
                <w:szCs w:val="21"/>
              </w:rPr>
              <w:t>（编号、</w:t>
            </w:r>
          </w:p>
          <w:p w14:paraId="34257DE6">
            <w:pPr>
              <w:adjustRightInd w:val="0"/>
              <w:snapToGrid w:val="0"/>
              <w:jc w:val="center"/>
              <w:rPr>
                <w:sz w:val="21"/>
                <w:szCs w:val="21"/>
              </w:rPr>
            </w:pPr>
            <w:r>
              <w:rPr>
                <w:rFonts w:hint="eastAsia"/>
                <w:sz w:val="21"/>
                <w:szCs w:val="21"/>
              </w:rPr>
              <w:t>名称）</w:t>
            </w:r>
            <w:r>
              <w:rPr>
                <w:sz w:val="21"/>
                <w:szCs w:val="21"/>
              </w:rPr>
              <w:t>/污染源</w:t>
            </w:r>
          </w:p>
        </w:tc>
        <w:tc>
          <w:tcPr>
            <w:tcW w:w="1340" w:type="dxa"/>
            <w:vAlign w:val="center"/>
          </w:tcPr>
          <w:p w14:paraId="1D5BA3FE">
            <w:pPr>
              <w:adjustRightInd w:val="0"/>
              <w:snapToGrid w:val="0"/>
              <w:jc w:val="center"/>
              <w:rPr>
                <w:sz w:val="21"/>
                <w:szCs w:val="21"/>
              </w:rPr>
            </w:pPr>
            <w:r>
              <w:rPr>
                <w:sz w:val="21"/>
                <w:szCs w:val="21"/>
              </w:rPr>
              <w:t>污染物项目</w:t>
            </w:r>
          </w:p>
        </w:tc>
        <w:tc>
          <w:tcPr>
            <w:tcW w:w="1860" w:type="dxa"/>
            <w:vAlign w:val="center"/>
          </w:tcPr>
          <w:p w14:paraId="5FAF0D08">
            <w:pPr>
              <w:adjustRightInd w:val="0"/>
              <w:snapToGrid w:val="0"/>
              <w:jc w:val="center"/>
              <w:rPr>
                <w:sz w:val="21"/>
                <w:szCs w:val="21"/>
              </w:rPr>
            </w:pPr>
            <w:r>
              <w:rPr>
                <w:sz w:val="21"/>
                <w:szCs w:val="21"/>
              </w:rPr>
              <w:t>环境保护措施</w:t>
            </w:r>
          </w:p>
        </w:tc>
        <w:tc>
          <w:tcPr>
            <w:tcW w:w="2046" w:type="dxa"/>
            <w:vAlign w:val="center"/>
          </w:tcPr>
          <w:p w14:paraId="5993C9DD">
            <w:pPr>
              <w:adjustRightInd w:val="0"/>
              <w:snapToGrid w:val="0"/>
              <w:jc w:val="center"/>
              <w:rPr>
                <w:sz w:val="21"/>
                <w:szCs w:val="21"/>
              </w:rPr>
            </w:pPr>
            <w:r>
              <w:rPr>
                <w:sz w:val="21"/>
                <w:szCs w:val="21"/>
              </w:rPr>
              <w:t>执行标准</w:t>
            </w:r>
          </w:p>
        </w:tc>
      </w:tr>
      <w:tr w14:paraId="0F2FA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restart"/>
            <w:vAlign w:val="center"/>
          </w:tcPr>
          <w:p w14:paraId="397A92D3">
            <w:pPr>
              <w:adjustRightInd w:val="0"/>
              <w:snapToGrid w:val="0"/>
              <w:jc w:val="center"/>
              <w:rPr>
                <w:sz w:val="21"/>
                <w:szCs w:val="21"/>
              </w:rPr>
            </w:pPr>
            <w:r>
              <w:rPr>
                <w:sz w:val="21"/>
                <w:szCs w:val="21"/>
              </w:rPr>
              <w:t>大气环境</w:t>
            </w:r>
          </w:p>
        </w:tc>
        <w:tc>
          <w:tcPr>
            <w:tcW w:w="2151" w:type="dxa"/>
            <w:vAlign w:val="center"/>
          </w:tcPr>
          <w:p w14:paraId="2E5F8B7C">
            <w:pPr>
              <w:adjustRightInd w:val="0"/>
              <w:snapToGrid w:val="0"/>
              <w:jc w:val="center"/>
              <w:rPr>
                <w:sz w:val="21"/>
                <w:szCs w:val="21"/>
              </w:rPr>
            </w:pPr>
            <w:r>
              <w:rPr>
                <w:rFonts w:hint="eastAsia"/>
                <w:sz w:val="21"/>
                <w:szCs w:val="21"/>
              </w:rPr>
              <w:t>水泥稳定土生产线搅拌粉尘排气筒（</w:t>
            </w:r>
            <w:r>
              <w:rPr>
                <w:sz w:val="21"/>
                <w:szCs w:val="21"/>
              </w:rPr>
              <w:t>DA001</w:t>
            </w:r>
            <w:r>
              <w:rPr>
                <w:rFonts w:hint="eastAsia"/>
                <w:sz w:val="21"/>
                <w:szCs w:val="21"/>
              </w:rPr>
              <w:t>）</w:t>
            </w:r>
          </w:p>
        </w:tc>
        <w:tc>
          <w:tcPr>
            <w:tcW w:w="1340" w:type="dxa"/>
            <w:vAlign w:val="center"/>
          </w:tcPr>
          <w:p w14:paraId="2276DDEE">
            <w:pPr>
              <w:adjustRightInd w:val="0"/>
              <w:snapToGrid w:val="0"/>
              <w:jc w:val="center"/>
              <w:rPr>
                <w:sz w:val="21"/>
                <w:szCs w:val="21"/>
              </w:rPr>
            </w:pPr>
            <w:r>
              <w:rPr>
                <w:kern w:val="0"/>
                <w:sz w:val="21"/>
                <w:szCs w:val="21"/>
                <w:lang w:bidi="ar"/>
              </w:rPr>
              <w:t>颗粒物</w:t>
            </w:r>
          </w:p>
        </w:tc>
        <w:tc>
          <w:tcPr>
            <w:tcW w:w="1860" w:type="dxa"/>
            <w:vAlign w:val="center"/>
          </w:tcPr>
          <w:p w14:paraId="452CAAAF">
            <w:pPr>
              <w:adjustRightInd w:val="0"/>
              <w:snapToGrid w:val="0"/>
              <w:jc w:val="center"/>
              <w:rPr>
                <w:sz w:val="21"/>
                <w:szCs w:val="21"/>
              </w:rPr>
            </w:pPr>
            <w:r>
              <w:rPr>
                <w:rFonts w:hint="eastAsia"/>
                <w:sz w:val="21"/>
                <w:szCs w:val="21"/>
              </w:rPr>
              <w:t>搅拌粉尘经</w:t>
            </w:r>
            <w:r>
              <w:rPr>
                <w:bCs/>
                <w:sz w:val="21"/>
                <w:szCs w:val="21"/>
              </w:rPr>
              <w:t>袋式除尘器</w:t>
            </w:r>
            <w:r>
              <w:rPr>
                <w:rFonts w:hint="eastAsia"/>
                <w:bCs/>
                <w:sz w:val="21"/>
                <w:szCs w:val="21"/>
              </w:rPr>
              <w:t>处理后通过1根</w:t>
            </w:r>
            <w:r>
              <w:rPr>
                <w:bCs/>
                <w:sz w:val="21"/>
                <w:szCs w:val="21"/>
              </w:rPr>
              <w:t>15m高排气筒（</w:t>
            </w:r>
            <w:r>
              <w:rPr>
                <w:kern w:val="0"/>
                <w:sz w:val="21"/>
                <w:szCs w:val="21"/>
                <w:lang w:bidi="ar"/>
              </w:rPr>
              <w:t>DA001</w:t>
            </w:r>
            <w:r>
              <w:rPr>
                <w:rFonts w:hint="eastAsia"/>
                <w:bCs/>
                <w:sz w:val="21"/>
                <w:szCs w:val="21"/>
              </w:rPr>
              <w:t>）排放</w:t>
            </w:r>
          </w:p>
        </w:tc>
        <w:tc>
          <w:tcPr>
            <w:tcW w:w="2046" w:type="dxa"/>
            <w:vAlign w:val="center"/>
          </w:tcPr>
          <w:p w14:paraId="5D9CD064">
            <w:pPr>
              <w:jc w:val="center"/>
              <w:rPr>
                <w:sz w:val="21"/>
                <w:szCs w:val="21"/>
              </w:rPr>
            </w:pPr>
            <w:r>
              <w:rPr>
                <w:rFonts w:hint="eastAsia"/>
                <w:sz w:val="21"/>
                <w:szCs w:val="21"/>
              </w:rPr>
              <w:t>《水泥工业大气污染物排放标准》</w:t>
            </w:r>
          </w:p>
          <w:p w14:paraId="63F37DD8">
            <w:pPr>
              <w:adjustRightInd w:val="0"/>
              <w:snapToGrid w:val="0"/>
              <w:jc w:val="center"/>
              <w:rPr>
                <w:sz w:val="21"/>
                <w:szCs w:val="21"/>
              </w:rPr>
            </w:pPr>
            <w:r>
              <w:rPr>
                <w:rFonts w:hint="eastAsia"/>
                <w:sz w:val="21"/>
                <w:szCs w:val="21"/>
              </w:rPr>
              <w:t>（GB4915-2013）大气污染物排放限值20mg/m</w:t>
            </w:r>
            <w:r>
              <w:rPr>
                <w:rFonts w:hint="eastAsia"/>
                <w:sz w:val="21"/>
                <w:szCs w:val="21"/>
                <w:vertAlign w:val="superscript"/>
              </w:rPr>
              <w:t>3</w:t>
            </w:r>
            <w:r>
              <w:rPr>
                <w:rFonts w:hint="eastAsia"/>
                <w:sz w:val="21"/>
                <w:szCs w:val="21"/>
              </w:rPr>
              <w:t>要求</w:t>
            </w:r>
          </w:p>
        </w:tc>
      </w:tr>
      <w:tr w14:paraId="49484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325D3916">
            <w:pPr>
              <w:adjustRightInd w:val="0"/>
              <w:snapToGrid w:val="0"/>
              <w:jc w:val="center"/>
              <w:rPr>
                <w:sz w:val="21"/>
                <w:szCs w:val="21"/>
              </w:rPr>
            </w:pPr>
          </w:p>
        </w:tc>
        <w:tc>
          <w:tcPr>
            <w:tcW w:w="2151" w:type="dxa"/>
            <w:vAlign w:val="center"/>
          </w:tcPr>
          <w:p w14:paraId="3D63D284">
            <w:pPr>
              <w:adjustRightInd w:val="0"/>
              <w:snapToGrid w:val="0"/>
              <w:jc w:val="center"/>
              <w:rPr>
                <w:sz w:val="21"/>
                <w:szCs w:val="21"/>
              </w:rPr>
            </w:pPr>
            <w:r>
              <w:rPr>
                <w:rFonts w:hint="eastAsia"/>
                <w:sz w:val="21"/>
                <w:szCs w:val="21"/>
              </w:rPr>
              <w:t>沥青混凝土生产线骨料烘干废气排气筒（</w:t>
            </w:r>
            <w:r>
              <w:rPr>
                <w:sz w:val="21"/>
                <w:szCs w:val="21"/>
              </w:rPr>
              <w:t>DA002</w:t>
            </w:r>
            <w:r>
              <w:rPr>
                <w:rFonts w:hint="eastAsia"/>
                <w:sz w:val="21"/>
                <w:szCs w:val="21"/>
              </w:rPr>
              <w:t>）</w:t>
            </w:r>
          </w:p>
        </w:tc>
        <w:tc>
          <w:tcPr>
            <w:tcW w:w="1340" w:type="dxa"/>
            <w:vAlign w:val="center"/>
          </w:tcPr>
          <w:p w14:paraId="398FDD68">
            <w:pPr>
              <w:adjustRightInd w:val="0"/>
              <w:snapToGrid w:val="0"/>
              <w:jc w:val="center"/>
              <w:rPr>
                <w:sz w:val="21"/>
                <w:szCs w:val="21"/>
              </w:rPr>
            </w:pPr>
            <w:r>
              <w:rPr>
                <w:kern w:val="0"/>
                <w:sz w:val="21"/>
                <w:szCs w:val="21"/>
                <w:lang w:bidi="ar"/>
              </w:rPr>
              <w:t>颗粒物</w:t>
            </w:r>
            <w:r>
              <w:rPr>
                <w:rFonts w:hint="eastAsia"/>
                <w:kern w:val="0"/>
                <w:sz w:val="21"/>
                <w:szCs w:val="21"/>
                <w:lang w:bidi="ar"/>
              </w:rPr>
              <w:t>、氮氧化物</w:t>
            </w:r>
          </w:p>
        </w:tc>
        <w:tc>
          <w:tcPr>
            <w:tcW w:w="1860" w:type="dxa"/>
            <w:vAlign w:val="center"/>
          </w:tcPr>
          <w:p w14:paraId="5F2DB53F">
            <w:pPr>
              <w:adjustRightInd w:val="0"/>
              <w:snapToGrid w:val="0"/>
              <w:jc w:val="center"/>
              <w:rPr>
                <w:sz w:val="21"/>
                <w:szCs w:val="21"/>
              </w:rPr>
            </w:pPr>
            <w:r>
              <w:rPr>
                <w:rFonts w:hint="eastAsia"/>
                <w:sz w:val="21"/>
                <w:szCs w:val="21"/>
              </w:rPr>
              <w:t>骨料烘干废气经“低氮燃烧+袋式除尘器”</w:t>
            </w:r>
            <w:r>
              <w:rPr>
                <w:rFonts w:hint="eastAsia"/>
                <w:bCs/>
                <w:sz w:val="21"/>
                <w:szCs w:val="21"/>
              </w:rPr>
              <w:t>处理后通过1根</w:t>
            </w:r>
            <w:r>
              <w:rPr>
                <w:bCs/>
                <w:sz w:val="21"/>
                <w:szCs w:val="21"/>
              </w:rPr>
              <w:t>15m高排气筒（</w:t>
            </w:r>
            <w:r>
              <w:rPr>
                <w:kern w:val="0"/>
                <w:sz w:val="21"/>
                <w:szCs w:val="21"/>
                <w:lang w:bidi="ar"/>
              </w:rPr>
              <w:t>DA002</w:t>
            </w:r>
            <w:r>
              <w:rPr>
                <w:bCs/>
                <w:sz w:val="21"/>
                <w:szCs w:val="21"/>
              </w:rPr>
              <w:t>）</w:t>
            </w:r>
            <w:r>
              <w:rPr>
                <w:rFonts w:hint="eastAsia"/>
                <w:bCs/>
                <w:sz w:val="21"/>
                <w:szCs w:val="21"/>
              </w:rPr>
              <w:t>排放</w:t>
            </w:r>
          </w:p>
        </w:tc>
        <w:tc>
          <w:tcPr>
            <w:tcW w:w="2046" w:type="dxa"/>
            <w:vAlign w:val="center"/>
          </w:tcPr>
          <w:p w14:paraId="778F2340">
            <w:pPr>
              <w:adjustRightInd w:val="0"/>
              <w:snapToGrid w:val="0"/>
              <w:jc w:val="center"/>
              <w:rPr>
                <w:sz w:val="21"/>
                <w:szCs w:val="21"/>
              </w:rPr>
            </w:pPr>
            <w:r>
              <w:rPr>
                <w:sz w:val="21"/>
                <w:szCs w:val="21"/>
              </w:rPr>
              <w:t>《</w:t>
            </w:r>
            <w:r>
              <w:rPr>
                <w:rFonts w:hint="eastAsia"/>
                <w:sz w:val="21"/>
                <w:szCs w:val="21"/>
              </w:rPr>
              <w:t>新疆维吾尔自治区工业炉窑大气污染综合治理实施方案</w:t>
            </w:r>
            <w:r>
              <w:rPr>
                <w:sz w:val="21"/>
                <w:szCs w:val="21"/>
              </w:rPr>
              <w:t>》</w:t>
            </w:r>
            <w:r>
              <w:rPr>
                <w:rFonts w:hint="eastAsia"/>
                <w:sz w:val="21"/>
                <w:szCs w:val="21"/>
              </w:rPr>
              <w:t>（颗粒物排放浓度3</w:t>
            </w:r>
            <w:r>
              <w:rPr>
                <w:sz w:val="21"/>
                <w:szCs w:val="21"/>
              </w:rPr>
              <w:t>0mg/m</w:t>
            </w:r>
            <w:r>
              <w:rPr>
                <w:sz w:val="21"/>
                <w:szCs w:val="21"/>
                <w:vertAlign w:val="superscript"/>
              </w:rPr>
              <w:t>3</w:t>
            </w:r>
            <w:r>
              <w:rPr>
                <w:rFonts w:hint="eastAsia"/>
                <w:sz w:val="21"/>
                <w:szCs w:val="21"/>
              </w:rPr>
              <w:t>、氮氧化物排放浓度</w:t>
            </w:r>
            <w:r>
              <w:rPr>
                <w:sz w:val="21"/>
                <w:szCs w:val="21"/>
              </w:rPr>
              <w:t>300mg/m</w:t>
            </w:r>
            <w:r>
              <w:rPr>
                <w:sz w:val="21"/>
                <w:szCs w:val="21"/>
                <w:vertAlign w:val="superscript"/>
              </w:rPr>
              <w:t>3</w:t>
            </w:r>
            <w:r>
              <w:rPr>
                <w:rFonts w:hint="eastAsia"/>
                <w:sz w:val="21"/>
                <w:szCs w:val="21"/>
              </w:rPr>
              <w:t>）</w:t>
            </w:r>
          </w:p>
        </w:tc>
      </w:tr>
      <w:tr w14:paraId="0C1D4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4F0F594">
            <w:pPr>
              <w:adjustRightInd w:val="0"/>
              <w:snapToGrid w:val="0"/>
              <w:jc w:val="center"/>
              <w:rPr>
                <w:sz w:val="21"/>
                <w:szCs w:val="21"/>
              </w:rPr>
            </w:pPr>
          </w:p>
        </w:tc>
        <w:tc>
          <w:tcPr>
            <w:tcW w:w="2151" w:type="dxa"/>
            <w:vAlign w:val="center"/>
          </w:tcPr>
          <w:p w14:paraId="5B0A25E6">
            <w:pPr>
              <w:adjustRightInd w:val="0"/>
              <w:snapToGrid w:val="0"/>
              <w:jc w:val="center"/>
              <w:rPr>
                <w:sz w:val="21"/>
                <w:szCs w:val="21"/>
              </w:rPr>
            </w:pPr>
            <w:r>
              <w:rPr>
                <w:rFonts w:hint="eastAsia"/>
                <w:sz w:val="21"/>
                <w:szCs w:val="21"/>
              </w:rPr>
              <w:t>沥青混凝土生产线</w:t>
            </w:r>
            <w:r>
              <w:rPr>
                <w:sz w:val="21"/>
                <w:szCs w:val="21"/>
              </w:rPr>
              <w:t>沥青加热搅拌废气</w:t>
            </w:r>
            <w:r>
              <w:rPr>
                <w:rFonts w:hint="eastAsia"/>
                <w:sz w:val="21"/>
                <w:szCs w:val="21"/>
              </w:rPr>
              <w:t>排气筒（</w:t>
            </w:r>
            <w:r>
              <w:rPr>
                <w:sz w:val="21"/>
                <w:szCs w:val="21"/>
              </w:rPr>
              <w:t>DA003</w:t>
            </w:r>
            <w:r>
              <w:rPr>
                <w:rFonts w:hint="eastAsia"/>
                <w:sz w:val="21"/>
                <w:szCs w:val="21"/>
              </w:rPr>
              <w:t>）</w:t>
            </w:r>
          </w:p>
        </w:tc>
        <w:tc>
          <w:tcPr>
            <w:tcW w:w="1340" w:type="dxa"/>
            <w:vAlign w:val="center"/>
          </w:tcPr>
          <w:p w14:paraId="2F5CE191">
            <w:pPr>
              <w:adjustRightInd w:val="0"/>
              <w:snapToGrid w:val="0"/>
              <w:jc w:val="center"/>
              <w:rPr>
                <w:kern w:val="0"/>
                <w:sz w:val="21"/>
                <w:szCs w:val="21"/>
                <w:lang w:bidi="ar"/>
              </w:rPr>
            </w:pPr>
            <w:r>
              <w:rPr>
                <w:kern w:val="0"/>
                <w:sz w:val="21"/>
                <w:szCs w:val="21"/>
                <w:lang w:bidi="ar"/>
              </w:rPr>
              <w:t>沥青烟、苯并[a]芘、非甲烷总烃</w:t>
            </w:r>
          </w:p>
        </w:tc>
        <w:tc>
          <w:tcPr>
            <w:tcW w:w="1860" w:type="dxa"/>
            <w:vAlign w:val="center"/>
          </w:tcPr>
          <w:p w14:paraId="19463891">
            <w:pPr>
              <w:adjustRightInd w:val="0"/>
              <w:snapToGrid w:val="0"/>
              <w:jc w:val="center"/>
              <w:rPr>
                <w:bCs/>
                <w:sz w:val="21"/>
                <w:szCs w:val="21"/>
              </w:rPr>
            </w:pPr>
            <w:r>
              <w:rPr>
                <w:rFonts w:hint="eastAsia"/>
                <w:bCs/>
                <w:sz w:val="21"/>
                <w:szCs w:val="21"/>
              </w:rPr>
              <w:t>沥青加热及搅拌废气经“喷淋塔+电捕焦油器+活性炭吸附装置”处理后由1根15m高排气筒（DA003）排放</w:t>
            </w:r>
          </w:p>
        </w:tc>
        <w:tc>
          <w:tcPr>
            <w:tcW w:w="2046" w:type="dxa"/>
            <w:vAlign w:val="center"/>
          </w:tcPr>
          <w:p w14:paraId="35F4D1B1">
            <w:pPr>
              <w:adjustRightInd w:val="0"/>
              <w:snapToGrid w:val="0"/>
              <w:jc w:val="center"/>
              <w:rPr>
                <w:sz w:val="21"/>
                <w:szCs w:val="21"/>
              </w:rPr>
            </w:pPr>
            <w:r>
              <w:rPr>
                <w:rFonts w:hint="eastAsia"/>
                <w:sz w:val="21"/>
                <w:szCs w:val="21"/>
              </w:rPr>
              <w:t>《大气污染物</w:t>
            </w:r>
            <w:r>
              <w:rPr>
                <w:sz w:val="21"/>
                <w:szCs w:val="21"/>
              </w:rPr>
              <w:t>综合排放标准</w:t>
            </w:r>
            <w:r>
              <w:rPr>
                <w:rFonts w:hint="eastAsia"/>
                <w:sz w:val="21"/>
                <w:szCs w:val="21"/>
              </w:rPr>
              <w:t>》（GB16297-1996）表2</w:t>
            </w:r>
            <w:r>
              <w:rPr>
                <w:snapToGrid w:val="0"/>
                <w:sz w:val="21"/>
                <w:szCs w:val="21"/>
              </w:rPr>
              <w:t>新污染源大气污染物排放限值</w:t>
            </w:r>
            <w:r>
              <w:rPr>
                <w:rFonts w:hint="eastAsia"/>
                <w:snapToGrid w:val="0"/>
                <w:sz w:val="21"/>
                <w:szCs w:val="21"/>
              </w:rPr>
              <w:t>沥青烟（</w:t>
            </w:r>
            <w:r>
              <w:rPr>
                <w:rFonts w:hint="eastAsia"/>
                <w:sz w:val="21"/>
                <w:szCs w:val="21"/>
              </w:rPr>
              <w:t>排放浓度</w:t>
            </w:r>
            <w:r>
              <w:rPr>
                <w:sz w:val="21"/>
                <w:szCs w:val="21"/>
              </w:rPr>
              <w:t>75mg/m</w:t>
            </w:r>
            <w:r>
              <w:rPr>
                <w:sz w:val="21"/>
                <w:szCs w:val="21"/>
                <w:vertAlign w:val="superscript"/>
              </w:rPr>
              <w:t>3</w:t>
            </w:r>
            <w:r>
              <w:rPr>
                <w:rFonts w:hint="eastAsia"/>
                <w:sz w:val="21"/>
                <w:szCs w:val="21"/>
              </w:rPr>
              <w:t>、排放速率</w:t>
            </w:r>
            <w:r>
              <w:rPr>
                <w:sz w:val="21"/>
                <w:szCs w:val="21"/>
              </w:rPr>
              <w:t>0.18kg/h</w:t>
            </w:r>
            <w:r>
              <w:rPr>
                <w:rFonts w:hint="eastAsia"/>
                <w:snapToGrid w:val="0"/>
                <w:sz w:val="21"/>
                <w:szCs w:val="21"/>
              </w:rPr>
              <w:t>）、苯并[a]芘（</w:t>
            </w:r>
            <w:r>
              <w:rPr>
                <w:rFonts w:hint="eastAsia"/>
                <w:sz w:val="21"/>
                <w:szCs w:val="21"/>
              </w:rPr>
              <w:t>排放浓度</w:t>
            </w:r>
            <w:r>
              <w:rPr>
                <w:sz w:val="21"/>
                <w:szCs w:val="21"/>
              </w:rPr>
              <w:t>0.30×10</w:t>
            </w:r>
            <w:r>
              <w:rPr>
                <w:sz w:val="21"/>
                <w:szCs w:val="21"/>
                <w:vertAlign w:val="superscript"/>
              </w:rPr>
              <w:t>-3</w:t>
            </w:r>
            <w:r>
              <w:rPr>
                <w:sz w:val="21"/>
                <w:szCs w:val="21"/>
              </w:rPr>
              <w:t>mg/m</w:t>
            </w:r>
            <w:r>
              <w:rPr>
                <w:sz w:val="21"/>
                <w:szCs w:val="21"/>
                <w:vertAlign w:val="superscript"/>
              </w:rPr>
              <w:t>3</w:t>
            </w:r>
            <w:r>
              <w:rPr>
                <w:rFonts w:hint="eastAsia"/>
                <w:sz w:val="21"/>
                <w:szCs w:val="21"/>
              </w:rPr>
              <w:t>、排放速率</w:t>
            </w:r>
            <w:r>
              <w:rPr>
                <w:sz w:val="21"/>
                <w:szCs w:val="21"/>
              </w:rPr>
              <w:t>0.050×10</w:t>
            </w:r>
            <w:r>
              <w:rPr>
                <w:sz w:val="21"/>
                <w:szCs w:val="21"/>
                <w:vertAlign w:val="superscript"/>
              </w:rPr>
              <w:t>-3</w:t>
            </w:r>
            <w:r>
              <w:rPr>
                <w:sz w:val="21"/>
                <w:szCs w:val="21"/>
              </w:rPr>
              <w:t>kg/h</w:t>
            </w:r>
            <w:r>
              <w:rPr>
                <w:rFonts w:hint="eastAsia"/>
                <w:snapToGrid w:val="0"/>
                <w:sz w:val="21"/>
                <w:szCs w:val="21"/>
              </w:rPr>
              <w:t>）、</w:t>
            </w:r>
            <w:r>
              <w:rPr>
                <w:snapToGrid w:val="0"/>
                <w:sz w:val="21"/>
                <w:szCs w:val="21"/>
              </w:rPr>
              <w:t>非甲烷总烃</w:t>
            </w:r>
            <w:r>
              <w:rPr>
                <w:rFonts w:hint="eastAsia"/>
                <w:snapToGrid w:val="0"/>
                <w:sz w:val="21"/>
                <w:szCs w:val="21"/>
              </w:rPr>
              <w:t>（</w:t>
            </w:r>
            <w:r>
              <w:rPr>
                <w:rFonts w:hint="eastAsia"/>
                <w:sz w:val="21"/>
                <w:szCs w:val="21"/>
              </w:rPr>
              <w:t>排放浓度</w:t>
            </w:r>
            <w:r>
              <w:rPr>
                <w:sz w:val="21"/>
                <w:szCs w:val="21"/>
              </w:rPr>
              <w:t>120mg/m</w:t>
            </w:r>
            <w:r>
              <w:rPr>
                <w:sz w:val="21"/>
                <w:szCs w:val="21"/>
                <w:vertAlign w:val="superscript"/>
              </w:rPr>
              <w:t>3</w:t>
            </w:r>
            <w:r>
              <w:rPr>
                <w:rFonts w:hint="eastAsia"/>
                <w:sz w:val="21"/>
                <w:szCs w:val="21"/>
              </w:rPr>
              <w:t>、排放速率</w:t>
            </w:r>
            <w:r>
              <w:rPr>
                <w:sz w:val="21"/>
                <w:szCs w:val="21"/>
              </w:rPr>
              <w:t>10kg/h</w:t>
            </w:r>
            <w:r>
              <w:rPr>
                <w:rFonts w:hint="eastAsia"/>
                <w:snapToGrid w:val="0"/>
                <w:sz w:val="21"/>
                <w:szCs w:val="21"/>
              </w:rPr>
              <w:t>）</w:t>
            </w:r>
            <w:r>
              <w:rPr>
                <w:snapToGrid w:val="0"/>
                <w:sz w:val="21"/>
                <w:szCs w:val="21"/>
              </w:rPr>
              <w:t>要求</w:t>
            </w:r>
          </w:p>
        </w:tc>
      </w:tr>
      <w:tr w14:paraId="289D8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59C39FA8">
            <w:pPr>
              <w:adjustRightInd w:val="0"/>
              <w:snapToGrid w:val="0"/>
              <w:jc w:val="center"/>
              <w:rPr>
                <w:sz w:val="21"/>
                <w:szCs w:val="21"/>
              </w:rPr>
            </w:pPr>
          </w:p>
        </w:tc>
        <w:tc>
          <w:tcPr>
            <w:tcW w:w="2151" w:type="dxa"/>
            <w:vAlign w:val="center"/>
          </w:tcPr>
          <w:p w14:paraId="40D0D197">
            <w:pPr>
              <w:adjustRightInd w:val="0"/>
              <w:snapToGrid w:val="0"/>
              <w:jc w:val="center"/>
              <w:rPr>
                <w:sz w:val="21"/>
                <w:szCs w:val="21"/>
              </w:rPr>
            </w:pPr>
            <w:r>
              <w:rPr>
                <w:rFonts w:hint="eastAsia"/>
                <w:sz w:val="21"/>
                <w:szCs w:val="21"/>
              </w:rPr>
              <w:t>沥青混凝土生产线导热油加热醇醚燃烧废气排气筒（</w:t>
            </w:r>
            <w:r>
              <w:rPr>
                <w:sz w:val="21"/>
                <w:szCs w:val="21"/>
              </w:rPr>
              <w:t>DA004</w:t>
            </w:r>
            <w:r>
              <w:rPr>
                <w:rFonts w:hint="eastAsia"/>
                <w:sz w:val="21"/>
                <w:szCs w:val="21"/>
              </w:rPr>
              <w:t>）</w:t>
            </w:r>
          </w:p>
        </w:tc>
        <w:tc>
          <w:tcPr>
            <w:tcW w:w="1340" w:type="dxa"/>
            <w:vAlign w:val="center"/>
          </w:tcPr>
          <w:p w14:paraId="2605545D">
            <w:pPr>
              <w:adjustRightInd w:val="0"/>
              <w:snapToGrid w:val="0"/>
              <w:jc w:val="center"/>
              <w:rPr>
                <w:kern w:val="0"/>
                <w:sz w:val="21"/>
                <w:szCs w:val="21"/>
                <w:lang w:bidi="ar"/>
              </w:rPr>
            </w:pPr>
            <w:r>
              <w:rPr>
                <w:rFonts w:hint="eastAsia"/>
                <w:kern w:val="0"/>
                <w:sz w:val="21"/>
                <w:szCs w:val="21"/>
                <w:lang w:bidi="ar"/>
              </w:rPr>
              <w:t>颗粒物、</w:t>
            </w:r>
          </w:p>
          <w:p w14:paraId="35824AB4">
            <w:pPr>
              <w:adjustRightInd w:val="0"/>
              <w:snapToGrid w:val="0"/>
              <w:jc w:val="center"/>
              <w:rPr>
                <w:kern w:val="0"/>
                <w:sz w:val="21"/>
                <w:szCs w:val="21"/>
                <w:lang w:bidi="ar"/>
              </w:rPr>
            </w:pPr>
            <w:r>
              <w:rPr>
                <w:rFonts w:hint="eastAsia"/>
                <w:kern w:val="0"/>
                <w:sz w:val="21"/>
                <w:szCs w:val="21"/>
                <w:lang w:bidi="ar"/>
              </w:rPr>
              <w:t>氮氧化物</w:t>
            </w:r>
          </w:p>
        </w:tc>
        <w:tc>
          <w:tcPr>
            <w:tcW w:w="1860" w:type="dxa"/>
            <w:vAlign w:val="center"/>
          </w:tcPr>
          <w:p w14:paraId="6278A9D7">
            <w:pPr>
              <w:adjustRightInd w:val="0"/>
              <w:snapToGrid w:val="0"/>
              <w:jc w:val="center"/>
              <w:rPr>
                <w:sz w:val="21"/>
                <w:szCs w:val="21"/>
              </w:rPr>
            </w:pPr>
            <w:r>
              <w:rPr>
                <w:bCs/>
                <w:sz w:val="21"/>
                <w:szCs w:val="21"/>
              </w:rPr>
              <w:t>醇醚燃料燃烧废气经</w:t>
            </w:r>
            <w:r>
              <w:rPr>
                <w:rFonts w:ascii="宋体" w:hAnsi="宋体"/>
                <w:bCs/>
                <w:sz w:val="21"/>
                <w:szCs w:val="21"/>
              </w:rPr>
              <w:t>“</w:t>
            </w:r>
            <w:r>
              <w:rPr>
                <w:rFonts w:hint="eastAsia" w:ascii="宋体" w:hAnsi="宋体"/>
                <w:bCs/>
                <w:sz w:val="21"/>
                <w:szCs w:val="21"/>
              </w:rPr>
              <w:t>低氮燃烧装置</w:t>
            </w:r>
            <w:r>
              <w:rPr>
                <w:rFonts w:ascii="宋体" w:hAnsi="宋体"/>
                <w:bCs/>
                <w:sz w:val="21"/>
                <w:szCs w:val="21"/>
              </w:rPr>
              <w:t>”</w:t>
            </w:r>
            <w:r>
              <w:rPr>
                <w:rFonts w:hint="eastAsia"/>
                <w:bCs/>
                <w:sz w:val="21"/>
                <w:szCs w:val="21"/>
              </w:rPr>
              <w:t>处理后由1根</w:t>
            </w:r>
            <w:r>
              <w:rPr>
                <w:bCs/>
                <w:sz w:val="21"/>
                <w:szCs w:val="21"/>
              </w:rPr>
              <w:t>8m高排气筒排放（</w:t>
            </w:r>
            <w:r>
              <w:rPr>
                <w:kern w:val="0"/>
                <w:sz w:val="21"/>
                <w:szCs w:val="21"/>
                <w:lang w:bidi="ar"/>
              </w:rPr>
              <w:t>DA004</w:t>
            </w:r>
            <w:r>
              <w:rPr>
                <w:bCs/>
                <w:sz w:val="21"/>
                <w:szCs w:val="21"/>
              </w:rPr>
              <w:t>）</w:t>
            </w:r>
            <w:r>
              <w:rPr>
                <w:rFonts w:hint="eastAsia"/>
                <w:bCs/>
                <w:sz w:val="21"/>
                <w:szCs w:val="21"/>
              </w:rPr>
              <w:t>排放</w:t>
            </w:r>
          </w:p>
        </w:tc>
        <w:tc>
          <w:tcPr>
            <w:tcW w:w="2046" w:type="dxa"/>
            <w:vAlign w:val="center"/>
          </w:tcPr>
          <w:p w14:paraId="4A187DC3">
            <w:pPr>
              <w:adjustRightInd w:val="0"/>
              <w:snapToGrid w:val="0"/>
              <w:jc w:val="center"/>
              <w:rPr>
                <w:sz w:val="21"/>
                <w:szCs w:val="21"/>
              </w:rPr>
            </w:pPr>
            <w:r>
              <w:rPr>
                <w:rFonts w:hint="eastAsia"/>
                <w:sz w:val="21"/>
                <w:szCs w:val="21"/>
              </w:rPr>
              <w:t>《锅炉大气污染物排放标准》（G</w:t>
            </w:r>
            <w:r>
              <w:rPr>
                <w:sz w:val="21"/>
                <w:szCs w:val="21"/>
              </w:rPr>
              <w:t>B13271-2014</w:t>
            </w:r>
            <w:r>
              <w:rPr>
                <w:rFonts w:hint="eastAsia"/>
                <w:sz w:val="21"/>
                <w:szCs w:val="21"/>
              </w:rPr>
              <w:t>）中表</w:t>
            </w:r>
            <w:r>
              <w:rPr>
                <w:sz w:val="21"/>
                <w:szCs w:val="21"/>
              </w:rPr>
              <w:t>2大气污染物排放限值中燃油锅炉</w:t>
            </w:r>
            <w:r>
              <w:rPr>
                <w:rFonts w:hint="eastAsia"/>
                <w:sz w:val="21"/>
                <w:szCs w:val="21"/>
              </w:rPr>
              <w:t>要求（颗粒物排放浓度3</w:t>
            </w:r>
            <w:r>
              <w:rPr>
                <w:sz w:val="21"/>
                <w:szCs w:val="21"/>
              </w:rPr>
              <w:t>0mg/m</w:t>
            </w:r>
            <w:r>
              <w:rPr>
                <w:sz w:val="21"/>
                <w:szCs w:val="21"/>
                <w:vertAlign w:val="superscript"/>
              </w:rPr>
              <w:t>3</w:t>
            </w:r>
            <w:r>
              <w:rPr>
                <w:rFonts w:hint="eastAsia"/>
                <w:sz w:val="21"/>
                <w:szCs w:val="21"/>
              </w:rPr>
              <w:t>、氮氧化物排放浓度</w:t>
            </w:r>
            <w:r>
              <w:rPr>
                <w:sz w:val="21"/>
                <w:szCs w:val="21"/>
              </w:rPr>
              <w:t>250mg/m</w:t>
            </w:r>
            <w:r>
              <w:rPr>
                <w:sz w:val="21"/>
                <w:szCs w:val="21"/>
                <w:vertAlign w:val="superscript"/>
              </w:rPr>
              <w:t>3</w:t>
            </w:r>
            <w:r>
              <w:rPr>
                <w:rFonts w:hint="eastAsia"/>
                <w:sz w:val="21"/>
                <w:szCs w:val="21"/>
              </w:rPr>
              <w:t>）</w:t>
            </w:r>
          </w:p>
        </w:tc>
      </w:tr>
      <w:tr w14:paraId="038FD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3E703EEF">
            <w:pPr>
              <w:adjustRightInd w:val="0"/>
              <w:snapToGrid w:val="0"/>
              <w:jc w:val="center"/>
              <w:rPr>
                <w:sz w:val="21"/>
                <w:szCs w:val="21"/>
              </w:rPr>
            </w:pPr>
          </w:p>
        </w:tc>
        <w:tc>
          <w:tcPr>
            <w:tcW w:w="2151" w:type="dxa"/>
            <w:tcBorders>
              <w:tl2br w:val="nil"/>
              <w:tr2bl w:val="nil"/>
            </w:tcBorders>
            <w:shd w:val="clear" w:color="auto" w:fill="auto"/>
            <w:vAlign w:val="center"/>
          </w:tcPr>
          <w:p w14:paraId="732B20C7">
            <w:pPr>
              <w:jc w:val="center"/>
              <w:rPr>
                <w:sz w:val="21"/>
                <w:szCs w:val="21"/>
              </w:rPr>
            </w:pPr>
            <w:r>
              <w:rPr>
                <w:rFonts w:hint="eastAsia"/>
                <w:sz w:val="21"/>
                <w:szCs w:val="21"/>
              </w:rPr>
              <w:t>水泥混凝土生产线搅拌粉尘排气筒（</w:t>
            </w:r>
            <w:r>
              <w:rPr>
                <w:sz w:val="21"/>
                <w:szCs w:val="21"/>
              </w:rPr>
              <w:t>DA005</w:t>
            </w:r>
            <w:r>
              <w:rPr>
                <w:rFonts w:hint="eastAsia"/>
                <w:sz w:val="21"/>
                <w:szCs w:val="21"/>
              </w:rPr>
              <w:t>）</w:t>
            </w:r>
          </w:p>
        </w:tc>
        <w:tc>
          <w:tcPr>
            <w:tcW w:w="1340" w:type="dxa"/>
            <w:vAlign w:val="center"/>
          </w:tcPr>
          <w:p w14:paraId="589556D8">
            <w:pPr>
              <w:adjustRightInd w:val="0"/>
              <w:snapToGrid w:val="0"/>
              <w:jc w:val="center"/>
              <w:rPr>
                <w:sz w:val="21"/>
                <w:szCs w:val="21"/>
              </w:rPr>
            </w:pPr>
            <w:r>
              <w:rPr>
                <w:kern w:val="0"/>
                <w:sz w:val="21"/>
                <w:szCs w:val="21"/>
                <w:lang w:bidi="ar"/>
              </w:rPr>
              <w:t>颗粒物</w:t>
            </w:r>
          </w:p>
        </w:tc>
        <w:tc>
          <w:tcPr>
            <w:tcW w:w="1860" w:type="dxa"/>
            <w:vAlign w:val="center"/>
          </w:tcPr>
          <w:p w14:paraId="743193AD">
            <w:pPr>
              <w:adjustRightInd w:val="0"/>
              <w:snapToGrid w:val="0"/>
              <w:jc w:val="center"/>
              <w:rPr>
                <w:bCs/>
                <w:sz w:val="21"/>
                <w:szCs w:val="21"/>
              </w:rPr>
            </w:pPr>
            <w:r>
              <w:rPr>
                <w:rFonts w:hint="eastAsia"/>
                <w:sz w:val="21"/>
                <w:szCs w:val="21"/>
              </w:rPr>
              <w:t>经</w:t>
            </w:r>
            <w:r>
              <w:rPr>
                <w:bCs/>
                <w:sz w:val="21"/>
                <w:szCs w:val="21"/>
              </w:rPr>
              <w:t>袋式除尘器</w:t>
            </w:r>
            <w:r>
              <w:rPr>
                <w:rFonts w:hint="eastAsia"/>
                <w:bCs/>
                <w:sz w:val="21"/>
                <w:szCs w:val="21"/>
              </w:rPr>
              <w:t>处理后通过1根</w:t>
            </w:r>
            <w:r>
              <w:rPr>
                <w:bCs/>
                <w:sz w:val="21"/>
                <w:szCs w:val="21"/>
              </w:rPr>
              <w:t>15m高排气筒（</w:t>
            </w:r>
            <w:r>
              <w:rPr>
                <w:sz w:val="21"/>
                <w:szCs w:val="21"/>
              </w:rPr>
              <w:t>DA005</w:t>
            </w:r>
            <w:r>
              <w:rPr>
                <w:rFonts w:hint="eastAsia"/>
                <w:bCs/>
                <w:sz w:val="21"/>
                <w:szCs w:val="21"/>
              </w:rPr>
              <w:t>）排放</w:t>
            </w:r>
          </w:p>
        </w:tc>
        <w:tc>
          <w:tcPr>
            <w:tcW w:w="2046" w:type="dxa"/>
            <w:vAlign w:val="center"/>
          </w:tcPr>
          <w:p w14:paraId="2CFB53AD">
            <w:pPr>
              <w:jc w:val="center"/>
              <w:rPr>
                <w:sz w:val="21"/>
                <w:szCs w:val="21"/>
              </w:rPr>
            </w:pPr>
            <w:r>
              <w:rPr>
                <w:rFonts w:hint="eastAsia"/>
                <w:sz w:val="21"/>
                <w:szCs w:val="21"/>
              </w:rPr>
              <w:t>《水泥工业大气污染物排放标准》</w:t>
            </w:r>
          </w:p>
          <w:p w14:paraId="40C5E931">
            <w:pPr>
              <w:adjustRightInd w:val="0"/>
              <w:snapToGrid w:val="0"/>
              <w:jc w:val="center"/>
              <w:rPr>
                <w:sz w:val="21"/>
                <w:szCs w:val="21"/>
              </w:rPr>
            </w:pPr>
            <w:r>
              <w:rPr>
                <w:rFonts w:hint="eastAsia"/>
                <w:sz w:val="21"/>
                <w:szCs w:val="21"/>
              </w:rPr>
              <w:t>（GB4915-2013）大气污染物排放限值20mg/m</w:t>
            </w:r>
            <w:r>
              <w:rPr>
                <w:rFonts w:hint="eastAsia"/>
                <w:sz w:val="21"/>
                <w:szCs w:val="21"/>
                <w:vertAlign w:val="superscript"/>
              </w:rPr>
              <w:t>3</w:t>
            </w:r>
            <w:r>
              <w:rPr>
                <w:rFonts w:hint="eastAsia"/>
                <w:sz w:val="21"/>
                <w:szCs w:val="21"/>
              </w:rPr>
              <w:t>要求</w:t>
            </w:r>
          </w:p>
        </w:tc>
      </w:tr>
      <w:tr w14:paraId="2ED97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3F864A9F">
            <w:pPr>
              <w:adjustRightInd w:val="0"/>
              <w:snapToGrid w:val="0"/>
              <w:jc w:val="center"/>
              <w:rPr>
                <w:sz w:val="21"/>
                <w:szCs w:val="21"/>
              </w:rPr>
            </w:pPr>
          </w:p>
        </w:tc>
        <w:tc>
          <w:tcPr>
            <w:tcW w:w="2151" w:type="dxa"/>
            <w:vAlign w:val="center"/>
          </w:tcPr>
          <w:p w14:paraId="1DE993E0">
            <w:pPr>
              <w:adjustRightInd w:val="0"/>
              <w:snapToGrid w:val="0"/>
              <w:jc w:val="center"/>
              <w:rPr>
                <w:sz w:val="21"/>
                <w:szCs w:val="21"/>
              </w:rPr>
            </w:pPr>
            <w:r>
              <w:rPr>
                <w:sz w:val="21"/>
                <w:szCs w:val="21"/>
              </w:rPr>
              <w:t>食堂油烟</w:t>
            </w:r>
            <w:r>
              <w:rPr>
                <w:rFonts w:hint="eastAsia"/>
                <w:sz w:val="21"/>
                <w:szCs w:val="21"/>
              </w:rPr>
              <w:t>排气筒（D</w:t>
            </w:r>
            <w:r>
              <w:rPr>
                <w:sz w:val="21"/>
                <w:szCs w:val="21"/>
              </w:rPr>
              <w:t>A006</w:t>
            </w:r>
            <w:r>
              <w:rPr>
                <w:rFonts w:hint="eastAsia"/>
                <w:sz w:val="21"/>
                <w:szCs w:val="21"/>
              </w:rPr>
              <w:t>）</w:t>
            </w:r>
          </w:p>
        </w:tc>
        <w:tc>
          <w:tcPr>
            <w:tcW w:w="1340" w:type="dxa"/>
            <w:vAlign w:val="center"/>
          </w:tcPr>
          <w:p w14:paraId="24DAB13F">
            <w:pPr>
              <w:adjustRightInd w:val="0"/>
              <w:snapToGrid w:val="0"/>
              <w:jc w:val="center"/>
              <w:rPr>
                <w:kern w:val="0"/>
                <w:sz w:val="21"/>
                <w:szCs w:val="21"/>
                <w:lang w:bidi="ar"/>
              </w:rPr>
            </w:pPr>
            <w:r>
              <w:rPr>
                <w:kern w:val="0"/>
                <w:sz w:val="21"/>
                <w:szCs w:val="21"/>
                <w:lang w:bidi="ar"/>
              </w:rPr>
              <w:t>油烟</w:t>
            </w:r>
          </w:p>
        </w:tc>
        <w:tc>
          <w:tcPr>
            <w:tcW w:w="1860" w:type="dxa"/>
            <w:vAlign w:val="center"/>
          </w:tcPr>
          <w:p w14:paraId="74CE928E">
            <w:pPr>
              <w:adjustRightInd w:val="0"/>
              <w:snapToGrid w:val="0"/>
              <w:jc w:val="center"/>
              <w:rPr>
                <w:bCs/>
                <w:sz w:val="21"/>
                <w:szCs w:val="21"/>
              </w:rPr>
            </w:pPr>
            <w:r>
              <w:rPr>
                <w:bCs/>
                <w:sz w:val="21"/>
                <w:szCs w:val="21"/>
              </w:rPr>
              <w:t>抽油烟机至楼顶排放</w:t>
            </w:r>
          </w:p>
        </w:tc>
        <w:tc>
          <w:tcPr>
            <w:tcW w:w="2046" w:type="dxa"/>
            <w:vAlign w:val="center"/>
          </w:tcPr>
          <w:p w14:paraId="33D9352B">
            <w:pPr>
              <w:adjustRightInd w:val="0"/>
              <w:snapToGrid w:val="0"/>
              <w:jc w:val="center"/>
              <w:rPr>
                <w:sz w:val="21"/>
                <w:szCs w:val="21"/>
              </w:rPr>
            </w:pPr>
            <w:r>
              <w:rPr>
                <w:rFonts w:hint="eastAsia"/>
                <w:sz w:val="21"/>
                <w:szCs w:val="21"/>
              </w:rPr>
              <w:t>执行《饮食业油烟排放标准（试行）》（GB18483-2001）中表</w:t>
            </w:r>
            <w:r>
              <w:rPr>
                <w:sz w:val="21"/>
                <w:szCs w:val="21"/>
              </w:rPr>
              <w:t>2</w:t>
            </w:r>
            <w:r>
              <w:rPr>
                <w:rFonts w:hint="eastAsia"/>
                <w:sz w:val="21"/>
                <w:szCs w:val="21"/>
              </w:rPr>
              <w:t>中型的要求</w:t>
            </w:r>
          </w:p>
        </w:tc>
      </w:tr>
      <w:tr w14:paraId="3C646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677EC41C">
            <w:pPr>
              <w:adjustRightInd w:val="0"/>
              <w:snapToGrid w:val="0"/>
              <w:jc w:val="center"/>
              <w:rPr>
                <w:sz w:val="21"/>
                <w:szCs w:val="21"/>
              </w:rPr>
            </w:pPr>
          </w:p>
        </w:tc>
        <w:tc>
          <w:tcPr>
            <w:tcW w:w="2151" w:type="dxa"/>
            <w:tcBorders>
              <w:tl2br w:val="nil"/>
              <w:tr2bl w:val="nil"/>
            </w:tcBorders>
            <w:shd w:val="clear" w:color="auto" w:fill="auto"/>
            <w:vAlign w:val="center"/>
          </w:tcPr>
          <w:p w14:paraId="053660FC">
            <w:pPr>
              <w:jc w:val="center"/>
              <w:rPr>
                <w:sz w:val="21"/>
                <w:szCs w:val="21"/>
              </w:rPr>
            </w:pPr>
            <w:r>
              <w:rPr>
                <w:bCs/>
                <w:sz w:val="21"/>
                <w:szCs w:val="21"/>
              </w:rPr>
              <w:t>水泥稳定土生产线</w:t>
            </w:r>
            <w:r>
              <w:rPr>
                <w:sz w:val="21"/>
                <w:szCs w:val="21"/>
              </w:rPr>
              <w:t>水</w:t>
            </w:r>
            <w:r>
              <w:rPr>
                <w:rFonts w:hint="eastAsia"/>
                <w:sz w:val="21"/>
                <w:szCs w:val="21"/>
              </w:rPr>
              <w:t>泥筒仓废气</w:t>
            </w:r>
          </w:p>
        </w:tc>
        <w:tc>
          <w:tcPr>
            <w:tcW w:w="1340" w:type="dxa"/>
            <w:vAlign w:val="center"/>
          </w:tcPr>
          <w:p w14:paraId="12334BDD">
            <w:pPr>
              <w:adjustRightInd w:val="0"/>
              <w:snapToGrid w:val="0"/>
              <w:jc w:val="center"/>
              <w:rPr>
                <w:sz w:val="21"/>
                <w:szCs w:val="21"/>
              </w:rPr>
            </w:pPr>
            <w:r>
              <w:rPr>
                <w:kern w:val="0"/>
                <w:sz w:val="21"/>
                <w:szCs w:val="21"/>
                <w:lang w:bidi="ar"/>
              </w:rPr>
              <w:t>颗粒物</w:t>
            </w:r>
          </w:p>
        </w:tc>
        <w:tc>
          <w:tcPr>
            <w:tcW w:w="1860" w:type="dxa"/>
            <w:vAlign w:val="center"/>
          </w:tcPr>
          <w:p w14:paraId="54F2061F">
            <w:pPr>
              <w:adjustRightInd w:val="0"/>
              <w:snapToGrid w:val="0"/>
              <w:jc w:val="center"/>
              <w:rPr>
                <w:bCs/>
                <w:sz w:val="21"/>
                <w:szCs w:val="21"/>
              </w:rPr>
            </w:pPr>
            <w:r>
              <w:rPr>
                <w:rFonts w:hint="eastAsia"/>
                <w:sz w:val="21"/>
                <w:szCs w:val="21"/>
              </w:rPr>
              <w:t>设置仓顶滤芯式除尘器</w:t>
            </w:r>
          </w:p>
        </w:tc>
        <w:tc>
          <w:tcPr>
            <w:tcW w:w="2046" w:type="dxa"/>
            <w:vMerge w:val="restart"/>
            <w:vAlign w:val="center"/>
          </w:tcPr>
          <w:p w14:paraId="63E1ACE0">
            <w:pPr>
              <w:jc w:val="center"/>
              <w:rPr>
                <w:sz w:val="21"/>
                <w:szCs w:val="21"/>
              </w:rPr>
            </w:pPr>
            <w:r>
              <w:rPr>
                <w:rFonts w:hint="eastAsia"/>
                <w:sz w:val="21"/>
                <w:szCs w:val="21"/>
              </w:rPr>
              <w:t>《水泥工业大气污染物排放标准》</w:t>
            </w:r>
          </w:p>
          <w:p w14:paraId="63B1F081">
            <w:pPr>
              <w:adjustRightInd w:val="0"/>
              <w:snapToGrid w:val="0"/>
              <w:jc w:val="center"/>
              <w:rPr>
                <w:sz w:val="21"/>
                <w:szCs w:val="21"/>
              </w:rPr>
            </w:pPr>
            <w:r>
              <w:rPr>
                <w:rFonts w:hint="eastAsia"/>
                <w:sz w:val="21"/>
                <w:szCs w:val="21"/>
              </w:rPr>
              <w:t>（GB4915-2013）大气污染物排放限值</w:t>
            </w:r>
            <w:r>
              <w:rPr>
                <w:sz w:val="21"/>
                <w:szCs w:val="21"/>
              </w:rPr>
              <w:t>0.5</w:t>
            </w:r>
            <w:r>
              <w:rPr>
                <w:rFonts w:hint="eastAsia"/>
                <w:sz w:val="21"/>
                <w:szCs w:val="21"/>
              </w:rPr>
              <w:t>mg/m</w:t>
            </w:r>
            <w:r>
              <w:rPr>
                <w:rFonts w:hint="eastAsia"/>
                <w:sz w:val="21"/>
                <w:szCs w:val="21"/>
                <w:vertAlign w:val="superscript"/>
              </w:rPr>
              <w:t>3</w:t>
            </w:r>
            <w:r>
              <w:rPr>
                <w:rFonts w:hint="eastAsia"/>
                <w:sz w:val="21"/>
                <w:szCs w:val="21"/>
              </w:rPr>
              <w:t>要求（监控点与参照点总悬浮颗粒物（TSP）1小时浓度值的差值）</w:t>
            </w:r>
          </w:p>
        </w:tc>
      </w:tr>
      <w:tr w14:paraId="33FFA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35AFC7F">
            <w:pPr>
              <w:adjustRightInd w:val="0"/>
              <w:snapToGrid w:val="0"/>
              <w:jc w:val="center"/>
              <w:rPr>
                <w:sz w:val="21"/>
                <w:szCs w:val="21"/>
              </w:rPr>
            </w:pPr>
          </w:p>
        </w:tc>
        <w:tc>
          <w:tcPr>
            <w:tcW w:w="2151" w:type="dxa"/>
            <w:tcBorders>
              <w:tl2br w:val="nil"/>
              <w:tr2bl w:val="nil"/>
            </w:tcBorders>
            <w:shd w:val="clear" w:color="auto" w:fill="auto"/>
            <w:vAlign w:val="center"/>
          </w:tcPr>
          <w:p w14:paraId="049590D2">
            <w:pPr>
              <w:jc w:val="center"/>
              <w:rPr>
                <w:sz w:val="21"/>
                <w:szCs w:val="21"/>
              </w:rPr>
            </w:pPr>
            <w:r>
              <w:rPr>
                <w:bCs/>
                <w:sz w:val="21"/>
                <w:szCs w:val="21"/>
              </w:rPr>
              <w:t>水泥稳定土生产线</w:t>
            </w:r>
            <w:r>
              <w:rPr>
                <w:rFonts w:hint="eastAsia"/>
                <w:sz w:val="21"/>
                <w:szCs w:val="21"/>
              </w:rPr>
              <w:t>粉煤灰筒仓废气</w:t>
            </w:r>
          </w:p>
        </w:tc>
        <w:tc>
          <w:tcPr>
            <w:tcW w:w="1340" w:type="dxa"/>
            <w:vAlign w:val="center"/>
          </w:tcPr>
          <w:p w14:paraId="78E1855A">
            <w:pPr>
              <w:adjustRightInd w:val="0"/>
              <w:snapToGrid w:val="0"/>
              <w:jc w:val="center"/>
              <w:rPr>
                <w:sz w:val="21"/>
                <w:szCs w:val="21"/>
              </w:rPr>
            </w:pPr>
            <w:r>
              <w:rPr>
                <w:kern w:val="0"/>
                <w:sz w:val="21"/>
                <w:szCs w:val="21"/>
                <w:lang w:bidi="ar"/>
              </w:rPr>
              <w:t>颗粒物</w:t>
            </w:r>
          </w:p>
        </w:tc>
        <w:tc>
          <w:tcPr>
            <w:tcW w:w="1860" w:type="dxa"/>
            <w:vAlign w:val="center"/>
          </w:tcPr>
          <w:p w14:paraId="7EC5CF51">
            <w:pPr>
              <w:adjustRightInd w:val="0"/>
              <w:snapToGrid w:val="0"/>
              <w:jc w:val="center"/>
              <w:rPr>
                <w:bCs/>
                <w:sz w:val="21"/>
                <w:szCs w:val="21"/>
              </w:rPr>
            </w:pPr>
            <w:r>
              <w:rPr>
                <w:rFonts w:hint="eastAsia"/>
                <w:sz w:val="21"/>
                <w:szCs w:val="21"/>
              </w:rPr>
              <w:t>设置仓顶滤芯式除尘器</w:t>
            </w:r>
          </w:p>
        </w:tc>
        <w:tc>
          <w:tcPr>
            <w:tcW w:w="2046" w:type="dxa"/>
            <w:vMerge w:val="continue"/>
            <w:vAlign w:val="center"/>
          </w:tcPr>
          <w:p w14:paraId="05AF5FEC">
            <w:pPr>
              <w:adjustRightInd w:val="0"/>
              <w:snapToGrid w:val="0"/>
              <w:jc w:val="center"/>
              <w:rPr>
                <w:sz w:val="21"/>
                <w:szCs w:val="21"/>
              </w:rPr>
            </w:pPr>
          </w:p>
        </w:tc>
      </w:tr>
      <w:tr w14:paraId="6086C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0B19898">
            <w:pPr>
              <w:adjustRightInd w:val="0"/>
              <w:snapToGrid w:val="0"/>
              <w:jc w:val="center"/>
              <w:rPr>
                <w:sz w:val="21"/>
                <w:szCs w:val="21"/>
              </w:rPr>
            </w:pPr>
          </w:p>
        </w:tc>
        <w:tc>
          <w:tcPr>
            <w:tcW w:w="2151" w:type="dxa"/>
            <w:tcBorders>
              <w:tl2br w:val="nil"/>
              <w:tr2bl w:val="nil"/>
            </w:tcBorders>
            <w:shd w:val="clear" w:color="auto" w:fill="auto"/>
            <w:vAlign w:val="center"/>
          </w:tcPr>
          <w:p w14:paraId="6837F7C7">
            <w:pPr>
              <w:jc w:val="center"/>
              <w:rPr>
                <w:sz w:val="21"/>
                <w:szCs w:val="21"/>
              </w:rPr>
            </w:pPr>
            <w:r>
              <w:rPr>
                <w:rFonts w:hint="eastAsia"/>
                <w:sz w:val="21"/>
                <w:szCs w:val="21"/>
              </w:rPr>
              <w:t>沥青混凝土生产线矿粉筒仓废气</w:t>
            </w:r>
          </w:p>
        </w:tc>
        <w:tc>
          <w:tcPr>
            <w:tcW w:w="1340" w:type="dxa"/>
            <w:vAlign w:val="center"/>
          </w:tcPr>
          <w:p w14:paraId="4629712C">
            <w:pPr>
              <w:adjustRightInd w:val="0"/>
              <w:snapToGrid w:val="0"/>
              <w:jc w:val="center"/>
              <w:rPr>
                <w:sz w:val="21"/>
                <w:szCs w:val="21"/>
              </w:rPr>
            </w:pPr>
            <w:r>
              <w:rPr>
                <w:kern w:val="0"/>
                <w:sz w:val="21"/>
                <w:szCs w:val="21"/>
                <w:lang w:bidi="ar"/>
              </w:rPr>
              <w:t>颗粒物</w:t>
            </w:r>
          </w:p>
        </w:tc>
        <w:tc>
          <w:tcPr>
            <w:tcW w:w="1860" w:type="dxa"/>
            <w:vAlign w:val="center"/>
          </w:tcPr>
          <w:p w14:paraId="3EE783B2">
            <w:pPr>
              <w:adjustRightInd w:val="0"/>
              <w:snapToGrid w:val="0"/>
              <w:jc w:val="center"/>
              <w:rPr>
                <w:bCs/>
                <w:sz w:val="21"/>
                <w:szCs w:val="21"/>
              </w:rPr>
            </w:pPr>
            <w:r>
              <w:rPr>
                <w:rFonts w:hint="eastAsia"/>
                <w:sz w:val="21"/>
                <w:szCs w:val="21"/>
              </w:rPr>
              <w:t>设置仓顶滤芯式除尘器</w:t>
            </w:r>
          </w:p>
        </w:tc>
        <w:tc>
          <w:tcPr>
            <w:tcW w:w="2046" w:type="dxa"/>
            <w:vMerge w:val="continue"/>
            <w:vAlign w:val="center"/>
          </w:tcPr>
          <w:p w14:paraId="52B40DEB">
            <w:pPr>
              <w:adjustRightInd w:val="0"/>
              <w:snapToGrid w:val="0"/>
              <w:jc w:val="center"/>
              <w:rPr>
                <w:sz w:val="21"/>
                <w:szCs w:val="21"/>
              </w:rPr>
            </w:pPr>
          </w:p>
        </w:tc>
      </w:tr>
      <w:tr w14:paraId="2494E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2E10EAE7">
            <w:pPr>
              <w:adjustRightInd w:val="0"/>
              <w:snapToGrid w:val="0"/>
              <w:jc w:val="center"/>
              <w:rPr>
                <w:sz w:val="21"/>
                <w:szCs w:val="21"/>
              </w:rPr>
            </w:pPr>
          </w:p>
        </w:tc>
        <w:tc>
          <w:tcPr>
            <w:tcW w:w="2151" w:type="dxa"/>
            <w:tcBorders>
              <w:tl2br w:val="nil"/>
              <w:tr2bl w:val="nil"/>
            </w:tcBorders>
            <w:shd w:val="clear" w:color="auto" w:fill="auto"/>
            <w:vAlign w:val="center"/>
          </w:tcPr>
          <w:p w14:paraId="5A106CF1">
            <w:pPr>
              <w:jc w:val="center"/>
              <w:rPr>
                <w:sz w:val="21"/>
                <w:szCs w:val="21"/>
              </w:rPr>
            </w:pPr>
            <w:r>
              <w:rPr>
                <w:rFonts w:hint="eastAsia"/>
                <w:sz w:val="21"/>
                <w:szCs w:val="21"/>
              </w:rPr>
              <w:t>水泥混凝土</w:t>
            </w:r>
            <w:r>
              <w:rPr>
                <w:bCs/>
                <w:sz w:val="21"/>
                <w:szCs w:val="21"/>
              </w:rPr>
              <w:t>生产线</w:t>
            </w:r>
            <w:r>
              <w:rPr>
                <w:sz w:val="21"/>
                <w:szCs w:val="21"/>
              </w:rPr>
              <w:t>水</w:t>
            </w:r>
            <w:r>
              <w:rPr>
                <w:rFonts w:hint="eastAsia"/>
                <w:sz w:val="21"/>
                <w:szCs w:val="21"/>
              </w:rPr>
              <w:t>泥</w:t>
            </w:r>
            <w:r>
              <w:rPr>
                <w:sz w:val="21"/>
                <w:szCs w:val="21"/>
              </w:rPr>
              <w:t>筒仓</w:t>
            </w:r>
            <w:r>
              <w:rPr>
                <w:rFonts w:hint="eastAsia"/>
                <w:sz w:val="21"/>
                <w:szCs w:val="21"/>
              </w:rPr>
              <w:t>废气</w:t>
            </w:r>
          </w:p>
        </w:tc>
        <w:tc>
          <w:tcPr>
            <w:tcW w:w="1340" w:type="dxa"/>
            <w:vAlign w:val="center"/>
          </w:tcPr>
          <w:p w14:paraId="43304F43">
            <w:pPr>
              <w:adjustRightInd w:val="0"/>
              <w:snapToGrid w:val="0"/>
              <w:jc w:val="center"/>
              <w:rPr>
                <w:sz w:val="21"/>
                <w:szCs w:val="21"/>
              </w:rPr>
            </w:pPr>
            <w:r>
              <w:rPr>
                <w:kern w:val="0"/>
                <w:sz w:val="21"/>
                <w:szCs w:val="21"/>
                <w:lang w:bidi="ar"/>
              </w:rPr>
              <w:t>颗粒物</w:t>
            </w:r>
          </w:p>
        </w:tc>
        <w:tc>
          <w:tcPr>
            <w:tcW w:w="1860" w:type="dxa"/>
            <w:vAlign w:val="center"/>
          </w:tcPr>
          <w:p w14:paraId="2F5DA4E4">
            <w:pPr>
              <w:adjustRightInd w:val="0"/>
              <w:snapToGrid w:val="0"/>
              <w:jc w:val="center"/>
              <w:rPr>
                <w:bCs/>
                <w:sz w:val="21"/>
                <w:szCs w:val="21"/>
              </w:rPr>
            </w:pPr>
            <w:r>
              <w:rPr>
                <w:rFonts w:hint="eastAsia"/>
                <w:sz w:val="21"/>
                <w:szCs w:val="21"/>
              </w:rPr>
              <w:t>设置仓顶滤芯式除尘器</w:t>
            </w:r>
          </w:p>
        </w:tc>
        <w:tc>
          <w:tcPr>
            <w:tcW w:w="2046" w:type="dxa"/>
            <w:vMerge w:val="continue"/>
            <w:vAlign w:val="center"/>
          </w:tcPr>
          <w:p w14:paraId="368B99B8">
            <w:pPr>
              <w:adjustRightInd w:val="0"/>
              <w:snapToGrid w:val="0"/>
              <w:jc w:val="center"/>
              <w:rPr>
                <w:sz w:val="21"/>
                <w:szCs w:val="21"/>
              </w:rPr>
            </w:pPr>
          </w:p>
        </w:tc>
      </w:tr>
      <w:tr w14:paraId="2FBAF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F94749A">
            <w:pPr>
              <w:adjustRightInd w:val="0"/>
              <w:snapToGrid w:val="0"/>
              <w:jc w:val="center"/>
              <w:rPr>
                <w:sz w:val="21"/>
                <w:szCs w:val="21"/>
              </w:rPr>
            </w:pPr>
          </w:p>
        </w:tc>
        <w:tc>
          <w:tcPr>
            <w:tcW w:w="2151" w:type="dxa"/>
            <w:tcBorders>
              <w:tl2br w:val="nil"/>
              <w:tr2bl w:val="nil"/>
            </w:tcBorders>
            <w:shd w:val="clear" w:color="auto" w:fill="auto"/>
            <w:vAlign w:val="center"/>
          </w:tcPr>
          <w:p w14:paraId="7D4A31C6">
            <w:pPr>
              <w:jc w:val="center"/>
              <w:rPr>
                <w:sz w:val="21"/>
                <w:szCs w:val="21"/>
              </w:rPr>
            </w:pPr>
            <w:r>
              <w:rPr>
                <w:rFonts w:hint="eastAsia"/>
                <w:sz w:val="21"/>
                <w:szCs w:val="21"/>
              </w:rPr>
              <w:t>水泥混凝土</w:t>
            </w:r>
            <w:r>
              <w:rPr>
                <w:bCs/>
                <w:sz w:val="21"/>
                <w:szCs w:val="21"/>
              </w:rPr>
              <w:t>生产线</w:t>
            </w:r>
            <w:r>
              <w:rPr>
                <w:rFonts w:hint="eastAsia"/>
                <w:sz w:val="21"/>
                <w:szCs w:val="21"/>
              </w:rPr>
              <w:t>粉煤灰筒仓废气</w:t>
            </w:r>
          </w:p>
        </w:tc>
        <w:tc>
          <w:tcPr>
            <w:tcW w:w="1340" w:type="dxa"/>
            <w:vAlign w:val="center"/>
          </w:tcPr>
          <w:p w14:paraId="2264869F">
            <w:pPr>
              <w:adjustRightInd w:val="0"/>
              <w:snapToGrid w:val="0"/>
              <w:jc w:val="center"/>
              <w:rPr>
                <w:sz w:val="21"/>
                <w:szCs w:val="21"/>
              </w:rPr>
            </w:pPr>
            <w:r>
              <w:rPr>
                <w:kern w:val="0"/>
                <w:sz w:val="21"/>
                <w:szCs w:val="21"/>
                <w:lang w:bidi="ar"/>
              </w:rPr>
              <w:t>颗粒物</w:t>
            </w:r>
          </w:p>
        </w:tc>
        <w:tc>
          <w:tcPr>
            <w:tcW w:w="1860" w:type="dxa"/>
            <w:vAlign w:val="center"/>
          </w:tcPr>
          <w:p w14:paraId="058D47D3">
            <w:pPr>
              <w:adjustRightInd w:val="0"/>
              <w:snapToGrid w:val="0"/>
              <w:jc w:val="center"/>
              <w:rPr>
                <w:bCs/>
                <w:sz w:val="21"/>
                <w:szCs w:val="21"/>
              </w:rPr>
            </w:pPr>
            <w:r>
              <w:rPr>
                <w:rFonts w:hint="eastAsia"/>
                <w:sz w:val="21"/>
                <w:szCs w:val="21"/>
              </w:rPr>
              <w:t>设置仓顶滤芯式除尘器</w:t>
            </w:r>
          </w:p>
        </w:tc>
        <w:tc>
          <w:tcPr>
            <w:tcW w:w="2046" w:type="dxa"/>
            <w:vMerge w:val="continue"/>
            <w:vAlign w:val="center"/>
          </w:tcPr>
          <w:p w14:paraId="180916C3">
            <w:pPr>
              <w:adjustRightInd w:val="0"/>
              <w:snapToGrid w:val="0"/>
              <w:jc w:val="center"/>
              <w:rPr>
                <w:sz w:val="21"/>
                <w:szCs w:val="21"/>
              </w:rPr>
            </w:pPr>
          </w:p>
        </w:tc>
      </w:tr>
      <w:tr w14:paraId="0FF85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32BBA014">
            <w:pPr>
              <w:adjustRightInd w:val="0"/>
              <w:snapToGrid w:val="0"/>
              <w:jc w:val="center"/>
              <w:rPr>
                <w:sz w:val="21"/>
                <w:szCs w:val="21"/>
              </w:rPr>
            </w:pPr>
          </w:p>
        </w:tc>
        <w:tc>
          <w:tcPr>
            <w:tcW w:w="2151" w:type="dxa"/>
            <w:vAlign w:val="center"/>
          </w:tcPr>
          <w:p w14:paraId="62F8F402">
            <w:pPr>
              <w:adjustRightInd w:val="0"/>
              <w:snapToGrid w:val="0"/>
              <w:jc w:val="center"/>
              <w:rPr>
                <w:sz w:val="21"/>
                <w:szCs w:val="21"/>
              </w:rPr>
            </w:pPr>
            <w:r>
              <w:rPr>
                <w:rFonts w:hint="eastAsia"/>
                <w:sz w:val="21"/>
                <w:szCs w:val="21"/>
              </w:rPr>
              <w:t>堆场及装卸扬尘</w:t>
            </w:r>
          </w:p>
        </w:tc>
        <w:tc>
          <w:tcPr>
            <w:tcW w:w="1340" w:type="dxa"/>
            <w:vAlign w:val="center"/>
          </w:tcPr>
          <w:p w14:paraId="03B5DB47">
            <w:pPr>
              <w:adjustRightInd w:val="0"/>
              <w:snapToGrid w:val="0"/>
              <w:jc w:val="center"/>
              <w:rPr>
                <w:sz w:val="21"/>
                <w:szCs w:val="21"/>
              </w:rPr>
            </w:pPr>
            <w:r>
              <w:rPr>
                <w:kern w:val="0"/>
                <w:sz w:val="21"/>
                <w:szCs w:val="21"/>
                <w:lang w:bidi="ar"/>
              </w:rPr>
              <w:t>颗粒物</w:t>
            </w:r>
          </w:p>
        </w:tc>
        <w:tc>
          <w:tcPr>
            <w:tcW w:w="1860" w:type="dxa"/>
            <w:vAlign w:val="center"/>
          </w:tcPr>
          <w:p w14:paraId="72A9F181">
            <w:pPr>
              <w:adjustRightInd w:val="0"/>
              <w:snapToGrid w:val="0"/>
              <w:jc w:val="center"/>
              <w:rPr>
                <w:sz w:val="21"/>
                <w:szCs w:val="21"/>
              </w:rPr>
            </w:pPr>
            <w:r>
              <w:rPr>
                <w:rFonts w:hint="eastAsia"/>
                <w:bCs/>
                <w:sz w:val="21"/>
                <w:szCs w:val="21"/>
              </w:rPr>
              <w:t>碎石采取半封闭措施，采取防尘网覆盖的措施，砂采用全封闭料仓，并设置洒水喷淋措施</w:t>
            </w:r>
          </w:p>
        </w:tc>
        <w:tc>
          <w:tcPr>
            <w:tcW w:w="2046" w:type="dxa"/>
            <w:vMerge w:val="continue"/>
            <w:vAlign w:val="center"/>
          </w:tcPr>
          <w:p w14:paraId="7CA2E356">
            <w:pPr>
              <w:adjustRightInd w:val="0"/>
              <w:snapToGrid w:val="0"/>
              <w:jc w:val="center"/>
              <w:rPr>
                <w:sz w:val="21"/>
                <w:szCs w:val="21"/>
              </w:rPr>
            </w:pPr>
          </w:p>
        </w:tc>
      </w:tr>
      <w:tr w14:paraId="5D00B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44FAA170">
            <w:pPr>
              <w:adjustRightInd w:val="0"/>
              <w:snapToGrid w:val="0"/>
              <w:jc w:val="center"/>
              <w:rPr>
                <w:sz w:val="21"/>
                <w:szCs w:val="21"/>
              </w:rPr>
            </w:pPr>
          </w:p>
        </w:tc>
        <w:tc>
          <w:tcPr>
            <w:tcW w:w="2151" w:type="dxa"/>
            <w:vAlign w:val="center"/>
          </w:tcPr>
          <w:p w14:paraId="5E102140">
            <w:pPr>
              <w:adjustRightInd w:val="0"/>
              <w:snapToGrid w:val="0"/>
              <w:jc w:val="center"/>
              <w:rPr>
                <w:sz w:val="21"/>
                <w:szCs w:val="21"/>
              </w:rPr>
            </w:pPr>
            <w:r>
              <w:rPr>
                <w:sz w:val="21"/>
                <w:szCs w:val="21"/>
              </w:rPr>
              <w:t>物料输送廊道</w:t>
            </w:r>
          </w:p>
        </w:tc>
        <w:tc>
          <w:tcPr>
            <w:tcW w:w="1340" w:type="dxa"/>
            <w:vAlign w:val="center"/>
          </w:tcPr>
          <w:p w14:paraId="2BD86CBE">
            <w:pPr>
              <w:adjustRightInd w:val="0"/>
              <w:snapToGrid w:val="0"/>
              <w:jc w:val="center"/>
              <w:rPr>
                <w:kern w:val="0"/>
                <w:sz w:val="21"/>
                <w:szCs w:val="21"/>
                <w:lang w:bidi="ar"/>
              </w:rPr>
            </w:pPr>
            <w:r>
              <w:rPr>
                <w:kern w:val="0"/>
                <w:sz w:val="21"/>
                <w:szCs w:val="21"/>
                <w:lang w:bidi="ar"/>
              </w:rPr>
              <w:t>颗粒物</w:t>
            </w:r>
          </w:p>
        </w:tc>
        <w:tc>
          <w:tcPr>
            <w:tcW w:w="1860" w:type="dxa"/>
            <w:vAlign w:val="center"/>
          </w:tcPr>
          <w:p w14:paraId="28D07C5B">
            <w:pPr>
              <w:adjustRightInd w:val="0"/>
              <w:snapToGrid w:val="0"/>
              <w:jc w:val="center"/>
              <w:rPr>
                <w:bCs/>
                <w:sz w:val="21"/>
                <w:szCs w:val="21"/>
              </w:rPr>
            </w:pPr>
            <w:r>
              <w:rPr>
                <w:bCs/>
                <w:sz w:val="21"/>
                <w:szCs w:val="21"/>
              </w:rPr>
              <w:t>全封闭</w:t>
            </w:r>
          </w:p>
        </w:tc>
        <w:tc>
          <w:tcPr>
            <w:tcW w:w="2046" w:type="dxa"/>
            <w:vMerge w:val="continue"/>
            <w:vAlign w:val="center"/>
          </w:tcPr>
          <w:p w14:paraId="613F85E6">
            <w:pPr>
              <w:adjustRightInd w:val="0"/>
              <w:snapToGrid w:val="0"/>
              <w:jc w:val="center"/>
              <w:rPr>
                <w:sz w:val="21"/>
                <w:szCs w:val="21"/>
              </w:rPr>
            </w:pPr>
          </w:p>
        </w:tc>
      </w:tr>
      <w:tr w14:paraId="235FB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5B8D42FB">
            <w:pPr>
              <w:adjustRightInd w:val="0"/>
              <w:snapToGrid w:val="0"/>
              <w:jc w:val="center"/>
              <w:rPr>
                <w:sz w:val="21"/>
                <w:szCs w:val="21"/>
              </w:rPr>
            </w:pPr>
          </w:p>
        </w:tc>
        <w:tc>
          <w:tcPr>
            <w:tcW w:w="2151" w:type="dxa"/>
            <w:vAlign w:val="center"/>
          </w:tcPr>
          <w:p w14:paraId="554F730B">
            <w:pPr>
              <w:adjustRightInd w:val="0"/>
              <w:snapToGrid w:val="0"/>
              <w:jc w:val="center"/>
              <w:rPr>
                <w:sz w:val="21"/>
                <w:szCs w:val="21"/>
              </w:rPr>
            </w:pPr>
            <w:r>
              <w:rPr>
                <w:rFonts w:hint="eastAsia"/>
                <w:sz w:val="21"/>
                <w:szCs w:val="21"/>
              </w:rPr>
              <w:t>水泥混凝土生产线搅拌粉尘无组织废气</w:t>
            </w:r>
          </w:p>
        </w:tc>
        <w:tc>
          <w:tcPr>
            <w:tcW w:w="1340" w:type="dxa"/>
            <w:vAlign w:val="center"/>
          </w:tcPr>
          <w:p w14:paraId="63FD615C">
            <w:pPr>
              <w:adjustRightInd w:val="0"/>
              <w:snapToGrid w:val="0"/>
              <w:jc w:val="center"/>
              <w:rPr>
                <w:kern w:val="0"/>
                <w:sz w:val="21"/>
                <w:szCs w:val="21"/>
                <w:lang w:bidi="ar"/>
              </w:rPr>
            </w:pPr>
            <w:r>
              <w:rPr>
                <w:kern w:val="0"/>
                <w:sz w:val="21"/>
                <w:szCs w:val="21"/>
                <w:lang w:bidi="ar"/>
              </w:rPr>
              <w:t>颗粒物</w:t>
            </w:r>
          </w:p>
        </w:tc>
        <w:tc>
          <w:tcPr>
            <w:tcW w:w="1860" w:type="dxa"/>
            <w:vAlign w:val="center"/>
          </w:tcPr>
          <w:p w14:paraId="0A8CE3A3">
            <w:pPr>
              <w:adjustRightInd w:val="0"/>
              <w:snapToGrid w:val="0"/>
              <w:jc w:val="center"/>
              <w:rPr>
                <w:bCs/>
                <w:sz w:val="21"/>
                <w:szCs w:val="21"/>
              </w:rPr>
            </w:pPr>
            <w:r>
              <w:rPr>
                <w:rFonts w:hint="eastAsia"/>
                <w:bCs/>
                <w:sz w:val="21"/>
                <w:szCs w:val="21"/>
              </w:rPr>
              <w:t>无组织排放</w:t>
            </w:r>
          </w:p>
        </w:tc>
        <w:tc>
          <w:tcPr>
            <w:tcW w:w="2046" w:type="dxa"/>
            <w:vMerge w:val="continue"/>
            <w:vAlign w:val="center"/>
          </w:tcPr>
          <w:p w14:paraId="5A059631">
            <w:pPr>
              <w:adjustRightInd w:val="0"/>
              <w:snapToGrid w:val="0"/>
              <w:jc w:val="center"/>
              <w:rPr>
                <w:sz w:val="21"/>
                <w:szCs w:val="21"/>
              </w:rPr>
            </w:pPr>
          </w:p>
        </w:tc>
      </w:tr>
      <w:tr w14:paraId="6BAF3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C48B345">
            <w:pPr>
              <w:adjustRightInd w:val="0"/>
              <w:snapToGrid w:val="0"/>
              <w:jc w:val="center"/>
              <w:rPr>
                <w:sz w:val="21"/>
                <w:szCs w:val="21"/>
              </w:rPr>
            </w:pPr>
          </w:p>
        </w:tc>
        <w:tc>
          <w:tcPr>
            <w:tcW w:w="2151" w:type="dxa"/>
            <w:vAlign w:val="center"/>
          </w:tcPr>
          <w:p w14:paraId="0C124D57">
            <w:pPr>
              <w:adjustRightInd w:val="0"/>
              <w:snapToGrid w:val="0"/>
              <w:jc w:val="center"/>
              <w:rPr>
                <w:sz w:val="21"/>
                <w:szCs w:val="21"/>
              </w:rPr>
            </w:pPr>
            <w:r>
              <w:rPr>
                <w:rFonts w:hint="eastAsia"/>
                <w:sz w:val="21"/>
                <w:szCs w:val="21"/>
              </w:rPr>
              <w:t>水泥稳定土生产线搅拌粉尘无组织废气</w:t>
            </w:r>
          </w:p>
        </w:tc>
        <w:tc>
          <w:tcPr>
            <w:tcW w:w="1340" w:type="dxa"/>
            <w:vAlign w:val="center"/>
          </w:tcPr>
          <w:p w14:paraId="352DAC0B">
            <w:pPr>
              <w:adjustRightInd w:val="0"/>
              <w:snapToGrid w:val="0"/>
              <w:jc w:val="center"/>
              <w:rPr>
                <w:kern w:val="0"/>
                <w:sz w:val="21"/>
                <w:szCs w:val="21"/>
                <w:lang w:bidi="ar"/>
              </w:rPr>
            </w:pPr>
            <w:r>
              <w:rPr>
                <w:kern w:val="0"/>
                <w:sz w:val="21"/>
                <w:szCs w:val="21"/>
                <w:lang w:bidi="ar"/>
              </w:rPr>
              <w:t>颗粒物</w:t>
            </w:r>
          </w:p>
        </w:tc>
        <w:tc>
          <w:tcPr>
            <w:tcW w:w="1860" w:type="dxa"/>
            <w:vAlign w:val="center"/>
          </w:tcPr>
          <w:p w14:paraId="342DE6A2">
            <w:pPr>
              <w:adjustRightInd w:val="0"/>
              <w:snapToGrid w:val="0"/>
              <w:jc w:val="center"/>
              <w:rPr>
                <w:bCs/>
                <w:sz w:val="21"/>
                <w:szCs w:val="21"/>
              </w:rPr>
            </w:pPr>
            <w:r>
              <w:rPr>
                <w:rFonts w:hint="eastAsia"/>
                <w:bCs/>
                <w:sz w:val="21"/>
                <w:szCs w:val="21"/>
              </w:rPr>
              <w:t>无组织排放</w:t>
            </w:r>
          </w:p>
        </w:tc>
        <w:tc>
          <w:tcPr>
            <w:tcW w:w="2046" w:type="dxa"/>
            <w:vMerge w:val="continue"/>
            <w:vAlign w:val="center"/>
          </w:tcPr>
          <w:p w14:paraId="5FF59703">
            <w:pPr>
              <w:adjustRightInd w:val="0"/>
              <w:snapToGrid w:val="0"/>
              <w:jc w:val="center"/>
              <w:rPr>
                <w:sz w:val="21"/>
                <w:szCs w:val="21"/>
              </w:rPr>
            </w:pPr>
          </w:p>
        </w:tc>
      </w:tr>
      <w:tr w14:paraId="6C38C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7F624BD4">
            <w:pPr>
              <w:adjustRightInd w:val="0"/>
              <w:snapToGrid w:val="0"/>
              <w:jc w:val="center"/>
              <w:rPr>
                <w:sz w:val="21"/>
                <w:szCs w:val="21"/>
              </w:rPr>
            </w:pPr>
          </w:p>
        </w:tc>
        <w:tc>
          <w:tcPr>
            <w:tcW w:w="2151" w:type="dxa"/>
            <w:vAlign w:val="center"/>
          </w:tcPr>
          <w:p w14:paraId="79040FFA">
            <w:pPr>
              <w:adjustRightInd w:val="0"/>
              <w:snapToGrid w:val="0"/>
              <w:jc w:val="center"/>
              <w:rPr>
                <w:sz w:val="21"/>
                <w:szCs w:val="21"/>
              </w:rPr>
            </w:pPr>
            <w:r>
              <w:rPr>
                <w:rFonts w:hint="eastAsia"/>
                <w:sz w:val="21"/>
                <w:szCs w:val="21"/>
              </w:rPr>
              <w:t>焊接烟尘</w:t>
            </w:r>
          </w:p>
        </w:tc>
        <w:tc>
          <w:tcPr>
            <w:tcW w:w="1340" w:type="dxa"/>
            <w:vAlign w:val="center"/>
          </w:tcPr>
          <w:p w14:paraId="2BE5F5B7">
            <w:pPr>
              <w:adjustRightInd w:val="0"/>
              <w:snapToGrid w:val="0"/>
              <w:jc w:val="center"/>
              <w:rPr>
                <w:kern w:val="0"/>
                <w:sz w:val="21"/>
                <w:szCs w:val="21"/>
                <w:lang w:bidi="ar"/>
              </w:rPr>
            </w:pPr>
            <w:r>
              <w:rPr>
                <w:rFonts w:hint="eastAsia"/>
                <w:kern w:val="0"/>
                <w:sz w:val="21"/>
                <w:szCs w:val="21"/>
                <w:lang w:bidi="ar"/>
              </w:rPr>
              <w:t>颗粒物</w:t>
            </w:r>
          </w:p>
        </w:tc>
        <w:tc>
          <w:tcPr>
            <w:tcW w:w="1860" w:type="dxa"/>
            <w:vAlign w:val="center"/>
          </w:tcPr>
          <w:p w14:paraId="301025C1">
            <w:pPr>
              <w:adjustRightInd w:val="0"/>
              <w:snapToGrid w:val="0"/>
              <w:jc w:val="center"/>
              <w:rPr>
                <w:bCs/>
                <w:sz w:val="21"/>
                <w:szCs w:val="21"/>
              </w:rPr>
            </w:pPr>
            <w:r>
              <w:rPr>
                <w:rFonts w:hint="eastAsia"/>
                <w:sz w:val="21"/>
                <w:szCs w:val="21"/>
              </w:rPr>
              <w:t>经移动式焊烟净化器处理后无组织排放</w:t>
            </w:r>
          </w:p>
        </w:tc>
        <w:tc>
          <w:tcPr>
            <w:tcW w:w="2046" w:type="dxa"/>
            <w:vMerge w:val="continue"/>
            <w:vAlign w:val="center"/>
          </w:tcPr>
          <w:p w14:paraId="76852065">
            <w:pPr>
              <w:adjustRightInd w:val="0"/>
              <w:snapToGrid w:val="0"/>
              <w:jc w:val="center"/>
              <w:rPr>
                <w:sz w:val="21"/>
                <w:szCs w:val="21"/>
              </w:rPr>
            </w:pPr>
          </w:p>
        </w:tc>
      </w:tr>
      <w:tr w14:paraId="4A6BC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59405570">
            <w:pPr>
              <w:adjustRightInd w:val="0"/>
              <w:snapToGrid w:val="0"/>
              <w:jc w:val="center"/>
              <w:rPr>
                <w:sz w:val="21"/>
                <w:szCs w:val="21"/>
              </w:rPr>
            </w:pPr>
          </w:p>
        </w:tc>
        <w:tc>
          <w:tcPr>
            <w:tcW w:w="2151" w:type="dxa"/>
            <w:vAlign w:val="center"/>
          </w:tcPr>
          <w:p w14:paraId="141A8148">
            <w:pPr>
              <w:adjustRightInd w:val="0"/>
              <w:snapToGrid w:val="0"/>
              <w:jc w:val="center"/>
              <w:rPr>
                <w:sz w:val="21"/>
                <w:szCs w:val="21"/>
              </w:rPr>
            </w:pPr>
            <w:r>
              <w:rPr>
                <w:rFonts w:hint="eastAsia"/>
                <w:sz w:val="21"/>
                <w:szCs w:val="21"/>
              </w:rPr>
              <w:t>切割废气</w:t>
            </w:r>
          </w:p>
        </w:tc>
        <w:tc>
          <w:tcPr>
            <w:tcW w:w="1340" w:type="dxa"/>
            <w:vAlign w:val="center"/>
          </w:tcPr>
          <w:p w14:paraId="57DE6798">
            <w:pPr>
              <w:adjustRightInd w:val="0"/>
              <w:snapToGrid w:val="0"/>
              <w:jc w:val="center"/>
              <w:rPr>
                <w:kern w:val="0"/>
                <w:sz w:val="21"/>
                <w:szCs w:val="21"/>
                <w:lang w:bidi="ar"/>
              </w:rPr>
            </w:pPr>
            <w:r>
              <w:rPr>
                <w:rFonts w:hint="eastAsia"/>
                <w:kern w:val="0"/>
                <w:sz w:val="21"/>
                <w:szCs w:val="21"/>
                <w:lang w:bidi="ar"/>
              </w:rPr>
              <w:t>颗粒物</w:t>
            </w:r>
          </w:p>
        </w:tc>
        <w:tc>
          <w:tcPr>
            <w:tcW w:w="1860" w:type="dxa"/>
            <w:vAlign w:val="center"/>
          </w:tcPr>
          <w:p w14:paraId="0A391427">
            <w:pPr>
              <w:adjustRightInd w:val="0"/>
              <w:snapToGrid w:val="0"/>
              <w:jc w:val="center"/>
              <w:rPr>
                <w:bCs/>
                <w:sz w:val="21"/>
                <w:szCs w:val="21"/>
              </w:rPr>
            </w:pPr>
            <w:r>
              <w:rPr>
                <w:rFonts w:hint="eastAsia"/>
                <w:bCs/>
                <w:sz w:val="21"/>
                <w:szCs w:val="21"/>
              </w:rPr>
              <w:t>自然沉降，厂房阻隔</w:t>
            </w:r>
          </w:p>
        </w:tc>
        <w:tc>
          <w:tcPr>
            <w:tcW w:w="2046" w:type="dxa"/>
            <w:vMerge w:val="continue"/>
            <w:vAlign w:val="center"/>
          </w:tcPr>
          <w:p w14:paraId="4AC6DF27">
            <w:pPr>
              <w:adjustRightInd w:val="0"/>
              <w:snapToGrid w:val="0"/>
              <w:jc w:val="center"/>
              <w:rPr>
                <w:sz w:val="21"/>
                <w:szCs w:val="21"/>
              </w:rPr>
            </w:pPr>
          </w:p>
        </w:tc>
      </w:tr>
      <w:tr w14:paraId="477F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Merge w:val="continue"/>
            <w:vAlign w:val="center"/>
          </w:tcPr>
          <w:p w14:paraId="234505CB">
            <w:pPr>
              <w:adjustRightInd w:val="0"/>
              <w:snapToGrid w:val="0"/>
              <w:jc w:val="center"/>
              <w:rPr>
                <w:sz w:val="21"/>
                <w:szCs w:val="21"/>
              </w:rPr>
            </w:pPr>
          </w:p>
        </w:tc>
        <w:tc>
          <w:tcPr>
            <w:tcW w:w="2151" w:type="dxa"/>
            <w:vAlign w:val="center"/>
          </w:tcPr>
          <w:p w14:paraId="29FC0BCC">
            <w:pPr>
              <w:adjustRightInd w:val="0"/>
              <w:snapToGrid w:val="0"/>
              <w:jc w:val="center"/>
              <w:rPr>
                <w:sz w:val="21"/>
                <w:szCs w:val="21"/>
              </w:rPr>
            </w:pPr>
            <w:r>
              <w:rPr>
                <w:rFonts w:hint="eastAsia"/>
                <w:sz w:val="21"/>
                <w:szCs w:val="21"/>
              </w:rPr>
              <w:t>沥青混凝土生产线</w:t>
            </w:r>
            <w:r>
              <w:rPr>
                <w:sz w:val="21"/>
                <w:szCs w:val="21"/>
              </w:rPr>
              <w:t>沥青加热搅拌</w:t>
            </w:r>
            <w:r>
              <w:rPr>
                <w:rFonts w:hint="eastAsia"/>
                <w:sz w:val="21"/>
                <w:szCs w:val="21"/>
              </w:rPr>
              <w:t>无组织</w:t>
            </w:r>
            <w:r>
              <w:rPr>
                <w:sz w:val="21"/>
                <w:szCs w:val="21"/>
              </w:rPr>
              <w:t>废气</w:t>
            </w:r>
          </w:p>
        </w:tc>
        <w:tc>
          <w:tcPr>
            <w:tcW w:w="1340" w:type="dxa"/>
            <w:vAlign w:val="center"/>
          </w:tcPr>
          <w:p w14:paraId="455D5CC9">
            <w:pPr>
              <w:adjustRightInd w:val="0"/>
              <w:snapToGrid w:val="0"/>
              <w:jc w:val="center"/>
              <w:rPr>
                <w:kern w:val="0"/>
                <w:sz w:val="21"/>
                <w:szCs w:val="21"/>
                <w:lang w:bidi="ar"/>
              </w:rPr>
            </w:pPr>
            <w:r>
              <w:rPr>
                <w:rFonts w:hint="eastAsia"/>
                <w:sz w:val="21"/>
                <w:szCs w:val="21"/>
              </w:rPr>
              <w:t>苯并[a]芘、</w:t>
            </w:r>
            <w:r>
              <w:rPr>
                <w:sz w:val="21"/>
                <w:szCs w:val="21"/>
              </w:rPr>
              <w:t>沥青烟</w:t>
            </w:r>
            <w:r>
              <w:rPr>
                <w:rFonts w:hint="eastAsia"/>
                <w:sz w:val="21"/>
                <w:szCs w:val="21"/>
              </w:rPr>
              <w:t>、非甲烷总烃</w:t>
            </w:r>
          </w:p>
        </w:tc>
        <w:tc>
          <w:tcPr>
            <w:tcW w:w="1860" w:type="dxa"/>
            <w:vAlign w:val="center"/>
          </w:tcPr>
          <w:p w14:paraId="29BD7665">
            <w:pPr>
              <w:adjustRightInd w:val="0"/>
              <w:snapToGrid w:val="0"/>
              <w:jc w:val="center"/>
              <w:rPr>
                <w:bCs/>
                <w:sz w:val="21"/>
                <w:szCs w:val="21"/>
              </w:rPr>
            </w:pPr>
            <w:r>
              <w:rPr>
                <w:rFonts w:hint="eastAsia"/>
                <w:bCs/>
                <w:sz w:val="21"/>
                <w:szCs w:val="21"/>
              </w:rPr>
              <w:t>厂房无组织排放</w:t>
            </w:r>
          </w:p>
        </w:tc>
        <w:tc>
          <w:tcPr>
            <w:tcW w:w="2046" w:type="dxa"/>
            <w:vAlign w:val="center"/>
          </w:tcPr>
          <w:p w14:paraId="6473BF54">
            <w:pPr>
              <w:adjustRightInd w:val="0"/>
              <w:snapToGrid w:val="0"/>
              <w:jc w:val="center"/>
              <w:rPr>
                <w:sz w:val="21"/>
                <w:szCs w:val="21"/>
              </w:rPr>
            </w:pPr>
            <w:r>
              <w:rPr>
                <w:rFonts w:hint="eastAsia"/>
                <w:sz w:val="21"/>
                <w:szCs w:val="21"/>
              </w:rPr>
              <w:t>《大气污染物</w:t>
            </w:r>
            <w:r>
              <w:rPr>
                <w:sz w:val="21"/>
                <w:szCs w:val="21"/>
              </w:rPr>
              <w:t>综合排放标准</w:t>
            </w:r>
            <w:r>
              <w:rPr>
                <w:rFonts w:hint="eastAsia"/>
                <w:sz w:val="21"/>
                <w:szCs w:val="21"/>
              </w:rPr>
              <w:t>》（GB16297-1996）表2新污染源大气污染物排放限值（沥青烟</w:t>
            </w:r>
            <w:r>
              <w:rPr>
                <w:sz w:val="21"/>
                <w:szCs w:val="21"/>
              </w:rPr>
              <w:t>生产设备不得有明显的无组织排放存在</w:t>
            </w:r>
            <w:r>
              <w:rPr>
                <w:rFonts w:hint="eastAsia"/>
                <w:sz w:val="21"/>
                <w:szCs w:val="21"/>
              </w:rPr>
              <w:t>、苯并芘</w:t>
            </w:r>
            <w:r>
              <w:rPr>
                <w:sz w:val="21"/>
                <w:szCs w:val="21"/>
              </w:rPr>
              <w:t>0.008μg/m</w:t>
            </w:r>
            <w:r>
              <w:rPr>
                <w:sz w:val="21"/>
                <w:szCs w:val="21"/>
                <w:vertAlign w:val="superscript"/>
              </w:rPr>
              <w:t>3</w:t>
            </w:r>
            <w:r>
              <w:rPr>
                <w:rFonts w:hint="eastAsia"/>
                <w:sz w:val="21"/>
                <w:szCs w:val="21"/>
              </w:rPr>
              <w:t>、非甲烷总烃</w:t>
            </w:r>
            <w:r>
              <w:rPr>
                <w:sz w:val="21"/>
                <w:szCs w:val="21"/>
              </w:rPr>
              <w:t>4.0mg/m</w:t>
            </w:r>
            <w:r>
              <w:rPr>
                <w:sz w:val="21"/>
                <w:szCs w:val="21"/>
                <w:vertAlign w:val="superscript"/>
              </w:rPr>
              <w:t>3</w:t>
            </w:r>
            <w:r>
              <w:rPr>
                <w:rFonts w:hint="eastAsia"/>
                <w:sz w:val="21"/>
                <w:szCs w:val="21"/>
              </w:rPr>
              <w:t>）要求及</w:t>
            </w:r>
            <w:r>
              <w:rPr>
                <w:sz w:val="21"/>
                <w:szCs w:val="21"/>
              </w:rPr>
              <w:t>《挥发性有机物无组织排放控制标准》（GB 37822-2019）厂区内VOCs无组织排放限值</w:t>
            </w:r>
            <w:r>
              <w:rPr>
                <w:rFonts w:hint="eastAsia"/>
                <w:sz w:val="21"/>
                <w:szCs w:val="21"/>
              </w:rPr>
              <w:t>（监控点处1</w:t>
            </w:r>
            <w:r>
              <w:rPr>
                <w:sz w:val="21"/>
                <w:szCs w:val="21"/>
              </w:rPr>
              <w:t>h平均浓度值</w:t>
            </w:r>
            <w:r>
              <w:rPr>
                <w:rFonts w:hint="eastAsia"/>
                <w:sz w:val="21"/>
                <w:szCs w:val="21"/>
              </w:rPr>
              <w:t>1</w:t>
            </w:r>
            <w:r>
              <w:rPr>
                <w:sz w:val="21"/>
                <w:szCs w:val="21"/>
              </w:rPr>
              <w:t>0mg/m</w:t>
            </w:r>
            <w:r>
              <w:rPr>
                <w:sz w:val="21"/>
                <w:szCs w:val="21"/>
                <w:vertAlign w:val="superscript"/>
              </w:rPr>
              <w:t>3</w:t>
            </w:r>
            <w:r>
              <w:rPr>
                <w:sz w:val="21"/>
                <w:szCs w:val="21"/>
              </w:rPr>
              <w:t>、监控点处任意一次浓度值</w:t>
            </w:r>
            <w:r>
              <w:rPr>
                <w:rFonts w:hint="eastAsia"/>
                <w:sz w:val="21"/>
                <w:szCs w:val="21"/>
              </w:rPr>
              <w:t>3</w:t>
            </w:r>
            <w:r>
              <w:rPr>
                <w:sz w:val="21"/>
                <w:szCs w:val="21"/>
              </w:rPr>
              <w:t>0mg/m</w:t>
            </w:r>
            <w:r>
              <w:rPr>
                <w:sz w:val="21"/>
                <w:szCs w:val="21"/>
                <w:vertAlign w:val="superscript"/>
              </w:rPr>
              <w:t>3</w:t>
            </w:r>
            <w:r>
              <w:rPr>
                <w:rFonts w:hint="eastAsia"/>
                <w:sz w:val="21"/>
                <w:szCs w:val="21"/>
              </w:rPr>
              <w:t>）</w:t>
            </w:r>
            <w:r>
              <w:rPr>
                <w:sz w:val="21"/>
                <w:szCs w:val="21"/>
              </w:rPr>
              <w:t>要求</w:t>
            </w:r>
          </w:p>
        </w:tc>
      </w:tr>
      <w:tr w14:paraId="40D81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12C16359">
            <w:pPr>
              <w:adjustRightInd w:val="0"/>
              <w:snapToGrid w:val="0"/>
              <w:jc w:val="center"/>
              <w:rPr>
                <w:sz w:val="21"/>
                <w:szCs w:val="21"/>
              </w:rPr>
            </w:pPr>
            <w:r>
              <w:rPr>
                <w:sz w:val="21"/>
                <w:szCs w:val="21"/>
              </w:rPr>
              <w:t>地表水环境</w:t>
            </w:r>
          </w:p>
        </w:tc>
        <w:tc>
          <w:tcPr>
            <w:tcW w:w="2151" w:type="dxa"/>
            <w:vAlign w:val="center"/>
          </w:tcPr>
          <w:p w14:paraId="200D06A8">
            <w:pPr>
              <w:adjustRightInd w:val="0"/>
              <w:snapToGrid w:val="0"/>
              <w:jc w:val="center"/>
              <w:rPr>
                <w:sz w:val="21"/>
                <w:szCs w:val="21"/>
              </w:rPr>
            </w:pPr>
            <w:r>
              <w:rPr>
                <w:sz w:val="21"/>
                <w:szCs w:val="21"/>
              </w:rPr>
              <w:t>/</w:t>
            </w:r>
          </w:p>
        </w:tc>
        <w:tc>
          <w:tcPr>
            <w:tcW w:w="1340" w:type="dxa"/>
            <w:vAlign w:val="center"/>
          </w:tcPr>
          <w:p w14:paraId="2EC50CC9">
            <w:pPr>
              <w:adjustRightInd w:val="0"/>
              <w:snapToGrid w:val="0"/>
              <w:jc w:val="center"/>
              <w:rPr>
                <w:sz w:val="21"/>
                <w:szCs w:val="21"/>
              </w:rPr>
            </w:pPr>
            <w:r>
              <w:rPr>
                <w:sz w:val="21"/>
                <w:szCs w:val="21"/>
              </w:rPr>
              <w:t>/</w:t>
            </w:r>
          </w:p>
        </w:tc>
        <w:tc>
          <w:tcPr>
            <w:tcW w:w="1860" w:type="dxa"/>
            <w:vAlign w:val="center"/>
          </w:tcPr>
          <w:p w14:paraId="588845DF">
            <w:pPr>
              <w:adjustRightInd w:val="0"/>
              <w:snapToGrid w:val="0"/>
              <w:rPr>
                <w:sz w:val="21"/>
                <w:szCs w:val="21"/>
              </w:rPr>
            </w:pPr>
            <w:r>
              <w:rPr>
                <w:rFonts w:hint="eastAsia"/>
                <w:sz w:val="21"/>
                <w:szCs w:val="21"/>
              </w:rPr>
              <w:t>食堂废水经隔油池处理</w:t>
            </w:r>
          </w:p>
        </w:tc>
        <w:tc>
          <w:tcPr>
            <w:tcW w:w="2046" w:type="dxa"/>
            <w:vAlign w:val="center"/>
          </w:tcPr>
          <w:p w14:paraId="7EED6775">
            <w:pPr>
              <w:adjustRightInd w:val="0"/>
              <w:snapToGrid w:val="0"/>
              <w:jc w:val="center"/>
              <w:rPr>
                <w:sz w:val="21"/>
                <w:szCs w:val="21"/>
              </w:rPr>
            </w:pPr>
            <w:r>
              <w:rPr>
                <w:rFonts w:hint="eastAsia"/>
                <w:sz w:val="21"/>
                <w:szCs w:val="21"/>
              </w:rPr>
              <w:t>《污水综合排放标准》（GB8978-1996）表4 中三级</w:t>
            </w:r>
          </w:p>
          <w:p w14:paraId="74A6DF79">
            <w:pPr>
              <w:adjustRightInd w:val="0"/>
              <w:snapToGrid w:val="0"/>
              <w:jc w:val="center"/>
              <w:rPr>
                <w:sz w:val="21"/>
                <w:szCs w:val="21"/>
              </w:rPr>
            </w:pPr>
            <w:r>
              <w:rPr>
                <w:rFonts w:hint="eastAsia"/>
                <w:sz w:val="21"/>
                <w:szCs w:val="21"/>
              </w:rPr>
              <w:t>标准限值要求</w:t>
            </w:r>
          </w:p>
        </w:tc>
      </w:tr>
      <w:tr w14:paraId="6149A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3DA0B874">
            <w:pPr>
              <w:adjustRightInd w:val="0"/>
              <w:snapToGrid w:val="0"/>
              <w:jc w:val="center"/>
              <w:rPr>
                <w:sz w:val="21"/>
                <w:szCs w:val="21"/>
              </w:rPr>
            </w:pPr>
            <w:r>
              <w:rPr>
                <w:sz w:val="21"/>
                <w:szCs w:val="21"/>
              </w:rPr>
              <w:t>声环境</w:t>
            </w:r>
          </w:p>
        </w:tc>
        <w:tc>
          <w:tcPr>
            <w:tcW w:w="2151" w:type="dxa"/>
            <w:vAlign w:val="center"/>
          </w:tcPr>
          <w:p w14:paraId="59D11926">
            <w:pPr>
              <w:adjustRightInd w:val="0"/>
              <w:snapToGrid w:val="0"/>
              <w:rPr>
                <w:sz w:val="21"/>
                <w:szCs w:val="21"/>
              </w:rPr>
            </w:pPr>
            <w:r>
              <w:rPr>
                <w:sz w:val="21"/>
                <w:szCs w:val="21"/>
              </w:rPr>
              <w:t>搅拌机，皮带输送</w:t>
            </w:r>
            <w:r>
              <w:rPr>
                <w:rFonts w:hint="eastAsia"/>
                <w:sz w:val="21"/>
                <w:szCs w:val="21"/>
              </w:rPr>
              <w:t>机、风机</w:t>
            </w:r>
            <w:r>
              <w:rPr>
                <w:sz w:val="21"/>
                <w:szCs w:val="21"/>
              </w:rPr>
              <w:t>、振动筛、导热油炉等</w:t>
            </w:r>
          </w:p>
        </w:tc>
        <w:tc>
          <w:tcPr>
            <w:tcW w:w="1340" w:type="dxa"/>
            <w:vAlign w:val="center"/>
          </w:tcPr>
          <w:p w14:paraId="45BEACEF">
            <w:pPr>
              <w:adjustRightInd w:val="0"/>
              <w:snapToGrid w:val="0"/>
              <w:jc w:val="center"/>
              <w:rPr>
                <w:sz w:val="21"/>
                <w:szCs w:val="21"/>
              </w:rPr>
            </w:pPr>
            <w:r>
              <w:rPr>
                <w:sz w:val="21"/>
                <w:szCs w:val="21"/>
              </w:rPr>
              <w:t>/</w:t>
            </w:r>
          </w:p>
        </w:tc>
        <w:tc>
          <w:tcPr>
            <w:tcW w:w="1860" w:type="dxa"/>
            <w:vAlign w:val="center"/>
          </w:tcPr>
          <w:p w14:paraId="3EFD1667">
            <w:pPr>
              <w:adjustRightInd w:val="0"/>
              <w:snapToGrid w:val="0"/>
              <w:jc w:val="center"/>
              <w:rPr>
                <w:sz w:val="21"/>
                <w:szCs w:val="21"/>
              </w:rPr>
            </w:pPr>
            <w:r>
              <w:rPr>
                <w:sz w:val="21"/>
                <w:szCs w:val="21"/>
              </w:rPr>
              <w:t>减振、</w:t>
            </w:r>
            <w:r>
              <w:rPr>
                <w:rFonts w:hint="eastAsia"/>
                <w:sz w:val="21"/>
                <w:szCs w:val="21"/>
              </w:rPr>
              <w:t>厂房</w:t>
            </w:r>
            <w:r>
              <w:rPr>
                <w:sz w:val="21"/>
                <w:szCs w:val="21"/>
              </w:rPr>
              <w:t>隔声</w:t>
            </w:r>
          </w:p>
        </w:tc>
        <w:tc>
          <w:tcPr>
            <w:tcW w:w="2046" w:type="dxa"/>
            <w:vAlign w:val="center"/>
          </w:tcPr>
          <w:p w14:paraId="0E51557F">
            <w:pPr>
              <w:adjustRightInd w:val="0"/>
              <w:snapToGrid w:val="0"/>
              <w:jc w:val="center"/>
              <w:rPr>
                <w:sz w:val="21"/>
                <w:szCs w:val="21"/>
              </w:rPr>
            </w:pPr>
            <w:r>
              <w:rPr>
                <w:sz w:val="21"/>
                <w:szCs w:val="21"/>
              </w:rPr>
              <w:t>《工业企业厂界环境噪声排放标准》（GB12348-2008）中3类标准</w:t>
            </w:r>
          </w:p>
        </w:tc>
      </w:tr>
      <w:tr w14:paraId="043AB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61C1D0EB">
            <w:pPr>
              <w:adjustRightInd w:val="0"/>
              <w:snapToGrid w:val="0"/>
              <w:jc w:val="center"/>
              <w:rPr>
                <w:sz w:val="21"/>
                <w:szCs w:val="21"/>
              </w:rPr>
            </w:pPr>
            <w:r>
              <w:rPr>
                <w:sz w:val="21"/>
                <w:szCs w:val="21"/>
              </w:rPr>
              <w:t>电磁辐射</w:t>
            </w:r>
          </w:p>
        </w:tc>
        <w:tc>
          <w:tcPr>
            <w:tcW w:w="2151" w:type="dxa"/>
            <w:vAlign w:val="center"/>
          </w:tcPr>
          <w:p w14:paraId="6378B66A">
            <w:pPr>
              <w:adjustRightInd w:val="0"/>
              <w:snapToGrid w:val="0"/>
              <w:jc w:val="center"/>
              <w:rPr>
                <w:sz w:val="21"/>
                <w:szCs w:val="21"/>
              </w:rPr>
            </w:pPr>
            <w:r>
              <w:rPr>
                <w:sz w:val="21"/>
                <w:szCs w:val="21"/>
              </w:rPr>
              <w:t>/</w:t>
            </w:r>
          </w:p>
        </w:tc>
        <w:tc>
          <w:tcPr>
            <w:tcW w:w="1340" w:type="dxa"/>
            <w:vAlign w:val="center"/>
          </w:tcPr>
          <w:p w14:paraId="28FAE1B1">
            <w:pPr>
              <w:adjustRightInd w:val="0"/>
              <w:snapToGrid w:val="0"/>
              <w:jc w:val="center"/>
              <w:rPr>
                <w:sz w:val="21"/>
                <w:szCs w:val="21"/>
              </w:rPr>
            </w:pPr>
            <w:r>
              <w:rPr>
                <w:sz w:val="21"/>
                <w:szCs w:val="21"/>
              </w:rPr>
              <w:t>/</w:t>
            </w:r>
          </w:p>
        </w:tc>
        <w:tc>
          <w:tcPr>
            <w:tcW w:w="1860" w:type="dxa"/>
            <w:vAlign w:val="center"/>
          </w:tcPr>
          <w:p w14:paraId="3BB10D55">
            <w:pPr>
              <w:adjustRightInd w:val="0"/>
              <w:snapToGrid w:val="0"/>
              <w:jc w:val="center"/>
              <w:rPr>
                <w:sz w:val="21"/>
                <w:szCs w:val="21"/>
              </w:rPr>
            </w:pPr>
            <w:r>
              <w:rPr>
                <w:sz w:val="21"/>
                <w:szCs w:val="21"/>
              </w:rPr>
              <w:t>/</w:t>
            </w:r>
          </w:p>
        </w:tc>
        <w:tc>
          <w:tcPr>
            <w:tcW w:w="2046" w:type="dxa"/>
            <w:vAlign w:val="center"/>
          </w:tcPr>
          <w:p w14:paraId="12593B0A">
            <w:pPr>
              <w:adjustRightInd w:val="0"/>
              <w:snapToGrid w:val="0"/>
              <w:jc w:val="center"/>
              <w:rPr>
                <w:sz w:val="21"/>
                <w:szCs w:val="21"/>
              </w:rPr>
            </w:pPr>
            <w:r>
              <w:rPr>
                <w:sz w:val="21"/>
                <w:szCs w:val="21"/>
              </w:rPr>
              <w:t>/</w:t>
            </w:r>
          </w:p>
        </w:tc>
      </w:tr>
      <w:tr w14:paraId="77E93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5C2CD285">
            <w:pPr>
              <w:adjustRightInd w:val="0"/>
              <w:snapToGrid w:val="0"/>
              <w:jc w:val="center"/>
              <w:rPr>
                <w:sz w:val="21"/>
                <w:szCs w:val="21"/>
              </w:rPr>
            </w:pPr>
            <w:r>
              <w:rPr>
                <w:sz w:val="21"/>
                <w:szCs w:val="21"/>
              </w:rPr>
              <w:t>固体废物</w:t>
            </w:r>
          </w:p>
        </w:tc>
        <w:tc>
          <w:tcPr>
            <w:tcW w:w="7397" w:type="dxa"/>
            <w:gridSpan w:val="4"/>
            <w:vAlign w:val="center"/>
          </w:tcPr>
          <w:p w14:paraId="3E95123B">
            <w:pPr>
              <w:rPr>
                <w:sz w:val="21"/>
                <w:szCs w:val="21"/>
              </w:rPr>
            </w:pPr>
            <w:r>
              <w:rPr>
                <w:sz w:val="21"/>
                <w:szCs w:val="21"/>
              </w:rPr>
              <w:t>不合格骨料由供应商拉走、除尘器收集粉尘、滴漏沥青及拌合残渣等回用；</w:t>
            </w:r>
            <w:r>
              <w:rPr>
                <w:rFonts w:hint="eastAsia"/>
                <w:sz w:val="21"/>
                <w:szCs w:val="21"/>
              </w:rPr>
              <w:t>废钢筋</w:t>
            </w:r>
            <w:r>
              <w:rPr>
                <w:sz w:val="21"/>
                <w:szCs w:val="21"/>
              </w:rPr>
              <w:t>收集后外售物资回收单位</w:t>
            </w:r>
            <w:r>
              <w:rPr>
                <w:rFonts w:hint="eastAsia"/>
                <w:sz w:val="21"/>
                <w:szCs w:val="21"/>
              </w:rPr>
              <w:t>；</w:t>
            </w:r>
            <w:r>
              <w:rPr>
                <w:sz w:val="21"/>
                <w:szCs w:val="21"/>
              </w:rPr>
              <w:t>废活性炭、废导热油、</w:t>
            </w:r>
            <w:r>
              <w:rPr>
                <w:rFonts w:hint="eastAsia"/>
                <w:sz w:val="21"/>
                <w:szCs w:val="21"/>
              </w:rPr>
              <w:t>焦油沉渣、电捕焦油器废油</w:t>
            </w:r>
            <w:r>
              <w:rPr>
                <w:sz w:val="21"/>
                <w:szCs w:val="21"/>
              </w:rPr>
              <w:t>、废机油、废含油手套、废含油抹布等危险废物要求建设危废暂存间（20m</w:t>
            </w:r>
            <w:r>
              <w:rPr>
                <w:sz w:val="21"/>
                <w:szCs w:val="21"/>
                <w:vertAlign w:val="superscript"/>
              </w:rPr>
              <w:t>2</w:t>
            </w:r>
            <w:r>
              <w:rPr>
                <w:sz w:val="21"/>
                <w:szCs w:val="21"/>
              </w:rPr>
              <w:t>），</w:t>
            </w:r>
            <w:r>
              <w:rPr>
                <w:rFonts w:hint="eastAsia"/>
                <w:sz w:val="21"/>
                <w:szCs w:val="21"/>
              </w:rPr>
              <w:t>定期交由有危废处置资质单位处理</w:t>
            </w:r>
            <w:r>
              <w:rPr>
                <w:sz w:val="21"/>
                <w:szCs w:val="21"/>
              </w:rPr>
              <w:t>；生活垃圾委托环卫部门清运。</w:t>
            </w:r>
          </w:p>
        </w:tc>
      </w:tr>
      <w:tr w14:paraId="51FCD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4965C02C">
            <w:pPr>
              <w:adjustRightInd w:val="0"/>
              <w:snapToGrid w:val="0"/>
              <w:jc w:val="center"/>
              <w:rPr>
                <w:sz w:val="21"/>
                <w:szCs w:val="21"/>
              </w:rPr>
            </w:pPr>
            <w:r>
              <w:rPr>
                <w:sz w:val="21"/>
                <w:szCs w:val="21"/>
              </w:rPr>
              <w:t>土壤及地下水污染防治措施</w:t>
            </w:r>
          </w:p>
        </w:tc>
        <w:tc>
          <w:tcPr>
            <w:tcW w:w="7397" w:type="dxa"/>
            <w:gridSpan w:val="4"/>
            <w:vAlign w:val="center"/>
          </w:tcPr>
          <w:p w14:paraId="5F8A26BB">
            <w:pPr>
              <w:adjustRightInd w:val="0"/>
              <w:snapToGrid w:val="0"/>
              <w:rPr>
                <w:sz w:val="21"/>
                <w:szCs w:val="21"/>
              </w:rPr>
            </w:pPr>
            <w:r>
              <w:rPr>
                <w:kern w:val="0"/>
                <w:sz w:val="21"/>
                <w:szCs w:val="21"/>
                <w:lang w:bidi="ar"/>
              </w:rPr>
              <w:t>水泥稳定土生产区、</w:t>
            </w:r>
            <w:r>
              <w:rPr>
                <w:rFonts w:hint="eastAsia"/>
                <w:kern w:val="0"/>
                <w:sz w:val="21"/>
                <w:szCs w:val="21"/>
                <w:lang w:bidi="ar"/>
              </w:rPr>
              <w:t>水泥混凝土生产区、</w:t>
            </w:r>
            <w:r>
              <w:rPr>
                <w:kern w:val="0"/>
                <w:sz w:val="21"/>
                <w:szCs w:val="21"/>
                <w:lang w:bidi="ar"/>
              </w:rPr>
              <w:t>料仓、</w:t>
            </w:r>
            <w:r>
              <w:rPr>
                <w:rFonts w:hint="eastAsia"/>
                <w:kern w:val="0"/>
                <w:sz w:val="21"/>
                <w:szCs w:val="21"/>
                <w:lang w:bidi="ar"/>
              </w:rPr>
              <w:t>预制场、实验室、</w:t>
            </w:r>
            <w:r>
              <w:rPr>
                <w:kern w:val="0"/>
                <w:sz w:val="21"/>
                <w:szCs w:val="21"/>
                <w:lang w:bidi="ar"/>
              </w:rPr>
              <w:t>一般固废仓库、</w:t>
            </w:r>
            <w:r>
              <w:rPr>
                <w:rFonts w:hint="eastAsia"/>
                <w:sz w:val="21"/>
                <w:szCs w:val="21"/>
              </w:rPr>
              <w:t>蓄水池、</w:t>
            </w:r>
            <w:r>
              <w:rPr>
                <w:kern w:val="0"/>
                <w:sz w:val="21"/>
                <w:szCs w:val="21"/>
                <w:lang w:bidi="ar"/>
              </w:rPr>
              <w:t>沉淀池等按要求一般防渗</w:t>
            </w:r>
            <w:r>
              <w:rPr>
                <w:rFonts w:hint="eastAsia"/>
                <w:kern w:val="0"/>
                <w:sz w:val="21"/>
                <w:szCs w:val="21"/>
                <w:lang w:bidi="ar"/>
              </w:rPr>
              <w:t>（</w:t>
            </w:r>
            <w:r>
              <w:rPr>
                <w:kern w:val="0"/>
                <w:sz w:val="21"/>
                <w:szCs w:val="21"/>
                <w:lang w:bidi="ar"/>
              </w:rPr>
              <w:t>等效黏土防渗层Mb≥1.5m</w:t>
            </w:r>
            <w:r>
              <w:rPr>
                <w:rFonts w:hint="eastAsia"/>
                <w:kern w:val="0"/>
                <w:sz w:val="21"/>
                <w:szCs w:val="21"/>
                <w:lang w:bidi="ar"/>
              </w:rPr>
              <w:t>，</w:t>
            </w:r>
            <w:r>
              <w:rPr>
                <w:kern w:val="0"/>
                <w:sz w:val="21"/>
                <w:szCs w:val="21"/>
                <w:lang w:bidi="ar"/>
              </w:rPr>
              <w:t>K≤10</w:t>
            </w:r>
            <w:r>
              <w:rPr>
                <w:kern w:val="0"/>
                <w:sz w:val="21"/>
                <w:szCs w:val="21"/>
                <w:vertAlign w:val="superscript"/>
                <w:lang w:bidi="ar"/>
              </w:rPr>
              <w:t>-7</w:t>
            </w:r>
            <w:r>
              <w:rPr>
                <w:kern w:val="0"/>
                <w:sz w:val="21"/>
                <w:szCs w:val="21"/>
                <w:lang w:bidi="ar"/>
              </w:rPr>
              <w:t>cm/s</w:t>
            </w:r>
            <w:r>
              <w:rPr>
                <w:rFonts w:hint="eastAsia"/>
                <w:kern w:val="0"/>
                <w:sz w:val="21"/>
                <w:szCs w:val="21"/>
                <w:lang w:bidi="ar"/>
              </w:rPr>
              <w:t>）</w:t>
            </w:r>
            <w:r>
              <w:rPr>
                <w:kern w:val="0"/>
                <w:sz w:val="21"/>
                <w:szCs w:val="21"/>
                <w:lang w:bidi="ar"/>
              </w:rPr>
              <w:t>；沥青罐区、危废暂存间、醇醚储罐区等按要求重点防渗</w:t>
            </w:r>
            <w:r>
              <w:rPr>
                <w:rFonts w:hint="eastAsia"/>
                <w:kern w:val="0"/>
                <w:sz w:val="21"/>
                <w:szCs w:val="21"/>
                <w:lang w:bidi="ar"/>
              </w:rPr>
              <w:t>（等效黏土防渗层Mb≥6.0m，K≤10</w:t>
            </w:r>
            <w:r>
              <w:rPr>
                <w:rFonts w:hint="eastAsia"/>
                <w:kern w:val="0"/>
                <w:sz w:val="21"/>
                <w:szCs w:val="21"/>
                <w:vertAlign w:val="superscript"/>
                <w:lang w:bidi="ar"/>
              </w:rPr>
              <w:t>-7</w:t>
            </w:r>
            <w:r>
              <w:rPr>
                <w:rFonts w:hint="eastAsia"/>
                <w:kern w:val="0"/>
                <w:sz w:val="21"/>
                <w:szCs w:val="21"/>
                <w:lang w:bidi="ar"/>
              </w:rPr>
              <w:t>cm/s）</w:t>
            </w:r>
            <w:r>
              <w:rPr>
                <w:kern w:val="0"/>
                <w:sz w:val="21"/>
                <w:szCs w:val="21"/>
                <w:lang w:bidi="ar"/>
              </w:rPr>
              <w:t>。</w:t>
            </w:r>
          </w:p>
        </w:tc>
      </w:tr>
      <w:tr w14:paraId="51165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6AD63AB9">
            <w:pPr>
              <w:adjustRightInd w:val="0"/>
              <w:snapToGrid w:val="0"/>
              <w:jc w:val="center"/>
              <w:rPr>
                <w:sz w:val="21"/>
                <w:szCs w:val="21"/>
              </w:rPr>
            </w:pPr>
            <w:r>
              <w:rPr>
                <w:sz w:val="21"/>
                <w:szCs w:val="21"/>
              </w:rPr>
              <w:t>生态保护措施</w:t>
            </w:r>
          </w:p>
        </w:tc>
        <w:tc>
          <w:tcPr>
            <w:tcW w:w="7397" w:type="dxa"/>
            <w:gridSpan w:val="4"/>
            <w:vAlign w:val="center"/>
          </w:tcPr>
          <w:p w14:paraId="15C09A4B">
            <w:pPr>
              <w:adjustRightInd w:val="0"/>
              <w:snapToGrid w:val="0"/>
              <w:jc w:val="left"/>
              <w:rPr>
                <w:sz w:val="21"/>
                <w:szCs w:val="21"/>
              </w:rPr>
            </w:pPr>
            <w:r>
              <w:rPr>
                <w:rFonts w:hint="eastAsia"/>
                <w:sz w:val="21"/>
                <w:szCs w:val="21"/>
              </w:rPr>
              <w:t>项目部分占用草地，采取分别开挖，分别堆放、反序分层回填的方式，表土单独堆放，采取覆盖的方式，施工时应减少土方开挖、回填量和堆放占用土地，最大限度地减少对土地的扰动；在服务期满后用开挖土方及时进行回填，应尽量做到平衡，宜采取原土回填。</w:t>
            </w:r>
          </w:p>
          <w:p w14:paraId="3797AEB6">
            <w:pPr>
              <w:adjustRightInd w:val="0"/>
              <w:snapToGrid w:val="0"/>
              <w:jc w:val="left"/>
              <w:rPr>
                <w:sz w:val="21"/>
                <w:szCs w:val="21"/>
              </w:rPr>
            </w:pPr>
            <w:r>
              <w:rPr>
                <w:rFonts w:hint="eastAsia"/>
                <w:sz w:val="21"/>
                <w:szCs w:val="21"/>
              </w:rPr>
              <w:t>服务期满后对施工活动造成裸土与植被破坏的情况，进行生态恢复，宜种植当地或其它合适的植物，以恢复空地地貌，减少土壤侵蚀。</w:t>
            </w:r>
          </w:p>
        </w:tc>
      </w:tr>
      <w:tr w14:paraId="67A44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622E5B31">
            <w:pPr>
              <w:adjustRightInd w:val="0"/>
              <w:snapToGrid w:val="0"/>
              <w:jc w:val="center"/>
              <w:rPr>
                <w:spacing w:val="-8"/>
                <w:sz w:val="21"/>
                <w:szCs w:val="21"/>
              </w:rPr>
            </w:pPr>
            <w:r>
              <w:rPr>
                <w:spacing w:val="-8"/>
                <w:sz w:val="21"/>
                <w:szCs w:val="21"/>
              </w:rPr>
              <w:t>环境风险</w:t>
            </w:r>
          </w:p>
          <w:p w14:paraId="276D3EFE">
            <w:pPr>
              <w:adjustRightInd w:val="0"/>
              <w:snapToGrid w:val="0"/>
              <w:jc w:val="center"/>
              <w:rPr>
                <w:spacing w:val="-8"/>
                <w:sz w:val="21"/>
                <w:szCs w:val="21"/>
              </w:rPr>
            </w:pPr>
            <w:r>
              <w:rPr>
                <w:spacing w:val="-8"/>
                <w:sz w:val="21"/>
                <w:szCs w:val="21"/>
              </w:rPr>
              <w:t>防范措施</w:t>
            </w:r>
          </w:p>
        </w:tc>
        <w:tc>
          <w:tcPr>
            <w:tcW w:w="7397" w:type="dxa"/>
            <w:gridSpan w:val="4"/>
            <w:vAlign w:val="center"/>
          </w:tcPr>
          <w:p w14:paraId="3029EA17">
            <w:pPr>
              <w:widowControl/>
              <w:textAlignment w:val="center"/>
              <w:rPr>
                <w:kern w:val="0"/>
                <w:sz w:val="21"/>
                <w:szCs w:val="21"/>
                <w:lang w:bidi="ar"/>
              </w:rPr>
            </w:pPr>
            <w:r>
              <w:rPr>
                <w:rFonts w:hint="eastAsia"/>
                <w:kern w:val="0"/>
                <w:sz w:val="21"/>
                <w:szCs w:val="21"/>
                <w:lang w:bidi="ar"/>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p w14:paraId="53064354">
            <w:pPr>
              <w:widowControl/>
              <w:textAlignment w:val="center"/>
              <w:rPr>
                <w:kern w:val="0"/>
                <w:sz w:val="21"/>
                <w:szCs w:val="21"/>
                <w:lang w:bidi="ar"/>
              </w:rPr>
            </w:pPr>
            <w:r>
              <w:rPr>
                <w:rFonts w:hint="eastAsia"/>
                <w:kern w:val="0"/>
                <w:sz w:val="21"/>
                <w:szCs w:val="21"/>
                <w:lang w:bidi="ar"/>
              </w:rPr>
              <w:t>加强人员巡查及日常的维护，争取在第一时间发现泄漏事故并将其影响降至最低；</w:t>
            </w:r>
          </w:p>
          <w:p w14:paraId="3251D897">
            <w:pPr>
              <w:widowControl/>
              <w:textAlignment w:val="center"/>
              <w:rPr>
                <w:sz w:val="21"/>
                <w:szCs w:val="21"/>
              </w:rPr>
            </w:pPr>
            <w:r>
              <w:rPr>
                <w:rFonts w:hint="eastAsia"/>
                <w:sz w:val="21"/>
                <w:szCs w:val="21"/>
              </w:rPr>
              <w:t>储存沥青、醇醚、导热油、废机油的装置四周应设置围堰；</w:t>
            </w:r>
          </w:p>
          <w:p w14:paraId="25166819">
            <w:pPr>
              <w:adjustRightInd w:val="0"/>
              <w:snapToGrid w:val="0"/>
              <w:rPr>
                <w:sz w:val="21"/>
                <w:szCs w:val="21"/>
              </w:rPr>
            </w:pPr>
            <w:r>
              <w:rPr>
                <w:sz w:val="21"/>
                <w:szCs w:val="21"/>
              </w:rPr>
              <w:t>沥青罐区、醇醚罐区、危废暂存间等按照重点防渗区进行防渗，编制应急预案</w:t>
            </w:r>
            <w:r>
              <w:rPr>
                <w:rFonts w:hint="eastAsia"/>
                <w:sz w:val="21"/>
                <w:szCs w:val="21"/>
              </w:rPr>
              <w:t>。</w:t>
            </w:r>
          </w:p>
        </w:tc>
      </w:tr>
      <w:tr w14:paraId="7B6F1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9" w:type="dxa"/>
            <w:vAlign w:val="center"/>
          </w:tcPr>
          <w:p w14:paraId="246CBA58">
            <w:pPr>
              <w:adjustRightInd w:val="0"/>
              <w:snapToGrid w:val="0"/>
              <w:jc w:val="center"/>
              <w:rPr>
                <w:spacing w:val="-8"/>
                <w:sz w:val="21"/>
                <w:szCs w:val="21"/>
              </w:rPr>
            </w:pPr>
            <w:r>
              <w:rPr>
                <w:spacing w:val="-8"/>
                <w:sz w:val="21"/>
                <w:szCs w:val="21"/>
              </w:rPr>
              <w:t>其他环境</w:t>
            </w:r>
          </w:p>
          <w:p w14:paraId="7A358E78">
            <w:pPr>
              <w:adjustRightInd w:val="0"/>
              <w:snapToGrid w:val="0"/>
              <w:jc w:val="center"/>
              <w:rPr>
                <w:spacing w:val="-8"/>
                <w:sz w:val="21"/>
                <w:szCs w:val="21"/>
              </w:rPr>
            </w:pPr>
            <w:r>
              <w:rPr>
                <w:spacing w:val="-8"/>
                <w:sz w:val="21"/>
                <w:szCs w:val="21"/>
              </w:rPr>
              <w:t>管理要求</w:t>
            </w:r>
          </w:p>
        </w:tc>
        <w:tc>
          <w:tcPr>
            <w:tcW w:w="7397" w:type="dxa"/>
            <w:gridSpan w:val="4"/>
            <w:vAlign w:val="center"/>
          </w:tcPr>
          <w:p w14:paraId="73A77CE3">
            <w:pPr>
              <w:adjustRightInd w:val="0"/>
              <w:snapToGrid w:val="0"/>
              <w:jc w:val="left"/>
              <w:rPr>
                <w:sz w:val="21"/>
                <w:szCs w:val="21"/>
              </w:rPr>
            </w:pPr>
            <w:r>
              <w:rPr>
                <w:rFonts w:hint="eastAsia"/>
                <w:sz w:val="21"/>
                <w:szCs w:val="21"/>
              </w:rPr>
              <w:t>企业应根据《固定污染源排污许可分类管理名录（2019年版）》做好相关排污许可申报工作。严格落实报告所提环境管理要求。</w:t>
            </w:r>
          </w:p>
        </w:tc>
      </w:tr>
    </w:tbl>
    <w:p w14:paraId="6F803A9F">
      <w:pPr>
        <w:pStyle w:val="19"/>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C49F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2555EBF6">
            <w:pPr>
              <w:spacing w:line="360" w:lineRule="auto"/>
              <w:ind w:firstLine="480" w:firstLineChars="200"/>
            </w:pPr>
            <w:r>
              <w:t>建设单位在严格执行我国建设项目环境保护</w:t>
            </w:r>
            <w:r>
              <w:rPr>
                <w:rFonts w:ascii="宋体" w:hAnsi="宋体"/>
              </w:rPr>
              <w:t>“三同时制度”</w:t>
            </w:r>
            <w:r>
              <w:t>、落实各项环评要求、并加强生产和污染治理设施的运行管理、保证各种污染物达标排放的前提下，符合国家、地方的相关环保标准。因此，在采取本次评价提出的防治措施的前提下，从环保角度建设项目是可行的。</w:t>
            </w:r>
          </w:p>
        </w:tc>
      </w:tr>
    </w:tbl>
    <w:p w14:paraId="6D5A6DEE">
      <w:pPr>
        <w:sectPr>
          <w:pgSz w:w="11906" w:h="16838"/>
          <w:pgMar w:top="1701" w:right="1531" w:bottom="1701" w:left="1531" w:header="851" w:footer="851" w:gutter="0"/>
          <w:cols w:space="720" w:num="1"/>
          <w:docGrid w:linePitch="312" w:charSpace="0"/>
        </w:sectPr>
      </w:pPr>
    </w:p>
    <w:p w14:paraId="41382BB0">
      <w:pPr>
        <w:pStyle w:val="19"/>
        <w:adjustRightInd w:val="0"/>
        <w:snapToGrid w:val="0"/>
        <w:spacing w:before="0" w:beforeAutospacing="0" w:after="0" w:afterAutospacing="0" w:line="480" w:lineRule="auto"/>
        <w:outlineLvl w:val="0"/>
        <w:rPr>
          <w:rFonts w:ascii="Times New Roman" w:hAnsi="Times New Roman"/>
          <w:snapToGrid w:val="0"/>
          <w:sz w:val="32"/>
          <w:szCs w:val="32"/>
        </w:rPr>
      </w:pPr>
      <w:r>
        <w:rPr>
          <w:rFonts w:ascii="Times New Roman" w:hAnsi="Times New Roman"/>
          <w:snapToGrid w:val="0"/>
          <w:sz w:val="32"/>
          <w:szCs w:val="32"/>
        </w:rPr>
        <w:t>附表</w:t>
      </w:r>
    </w:p>
    <w:p w14:paraId="22F0CBE4">
      <w:pPr>
        <w:pStyle w:val="19"/>
        <w:adjustRightInd w:val="0"/>
        <w:snapToGrid w:val="0"/>
        <w:spacing w:before="0" w:beforeAutospacing="0" w:after="0" w:afterAutospacing="0" w:line="360" w:lineRule="auto"/>
        <w:ind w:firstLine="3800" w:firstLineChars="1000"/>
        <w:outlineLvl w:val="0"/>
        <w:rPr>
          <w:rFonts w:ascii="Times New Roman" w:hAnsi="Times New Roman"/>
          <w:snapToGrid w:val="0"/>
          <w:sz w:val="32"/>
          <w:szCs w:val="32"/>
        </w:rPr>
      </w:pPr>
      <w:r>
        <w:rPr>
          <w:rFonts w:ascii="Times New Roman" w:hAnsi="Times New Roman"/>
          <w:snapToGrid w:val="0"/>
          <w:sz w:val="38"/>
          <w:szCs w:val="38"/>
        </w:rPr>
        <w:t>建设项目污染物排放量汇总表</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46"/>
        <w:gridCol w:w="1595"/>
        <w:gridCol w:w="1208"/>
        <w:gridCol w:w="1788"/>
        <w:gridCol w:w="2080"/>
        <w:gridCol w:w="1226"/>
        <w:gridCol w:w="2176"/>
        <w:gridCol w:w="1252"/>
      </w:tblGrid>
      <w:tr w14:paraId="1D1EE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tcBorders>
              <w:tl2br w:val="single" w:color="auto" w:sz="4" w:space="0"/>
            </w:tcBorders>
            <w:tcMar>
              <w:left w:w="28" w:type="dxa"/>
              <w:right w:w="28" w:type="dxa"/>
            </w:tcMar>
            <w:vAlign w:val="center"/>
          </w:tcPr>
          <w:p w14:paraId="0ACAB236">
            <w:pPr>
              <w:pStyle w:val="45"/>
              <w:spacing w:beforeLines="0" w:afterLines="0" w:line="240" w:lineRule="auto"/>
              <w:rPr>
                <w:rFonts w:ascii="Times New Roman"/>
                <w:snapToGrid w:val="0"/>
                <w:spacing w:val="-6"/>
                <w:kern w:val="21"/>
                <w:szCs w:val="24"/>
              </w:rPr>
            </w:pPr>
            <w:r>
              <w:rPr>
                <w:rFonts w:hint="eastAsia" w:ascii="Times New Roman"/>
                <w:snapToGrid w:val="0"/>
                <w:spacing w:val="-6"/>
                <w:kern w:val="21"/>
                <w:szCs w:val="24"/>
              </w:rPr>
              <w:t xml:space="preserve"> </w:t>
            </w:r>
            <w:r>
              <w:rPr>
                <w:rFonts w:ascii="Times New Roman"/>
                <w:snapToGrid w:val="0"/>
                <w:spacing w:val="-6"/>
                <w:kern w:val="21"/>
                <w:szCs w:val="24"/>
              </w:rPr>
              <w:t xml:space="preserve"> 项目</w:t>
            </w:r>
          </w:p>
          <w:p w14:paraId="1D2386EE">
            <w:pPr>
              <w:pStyle w:val="45"/>
              <w:spacing w:beforeLines="0" w:afterLines="0" w:line="240" w:lineRule="auto"/>
              <w:jc w:val="both"/>
              <w:rPr>
                <w:rFonts w:ascii="Times New Roman"/>
                <w:snapToGrid w:val="0"/>
                <w:spacing w:val="-6"/>
                <w:kern w:val="21"/>
                <w:szCs w:val="24"/>
              </w:rPr>
            </w:pPr>
            <w:r>
              <w:rPr>
                <w:rFonts w:ascii="Times New Roman"/>
                <w:snapToGrid w:val="0"/>
                <w:spacing w:val="-6"/>
                <w:kern w:val="21"/>
                <w:szCs w:val="24"/>
              </w:rPr>
              <w:t>分类</w:t>
            </w:r>
          </w:p>
        </w:tc>
        <w:tc>
          <w:tcPr>
            <w:tcW w:w="1346" w:type="dxa"/>
            <w:tcMar>
              <w:left w:w="28" w:type="dxa"/>
              <w:right w:w="28" w:type="dxa"/>
            </w:tcMar>
            <w:vAlign w:val="center"/>
          </w:tcPr>
          <w:p w14:paraId="76FC0C9C">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污染物名称</w:t>
            </w:r>
          </w:p>
        </w:tc>
        <w:tc>
          <w:tcPr>
            <w:tcW w:w="1596" w:type="dxa"/>
            <w:tcMar>
              <w:left w:w="28" w:type="dxa"/>
              <w:right w:w="28" w:type="dxa"/>
            </w:tcMar>
            <w:vAlign w:val="center"/>
          </w:tcPr>
          <w:p w14:paraId="3E7CA6B2">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现有工程</w:t>
            </w:r>
          </w:p>
          <w:p w14:paraId="4F13D567">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排放量（固体废物产生量）</w:t>
            </w:r>
            <w:r>
              <w:rPr>
                <w:rFonts w:ascii="Times New Roman"/>
                <w:snapToGrid w:val="0"/>
                <w:spacing w:val="-6"/>
                <w:kern w:val="21"/>
                <w:szCs w:val="24"/>
              </w:rPr>
              <w:fldChar w:fldCharType="begin"/>
            </w:r>
            <w:r>
              <w:rPr>
                <w:rFonts w:ascii="Times New Roman"/>
                <w:snapToGrid w:val="0"/>
                <w:spacing w:val="-6"/>
                <w:kern w:val="21"/>
                <w:szCs w:val="24"/>
              </w:rPr>
              <w:instrText xml:space="preserve"> = 1 \* GB3 \* MERGEFORMAT </w:instrText>
            </w:r>
            <w:r>
              <w:rPr>
                <w:rFonts w:ascii="Times New Roman"/>
                <w:snapToGrid w:val="0"/>
                <w:spacing w:val="-6"/>
                <w:kern w:val="21"/>
                <w:szCs w:val="24"/>
              </w:rPr>
              <w:fldChar w:fldCharType="separate"/>
            </w:r>
            <w:r>
              <w:rPr>
                <w:rFonts w:hint="eastAsia" w:hAnsi="宋体" w:cs="宋体"/>
                <w:kern w:val="2"/>
                <w:szCs w:val="24"/>
              </w:rPr>
              <w:t>①</w:t>
            </w:r>
            <w:r>
              <w:rPr>
                <w:rFonts w:ascii="Times New Roman"/>
                <w:snapToGrid w:val="0"/>
                <w:spacing w:val="-6"/>
                <w:kern w:val="21"/>
                <w:szCs w:val="24"/>
              </w:rPr>
              <w:fldChar w:fldCharType="end"/>
            </w:r>
          </w:p>
        </w:tc>
        <w:tc>
          <w:tcPr>
            <w:tcW w:w="0" w:type="auto"/>
            <w:tcMar>
              <w:left w:w="28" w:type="dxa"/>
              <w:right w:w="28" w:type="dxa"/>
            </w:tcMar>
            <w:vAlign w:val="center"/>
          </w:tcPr>
          <w:p w14:paraId="46EEA8FC">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现有工程许可排放量</w:t>
            </w:r>
          </w:p>
          <w:p w14:paraId="4CD599D9">
            <w:pPr>
              <w:pStyle w:val="45"/>
              <w:spacing w:beforeLines="0" w:afterLines="0"/>
              <w:rPr>
                <w:rFonts w:ascii="Times New Roman"/>
                <w:snapToGrid w:val="0"/>
                <w:spacing w:val="-6"/>
                <w:kern w:val="21"/>
                <w:szCs w:val="24"/>
              </w:rPr>
            </w:pPr>
            <w:r>
              <w:rPr>
                <w:rFonts w:ascii="Times New Roman"/>
                <w:snapToGrid w:val="0"/>
                <w:spacing w:val="-6"/>
                <w:kern w:val="21"/>
                <w:szCs w:val="24"/>
              </w:rPr>
              <w:fldChar w:fldCharType="begin"/>
            </w:r>
            <w:r>
              <w:rPr>
                <w:rFonts w:ascii="Times New Roman"/>
                <w:snapToGrid w:val="0"/>
                <w:spacing w:val="-6"/>
                <w:kern w:val="21"/>
                <w:szCs w:val="24"/>
              </w:rPr>
              <w:instrText xml:space="preserve"> = 2 \* GB3 \* MERGEFORMAT </w:instrText>
            </w:r>
            <w:r>
              <w:rPr>
                <w:rFonts w:ascii="Times New Roman"/>
                <w:snapToGrid w:val="0"/>
                <w:spacing w:val="-6"/>
                <w:kern w:val="21"/>
                <w:szCs w:val="24"/>
              </w:rPr>
              <w:fldChar w:fldCharType="separate"/>
            </w:r>
            <w:r>
              <w:rPr>
                <w:rFonts w:hint="eastAsia" w:hAnsi="宋体" w:cs="宋体"/>
                <w:snapToGrid w:val="0"/>
                <w:spacing w:val="-6"/>
                <w:kern w:val="21"/>
                <w:szCs w:val="24"/>
              </w:rPr>
              <w:t>②</w:t>
            </w:r>
            <w:r>
              <w:rPr>
                <w:rFonts w:ascii="Times New Roman"/>
                <w:snapToGrid w:val="0"/>
                <w:spacing w:val="-6"/>
                <w:kern w:val="21"/>
                <w:szCs w:val="24"/>
              </w:rPr>
              <w:fldChar w:fldCharType="end"/>
            </w:r>
          </w:p>
        </w:tc>
        <w:tc>
          <w:tcPr>
            <w:tcW w:w="0" w:type="auto"/>
            <w:tcMar>
              <w:left w:w="28" w:type="dxa"/>
              <w:right w:w="28" w:type="dxa"/>
            </w:tcMar>
            <w:vAlign w:val="center"/>
          </w:tcPr>
          <w:p w14:paraId="397BEC8E">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在建工程</w:t>
            </w:r>
          </w:p>
          <w:p w14:paraId="622ECB71">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排放量（固体废物产生量）</w:t>
            </w:r>
            <w:r>
              <w:rPr>
                <w:rFonts w:ascii="Times New Roman"/>
                <w:snapToGrid w:val="0"/>
                <w:spacing w:val="-6"/>
                <w:kern w:val="21"/>
                <w:szCs w:val="24"/>
              </w:rPr>
              <w:fldChar w:fldCharType="begin"/>
            </w:r>
            <w:r>
              <w:rPr>
                <w:rFonts w:ascii="Times New Roman"/>
                <w:snapToGrid w:val="0"/>
                <w:spacing w:val="-6"/>
                <w:kern w:val="21"/>
                <w:szCs w:val="24"/>
              </w:rPr>
              <w:instrText xml:space="preserve"> = 3 \* GB3 \* MERGEFORMAT </w:instrText>
            </w:r>
            <w:r>
              <w:rPr>
                <w:rFonts w:ascii="Times New Roman"/>
                <w:snapToGrid w:val="0"/>
                <w:spacing w:val="-6"/>
                <w:kern w:val="21"/>
                <w:szCs w:val="24"/>
              </w:rPr>
              <w:fldChar w:fldCharType="separate"/>
            </w:r>
            <w:r>
              <w:rPr>
                <w:rFonts w:hint="eastAsia" w:hAnsi="宋体" w:cs="宋体"/>
                <w:kern w:val="2"/>
                <w:szCs w:val="24"/>
              </w:rPr>
              <w:t>③</w:t>
            </w:r>
            <w:r>
              <w:rPr>
                <w:rFonts w:ascii="Times New Roman"/>
                <w:snapToGrid w:val="0"/>
                <w:spacing w:val="-6"/>
                <w:kern w:val="21"/>
                <w:szCs w:val="24"/>
              </w:rPr>
              <w:fldChar w:fldCharType="end"/>
            </w:r>
          </w:p>
        </w:tc>
        <w:tc>
          <w:tcPr>
            <w:tcW w:w="0" w:type="auto"/>
            <w:tcBorders>
              <w:bottom w:val="single" w:color="auto" w:sz="4" w:space="0"/>
            </w:tcBorders>
            <w:tcMar>
              <w:left w:w="28" w:type="dxa"/>
              <w:right w:w="28" w:type="dxa"/>
            </w:tcMar>
            <w:vAlign w:val="center"/>
          </w:tcPr>
          <w:p w14:paraId="383F8F4F">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本项目</w:t>
            </w:r>
          </w:p>
          <w:p w14:paraId="79699AB2">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排放量（固体废物产生量）</w:t>
            </w:r>
            <w:r>
              <w:rPr>
                <w:rFonts w:ascii="Times New Roman"/>
                <w:snapToGrid w:val="0"/>
                <w:spacing w:val="-6"/>
                <w:kern w:val="21"/>
                <w:szCs w:val="24"/>
              </w:rPr>
              <w:fldChar w:fldCharType="begin"/>
            </w:r>
            <w:r>
              <w:rPr>
                <w:rFonts w:ascii="Times New Roman"/>
                <w:snapToGrid w:val="0"/>
                <w:spacing w:val="-6"/>
                <w:kern w:val="21"/>
                <w:szCs w:val="24"/>
              </w:rPr>
              <w:instrText xml:space="preserve"> = 4 \* GB3 \* MERGEFORMAT </w:instrText>
            </w:r>
            <w:r>
              <w:rPr>
                <w:rFonts w:ascii="Times New Roman"/>
                <w:snapToGrid w:val="0"/>
                <w:spacing w:val="-6"/>
                <w:kern w:val="21"/>
                <w:szCs w:val="24"/>
              </w:rPr>
              <w:fldChar w:fldCharType="separate"/>
            </w:r>
            <w:r>
              <w:rPr>
                <w:rFonts w:hint="eastAsia" w:hAnsi="宋体" w:cs="宋体"/>
                <w:kern w:val="2"/>
                <w:szCs w:val="24"/>
              </w:rPr>
              <w:t>④</w:t>
            </w:r>
            <w:r>
              <w:rPr>
                <w:rFonts w:ascii="Times New Roman"/>
                <w:snapToGrid w:val="0"/>
                <w:spacing w:val="-6"/>
                <w:kern w:val="21"/>
                <w:szCs w:val="24"/>
              </w:rPr>
              <w:fldChar w:fldCharType="end"/>
            </w:r>
          </w:p>
        </w:tc>
        <w:tc>
          <w:tcPr>
            <w:tcW w:w="0" w:type="auto"/>
            <w:tcBorders>
              <w:bottom w:val="single" w:color="auto" w:sz="4" w:space="0"/>
            </w:tcBorders>
            <w:tcMar>
              <w:left w:w="28" w:type="dxa"/>
              <w:right w:w="28" w:type="dxa"/>
            </w:tcMar>
            <w:vAlign w:val="center"/>
          </w:tcPr>
          <w:p w14:paraId="63608610">
            <w:pPr>
              <w:pStyle w:val="45"/>
              <w:spacing w:beforeLines="0" w:afterLines="0" w:line="240" w:lineRule="auto"/>
              <w:rPr>
                <w:rFonts w:ascii="Times New Roman"/>
                <w:snapToGrid w:val="0"/>
                <w:spacing w:val="-16"/>
                <w:kern w:val="21"/>
                <w:szCs w:val="24"/>
              </w:rPr>
            </w:pPr>
            <w:r>
              <w:rPr>
                <w:rFonts w:ascii="Times New Roman"/>
                <w:snapToGrid w:val="0"/>
                <w:spacing w:val="-16"/>
                <w:kern w:val="21"/>
                <w:szCs w:val="24"/>
              </w:rPr>
              <w:t>以新带老削减量</w:t>
            </w:r>
          </w:p>
          <w:p w14:paraId="09040721">
            <w:pPr>
              <w:pStyle w:val="45"/>
              <w:spacing w:beforeLines="0" w:afterLines="0" w:line="240" w:lineRule="auto"/>
              <w:rPr>
                <w:rFonts w:ascii="Times New Roman"/>
                <w:snapToGrid w:val="0"/>
                <w:spacing w:val="-16"/>
                <w:kern w:val="21"/>
                <w:szCs w:val="24"/>
              </w:rPr>
            </w:pPr>
            <w:r>
              <w:rPr>
                <w:rFonts w:ascii="Times New Roman"/>
                <w:snapToGrid w:val="0"/>
                <w:spacing w:val="-16"/>
                <w:kern w:val="21"/>
                <w:szCs w:val="24"/>
              </w:rPr>
              <w:t>（新建项目不填）</w:t>
            </w:r>
            <w:r>
              <w:rPr>
                <w:rFonts w:ascii="Times New Roman"/>
                <w:snapToGrid w:val="0"/>
                <w:spacing w:val="-16"/>
                <w:kern w:val="21"/>
                <w:szCs w:val="24"/>
              </w:rPr>
              <w:fldChar w:fldCharType="begin"/>
            </w:r>
            <w:r>
              <w:rPr>
                <w:rFonts w:ascii="Times New Roman"/>
                <w:snapToGrid w:val="0"/>
                <w:spacing w:val="-16"/>
                <w:kern w:val="21"/>
                <w:szCs w:val="24"/>
              </w:rPr>
              <w:instrText xml:space="preserve"> = 5 \* GB3 \* MERGEFORMAT </w:instrText>
            </w:r>
            <w:r>
              <w:rPr>
                <w:rFonts w:ascii="Times New Roman"/>
                <w:snapToGrid w:val="0"/>
                <w:spacing w:val="-16"/>
                <w:kern w:val="21"/>
                <w:szCs w:val="24"/>
              </w:rPr>
              <w:fldChar w:fldCharType="separate"/>
            </w:r>
            <w:r>
              <w:rPr>
                <w:rFonts w:hint="eastAsia" w:hAnsi="宋体" w:cs="宋体"/>
                <w:kern w:val="2"/>
                <w:szCs w:val="24"/>
              </w:rPr>
              <w:t>⑤</w:t>
            </w:r>
            <w:r>
              <w:rPr>
                <w:rFonts w:ascii="Times New Roman"/>
                <w:snapToGrid w:val="0"/>
                <w:spacing w:val="-16"/>
                <w:kern w:val="21"/>
                <w:szCs w:val="24"/>
              </w:rPr>
              <w:fldChar w:fldCharType="end"/>
            </w:r>
          </w:p>
        </w:tc>
        <w:tc>
          <w:tcPr>
            <w:tcW w:w="0" w:type="auto"/>
            <w:tcBorders>
              <w:bottom w:val="single" w:color="auto" w:sz="4" w:space="0"/>
            </w:tcBorders>
            <w:tcMar>
              <w:left w:w="28" w:type="dxa"/>
              <w:right w:w="28" w:type="dxa"/>
            </w:tcMar>
            <w:vAlign w:val="center"/>
          </w:tcPr>
          <w:p w14:paraId="7A92455E">
            <w:pPr>
              <w:pStyle w:val="45"/>
              <w:spacing w:beforeLines="0" w:afterLines="0" w:line="240" w:lineRule="auto"/>
              <w:rPr>
                <w:rFonts w:ascii="Times New Roman"/>
                <w:snapToGrid w:val="0"/>
                <w:spacing w:val="-16"/>
                <w:kern w:val="21"/>
                <w:szCs w:val="24"/>
              </w:rPr>
            </w:pPr>
            <w:r>
              <w:rPr>
                <w:rFonts w:ascii="Times New Roman"/>
                <w:snapToGrid w:val="0"/>
                <w:spacing w:val="-16"/>
                <w:kern w:val="21"/>
                <w:szCs w:val="24"/>
              </w:rPr>
              <w:t>本项目建成后</w:t>
            </w:r>
          </w:p>
          <w:p w14:paraId="587C12D2">
            <w:pPr>
              <w:pStyle w:val="45"/>
              <w:spacing w:beforeLines="0" w:afterLines="0" w:line="240" w:lineRule="auto"/>
              <w:rPr>
                <w:rFonts w:ascii="Times New Roman"/>
                <w:snapToGrid w:val="0"/>
                <w:spacing w:val="-16"/>
                <w:kern w:val="21"/>
                <w:szCs w:val="24"/>
              </w:rPr>
            </w:pPr>
            <w:r>
              <w:rPr>
                <w:rFonts w:ascii="Times New Roman"/>
                <w:snapToGrid w:val="0"/>
                <w:spacing w:val="-16"/>
                <w:kern w:val="21"/>
                <w:szCs w:val="24"/>
              </w:rPr>
              <w:t>全厂排放量（固体废物产生量）</w:t>
            </w:r>
            <w:r>
              <w:rPr>
                <w:rFonts w:ascii="Times New Roman"/>
                <w:snapToGrid w:val="0"/>
                <w:spacing w:val="-16"/>
                <w:kern w:val="21"/>
                <w:szCs w:val="24"/>
              </w:rPr>
              <w:fldChar w:fldCharType="begin"/>
            </w:r>
            <w:r>
              <w:rPr>
                <w:rFonts w:ascii="Times New Roman"/>
                <w:snapToGrid w:val="0"/>
                <w:spacing w:val="-16"/>
                <w:kern w:val="21"/>
                <w:szCs w:val="24"/>
              </w:rPr>
              <w:instrText xml:space="preserve"> = 6 \* GB3 \* MERGEFORMAT </w:instrText>
            </w:r>
            <w:r>
              <w:rPr>
                <w:rFonts w:ascii="Times New Roman"/>
                <w:snapToGrid w:val="0"/>
                <w:spacing w:val="-16"/>
                <w:kern w:val="21"/>
                <w:szCs w:val="24"/>
              </w:rPr>
              <w:fldChar w:fldCharType="separate"/>
            </w:r>
            <w:r>
              <w:rPr>
                <w:rFonts w:hint="eastAsia" w:hAnsi="宋体" w:cs="宋体"/>
                <w:kern w:val="2"/>
                <w:szCs w:val="24"/>
              </w:rPr>
              <w:t>⑥</w:t>
            </w:r>
            <w:r>
              <w:rPr>
                <w:rFonts w:ascii="Times New Roman"/>
                <w:snapToGrid w:val="0"/>
                <w:spacing w:val="-16"/>
                <w:kern w:val="21"/>
                <w:szCs w:val="24"/>
              </w:rPr>
              <w:fldChar w:fldCharType="end"/>
            </w:r>
          </w:p>
        </w:tc>
        <w:tc>
          <w:tcPr>
            <w:tcW w:w="0" w:type="auto"/>
            <w:tcBorders>
              <w:bottom w:val="single" w:color="auto" w:sz="4" w:space="0"/>
            </w:tcBorders>
            <w:tcMar>
              <w:left w:w="28" w:type="dxa"/>
              <w:right w:w="28" w:type="dxa"/>
            </w:tcMar>
            <w:vAlign w:val="center"/>
          </w:tcPr>
          <w:p w14:paraId="2AEADCE1">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t>变化量</w:t>
            </w:r>
          </w:p>
          <w:p w14:paraId="0F286E5F">
            <w:pPr>
              <w:pStyle w:val="45"/>
              <w:spacing w:beforeLines="0" w:afterLines="0" w:line="240" w:lineRule="auto"/>
              <w:rPr>
                <w:rFonts w:ascii="Times New Roman"/>
                <w:snapToGrid w:val="0"/>
                <w:spacing w:val="-6"/>
                <w:kern w:val="21"/>
                <w:szCs w:val="24"/>
              </w:rPr>
            </w:pPr>
            <w:r>
              <w:rPr>
                <w:rFonts w:ascii="Times New Roman"/>
                <w:snapToGrid w:val="0"/>
                <w:spacing w:val="-6"/>
                <w:kern w:val="21"/>
                <w:szCs w:val="24"/>
              </w:rPr>
              <w:fldChar w:fldCharType="begin"/>
            </w:r>
            <w:r>
              <w:rPr>
                <w:rFonts w:ascii="Times New Roman"/>
                <w:snapToGrid w:val="0"/>
                <w:spacing w:val="-6"/>
                <w:kern w:val="21"/>
                <w:szCs w:val="24"/>
              </w:rPr>
              <w:instrText xml:space="preserve"> = 7 \* GB3 \* MERGEFORMAT </w:instrText>
            </w:r>
            <w:r>
              <w:rPr>
                <w:rFonts w:ascii="Times New Roman"/>
                <w:snapToGrid w:val="0"/>
                <w:spacing w:val="-6"/>
                <w:kern w:val="21"/>
                <w:szCs w:val="24"/>
              </w:rPr>
              <w:fldChar w:fldCharType="separate"/>
            </w:r>
            <w:r>
              <w:rPr>
                <w:rFonts w:hint="eastAsia" w:hAnsi="宋体" w:cs="宋体"/>
                <w:kern w:val="2"/>
                <w:szCs w:val="24"/>
              </w:rPr>
              <w:t>⑦</w:t>
            </w:r>
            <w:r>
              <w:rPr>
                <w:rFonts w:ascii="Times New Roman"/>
                <w:snapToGrid w:val="0"/>
                <w:spacing w:val="-6"/>
                <w:kern w:val="21"/>
                <w:szCs w:val="24"/>
              </w:rPr>
              <w:fldChar w:fldCharType="end"/>
            </w:r>
          </w:p>
        </w:tc>
      </w:tr>
      <w:tr w14:paraId="4F037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restart"/>
            <w:vAlign w:val="center"/>
          </w:tcPr>
          <w:p w14:paraId="44EB7246">
            <w:pPr>
              <w:pStyle w:val="45"/>
              <w:spacing w:beforeLines="0" w:afterLines="0" w:line="240" w:lineRule="auto"/>
              <w:rPr>
                <w:rFonts w:ascii="Times New Roman"/>
                <w:snapToGrid w:val="0"/>
                <w:kern w:val="21"/>
                <w:szCs w:val="24"/>
              </w:rPr>
            </w:pPr>
            <w:r>
              <w:rPr>
                <w:rFonts w:ascii="Times New Roman"/>
                <w:snapToGrid w:val="0"/>
                <w:kern w:val="21"/>
                <w:szCs w:val="24"/>
              </w:rPr>
              <w:t>废气</w:t>
            </w:r>
          </w:p>
        </w:tc>
        <w:tc>
          <w:tcPr>
            <w:tcW w:w="1346" w:type="dxa"/>
            <w:vAlign w:val="center"/>
          </w:tcPr>
          <w:p w14:paraId="178BB655">
            <w:pPr>
              <w:pStyle w:val="45"/>
              <w:spacing w:beforeLines="0" w:afterLines="0" w:line="240" w:lineRule="auto"/>
              <w:rPr>
                <w:rFonts w:ascii="Times New Roman"/>
                <w:snapToGrid w:val="0"/>
                <w:kern w:val="21"/>
                <w:szCs w:val="24"/>
              </w:rPr>
            </w:pPr>
            <w:r>
              <w:rPr>
                <w:rFonts w:ascii="Times New Roman"/>
                <w:snapToGrid w:val="0"/>
                <w:kern w:val="21"/>
                <w:szCs w:val="24"/>
              </w:rPr>
              <w:t>颗粒物</w:t>
            </w:r>
          </w:p>
        </w:tc>
        <w:tc>
          <w:tcPr>
            <w:tcW w:w="1596" w:type="dxa"/>
            <w:vAlign w:val="center"/>
          </w:tcPr>
          <w:p w14:paraId="65DE989E">
            <w:pPr>
              <w:pStyle w:val="45"/>
              <w:spacing w:beforeLines="0" w:afterLines="0" w:line="240" w:lineRule="auto"/>
              <w:rPr>
                <w:rFonts w:ascii="Times New Roman"/>
                <w:snapToGrid w:val="0"/>
                <w:kern w:val="21"/>
                <w:szCs w:val="24"/>
              </w:rPr>
            </w:pPr>
          </w:p>
        </w:tc>
        <w:tc>
          <w:tcPr>
            <w:tcW w:w="0" w:type="auto"/>
            <w:vAlign w:val="center"/>
          </w:tcPr>
          <w:p w14:paraId="2791D904">
            <w:pPr>
              <w:pStyle w:val="45"/>
              <w:spacing w:beforeLines="0" w:afterLines="0" w:line="240" w:lineRule="auto"/>
              <w:rPr>
                <w:rFonts w:ascii="Times New Roman"/>
                <w:snapToGrid w:val="0"/>
                <w:kern w:val="21"/>
                <w:szCs w:val="24"/>
              </w:rPr>
            </w:pPr>
          </w:p>
        </w:tc>
        <w:tc>
          <w:tcPr>
            <w:tcW w:w="0" w:type="auto"/>
            <w:tcBorders>
              <w:right w:val="single" w:color="auto" w:sz="4" w:space="0"/>
            </w:tcBorders>
            <w:vAlign w:val="center"/>
          </w:tcPr>
          <w:p w14:paraId="213F2C59">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950729">
            <w:pPr>
              <w:pStyle w:val="45"/>
              <w:spacing w:beforeLines="0" w:afterLines="0" w:line="240" w:lineRule="auto"/>
              <w:rPr>
                <w:rFonts w:ascii="Times New Roman"/>
                <w:snapToGrid w:val="0"/>
                <w:kern w:val="21"/>
                <w:szCs w:val="24"/>
              </w:rPr>
            </w:pPr>
            <w:r>
              <w:rPr>
                <w:rFonts w:ascii="Times New Roman"/>
                <w:snapToGrid w:val="0"/>
                <w:kern w:val="21"/>
                <w:szCs w:val="24"/>
              </w:rPr>
              <w:t>37.939</w:t>
            </w:r>
          </w:p>
        </w:tc>
        <w:tc>
          <w:tcPr>
            <w:tcW w:w="0" w:type="auto"/>
            <w:tcBorders>
              <w:top w:val="single" w:color="auto" w:sz="4" w:space="0"/>
              <w:left w:val="single" w:color="auto" w:sz="4" w:space="0"/>
              <w:bottom w:val="single" w:color="auto" w:sz="4" w:space="0"/>
              <w:right w:val="single" w:color="auto" w:sz="4" w:space="0"/>
            </w:tcBorders>
            <w:vAlign w:val="center"/>
          </w:tcPr>
          <w:p w14:paraId="6340658B">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84616F">
            <w:pPr>
              <w:pStyle w:val="45"/>
              <w:spacing w:beforeLines="0" w:afterLines="0" w:line="240" w:lineRule="auto"/>
              <w:rPr>
                <w:rFonts w:ascii="Times New Roman"/>
                <w:snapToGrid w:val="0"/>
                <w:kern w:val="21"/>
                <w:szCs w:val="24"/>
              </w:rPr>
            </w:pPr>
            <w:r>
              <w:rPr>
                <w:rFonts w:ascii="Times New Roman"/>
                <w:snapToGrid w:val="0"/>
                <w:kern w:val="21"/>
                <w:szCs w:val="24"/>
              </w:rPr>
              <w:t>37.939</w:t>
            </w:r>
          </w:p>
        </w:tc>
        <w:tc>
          <w:tcPr>
            <w:tcW w:w="0" w:type="auto"/>
            <w:tcBorders>
              <w:top w:val="single" w:color="auto" w:sz="4" w:space="0"/>
              <w:left w:val="single" w:color="auto" w:sz="4" w:space="0"/>
              <w:bottom w:val="single" w:color="auto" w:sz="4" w:space="0"/>
              <w:right w:val="single" w:color="auto" w:sz="4" w:space="0"/>
            </w:tcBorders>
            <w:vAlign w:val="center"/>
          </w:tcPr>
          <w:p w14:paraId="499AB44B">
            <w:pPr>
              <w:pStyle w:val="45"/>
              <w:spacing w:beforeLines="0" w:afterLines="0" w:line="240" w:lineRule="auto"/>
              <w:rPr>
                <w:rFonts w:ascii="Times New Roman"/>
                <w:snapToGrid w:val="0"/>
                <w:kern w:val="21"/>
                <w:szCs w:val="24"/>
              </w:rPr>
            </w:pPr>
            <w:r>
              <w:rPr>
                <w:rFonts w:ascii="Times New Roman"/>
                <w:snapToGrid w:val="0"/>
                <w:kern w:val="21"/>
                <w:szCs w:val="24"/>
              </w:rPr>
              <w:t>+37.939</w:t>
            </w:r>
          </w:p>
        </w:tc>
      </w:tr>
      <w:tr w14:paraId="22613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53790DF5">
            <w:pPr>
              <w:pStyle w:val="45"/>
              <w:spacing w:beforeLines="0" w:afterLines="0" w:line="240" w:lineRule="auto"/>
              <w:rPr>
                <w:rFonts w:ascii="Times New Roman"/>
                <w:snapToGrid w:val="0"/>
                <w:kern w:val="21"/>
                <w:szCs w:val="24"/>
              </w:rPr>
            </w:pPr>
          </w:p>
        </w:tc>
        <w:tc>
          <w:tcPr>
            <w:tcW w:w="1346" w:type="dxa"/>
            <w:vAlign w:val="center"/>
          </w:tcPr>
          <w:p w14:paraId="66194C3D">
            <w:pPr>
              <w:pStyle w:val="45"/>
              <w:spacing w:beforeLines="0" w:afterLines="0" w:line="240" w:lineRule="auto"/>
              <w:rPr>
                <w:rFonts w:ascii="Times New Roman"/>
                <w:snapToGrid w:val="0"/>
                <w:kern w:val="21"/>
                <w:szCs w:val="24"/>
              </w:rPr>
            </w:pPr>
            <w:r>
              <w:rPr>
                <w:rFonts w:ascii="Times New Roman"/>
                <w:snapToGrid w:val="0"/>
                <w:kern w:val="21"/>
                <w:szCs w:val="24"/>
              </w:rPr>
              <w:t>沥青烟</w:t>
            </w:r>
          </w:p>
        </w:tc>
        <w:tc>
          <w:tcPr>
            <w:tcW w:w="1596" w:type="dxa"/>
            <w:vAlign w:val="center"/>
          </w:tcPr>
          <w:p w14:paraId="738EB100">
            <w:pPr>
              <w:pStyle w:val="45"/>
              <w:spacing w:beforeLines="0" w:afterLines="0" w:line="240" w:lineRule="auto"/>
              <w:rPr>
                <w:rFonts w:ascii="Times New Roman"/>
                <w:snapToGrid w:val="0"/>
                <w:kern w:val="21"/>
                <w:szCs w:val="24"/>
              </w:rPr>
            </w:pPr>
          </w:p>
        </w:tc>
        <w:tc>
          <w:tcPr>
            <w:tcW w:w="0" w:type="auto"/>
            <w:vAlign w:val="center"/>
          </w:tcPr>
          <w:p w14:paraId="44293BF8">
            <w:pPr>
              <w:pStyle w:val="45"/>
              <w:spacing w:beforeLines="0" w:afterLines="0" w:line="240" w:lineRule="auto"/>
              <w:rPr>
                <w:rFonts w:ascii="Times New Roman"/>
                <w:snapToGrid w:val="0"/>
                <w:kern w:val="21"/>
                <w:szCs w:val="24"/>
              </w:rPr>
            </w:pPr>
          </w:p>
        </w:tc>
        <w:tc>
          <w:tcPr>
            <w:tcW w:w="0" w:type="auto"/>
            <w:tcBorders>
              <w:right w:val="single" w:color="auto" w:sz="4" w:space="0"/>
            </w:tcBorders>
            <w:vAlign w:val="center"/>
          </w:tcPr>
          <w:p w14:paraId="7CEE7361">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CD4BB8">
            <w:pPr>
              <w:widowControl/>
              <w:jc w:val="center"/>
              <w:rPr>
                <w:kern w:val="0"/>
              </w:rPr>
            </w:pPr>
            <w:r>
              <w:rPr>
                <w:rFonts w:hint="eastAsia"/>
              </w:rPr>
              <w:t>0.0</w:t>
            </w:r>
            <w:r>
              <w:t>10</w:t>
            </w:r>
          </w:p>
        </w:tc>
        <w:tc>
          <w:tcPr>
            <w:tcW w:w="0" w:type="auto"/>
            <w:tcBorders>
              <w:top w:val="single" w:color="auto" w:sz="4" w:space="0"/>
              <w:left w:val="single" w:color="auto" w:sz="4" w:space="0"/>
              <w:bottom w:val="single" w:color="auto" w:sz="4" w:space="0"/>
              <w:right w:val="single" w:color="auto" w:sz="4" w:space="0"/>
            </w:tcBorders>
            <w:vAlign w:val="center"/>
          </w:tcPr>
          <w:p w14:paraId="78DEB8DE">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7137D">
            <w:pPr>
              <w:widowControl/>
              <w:jc w:val="center"/>
              <w:rPr>
                <w:kern w:val="0"/>
              </w:rPr>
            </w:pPr>
            <w:r>
              <w:rPr>
                <w:rFonts w:hint="eastAsia"/>
              </w:rPr>
              <w:t>0.0</w:t>
            </w:r>
            <w: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63592E">
            <w:pPr>
              <w:widowControl/>
              <w:jc w:val="center"/>
              <w:rPr>
                <w:kern w:val="0"/>
              </w:rPr>
            </w:pPr>
            <w:r>
              <w:t>+</w:t>
            </w:r>
            <w:r>
              <w:rPr>
                <w:rFonts w:hint="eastAsia"/>
              </w:rPr>
              <w:t>0.0</w:t>
            </w:r>
            <w:r>
              <w:t>10</w:t>
            </w:r>
          </w:p>
        </w:tc>
      </w:tr>
      <w:tr w14:paraId="6A18D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05B2C672">
            <w:pPr>
              <w:pStyle w:val="45"/>
              <w:spacing w:beforeLines="0" w:afterLines="0" w:line="240" w:lineRule="auto"/>
              <w:rPr>
                <w:rFonts w:ascii="Times New Roman"/>
                <w:snapToGrid w:val="0"/>
                <w:kern w:val="21"/>
                <w:szCs w:val="24"/>
              </w:rPr>
            </w:pPr>
          </w:p>
        </w:tc>
        <w:tc>
          <w:tcPr>
            <w:tcW w:w="1346" w:type="dxa"/>
            <w:vAlign w:val="center"/>
          </w:tcPr>
          <w:p w14:paraId="3673C9B3">
            <w:pPr>
              <w:pStyle w:val="45"/>
              <w:spacing w:beforeLines="0" w:afterLines="0" w:line="240" w:lineRule="auto"/>
              <w:rPr>
                <w:rFonts w:ascii="Times New Roman"/>
                <w:snapToGrid w:val="0"/>
                <w:kern w:val="21"/>
                <w:szCs w:val="24"/>
              </w:rPr>
            </w:pPr>
            <w:r>
              <w:rPr>
                <w:rFonts w:ascii="Times New Roman"/>
                <w:szCs w:val="24"/>
              </w:rPr>
              <w:t>苯并[a]芘</w:t>
            </w:r>
          </w:p>
        </w:tc>
        <w:tc>
          <w:tcPr>
            <w:tcW w:w="1596" w:type="dxa"/>
            <w:vAlign w:val="center"/>
          </w:tcPr>
          <w:p w14:paraId="130D9A0B">
            <w:pPr>
              <w:pStyle w:val="45"/>
              <w:spacing w:beforeLines="0" w:afterLines="0" w:line="240" w:lineRule="auto"/>
              <w:rPr>
                <w:rFonts w:ascii="Times New Roman"/>
                <w:snapToGrid w:val="0"/>
                <w:kern w:val="21"/>
                <w:szCs w:val="24"/>
              </w:rPr>
            </w:pPr>
          </w:p>
        </w:tc>
        <w:tc>
          <w:tcPr>
            <w:tcW w:w="0" w:type="auto"/>
            <w:vAlign w:val="center"/>
          </w:tcPr>
          <w:p w14:paraId="0BDB4C73">
            <w:pPr>
              <w:pStyle w:val="45"/>
              <w:spacing w:beforeLines="0" w:afterLines="0" w:line="240" w:lineRule="auto"/>
              <w:rPr>
                <w:rFonts w:ascii="Times New Roman"/>
                <w:snapToGrid w:val="0"/>
                <w:kern w:val="21"/>
                <w:szCs w:val="24"/>
              </w:rPr>
            </w:pPr>
          </w:p>
        </w:tc>
        <w:tc>
          <w:tcPr>
            <w:tcW w:w="0" w:type="auto"/>
            <w:tcBorders>
              <w:right w:val="single" w:color="auto" w:sz="4" w:space="0"/>
            </w:tcBorders>
            <w:vAlign w:val="center"/>
          </w:tcPr>
          <w:p w14:paraId="771090F2">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958475">
            <w:pPr>
              <w:jc w:val="center"/>
            </w:pPr>
            <w:r>
              <w:t>4.38</w:t>
            </w:r>
            <w:r>
              <w:rPr>
                <w:rFonts w:hint="eastAsia"/>
              </w:rPr>
              <w:t>E-08</w:t>
            </w:r>
          </w:p>
        </w:tc>
        <w:tc>
          <w:tcPr>
            <w:tcW w:w="0" w:type="auto"/>
            <w:tcBorders>
              <w:top w:val="single" w:color="auto" w:sz="4" w:space="0"/>
              <w:left w:val="single" w:color="auto" w:sz="4" w:space="0"/>
              <w:bottom w:val="single" w:color="auto" w:sz="4" w:space="0"/>
              <w:right w:val="single" w:color="auto" w:sz="4" w:space="0"/>
            </w:tcBorders>
            <w:vAlign w:val="center"/>
          </w:tcPr>
          <w:p w14:paraId="70074FBF">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8B4B05">
            <w:pPr>
              <w:jc w:val="center"/>
            </w:pPr>
            <w:r>
              <w:t>4.38</w:t>
            </w:r>
            <w:r>
              <w:rPr>
                <w:rFonts w:hint="eastAsia"/>
              </w:rPr>
              <w:t>E-08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C9E9BD">
            <w:pPr>
              <w:jc w:val="center"/>
            </w:pPr>
            <w:r>
              <w:t>+4.38</w:t>
            </w:r>
            <w:r>
              <w:rPr>
                <w:rFonts w:hint="eastAsia"/>
              </w:rPr>
              <w:t>E-08</w:t>
            </w:r>
          </w:p>
        </w:tc>
      </w:tr>
      <w:tr w14:paraId="610E2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56520000">
            <w:pPr>
              <w:pStyle w:val="45"/>
              <w:spacing w:beforeLines="0" w:afterLines="0" w:line="240" w:lineRule="auto"/>
              <w:rPr>
                <w:rFonts w:ascii="Times New Roman"/>
                <w:snapToGrid w:val="0"/>
                <w:kern w:val="21"/>
                <w:szCs w:val="24"/>
              </w:rPr>
            </w:pPr>
          </w:p>
        </w:tc>
        <w:tc>
          <w:tcPr>
            <w:tcW w:w="1346" w:type="dxa"/>
            <w:vAlign w:val="center"/>
          </w:tcPr>
          <w:p w14:paraId="22D6E4DB">
            <w:pPr>
              <w:pStyle w:val="45"/>
              <w:spacing w:beforeLines="0" w:afterLines="0" w:line="240" w:lineRule="auto"/>
              <w:rPr>
                <w:rFonts w:ascii="Times New Roman"/>
                <w:snapToGrid w:val="0"/>
                <w:kern w:val="21"/>
                <w:szCs w:val="24"/>
              </w:rPr>
            </w:pPr>
            <w:r>
              <w:rPr>
                <w:rFonts w:ascii="Times New Roman"/>
                <w:szCs w:val="24"/>
              </w:rPr>
              <w:t>非甲烷总烃</w:t>
            </w:r>
          </w:p>
        </w:tc>
        <w:tc>
          <w:tcPr>
            <w:tcW w:w="1596" w:type="dxa"/>
            <w:vAlign w:val="center"/>
          </w:tcPr>
          <w:p w14:paraId="29166BC5">
            <w:pPr>
              <w:pStyle w:val="45"/>
              <w:spacing w:beforeLines="0" w:afterLines="0" w:line="240" w:lineRule="auto"/>
              <w:rPr>
                <w:rFonts w:ascii="Times New Roman"/>
                <w:snapToGrid w:val="0"/>
                <w:kern w:val="21"/>
                <w:szCs w:val="24"/>
              </w:rPr>
            </w:pPr>
          </w:p>
        </w:tc>
        <w:tc>
          <w:tcPr>
            <w:tcW w:w="0" w:type="auto"/>
            <w:vAlign w:val="center"/>
          </w:tcPr>
          <w:p w14:paraId="5C311F9C">
            <w:pPr>
              <w:pStyle w:val="45"/>
              <w:spacing w:beforeLines="0" w:afterLines="0" w:line="240" w:lineRule="auto"/>
              <w:rPr>
                <w:rFonts w:ascii="Times New Roman"/>
                <w:snapToGrid w:val="0"/>
                <w:kern w:val="21"/>
                <w:szCs w:val="24"/>
              </w:rPr>
            </w:pPr>
          </w:p>
        </w:tc>
        <w:tc>
          <w:tcPr>
            <w:tcW w:w="0" w:type="auto"/>
            <w:tcBorders>
              <w:right w:val="single" w:color="auto" w:sz="4" w:space="0"/>
            </w:tcBorders>
            <w:vAlign w:val="center"/>
          </w:tcPr>
          <w:p w14:paraId="6396829B">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1D5378">
            <w:pPr>
              <w:jc w:val="center"/>
            </w:pPr>
            <w:r>
              <w:t>0.038</w:t>
            </w:r>
          </w:p>
        </w:tc>
        <w:tc>
          <w:tcPr>
            <w:tcW w:w="0" w:type="auto"/>
            <w:tcBorders>
              <w:top w:val="single" w:color="auto" w:sz="4" w:space="0"/>
              <w:left w:val="single" w:color="auto" w:sz="4" w:space="0"/>
              <w:bottom w:val="single" w:color="auto" w:sz="4" w:space="0"/>
              <w:right w:val="single" w:color="auto" w:sz="4" w:space="0"/>
            </w:tcBorders>
            <w:vAlign w:val="center"/>
          </w:tcPr>
          <w:p w14:paraId="2017F04C">
            <w:pPr>
              <w:pStyle w:val="45"/>
              <w:spacing w:beforeLines="0" w:afterLines="0" w:line="240" w:lineRule="auto"/>
              <w:rPr>
                <w:rFonts w:ascii="Times New Roman"/>
                <w:snapToGrid w:val="0"/>
                <w:kern w:val="21"/>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6A54F2">
            <w:pPr>
              <w:jc w:val="center"/>
            </w:pPr>
            <w:r>
              <w:t>0.038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49B0BC">
            <w:pPr>
              <w:jc w:val="center"/>
            </w:pPr>
            <w:r>
              <w:t>+0.038</w:t>
            </w:r>
          </w:p>
        </w:tc>
      </w:tr>
      <w:tr w14:paraId="6326F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7611C4B0">
            <w:pPr>
              <w:pStyle w:val="45"/>
              <w:spacing w:beforeLines="0" w:afterLines="0" w:line="240" w:lineRule="auto"/>
              <w:rPr>
                <w:rFonts w:ascii="Times New Roman"/>
                <w:snapToGrid w:val="0"/>
                <w:kern w:val="21"/>
                <w:szCs w:val="24"/>
              </w:rPr>
            </w:pPr>
          </w:p>
        </w:tc>
        <w:tc>
          <w:tcPr>
            <w:tcW w:w="1346" w:type="dxa"/>
            <w:vAlign w:val="center"/>
          </w:tcPr>
          <w:p w14:paraId="22B394AB">
            <w:pPr>
              <w:pStyle w:val="45"/>
              <w:spacing w:beforeLines="0" w:afterLines="0" w:line="240" w:lineRule="auto"/>
              <w:rPr>
                <w:rFonts w:ascii="Times New Roman"/>
                <w:snapToGrid w:val="0"/>
                <w:kern w:val="21"/>
                <w:szCs w:val="24"/>
              </w:rPr>
            </w:pPr>
            <w:r>
              <w:rPr>
                <w:rFonts w:ascii="Times New Roman"/>
                <w:snapToGrid w:val="0"/>
                <w:kern w:val="21"/>
                <w:szCs w:val="24"/>
              </w:rPr>
              <w:t>油烟</w:t>
            </w:r>
          </w:p>
        </w:tc>
        <w:tc>
          <w:tcPr>
            <w:tcW w:w="1596" w:type="dxa"/>
            <w:vAlign w:val="center"/>
          </w:tcPr>
          <w:p w14:paraId="5E5B19FE">
            <w:pPr>
              <w:pStyle w:val="45"/>
              <w:spacing w:beforeLines="0" w:afterLines="0" w:line="240" w:lineRule="auto"/>
              <w:rPr>
                <w:rFonts w:ascii="Times New Roman"/>
                <w:snapToGrid w:val="0"/>
                <w:kern w:val="21"/>
                <w:szCs w:val="24"/>
              </w:rPr>
            </w:pPr>
          </w:p>
        </w:tc>
        <w:tc>
          <w:tcPr>
            <w:tcW w:w="0" w:type="auto"/>
            <w:vAlign w:val="center"/>
          </w:tcPr>
          <w:p w14:paraId="6801161D">
            <w:pPr>
              <w:pStyle w:val="45"/>
              <w:spacing w:beforeLines="0" w:afterLines="0" w:line="240" w:lineRule="auto"/>
              <w:rPr>
                <w:rFonts w:ascii="Times New Roman"/>
                <w:snapToGrid w:val="0"/>
                <w:kern w:val="21"/>
                <w:szCs w:val="24"/>
              </w:rPr>
            </w:pPr>
          </w:p>
        </w:tc>
        <w:tc>
          <w:tcPr>
            <w:tcW w:w="0" w:type="auto"/>
            <w:vAlign w:val="center"/>
          </w:tcPr>
          <w:p w14:paraId="0CBA4582">
            <w:pPr>
              <w:pStyle w:val="45"/>
              <w:spacing w:beforeLines="0" w:afterLines="0" w:line="240" w:lineRule="auto"/>
              <w:rPr>
                <w:rFonts w:ascii="Times New Roman"/>
                <w:snapToGrid w:val="0"/>
                <w:kern w:val="21"/>
                <w:szCs w:val="24"/>
              </w:rPr>
            </w:pPr>
          </w:p>
        </w:tc>
        <w:tc>
          <w:tcPr>
            <w:tcW w:w="0" w:type="auto"/>
            <w:tcBorders>
              <w:top w:val="single" w:color="auto" w:sz="4" w:space="0"/>
            </w:tcBorders>
            <w:vAlign w:val="center"/>
          </w:tcPr>
          <w:p w14:paraId="61094013">
            <w:pPr>
              <w:pStyle w:val="45"/>
              <w:spacing w:beforeLines="0" w:afterLines="0" w:line="240" w:lineRule="auto"/>
              <w:rPr>
                <w:rFonts w:ascii="Times New Roman"/>
                <w:snapToGrid w:val="0"/>
                <w:kern w:val="21"/>
                <w:szCs w:val="24"/>
              </w:rPr>
            </w:pPr>
            <w:r>
              <w:rPr>
                <w:rFonts w:ascii="Times New Roman"/>
                <w:snapToGrid w:val="0"/>
                <w:kern w:val="21"/>
                <w:szCs w:val="24"/>
              </w:rPr>
              <w:t>0.004</w:t>
            </w:r>
          </w:p>
        </w:tc>
        <w:tc>
          <w:tcPr>
            <w:tcW w:w="0" w:type="auto"/>
            <w:tcBorders>
              <w:top w:val="single" w:color="auto" w:sz="4" w:space="0"/>
            </w:tcBorders>
            <w:vAlign w:val="center"/>
          </w:tcPr>
          <w:p w14:paraId="3AEC0D6B">
            <w:pPr>
              <w:pStyle w:val="45"/>
              <w:spacing w:beforeLines="0" w:afterLines="0" w:line="240" w:lineRule="auto"/>
              <w:rPr>
                <w:rFonts w:ascii="Times New Roman"/>
                <w:snapToGrid w:val="0"/>
                <w:kern w:val="21"/>
                <w:szCs w:val="24"/>
              </w:rPr>
            </w:pPr>
          </w:p>
        </w:tc>
        <w:tc>
          <w:tcPr>
            <w:tcW w:w="0" w:type="auto"/>
            <w:tcBorders>
              <w:top w:val="single" w:color="auto" w:sz="4" w:space="0"/>
            </w:tcBorders>
            <w:vAlign w:val="center"/>
          </w:tcPr>
          <w:p w14:paraId="0CCB86A9">
            <w:pPr>
              <w:pStyle w:val="45"/>
              <w:spacing w:beforeLines="0" w:afterLines="0" w:line="240" w:lineRule="auto"/>
              <w:rPr>
                <w:rFonts w:ascii="Times New Roman"/>
                <w:snapToGrid w:val="0"/>
                <w:kern w:val="21"/>
                <w:szCs w:val="24"/>
              </w:rPr>
            </w:pPr>
            <w:r>
              <w:rPr>
                <w:rFonts w:ascii="Times New Roman"/>
                <w:snapToGrid w:val="0"/>
                <w:kern w:val="21"/>
                <w:szCs w:val="24"/>
              </w:rPr>
              <w:t>0.004</w:t>
            </w:r>
          </w:p>
        </w:tc>
        <w:tc>
          <w:tcPr>
            <w:tcW w:w="0" w:type="auto"/>
            <w:tcBorders>
              <w:top w:val="single" w:color="auto" w:sz="4" w:space="0"/>
            </w:tcBorders>
            <w:vAlign w:val="center"/>
          </w:tcPr>
          <w:p w14:paraId="76F9AB20">
            <w:pPr>
              <w:pStyle w:val="45"/>
              <w:spacing w:beforeLines="0" w:afterLines="0" w:line="240" w:lineRule="auto"/>
              <w:rPr>
                <w:rFonts w:ascii="Times New Roman"/>
                <w:snapToGrid w:val="0"/>
                <w:kern w:val="21"/>
                <w:szCs w:val="24"/>
              </w:rPr>
            </w:pPr>
            <w:r>
              <w:rPr>
                <w:rFonts w:ascii="Times New Roman"/>
                <w:snapToGrid w:val="0"/>
                <w:kern w:val="21"/>
                <w:szCs w:val="24"/>
              </w:rPr>
              <w:t>+0.004</w:t>
            </w:r>
          </w:p>
        </w:tc>
      </w:tr>
      <w:tr w14:paraId="133AC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Align w:val="center"/>
          </w:tcPr>
          <w:p w14:paraId="680B6D2D">
            <w:pPr>
              <w:pStyle w:val="45"/>
              <w:spacing w:beforeLines="0" w:afterLines="0" w:line="240" w:lineRule="auto"/>
              <w:rPr>
                <w:rFonts w:ascii="Times New Roman"/>
                <w:snapToGrid w:val="0"/>
                <w:kern w:val="21"/>
                <w:szCs w:val="24"/>
              </w:rPr>
            </w:pPr>
            <w:r>
              <w:rPr>
                <w:rFonts w:ascii="Times New Roman"/>
                <w:snapToGrid w:val="0"/>
                <w:kern w:val="21"/>
                <w:szCs w:val="24"/>
              </w:rPr>
              <w:t>废水</w:t>
            </w:r>
          </w:p>
        </w:tc>
        <w:tc>
          <w:tcPr>
            <w:tcW w:w="1346" w:type="dxa"/>
            <w:vAlign w:val="center"/>
          </w:tcPr>
          <w:p w14:paraId="19684199">
            <w:pPr>
              <w:pStyle w:val="45"/>
              <w:spacing w:beforeLines="0" w:afterLines="0" w:line="240" w:lineRule="auto"/>
              <w:rPr>
                <w:rFonts w:ascii="Times New Roman"/>
                <w:snapToGrid w:val="0"/>
                <w:kern w:val="21"/>
                <w:szCs w:val="24"/>
              </w:rPr>
            </w:pPr>
            <w:r>
              <w:rPr>
                <w:rFonts w:ascii="Times New Roman"/>
                <w:snapToGrid w:val="0"/>
                <w:kern w:val="21"/>
                <w:szCs w:val="24"/>
              </w:rPr>
              <w:t>生活污水</w:t>
            </w:r>
          </w:p>
        </w:tc>
        <w:tc>
          <w:tcPr>
            <w:tcW w:w="1596" w:type="dxa"/>
            <w:vAlign w:val="center"/>
          </w:tcPr>
          <w:p w14:paraId="4FA953C9">
            <w:pPr>
              <w:pStyle w:val="45"/>
              <w:spacing w:beforeLines="0" w:afterLines="0" w:line="240" w:lineRule="auto"/>
              <w:rPr>
                <w:rFonts w:ascii="Times New Roman"/>
                <w:snapToGrid w:val="0"/>
                <w:kern w:val="21"/>
                <w:szCs w:val="24"/>
              </w:rPr>
            </w:pPr>
          </w:p>
        </w:tc>
        <w:tc>
          <w:tcPr>
            <w:tcW w:w="0" w:type="auto"/>
            <w:vAlign w:val="center"/>
          </w:tcPr>
          <w:p w14:paraId="2E00319E">
            <w:pPr>
              <w:pStyle w:val="45"/>
              <w:spacing w:beforeLines="0" w:afterLines="0" w:line="240" w:lineRule="auto"/>
              <w:rPr>
                <w:rFonts w:ascii="Times New Roman"/>
                <w:snapToGrid w:val="0"/>
                <w:kern w:val="21"/>
                <w:szCs w:val="24"/>
              </w:rPr>
            </w:pPr>
          </w:p>
        </w:tc>
        <w:tc>
          <w:tcPr>
            <w:tcW w:w="0" w:type="auto"/>
            <w:vAlign w:val="center"/>
          </w:tcPr>
          <w:p w14:paraId="587C4DF1">
            <w:pPr>
              <w:pStyle w:val="45"/>
              <w:spacing w:beforeLines="0" w:afterLines="0" w:line="240" w:lineRule="auto"/>
              <w:rPr>
                <w:rFonts w:ascii="Times New Roman"/>
                <w:snapToGrid w:val="0"/>
                <w:kern w:val="21"/>
                <w:szCs w:val="24"/>
              </w:rPr>
            </w:pPr>
          </w:p>
        </w:tc>
        <w:tc>
          <w:tcPr>
            <w:tcW w:w="0" w:type="auto"/>
            <w:vAlign w:val="center"/>
          </w:tcPr>
          <w:p w14:paraId="33C704B2">
            <w:pPr>
              <w:pStyle w:val="45"/>
              <w:spacing w:beforeLines="0" w:afterLines="0" w:line="240" w:lineRule="auto"/>
              <w:rPr>
                <w:rFonts w:ascii="Times New Roman"/>
                <w:snapToGrid w:val="0"/>
                <w:kern w:val="21"/>
                <w:szCs w:val="24"/>
              </w:rPr>
            </w:pPr>
            <w:r>
              <w:rPr>
                <w:rFonts w:ascii="Times New Roman"/>
                <w:snapToGrid w:val="0"/>
                <w:kern w:val="21"/>
                <w:szCs w:val="24"/>
              </w:rPr>
              <w:t>449.28</w:t>
            </w:r>
          </w:p>
        </w:tc>
        <w:tc>
          <w:tcPr>
            <w:tcW w:w="0" w:type="auto"/>
            <w:vAlign w:val="center"/>
          </w:tcPr>
          <w:p w14:paraId="750BFAF3">
            <w:pPr>
              <w:pStyle w:val="45"/>
              <w:spacing w:beforeLines="0" w:afterLines="0" w:line="240" w:lineRule="auto"/>
              <w:rPr>
                <w:rFonts w:ascii="Times New Roman"/>
                <w:snapToGrid w:val="0"/>
                <w:kern w:val="21"/>
                <w:szCs w:val="24"/>
              </w:rPr>
            </w:pPr>
          </w:p>
        </w:tc>
        <w:tc>
          <w:tcPr>
            <w:tcW w:w="0" w:type="auto"/>
            <w:vAlign w:val="center"/>
          </w:tcPr>
          <w:p w14:paraId="67A737C2">
            <w:pPr>
              <w:pStyle w:val="45"/>
              <w:spacing w:beforeLines="0" w:afterLines="0" w:line="240" w:lineRule="auto"/>
              <w:rPr>
                <w:rFonts w:ascii="Times New Roman"/>
                <w:snapToGrid w:val="0"/>
                <w:kern w:val="21"/>
                <w:szCs w:val="24"/>
              </w:rPr>
            </w:pPr>
            <w:r>
              <w:rPr>
                <w:rFonts w:ascii="Times New Roman"/>
                <w:snapToGrid w:val="0"/>
                <w:kern w:val="21"/>
                <w:szCs w:val="24"/>
              </w:rPr>
              <w:t>449.28</w:t>
            </w:r>
          </w:p>
        </w:tc>
        <w:tc>
          <w:tcPr>
            <w:tcW w:w="0" w:type="auto"/>
            <w:vAlign w:val="center"/>
          </w:tcPr>
          <w:p w14:paraId="1512F482">
            <w:pPr>
              <w:pStyle w:val="45"/>
              <w:spacing w:beforeLines="0" w:afterLines="0" w:line="240" w:lineRule="auto"/>
              <w:rPr>
                <w:rFonts w:ascii="Times New Roman"/>
                <w:snapToGrid w:val="0"/>
                <w:kern w:val="21"/>
                <w:szCs w:val="24"/>
              </w:rPr>
            </w:pPr>
            <w:r>
              <w:rPr>
                <w:rFonts w:ascii="Times New Roman"/>
                <w:snapToGrid w:val="0"/>
                <w:kern w:val="21"/>
                <w:szCs w:val="24"/>
              </w:rPr>
              <w:t>+449.28</w:t>
            </w:r>
          </w:p>
        </w:tc>
      </w:tr>
      <w:tr w14:paraId="38921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restart"/>
            <w:vAlign w:val="center"/>
          </w:tcPr>
          <w:p w14:paraId="514AC53A">
            <w:pPr>
              <w:pStyle w:val="45"/>
              <w:spacing w:beforeLines="0" w:afterLines="0" w:line="240" w:lineRule="auto"/>
              <w:rPr>
                <w:rFonts w:ascii="Times New Roman"/>
                <w:snapToGrid w:val="0"/>
                <w:kern w:val="21"/>
                <w:szCs w:val="24"/>
              </w:rPr>
            </w:pPr>
            <w:r>
              <w:rPr>
                <w:rFonts w:ascii="Times New Roman"/>
                <w:snapToGrid w:val="0"/>
                <w:kern w:val="21"/>
                <w:szCs w:val="24"/>
              </w:rPr>
              <w:t>一般固废</w:t>
            </w:r>
          </w:p>
        </w:tc>
        <w:tc>
          <w:tcPr>
            <w:tcW w:w="1346" w:type="dxa"/>
            <w:vAlign w:val="center"/>
          </w:tcPr>
          <w:p w14:paraId="3C7D2BDF">
            <w:pPr>
              <w:pStyle w:val="45"/>
              <w:spacing w:beforeLines="0" w:afterLines="0" w:line="240" w:lineRule="auto"/>
              <w:rPr>
                <w:rFonts w:ascii="Times New Roman"/>
                <w:snapToGrid w:val="0"/>
                <w:kern w:val="21"/>
                <w:szCs w:val="24"/>
              </w:rPr>
            </w:pPr>
            <w:r>
              <w:rPr>
                <w:rFonts w:ascii="Times New Roman"/>
                <w:snapToGrid w:val="0"/>
                <w:kern w:val="21"/>
                <w:szCs w:val="24"/>
              </w:rPr>
              <w:t>不合格骨料</w:t>
            </w:r>
          </w:p>
        </w:tc>
        <w:tc>
          <w:tcPr>
            <w:tcW w:w="1596" w:type="dxa"/>
            <w:vAlign w:val="center"/>
          </w:tcPr>
          <w:p w14:paraId="2908CFC6">
            <w:pPr>
              <w:pStyle w:val="45"/>
              <w:spacing w:beforeLines="0" w:afterLines="0" w:line="240" w:lineRule="auto"/>
              <w:rPr>
                <w:rFonts w:ascii="Times New Roman"/>
                <w:snapToGrid w:val="0"/>
                <w:kern w:val="21"/>
                <w:szCs w:val="24"/>
              </w:rPr>
            </w:pPr>
          </w:p>
        </w:tc>
        <w:tc>
          <w:tcPr>
            <w:tcW w:w="0" w:type="auto"/>
            <w:vAlign w:val="center"/>
          </w:tcPr>
          <w:p w14:paraId="52179687">
            <w:pPr>
              <w:pStyle w:val="45"/>
              <w:spacing w:beforeLines="0" w:afterLines="0" w:line="240" w:lineRule="auto"/>
              <w:rPr>
                <w:rFonts w:ascii="Times New Roman"/>
                <w:snapToGrid w:val="0"/>
                <w:kern w:val="21"/>
                <w:szCs w:val="24"/>
              </w:rPr>
            </w:pPr>
          </w:p>
        </w:tc>
        <w:tc>
          <w:tcPr>
            <w:tcW w:w="0" w:type="auto"/>
            <w:vAlign w:val="center"/>
          </w:tcPr>
          <w:p w14:paraId="6DF68A56">
            <w:pPr>
              <w:pStyle w:val="45"/>
              <w:spacing w:beforeLines="0" w:afterLines="0" w:line="240" w:lineRule="auto"/>
              <w:rPr>
                <w:rFonts w:ascii="Times New Roman"/>
                <w:snapToGrid w:val="0"/>
                <w:kern w:val="21"/>
                <w:szCs w:val="24"/>
              </w:rPr>
            </w:pPr>
          </w:p>
        </w:tc>
        <w:tc>
          <w:tcPr>
            <w:tcW w:w="0" w:type="auto"/>
            <w:vAlign w:val="center"/>
          </w:tcPr>
          <w:p w14:paraId="26260885">
            <w:pPr>
              <w:widowControl/>
              <w:jc w:val="center"/>
              <w:rPr>
                <w:snapToGrid w:val="0"/>
                <w:kern w:val="21"/>
              </w:rPr>
            </w:pPr>
            <w:r>
              <w:rPr>
                <w:rFonts w:hint="eastAsia"/>
                <w:sz w:val="22"/>
                <w:szCs w:val="22"/>
              </w:rPr>
              <w:t xml:space="preserve">1557.092 </w:t>
            </w:r>
          </w:p>
        </w:tc>
        <w:tc>
          <w:tcPr>
            <w:tcW w:w="0" w:type="auto"/>
            <w:vAlign w:val="center"/>
          </w:tcPr>
          <w:p w14:paraId="1C2192C9">
            <w:pPr>
              <w:pStyle w:val="45"/>
              <w:spacing w:beforeLines="0" w:afterLines="0" w:line="240" w:lineRule="auto"/>
              <w:rPr>
                <w:rFonts w:ascii="Times New Roman"/>
                <w:snapToGrid w:val="0"/>
                <w:kern w:val="21"/>
                <w:szCs w:val="24"/>
              </w:rPr>
            </w:pPr>
          </w:p>
        </w:tc>
        <w:tc>
          <w:tcPr>
            <w:tcW w:w="0" w:type="auto"/>
            <w:vAlign w:val="center"/>
          </w:tcPr>
          <w:p w14:paraId="4F08F2E6">
            <w:pPr>
              <w:pStyle w:val="45"/>
              <w:spacing w:beforeLines="0" w:afterLines="0" w:line="240" w:lineRule="auto"/>
              <w:rPr>
                <w:rFonts w:ascii="Times New Roman"/>
                <w:snapToGrid w:val="0"/>
                <w:kern w:val="21"/>
                <w:szCs w:val="24"/>
              </w:rPr>
            </w:pPr>
            <w:r>
              <w:rPr>
                <w:rFonts w:ascii="Times New Roman"/>
                <w:snapToGrid w:val="0"/>
                <w:kern w:val="21"/>
                <w:szCs w:val="24"/>
              </w:rPr>
              <w:t xml:space="preserve">1557.092 </w:t>
            </w:r>
          </w:p>
        </w:tc>
        <w:tc>
          <w:tcPr>
            <w:tcW w:w="0" w:type="auto"/>
            <w:vAlign w:val="center"/>
          </w:tcPr>
          <w:p w14:paraId="255B3F24">
            <w:pPr>
              <w:pStyle w:val="45"/>
              <w:spacing w:beforeLines="0" w:afterLines="0" w:line="240" w:lineRule="auto"/>
              <w:rPr>
                <w:rFonts w:ascii="Times New Roman"/>
                <w:snapToGrid w:val="0"/>
                <w:kern w:val="21"/>
                <w:szCs w:val="24"/>
              </w:rPr>
            </w:pPr>
            <w:r>
              <w:rPr>
                <w:rFonts w:ascii="Times New Roman"/>
                <w:snapToGrid w:val="0"/>
                <w:kern w:val="21"/>
                <w:szCs w:val="24"/>
              </w:rPr>
              <w:t xml:space="preserve">+1557.092 </w:t>
            </w:r>
          </w:p>
        </w:tc>
      </w:tr>
      <w:tr w14:paraId="24DCF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586B6EB5">
            <w:pPr>
              <w:pStyle w:val="45"/>
              <w:spacing w:beforeLines="0" w:afterLines="0" w:line="240" w:lineRule="auto"/>
              <w:rPr>
                <w:rFonts w:ascii="Times New Roman"/>
                <w:snapToGrid w:val="0"/>
                <w:kern w:val="21"/>
                <w:szCs w:val="24"/>
              </w:rPr>
            </w:pPr>
          </w:p>
        </w:tc>
        <w:tc>
          <w:tcPr>
            <w:tcW w:w="1346" w:type="dxa"/>
            <w:vAlign w:val="center"/>
          </w:tcPr>
          <w:p w14:paraId="2C82F6B6">
            <w:pPr>
              <w:pStyle w:val="45"/>
              <w:spacing w:beforeLines="0" w:afterLines="0" w:line="240" w:lineRule="auto"/>
              <w:rPr>
                <w:rFonts w:ascii="Times New Roman"/>
                <w:snapToGrid w:val="0"/>
                <w:kern w:val="21"/>
                <w:szCs w:val="24"/>
              </w:rPr>
            </w:pPr>
            <w:r>
              <w:rPr>
                <w:rFonts w:hint="eastAsia" w:ascii="Times New Roman"/>
                <w:snapToGrid w:val="0"/>
                <w:kern w:val="21"/>
                <w:szCs w:val="24"/>
              </w:rPr>
              <w:t>除尘器粉尘</w:t>
            </w:r>
          </w:p>
        </w:tc>
        <w:tc>
          <w:tcPr>
            <w:tcW w:w="1596" w:type="dxa"/>
            <w:vAlign w:val="center"/>
          </w:tcPr>
          <w:p w14:paraId="373F7F9B">
            <w:pPr>
              <w:pStyle w:val="45"/>
              <w:spacing w:beforeLines="0" w:afterLines="0" w:line="240" w:lineRule="auto"/>
              <w:rPr>
                <w:rFonts w:ascii="Times New Roman"/>
                <w:snapToGrid w:val="0"/>
                <w:kern w:val="21"/>
                <w:szCs w:val="24"/>
              </w:rPr>
            </w:pPr>
          </w:p>
        </w:tc>
        <w:tc>
          <w:tcPr>
            <w:tcW w:w="0" w:type="auto"/>
            <w:vAlign w:val="center"/>
          </w:tcPr>
          <w:p w14:paraId="1A0F2ED5">
            <w:pPr>
              <w:pStyle w:val="45"/>
              <w:spacing w:beforeLines="0" w:afterLines="0" w:line="240" w:lineRule="auto"/>
              <w:rPr>
                <w:rFonts w:ascii="Times New Roman"/>
                <w:snapToGrid w:val="0"/>
                <w:kern w:val="21"/>
                <w:szCs w:val="24"/>
              </w:rPr>
            </w:pPr>
          </w:p>
        </w:tc>
        <w:tc>
          <w:tcPr>
            <w:tcW w:w="0" w:type="auto"/>
            <w:vAlign w:val="center"/>
          </w:tcPr>
          <w:p w14:paraId="53846CD5">
            <w:pPr>
              <w:pStyle w:val="45"/>
              <w:spacing w:beforeLines="0" w:afterLines="0" w:line="240" w:lineRule="auto"/>
              <w:rPr>
                <w:rFonts w:ascii="Times New Roman"/>
                <w:snapToGrid w:val="0"/>
                <w:kern w:val="21"/>
                <w:szCs w:val="24"/>
              </w:rPr>
            </w:pPr>
          </w:p>
        </w:tc>
        <w:tc>
          <w:tcPr>
            <w:tcW w:w="0" w:type="auto"/>
            <w:vAlign w:val="center"/>
          </w:tcPr>
          <w:p w14:paraId="1A4FFDD9">
            <w:pPr>
              <w:pStyle w:val="45"/>
              <w:spacing w:beforeLines="0" w:afterLines="0" w:line="240" w:lineRule="auto"/>
              <w:rPr>
                <w:rFonts w:ascii="Times New Roman"/>
                <w:snapToGrid w:val="0"/>
                <w:kern w:val="21"/>
                <w:szCs w:val="24"/>
              </w:rPr>
            </w:pPr>
            <w:r>
              <w:rPr>
                <w:rFonts w:ascii="Times New Roman"/>
                <w:snapToGrid w:val="0"/>
                <w:kern w:val="21"/>
                <w:szCs w:val="24"/>
              </w:rPr>
              <w:t xml:space="preserve">333.293 </w:t>
            </w:r>
          </w:p>
        </w:tc>
        <w:tc>
          <w:tcPr>
            <w:tcW w:w="0" w:type="auto"/>
            <w:vAlign w:val="center"/>
          </w:tcPr>
          <w:p w14:paraId="09CA38D7">
            <w:pPr>
              <w:pStyle w:val="45"/>
              <w:spacing w:beforeLines="0" w:afterLines="0" w:line="240" w:lineRule="auto"/>
              <w:rPr>
                <w:rFonts w:ascii="Times New Roman"/>
                <w:snapToGrid w:val="0"/>
                <w:kern w:val="21"/>
                <w:szCs w:val="24"/>
              </w:rPr>
            </w:pPr>
          </w:p>
        </w:tc>
        <w:tc>
          <w:tcPr>
            <w:tcW w:w="0" w:type="auto"/>
            <w:vAlign w:val="center"/>
          </w:tcPr>
          <w:p w14:paraId="2DF33CC4">
            <w:pPr>
              <w:pStyle w:val="45"/>
              <w:spacing w:beforeLines="0" w:afterLines="0" w:line="240" w:lineRule="auto"/>
              <w:rPr>
                <w:rFonts w:ascii="Times New Roman"/>
                <w:snapToGrid w:val="0"/>
                <w:kern w:val="21"/>
                <w:szCs w:val="24"/>
              </w:rPr>
            </w:pPr>
            <w:r>
              <w:rPr>
                <w:rFonts w:ascii="Times New Roman"/>
                <w:snapToGrid w:val="0"/>
                <w:kern w:val="21"/>
                <w:szCs w:val="24"/>
              </w:rPr>
              <w:t xml:space="preserve">333.293 </w:t>
            </w:r>
          </w:p>
        </w:tc>
        <w:tc>
          <w:tcPr>
            <w:tcW w:w="0" w:type="auto"/>
            <w:vAlign w:val="center"/>
          </w:tcPr>
          <w:p w14:paraId="676EE891">
            <w:pPr>
              <w:pStyle w:val="45"/>
              <w:spacing w:beforeLines="0" w:afterLines="0" w:line="240" w:lineRule="auto"/>
              <w:rPr>
                <w:rFonts w:ascii="Times New Roman"/>
                <w:snapToGrid w:val="0"/>
                <w:kern w:val="21"/>
                <w:szCs w:val="24"/>
              </w:rPr>
            </w:pPr>
            <w:r>
              <w:rPr>
                <w:rFonts w:hint="eastAsia" w:ascii="Times New Roman"/>
                <w:snapToGrid w:val="0"/>
                <w:kern w:val="21"/>
                <w:szCs w:val="24"/>
              </w:rPr>
              <w:t>+</w:t>
            </w:r>
            <w:r>
              <w:rPr>
                <w:rFonts w:ascii="Times New Roman"/>
                <w:snapToGrid w:val="0"/>
                <w:kern w:val="21"/>
                <w:szCs w:val="24"/>
              </w:rPr>
              <w:t xml:space="preserve">333.293 </w:t>
            </w:r>
          </w:p>
        </w:tc>
      </w:tr>
      <w:tr w14:paraId="389E6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4C68730F">
            <w:pPr>
              <w:pStyle w:val="45"/>
              <w:spacing w:beforeLines="0" w:afterLines="0" w:line="240" w:lineRule="auto"/>
              <w:rPr>
                <w:rFonts w:ascii="Times New Roman"/>
                <w:snapToGrid w:val="0"/>
                <w:kern w:val="21"/>
                <w:szCs w:val="24"/>
              </w:rPr>
            </w:pPr>
          </w:p>
        </w:tc>
        <w:tc>
          <w:tcPr>
            <w:tcW w:w="1346" w:type="dxa"/>
            <w:vAlign w:val="center"/>
          </w:tcPr>
          <w:p w14:paraId="5E12DFC3">
            <w:pPr>
              <w:pStyle w:val="45"/>
              <w:spacing w:beforeLines="0" w:afterLines="0" w:line="240" w:lineRule="auto"/>
              <w:rPr>
                <w:rFonts w:ascii="Times New Roman"/>
                <w:snapToGrid w:val="0"/>
                <w:kern w:val="21"/>
                <w:szCs w:val="24"/>
              </w:rPr>
            </w:pPr>
            <w:r>
              <w:rPr>
                <w:rFonts w:hint="eastAsia" w:ascii="Times New Roman"/>
                <w:snapToGrid w:val="0"/>
                <w:kern w:val="21"/>
                <w:szCs w:val="24"/>
              </w:rPr>
              <w:t>废钢筋</w:t>
            </w:r>
          </w:p>
        </w:tc>
        <w:tc>
          <w:tcPr>
            <w:tcW w:w="1596" w:type="dxa"/>
            <w:vAlign w:val="center"/>
          </w:tcPr>
          <w:p w14:paraId="151F2976">
            <w:pPr>
              <w:pStyle w:val="45"/>
              <w:spacing w:beforeLines="0" w:afterLines="0" w:line="240" w:lineRule="auto"/>
              <w:rPr>
                <w:rFonts w:ascii="Times New Roman"/>
                <w:snapToGrid w:val="0"/>
                <w:kern w:val="21"/>
                <w:szCs w:val="24"/>
              </w:rPr>
            </w:pPr>
          </w:p>
        </w:tc>
        <w:tc>
          <w:tcPr>
            <w:tcW w:w="0" w:type="auto"/>
            <w:vAlign w:val="center"/>
          </w:tcPr>
          <w:p w14:paraId="678663BD">
            <w:pPr>
              <w:pStyle w:val="45"/>
              <w:spacing w:beforeLines="0" w:afterLines="0" w:line="240" w:lineRule="auto"/>
              <w:rPr>
                <w:rFonts w:ascii="Times New Roman"/>
                <w:snapToGrid w:val="0"/>
                <w:kern w:val="21"/>
                <w:szCs w:val="24"/>
              </w:rPr>
            </w:pPr>
          </w:p>
        </w:tc>
        <w:tc>
          <w:tcPr>
            <w:tcW w:w="0" w:type="auto"/>
            <w:vAlign w:val="center"/>
          </w:tcPr>
          <w:p w14:paraId="29AD3BA1">
            <w:pPr>
              <w:pStyle w:val="45"/>
              <w:spacing w:beforeLines="0" w:afterLines="0" w:line="240" w:lineRule="auto"/>
              <w:rPr>
                <w:rFonts w:ascii="Times New Roman"/>
                <w:snapToGrid w:val="0"/>
                <w:kern w:val="21"/>
                <w:szCs w:val="24"/>
              </w:rPr>
            </w:pPr>
          </w:p>
        </w:tc>
        <w:tc>
          <w:tcPr>
            <w:tcW w:w="0" w:type="auto"/>
            <w:vAlign w:val="center"/>
          </w:tcPr>
          <w:p w14:paraId="75D54D87">
            <w:pPr>
              <w:pStyle w:val="45"/>
              <w:spacing w:beforeLines="0" w:afterLines="0" w:line="240" w:lineRule="auto"/>
              <w:rPr>
                <w:rFonts w:ascii="Times New Roman"/>
                <w:snapToGrid w:val="0"/>
                <w:kern w:val="21"/>
                <w:szCs w:val="24"/>
              </w:rPr>
            </w:pPr>
            <w:r>
              <w:rPr>
                <w:rFonts w:hint="eastAsia" w:ascii="Times New Roman"/>
                <w:snapToGrid w:val="0"/>
                <w:kern w:val="21"/>
                <w:szCs w:val="24"/>
              </w:rPr>
              <w:t>5</w:t>
            </w:r>
            <w:r>
              <w:rPr>
                <w:rFonts w:ascii="Times New Roman"/>
                <w:snapToGrid w:val="0"/>
                <w:kern w:val="21"/>
                <w:szCs w:val="24"/>
              </w:rPr>
              <w:t>.03</w:t>
            </w:r>
          </w:p>
        </w:tc>
        <w:tc>
          <w:tcPr>
            <w:tcW w:w="0" w:type="auto"/>
            <w:vAlign w:val="center"/>
          </w:tcPr>
          <w:p w14:paraId="130C1D2C">
            <w:pPr>
              <w:pStyle w:val="45"/>
              <w:spacing w:beforeLines="0" w:afterLines="0" w:line="240" w:lineRule="auto"/>
              <w:rPr>
                <w:rFonts w:ascii="Times New Roman"/>
                <w:snapToGrid w:val="0"/>
                <w:kern w:val="21"/>
                <w:szCs w:val="24"/>
              </w:rPr>
            </w:pPr>
          </w:p>
        </w:tc>
        <w:tc>
          <w:tcPr>
            <w:tcW w:w="0" w:type="auto"/>
            <w:vAlign w:val="center"/>
          </w:tcPr>
          <w:p w14:paraId="52C7CE77">
            <w:pPr>
              <w:pStyle w:val="45"/>
              <w:spacing w:beforeLines="0" w:afterLines="0" w:line="240" w:lineRule="auto"/>
              <w:rPr>
                <w:rFonts w:ascii="Times New Roman"/>
                <w:snapToGrid w:val="0"/>
                <w:kern w:val="21"/>
                <w:szCs w:val="24"/>
              </w:rPr>
            </w:pPr>
            <w:r>
              <w:rPr>
                <w:rFonts w:hint="eastAsia" w:ascii="Times New Roman"/>
                <w:snapToGrid w:val="0"/>
                <w:kern w:val="21"/>
                <w:szCs w:val="24"/>
              </w:rPr>
              <w:t>5</w:t>
            </w:r>
            <w:r>
              <w:rPr>
                <w:rFonts w:ascii="Times New Roman"/>
                <w:snapToGrid w:val="0"/>
                <w:kern w:val="21"/>
                <w:szCs w:val="24"/>
              </w:rPr>
              <w:t>.03</w:t>
            </w:r>
          </w:p>
        </w:tc>
        <w:tc>
          <w:tcPr>
            <w:tcW w:w="0" w:type="auto"/>
            <w:vAlign w:val="center"/>
          </w:tcPr>
          <w:p w14:paraId="56488EE2">
            <w:pPr>
              <w:pStyle w:val="45"/>
              <w:spacing w:beforeLines="0" w:afterLines="0" w:line="240" w:lineRule="auto"/>
              <w:rPr>
                <w:rFonts w:ascii="Times New Roman"/>
                <w:snapToGrid w:val="0"/>
                <w:kern w:val="21"/>
                <w:szCs w:val="24"/>
              </w:rPr>
            </w:pPr>
            <w:r>
              <w:rPr>
                <w:rFonts w:hint="eastAsia" w:ascii="Times New Roman"/>
                <w:snapToGrid w:val="0"/>
                <w:kern w:val="21"/>
                <w:szCs w:val="24"/>
              </w:rPr>
              <w:t>+</w:t>
            </w:r>
            <w:r>
              <w:rPr>
                <w:rFonts w:ascii="Times New Roman"/>
                <w:snapToGrid w:val="0"/>
                <w:kern w:val="21"/>
                <w:szCs w:val="24"/>
              </w:rPr>
              <w:t>5.03</w:t>
            </w:r>
          </w:p>
        </w:tc>
      </w:tr>
      <w:tr w14:paraId="51D0E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2F7981AF">
            <w:pPr>
              <w:pStyle w:val="45"/>
              <w:spacing w:beforeLines="0" w:afterLines="0" w:line="240" w:lineRule="auto"/>
              <w:rPr>
                <w:rFonts w:ascii="Times New Roman"/>
                <w:snapToGrid w:val="0"/>
                <w:kern w:val="21"/>
                <w:szCs w:val="24"/>
              </w:rPr>
            </w:pPr>
          </w:p>
        </w:tc>
        <w:tc>
          <w:tcPr>
            <w:tcW w:w="1346" w:type="dxa"/>
            <w:vAlign w:val="center"/>
          </w:tcPr>
          <w:p w14:paraId="6370EF83">
            <w:pPr>
              <w:pStyle w:val="45"/>
              <w:spacing w:beforeLines="0" w:afterLines="0" w:line="240" w:lineRule="auto"/>
              <w:rPr>
                <w:rFonts w:ascii="Times New Roman"/>
                <w:snapToGrid w:val="0"/>
                <w:kern w:val="21"/>
                <w:szCs w:val="24"/>
              </w:rPr>
            </w:pPr>
            <w:r>
              <w:rPr>
                <w:rFonts w:hint="eastAsia" w:ascii="Times New Roman"/>
                <w:snapToGrid w:val="0"/>
                <w:kern w:val="21"/>
                <w:szCs w:val="24"/>
              </w:rPr>
              <w:t>滴漏沥青及拌合残渣</w:t>
            </w:r>
          </w:p>
        </w:tc>
        <w:tc>
          <w:tcPr>
            <w:tcW w:w="1596" w:type="dxa"/>
            <w:vAlign w:val="center"/>
          </w:tcPr>
          <w:p w14:paraId="7EA165BA">
            <w:pPr>
              <w:pStyle w:val="45"/>
              <w:spacing w:beforeLines="0" w:afterLines="0" w:line="240" w:lineRule="auto"/>
              <w:rPr>
                <w:rFonts w:ascii="Times New Roman"/>
                <w:snapToGrid w:val="0"/>
                <w:kern w:val="21"/>
                <w:szCs w:val="24"/>
              </w:rPr>
            </w:pPr>
          </w:p>
        </w:tc>
        <w:tc>
          <w:tcPr>
            <w:tcW w:w="0" w:type="auto"/>
            <w:vAlign w:val="center"/>
          </w:tcPr>
          <w:p w14:paraId="10C89B6A">
            <w:pPr>
              <w:pStyle w:val="45"/>
              <w:spacing w:beforeLines="0" w:afterLines="0" w:line="240" w:lineRule="auto"/>
              <w:rPr>
                <w:rFonts w:ascii="Times New Roman"/>
                <w:snapToGrid w:val="0"/>
                <w:kern w:val="21"/>
                <w:szCs w:val="24"/>
              </w:rPr>
            </w:pPr>
          </w:p>
        </w:tc>
        <w:tc>
          <w:tcPr>
            <w:tcW w:w="0" w:type="auto"/>
            <w:vAlign w:val="center"/>
          </w:tcPr>
          <w:p w14:paraId="7AFEFB4F">
            <w:pPr>
              <w:pStyle w:val="45"/>
              <w:spacing w:beforeLines="0" w:afterLines="0" w:line="240" w:lineRule="auto"/>
              <w:rPr>
                <w:rFonts w:ascii="Times New Roman"/>
                <w:snapToGrid w:val="0"/>
                <w:kern w:val="21"/>
                <w:szCs w:val="24"/>
              </w:rPr>
            </w:pPr>
          </w:p>
        </w:tc>
        <w:tc>
          <w:tcPr>
            <w:tcW w:w="0" w:type="auto"/>
            <w:vAlign w:val="center"/>
          </w:tcPr>
          <w:p w14:paraId="22FC02AF">
            <w:pPr>
              <w:pStyle w:val="45"/>
              <w:spacing w:beforeLines="0" w:afterLines="0" w:line="240" w:lineRule="auto"/>
              <w:rPr>
                <w:rFonts w:ascii="Times New Roman"/>
                <w:snapToGrid w:val="0"/>
                <w:kern w:val="21"/>
                <w:szCs w:val="24"/>
              </w:rPr>
            </w:pPr>
            <w:r>
              <w:rPr>
                <w:rFonts w:ascii="Times New Roman"/>
                <w:snapToGrid w:val="0"/>
                <w:kern w:val="21"/>
                <w:szCs w:val="24"/>
              </w:rPr>
              <w:t>0.1</w:t>
            </w:r>
          </w:p>
        </w:tc>
        <w:tc>
          <w:tcPr>
            <w:tcW w:w="0" w:type="auto"/>
            <w:vAlign w:val="center"/>
          </w:tcPr>
          <w:p w14:paraId="38FFA627">
            <w:pPr>
              <w:pStyle w:val="45"/>
              <w:spacing w:beforeLines="0" w:afterLines="0" w:line="240" w:lineRule="auto"/>
              <w:rPr>
                <w:rFonts w:ascii="Times New Roman"/>
                <w:snapToGrid w:val="0"/>
                <w:kern w:val="21"/>
                <w:szCs w:val="24"/>
              </w:rPr>
            </w:pPr>
          </w:p>
        </w:tc>
        <w:tc>
          <w:tcPr>
            <w:tcW w:w="0" w:type="auto"/>
            <w:vAlign w:val="center"/>
          </w:tcPr>
          <w:p w14:paraId="4295F0F2">
            <w:pPr>
              <w:pStyle w:val="45"/>
              <w:spacing w:beforeLines="0" w:afterLines="0" w:line="240" w:lineRule="auto"/>
              <w:rPr>
                <w:rFonts w:ascii="Times New Roman"/>
                <w:snapToGrid w:val="0"/>
                <w:kern w:val="21"/>
                <w:szCs w:val="24"/>
              </w:rPr>
            </w:pPr>
            <w:r>
              <w:rPr>
                <w:rFonts w:ascii="Times New Roman"/>
                <w:snapToGrid w:val="0"/>
                <w:kern w:val="21"/>
                <w:szCs w:val="24"/>
              </w:rPr>
              <w:t>0.1</w:t>
            </w:r>
          </w:p>
        </w:tc>
        <w:tc>
          <w:tcPr>
            <w:tcW w:w="0" w:type="auto"/>
            <w:vAlign w:val="center"/>
          </w:tcPr>
          <w:p w14:paraId="0D495865">
            <w:pPr>
              <w:pStyle w:val="45"/>
              <w:spacing w:beforeLines="0" w:afterLines="0" w:line="240" w:lineRule="auto"/>
              <w:rPr>
                <w:rFonts w:ascii="Times New Roman"/>
                <w:snapToGrid w:val="0"/>
                <w:kern w:val="21"/>
                <w:szCs w:val="24"/>
              </w:rPr>
            </w:pPr>
            <w:r>
              <w:rPr>
                <w:rFonts w:ascii="Times New Roman"/>
                <w:snapToGrid w:val="0"/>
                <w:kern w:val="21"/>
                <w:szCs w:val="24"/>
              </w:rPr>
              <w:t>+0.1</w:t>
            </w:r>
          </w:p>
        </w:tc>
      </w:tr>
      <w:tr w14:paraId="262BD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55D7D2E2">
            <w:pPr>
              <w:pStyle w:val="45"/>
              <w:spacing w:beforeLines="0" w:afterLines="0" w:line="240" w:lineRule="auto"/>
              <w:rPr>
                <w:rFonts w:ascii="Times New Roman"/>
                <w:snapToGrid w:val="0"/>
                <w:kern w:val="21"/>
                <w:szCs w:val="24"/>
              </w:rPr>
            </w:pPr>
          </w:p>
        </w:tc>
        <w:tc>
          <w:tcPr>
            <w:tcW w:w="1346" w:type="dxa"/>
            <w:vAlign w:val="center"/>
          </w:tcPr>
          <w:p w14:paraId="53C20529">
            <w:pPr>
              <w:pStyle w:val="45"/>
              <w:spacing w:beforeLines="0" w:afterLines="0" w:line="240" w:lineRule="auto"/>
              <w:rPr>
                <w:rFonts w:ascii="Times New Roman"/>
                <w:snapToGrid w:val="0"/>
                <w:kern w:val="21"/>
                <w:szCs w:val="24"/>
              </w:rPr>
            </w:pPr>
            <w:r>
              <w:rPr>
                <w:rFonts w:ascii="Times New Roman"/>
                <w:snapToGrid w:val="0"/>
                <w:kern w:val="21"/>
                <w:szCs w:val="24"/>
              </w:rPr>
              <w:t>生活垃圾</w:t>
            </w:r>
          </w:p>
        </w:tc>
        <w:tc>
          <w:tcPr>
            <w:tcW w:w="1596" w:type="dxa"/>
            <w:vAlign w:val="center"/>
          </w:tcPr>
          <w:p w14:paraId="554CE6A9">
            <w:pPr>
              <w:pStyle w:val="45"/>
              <w:spacing w:beforeLines="0" w:afterLines="0" w:line="240" w:lineRule="auto"/>
              <w:rPr>
                <w:rFonts w:ascii="Times New Roman"/>
                <w:snapToGrid w:val="0"/>
                <w:kern w:val="21"/>
                <w:szCs w:val="24"/>
              </w:rPr>
            </w:pPr>
          </w:p>
        </w:tc>
        <w:tc>
          <w:tcPr>
            <w:tcW w:w="0" w:type="auto"/>
            <w:vAlign w:val="center"/>
          </w:tcPr>
          <w:p w14:paraId="0239C966">
            <w:pPr>
              <w:pStyle w:val="45"/>
              <w:spacing w:beforeLines="0" w:afterLines="0" w:line="240" w:lineRule="auto"/>
              <w:rPr>
                <w:rFonts w:ascii="Times New Roman"/>
                <w:snapToGrid w:val="0"/>
                <w:kern w:val="21"/>
                <w:szCs w:val="24"/>
              </w:rPr>
            </w:pPr>
          </w:p>
        </w:tc>
        <w:tc>
          <w:tcPr>
            <w:tcW w:w="0" w:type="auto"/>
            <w:vAlign w:val="center"/>
          </w:tcPr>
          <w:p w14:paraId="7DF00606">
            <w:pPr>
              <w:pStyle w:val="45"/>
              <w:spacing w:beforeLines="0" w:afterLines="0" w:line="240" w:lineRule="auto"/>
              <w:rPr>
                <w:rFonts w:ascii="Times New Roman"/>
                <w:snapToGrid w:val="0"/>
                <w:kern w:val="21"/>
                <w:szCs w:val="24"/>
              </w:rPr>
            </w:pPr>
          </w:p>
        </w:tc>
        <w:tc>
          <w:tcPr>
            <w:tcW w:w="0" w:type="auto"/>
            <w:vAlign w:val="center"/>
          </w:tcPr>
          <w:p w14:paraId="7C240851">
            <w:pPr>
              <w:pStyle w:val="45"/>
              <w:spacing w:beforeLines="0" w:afterLines="0" w:line="240" w:lineRule="auto"/>
              <w:rPr>
                <w:rFonts w:ascii="Times New Roman"/>
                <w:snapToGrid w:val="0"/>
                <w:kern w:val="21"/>
                <w:szCs w:val="24"/>
              </w:rPr>
            </w:pPr>
            <w:r>
              <w:rPr>
                <w:rFonts w:ascii="Times New Roman"/>
                <w:snapToGrid w:val="0"/>
                <w:kern w:val="21"/>
                <w:szCs w:val="24"/>
              </w:rPr>
              <w:t>3.51</w:t>
            </w:r>
          </w:p>
        </w:tc>
        <w:tc>
          <w:tcPr>
            <w:tcW w:w="0" w:type="auto"/>
            <w:vAlign w:val="center"/>
          </w:tcPr>
          <w:p w14:paraId="0D60112D">
            <w:pPr>
              <w:pStyle w:val="45"/>
              <w:spacing w:beforeLines="0" w:afterLines="0" w:line="240" w:lineRule="auto"/>
              <w:rPr>
                <w:rFonts w:ascii="Times New Roman"/>
                <w:snapToGrid w:val="0"/>
                <w:kern w:val="21"/>
                <w:szCs w:val="24"/>
              </w:rPr>
            </w:pPr>
          </w:p>
        </w:tc>
        <w:tc>
          <w:tcPr>
            <w:tcW w:w="0" w:type="auto"/>
            <w:vAlign w:val="center"/>
          </w:tcPr>
          <w:p w14:paraId="397FA7AA">
            <w:pPr>
              <w:pStyle w:val="45"/>
              <w:spacing w:beforeLines="0" w:afterLines="0" w:line="240" w:lineRule="auto"/>
              <w:rPr>
                <w:rFonts w:ascii="Times New Roman"/>
                <w:snapToGrid w:val="0"/>
                <w:kern w:val="21"/>
                <w:szCs w:val="24"/>
              </w:rPr>
            </w:pPr>
            <w:r>
              <w:rPr>
                <w:rFonts w:ascii="Times New Roman"/>
                <w:snapToGrid w:val="0"/>
                <w:kern w:val="21"/>
                <w:szCs w:val="24"/>
              </w:rPr>
              <w:t>3.51</w:t>
            </w:r>
          </w:p>
        </w:tc>
        <w:tc>
          <w:tcPr>
            <w:tcW w:w="0" w:type="auto"/>
            <w:vAlign w:val="center"/>
          </w:tcPr>
          <w:p w14:paraId="71500710">
            <w:pPr>
              <w:pStyle w:val="45"/>
              <w:spacing w:beforeLines="0" w:afterLines="0" w:line="240" w:lineRule="auto"/>
              <w:rPr>
                <w:rFonts w:ascii="Times New Roman"/>
                <w:snapToGrid w:val="0"/>
                <w:kern w:val="21"/>
                <w:szCs w:val="24"/>
              </w:rPr>
            </w:pPr>
            <w:r>
              <w:rPr>
                <w:rFonts w:ascii="Times New Roman"/>
                <w:snapToGrid w:val="0"/>
                <w:kern w:val="21"/>
                <w:szCs w:val="24"/>
              </w:rPr>
              <w:t>+3.51</w:t>
            </w:r>
          </w:p>
        </w:tc>
      </w:tr>
      <w:tr w14:paraId="0430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restart"/>
            <w:vAlign w:val="center"/>
          </w:tcPr>
          <w:p w14:paraId="7AD625B8">
            <w:pPr>
              <w:pStyle w:val="45"/>
              <w:spacing w:beforeLines="0" w:afterLines="0" w:line="240" w:lineRule="auto"/>
              <w:rPr>
                <w:rFonts w:ascii="Times New Roman"/>
                <w:snapToGrid w:val="0"/>
                <w:kern w:val="21"/>
                <w:szCs w:val="24"/>
              </w:rPr>
            </w:pPr>
            <w:r>
              <w:rPr>
                <w:rFonts w:ascii="Times New Roman"/>
                <w:snapToGrid w:val="0"/>
                <w:kern w:val="21"/>
                <w:szCs w:val="24"/>
              </w:rPr>
              <w:t>危险废物</w:t>
            </w:r>
          </w:p>
        </w:tc>
        <w:tc>
          <w:tcPr>
            <w:tcW w:w="1346" w:type="dxa"/>
            <w:vAlign w:val="center"/>
          </w:tcPr>
          <w:p w14:paraId="04720360">
            <w:pPr>
              <w:pStyle w:val="45"/>
              <w:spacing w:beforeLines="0" w:afterLines="0" w:line="240" w:lineRule="auto"/>
              <w:rPr>
                <w:rFonts w:ascii="Times New Roman"/>
                <w:snapToGrid w:val="0"/>
                <w:kern w:val="21"/>
                <w:szCs w:val="24"/>
              </w:rPr>
            </w:pPr>
            <w:r>
              <w:rPr>
                <w:rFonts w:ascii="Times New Roman"/>
                <w:snapToGrid w:val="0"/>
                <w:kern w:val="21"/>
                <w:szCs w:val="24"/>
              </w:rPr>
              <w:t>废导热油</w:t>
            </w:r>
          </w:p>
        </w:tc>
        <w:tc>
          <w:tcPr>
            <w:tcW w:w="1596" w:type="dxa"/>
            <w:vAlign w:val="center"/>
          </w:tcPr>
          <w:p w14:paraId="24F83359">
            <w:pPr>
              <w:pStyle w:val="45"/>
              <w:spacing w:beforeLines="0" w:afterLines="0" w:line="240" w:lineRule="auto"/>
              <w:rPr>
                <w:rFonts w:ascii="Times New Roman"/>
                <w:snapToGrid w:val="0"/>
                <w:kern w:val="21"/>
                <w:szCs w:val="24"/>
              </w:rPr>
            </w:pPr>
          </w:p>
        </w:tc>
        <w:tc>
          <w:tcPr>
            <w:tcW w:w="0" w:type="auto"/>
            <w:vAlign w:val="center"/>
          </w:tcPr>
          <w:p w14:paraId="60D69D05">
            <w:pPr>
              <w:pStyle w:val="45"/>
              <w:spacing w:beforeLines="0" w:afterLines="0" w:line="240" w:lineRule="auto"/>
              <w:rPr>
                <w:rFonts w:ascii="Times New Roman"/>
                <w:snapToGrid w:val="0"/>
                <w:kern w:val="21"/>
                <w:szCs w:val="24"/>
              </w:rPr>
            </w:pPr>
          </w:p>
        </w:tc>
        <w:tc>
          <w:tcPr>
            <w:tcW w:w="0" w:type="auto"/>
            <w:vAlign w:val="center"/>
          </w:tcPr>
          <w:p w14:paraId="2452B1CB">
            <w:pPr>
              <w:pStyle w:val="45"/>
              <w:spacing w:beforeLines="0" w:afterLines="0" w:line="240" w:lineRule="auto"/>
              <w:rPr>
                <w:rFonts w:ascii="Times New Roman"/>
                <w:snapToGrid w:val="0"/>
                <w:kern w:val="21"/>
                <w:szCs w:val="24"/>
              </w:rPr>
            </w:pPr>
          </w:p>
        </w:tc>
        <w:tc>
          <w:tcPr>
            <w:tcW w:w="0" w:type="auto"/>
            <w:vAlign w:val="center"/>
          </w:tcPr>
          <w:p w14:paraId="137B7E95">
            <w:pPr>
              <w:pStyle w:val="45"/>
              <w:spacing w:beforeLines="0" w:afterLines="0" w:line="240" w:lineRule="auto"/>
              <w:rPr>
                <w:rFonts w:ascii="Times New Roman"/>
                <w:snapToGrid w:val="0"/>
                <w:kern w:val="21"/>
                <w:szCs w:val="24"/>
              </w:rPr>
            </w:pPr>
            <w:r>
              <w:rPr>
                <w:rFonts w:ascii="Times New Roman"/>
                <w:snapToGrid w:val="0"/>
                <w:kern w:val="21"/>
                <w:szCs w:val="24"/>
              </w:rPr>
              <w:t>4t</w:t>
            </w:r>
            <w:r>
              <w:rPr>
                <w:rFonts w:hint="eastAsia" w:ascii="Times New Roman"/>
                <w:snapToGrid w:val="0"/>
                <w:kern w:val="21"/>
                <w:szCs w:val="24"/>
              </w:rPr>
              <w:t>/</w:t>
            </w:r>
            <w:r>
              <w:rPr>
                <w:rFonts w:hint="eastAsia"/>
                <w:sz w:val="21"/>
                <w:szCs w:val="21"/>
              </w:rPr>
              <w:t>一次</w:t>
            </w:r>
          </w:p>
        </w:tc>
        <w:tc>
          <w:tcPr>
            <w:tcW w:w="0" w:type="auto"/>
            <w:vAlign w:val="center"/>
          </w:tcPr>
          <w:p w14:paraId="03B3D8B3">
            <w:pPr>
              <w:pStyle w:val="45"/>
              <w:spacing w:beforeLines="0" w:afterLines="0" w:line="240" w:lineRule="auto"/>
              <w:rPr>
                <w:rFonts w:ascii="Times New Roman"/>
                <w:snapToGrid w:val="0"/>
                <w:kern w:val="21"/>
                <w:szCs w:val="24"/>
              </w:rPr>
            </w:pPr>
          </w:p>
        </w:tc>
        <w:tc>
          <w:tcPr>
            <w:tcW w:w="0" w:type="auto"/>
            <w:vAlign w:val="center"/>
          </w:tcPr>
          <w:p w14:paraId="258CF1D8">
            <w:pPr>
              <w:pStyle w:val="45"/>
              <w:spacing w:beforeLines="0" w:afterLines="0" w:line="240" w:lineRule="auto"/>
              <w:rPr>
                <w:rFonts w:ascii="Times New Roman"/>
                <w:snapToGrid w:val="0"/>
                <w:kern w:val="21"/>
                <w:szCs w:val="24"/>
              </w:rPr>
            </w:pPr>
            <w:r>
              <w:rPr>
                <w:rFonts w:ascii="Times New Roman"/>
                <w:snapToGrid w:val="0"/>
                <w:kern w:val="21"/>
                <w:szCs w:val="24"/>
              </w:rPr>
              <w:t>4t/</w:t>
            </w:r>
            <w:r>
              <w:rPr>
                <w:rFonts w:hint="eastAsia"/>
                <w:sz w:val="21"/>
                <w:szCs w:val="21"/>
              </w:rPr>
              <w:t>一次</w:t>
            </w:r>
          </w:p>
        </w:tc>
        <w:tc>
          <w:tcPr>
            <w:tcW w:w="0" w:type="auto"/>
            <w:vAlign w:val="center"/>
          </w:tcPr>
          <w:p w14:paraId="2B26A265">
            <w:pPr>
              <w:pStyle w:val="45"/>
              <w:spacing w:beforeLines="0" w:afterLines="0" w:line="240" w:lineRule="auto"/>
              <w:rPr>
                <w:rFonts w:ascii="Times New Roman"/>
                <w:snapToGrid w:val="0"/>
                <w:kern w:val="21"/>
                <w:szCs w:val="24"/>
              </w:rPr>
            </w:pPr>
            <w:r>
              <w:rPr>
                <w:rFonts w:ascii="Times New Roman"/>
                <w:snapToGrid w:val="0"/>
                <w:kern w:val="21"/>
                <w:szCs w:val="24"/>
              </w:rPr>
              <w:t>+4t</w:t>
            </w:r>
            <w:r>
              <w:rPr>
                <w:rFonts w:hint="eastAsia" w:ascii="Times New Roman"/>
                <w:snapToGrid w:val="0"/>
                <w:kern w:val="21"/>
                <w:szCs w:val="24"/>
              </w:rPr>
              <w:t>/</w:t>
            </w:r>
            <w:r>
              <w:rPr>
                <w:rFonts w:hint="eastAsia"/>
                <w:sz w:val="21"/>
                <w:szCs w:val="21"/>
              </w:rPr>
              <w:t>一次</w:t>
            </w:r>
          </w:p>
        </w:tc>
      </w:tr>
      <w:tr w14:paraId="5000B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5BB509DA">
            <w:pPr>
              <w:pStyle w:val="45"/>
              <w:spacing w:beforeLines="0" w:afterLines="0" w:line="240" w:lineRule="auto"/>
              <w:rPr>
                <w:rFonts w:ascii="Times New Roman"/>
                <w:snapToGrid w:val="0"/>
                <w:kern w:val="21"/>
                <w:szCs w:val="24"/>
              </w:rPr>
            </w:pPr>
          </w:p>
        </w:tc>
        <w:tc>
          <w:tcPr>
            <w:tcW w:w="1346" w:type="dxa"/>
            <w:vAlign w:val="center"/>
          </w:tcPr>
          <w:p w14:paraId="4B47CFA7">
            <w:pPr>
              <w:pStyle w:val="45"/>
              <w:spacing w:beforeLines="0" w:afterLines="0" w:line="240" w:lineRule="auto"/>
              <w:rPr>
                <w:rFonts w:ascii="Times New Roman"/>
                <w:snapToGrid w:val="0"/>
                <w:kern w:val="21"/>
                <w:szCs w:val="24"/>
              </w:rPr>
            </w:pPr>
            <w:r>
              <w:rPr>
                <w:rFonts w:ascii="Times New Roman"/>
                <w:snapToGrid w:val="0"/>
                <w:kern w:val="21"/>
                <w:szCs w:val="24"/>
              </w:rPr>
              <w:t>废机油</w:t>
            </w:r>
          </w:p>
        </w:tc>
        <w:tc>
          <w:tcPr>
            <w:tcW w:w="1596" w:type="dxa"/>
            <w:vAlign w:val="center"/>
          </w:tcPr>
          <w:p w14:paraId="1CF6233F">
            <w:pPr>
              <w:pStyle w:val="45"/>
              <w:spacing w:beforeLines="0" w:afterLines="0" w:line="240" w:lineRule="auto"/>
              <w:rPr>
                <w:rFonts w:ascii="Times New Roman"/>
                <w:snapToGrid w:val="0"/>
                <w:kern w:val="21"/>
                <w:szCs w:val="24"/>
              </w:rPr>
            </w:pPr>
          </w:p>
        </w:tc>
        <w:tc>
          <w:tcPr>
            <w:tcW w:w="0" w:type="auto"/>
            <w:vAlign w:val="center"/>
          </w:tcPr>
          <w:p w14:paraId="29B2D8BE">
            <w:pPr>
              <w:pStyle w:val="45"/>
              <w:spacing w:beforeLines="0" w:afterLines="0" w:line="240" w:lineRule="auto"/>
              <w:rPr>
                <w:rFonts w:ascii="Times New Roman"/>
                <w:snapToGrid w:val="0"/>
                <w:kern w:val="21"/>
                <w:szCs w:val="24"/>
              </w:rPr>
            </w:pPr>
          </w:p>
        </w:tc>
        <w:tc>
          <w:tcPr>
            <w:tcW w:w="0" w:type="auto"/>
            <w:vAlign w:val="center"/>
          </w:tcPr>
          <w:p w14:paraId="4D31B4FC">
            <w:pPr>
              <w:pStyle w:val="45"/>
              <w:spacing w:beforeLines="0" w:afterLines="0" w:line="240" w:lineRule="auto"/>
              <w:rPr>
                <w:rFonts w:ascii="Times New Roman"/>
                <w:snapToGrid w:val="0"/>
                <w:kern w:val="21"/>
                <w:szCs w:val="24"/>
              </w:rPr>
            </w:pPr>
          </w:p>
        </w:tc>
        <w:tc>
          <w:tcPr>
            <w:tcW w:w="0" w:type="auto"/>
            <w:vAlign w:val="center"/>
          </w:tcPr>
          <w:p w14:paraId="06F8F7B9">
            <w:pPr>
              <w:pStyle w:val="45"/>
              <w:spacing w:beforeLines="0" w:afterLines="0" w:line="240" w:lineRule="auto"/>
              <w:rPr>
                <w:rFonts w:ascii="Times New Roman"/>
                <w:snapToGrid w:val="0"/>
                <w:kern w:val="21"/>
                <w:szCs w:val="24"/>
              </w:rPr>
            </w:pPr>
            <w:r>
              <w:rPr>
                <w:rFonts w:ascii="Times New Roman"/>
                <w:snapToGrid w:val="0"/>
                <w:kern w:val="21"/>
                <w:szCs w:val="24"/>
              </w:rPr>
              <w:t>0.62</w:t>
            </w:r>
          </w:p>
        </w:tc>
        <w:tc>
          <w:tcPr>
            <w:tcW w:w="0" w:type="auto"/>
            <w:vAlign w:val="center"/>
          </w:tcPr>
          <w:p w14:paraId="18443553">
            <w:pPr>
              <w:pStyle w:val="45"/>
              <w:spacing w:beforeLines="0" w:afterLines="0" w:line="240" w:lineRule="auto"/>
              <w:rPr>
                <w:rFonts w:ascii="Times New Roman"/>
                <w:snapToGrid w:val="0"/>
                <w:kern w:val="21"/>
                <w:szCs w:val="24"/>
              </w:rPr>
            </w:pPr>
          </w:p>
        </w:tc>
        <w:tc>
          <w:tcPr>
            <w:tcW w:w="0" w:type="auto"/>
            <w:vAlign w:val="center"/>
          </w:tcPr>
          <w:p w14:paraId="0BBE5EB6">
            <w:pPr>
              <w:pStyle w:val="45"/>
              <w:spacing w:beforeLines="0" w:afterLines="0" w:line="240" w:lineRule="auto"/>
              <w:rPr>
                <w:rFonts w:ascii="Times New Roman"/>
                <w:snapToGrid w:val="0"/>
                <w:kern w:val="21"/>
                <w:szCs w:val="24"/>
              </w:rPr>
            </w:pPr>
            <w:r>
              <w:rPr>
                <w:rFonts w:ascii="Times New Roman"/>
                <w:snapToGrid w:val="0"/>
                <w:kern w:val="21"/>
                <w:szCs w:val="24"/>
              </w:rPr>
              <w:t>0.62</w:t>
            </w:r>
          </w:p>
        </w:tc>
        <w:tc>
          <w:tcPr>
            <w:tcW w:w="0" w:type="auto"/>
            <w:vAlign w:val="center"/>
          </w:tcPr>
          <w:p w14:paraId="21443061">
            <w:pPr>
              <w:pStyle w:val="45"/>
              <w:spacing w:beforeLines="0" w:afterLines="0" w:line="240" w:lineRule="auto"/>
              <w:rPr>
                <w:rFonts w:ascii="Times New Roman"/>
                <w:snapToGrid w:val="0"/>
                <w:kern w:val="21"/>
                <w:szCs w:val="24"/>
              </w:rPr>
            </w:pPr>
            <w:r>
              <w:rPr>
                <w:rFonts w:ascii="Times New Roman"/>
                <w:snapToGrid w:val="0"/>
                <w:kern w:val="21"/>
                <w:szCs w:val="24"/>
              </w:rPr>
              <w:t>+0.62</w:t>
            </w:r>
          </w:p>
        </w:tc>
      </w:tr>
      <w:tr w14:paraId="39AFF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47A93ABA">
            <w:pPr>
              <w:pStyle w:val="45"/>
              <w:spacing w:beforeLines="0" w:afterLines="0" w:line="240" w:lineRule="auto"/>
              <w:rPr>
                <w:rFonts w:ascii="Times New Roman"/>
                <w:snapToGrid w:val="0"/>
                <w:kern w:val="21"/>
                <w:szCs w:val="24"/>
              </w:rPr>
            </w:pPr>
          </w:p>
        </w:tc>
        <w:tc>
          <w:tcPr>
            <w:tcW w:w="1346" w:type="dxa"/>
            <w:vAlign w:val="center"/>
          </w:tcPr>
          <w:p w14:paraId="423EC6FD">
            <w:pPr>
              <w:pStyle w:val="45"/>
              <w:spacing w:beforeLines="0" w:afterLines="0" w:line="240" w:lineRule="auto"/>
              <w:rPr>
                <w:rFonts w:ascii="Times New Roman"/>
                <w:snapToGrid w:val="0"/>
                <w:kern w:val="21"/>
                <w:szCs w:val="24"/>
              </w:rPr>
            </w:pPr>
            <w:r>
              <w:rPr>
                <w:rFonts w:ascii="Times New Roman"/>
                <w:snapToGrid w:val="0"/>
                <w:kern w:val="21"/>
                <w:szCs w:val="24"/>
              </w:rPr>
              <w:t>废活性炭</w:t>
            </w:r>
          </w:p>
        </w:tc>
        <w:tc>
          <w:tcPr>
            <w:tcW w:w="1596" w:type="dxa"/>
            <w:vAlign w:val="center"/>
          </w:tcPr>
          <w:p w14:paraId="7D64B471">
            <w:pPr>
              <w:pStyle w:val="45"/>
              <w:spacing w:beforeLines="0" w:afterLines="0" w:line="240" w:lineRule="auto"/>
              <w:rPr>
                <w:rFonts w:ascii="Times New Roman"/>
                <w:snapToGrid w:val="0"/>
                <w:kern w:val="21"/>
                <w:szCs w:val="24"/>
              </w:rPr>
            </w:pPr>
          </w:p>
        </w:tc>
        <w:tc>
          <w:tcPr>
            <w:tcW w:w="0" w:type="auto"/>
            <w:vAlign w:val="center"/>
          </w:tcPr>
          <w:p w14:paraId="1B6B5FC5">
            <w:pPr>
              <w:pStyle w:val="45"/>
              <w:spacing w:beforeLines="0" w:afterLines="0" w:line="240" w:lineRule="auto"/>
              <w:rPr>
                <w:rFonts w:ascii="Times New Roman"/>
                <w:snapToGrid w:val="0"/>
                <w:kern w:val="21"/>
                <w:szCs w:val="24"/>
              </w:rPr>
            </w:pPr>
          </w:p>
        </w:tc>
        <w:tc>
          <w:tcPr>
            <w:tcW w:w="0" w:type="auto"/>
            <w:vAlign w:val="center"/>
          </w:tcPr>
          <w:p w14:paraId="0145C0D7">
            <w:pPr>
              <w:pStyle w:val="45"/>
              <w:spacing w:beforeLines="0" w:afterLines="0" w:line="240" w:lineRule="auto"/>
              <w:rPr>
                <w:rFonts w:ascii="Times New Roman"/>
                <w:snapToGrid w:val="0"/>
                <w:kern w:val="21"/>
                <w:szCs w:val="24"/>
              </w:rPr>
            </w:pPr>
          </w:p>
        </w:tc>
        <w:tc>
          <w:tcPr>
            <w:tcW w:w="0" w:type="auto"/>
            <w:vAlign w:val="center"/>
          </w:tcPr>
          <w:p w14:paraId="6C03BB64">
            <w:pPr>
              <w:pStyle w:val="45"/>
              <w:spacing w:beforeLines="0" w:afterLines="0" w:line="240" w:lineRule="auto"/>
              <w:rPr>
                <w:rFonts w:ascii="Times New Roman"/>
                <w:snapToGrid w:val="0"/>
                <w:kern w:val="21"/>
                <w:szCs w:val="24"/>
              </w:rPr>
            </w:pPr>
            <w:r>
              <w:rPr>
                <w:rFonts w:ascii="Times New Roman"/>
                <w:snapToGrid w:val="0"/>
                <w:kern w:val="21"/>
                <w:szCs w:val="24"/>
              </w:rPr>
              <w:t>0.5</w:t>
            </w:r>
          </w:p>
        </w:tc>
        <w:tc>
          <w:tcPr>
            <w:tcW w:w="0" w:type="auto"/>
            <w:vAlign w:val="center"/>
          </w:tcPr>
          <w:p w14:paraId="6638C983">
            <w:pPr>
              <w:pStyle w:val="45"/>
              <w:spacing w:beforeLines="0" w:afterLines="0" w:line="240" w:lineRule="auto"/>
              <w:rPr>
                <w:rFonts w:ascii="Times New Roman"/>
                <w:snapToGrid w:val="0"/>
                <w:kern w:val="21"/>
                <w:szCs w:val="24"/>
              </w:rPr>
            </w:pPr>
          </w:p>
        </w:tc>
        <w:tc>
          <w:tcPr>
            <w:tcW w:w="0" w:type="auto"/>
            <w:vAlign w:val="center"/>
          </w:tcPr>
          <w:p w14:paraId="2B979868">
            <w:pPr>
              <w:pStyle w:val="45"/>
              <w:spacing w:beforeLines="0" w:afterLines="0" w:line="240" w:lineRule="auto"/>
              <w:rPr>
                <w:rFonts w:ascii="Times New Roman"/>
                <w:snapToGrid w:val="0"/>
                <w:kern w:val="21"/>
                <w:szCs w:val="24"/>
              </w:rPr>
            </w:pPr>
            <w:r>
              <w:rPr>
                <w:rFonts w:ascii="Times New Roman"/>
                <w:snapToGrid w:val="0"/>
                <w:kern w:val="21"/>
                <w:szCs w:val="24"/>
              </w:rPr>
              <w:t>0.5</w:t>
            </w:r>
          </w:p>
        </w:tc>
        <w:tc>
          <w:tcPr>
            <w:tcW w:w="0" w:type="auto"/>
            <w:vAlign w:val="center"/>
          </w:tcPr>
          <w:p w14:paraId="71BEA43F">
            <w:pPr>
              <w:pStyle w:val="45"/>
              <w:spacing w:beforeLines="0" w:afterLines="0" w:line="240" w:lineRule="auto"/>
              <w:rPr>
                <w:rFonts w:ascii="Times New Roman"/>
                <w:snapToGrid w:val="0"/>
                <w:kern w:val="21"/>
                <w:szCs w:val="24"/>
              </w:rPr>
            </w:pPr>
            <w:r>
              <w:rPr>
                <w:rFonts w:ascii="Times New Roman"/>
                <w:snapToGrid w:val="0"/>
                <w:kern w:val="21"/>
                <w:szCs w:val="24"/>
              </w:rPr>
              <w:t>+0.5</w:t>
            </w:r>
          </w:p>
        </w:tc>
      </w:tr>
      <w:tr w14:paraId="63772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2E86EEB6">
            <w:pPr>
              <w:pStyle w:val="45"/>
              <w:spacing w:beforeLines="0" w:afterLines="0" w:line="240" w:lineRule="auto"/>
              <w:rPr>
                <w:rFonts w:ascii="Times New Roman"/>
                <w:snapToGrid w:val="0"/>
                <w:kern w:val="21"/>
                <w:szCs w:val="24"/>
              </w:rPr>
            </w:pPr>
          </w:p>
        </w:tc>
        <w:tc>
          <w:tcPr>
            <w:tcW w:w="1346" w:type="dxa"/>
            <w:vAlign w:val="center"/>
          </w:tcPr>
          <w:p w14:paraId="09808075">
            <w:pPr>
              <w:pStyle w:val="45"/>
              <w:spacing w:beforeLines="0" w:afterLines="0" w:line="240" w:lineRule="auto"/>
              <w:rPr>
                <w:rFonts w:ascii="Times New Roman"/>
                <w:snapToGrid w:val="0"/>
                <w:kern w:val="21"/>
                <w:szCs w:val="24"/>
              </w:rPr>
            </w:pPr>
            <w:r>
              <w:rPr>
                <w:rFonts w:hint="eastAsia" w:ascii="Times New Roman"/>
                <w:szCs w:val="24"/>
              </w:rPr>
              <w:t>焦油沉渣</w:t>
            </w:r>
          </w:p>
        </w:tc>
        <w:tc>
          <w:tcPr>
            <w:tcW w:w="1596" w:type="dxa"/>
            <w:vAlign w:val="center"/>
          </w:tcPr>
          <w:p w14:paraId="21CCAECB">
            <w:pPr>
              <w:pStyle w:val="45"/>
              <w:spacing w:beforeLines="0" w:afterLines="0" w:line="240" w:lineRule="auto"/>
              <w:rPr>
                <w:rFonts w:ascii="Times New Roman"/>
                <w:snapToGrid w:val="0"/>
                <w:kern w:val="21"/>
                <w:szCs w:val="24"/>
              </w:rPr>
            </w:pPr>
          </w:p>
        </w:tc>
        <w:tc>
          <w:tcPr>
            <w:tcW w:w="0" w:type="auto"/>
            <w:vAlign w:val="center"/>
          </w:tcPr>
          <w:p w14:paraId="445A749E">
            <w:pPr>
              <w:pStyle w:val="45"/>
              <w:spacing w:beforeLines="0" w:afterLines="0" w:line="240" w:lineRule="auto"/>
              <w:rPr>
                <w:rFonts w:ascii="Times New Roman"/>
                <w:snapToGrid w:val="0"/>
                <w:kern w:val="21"/>
                <w:szCs w:val="24"/>
              </w:rPr>
            </w:pPr>
          </w:p>
        </w:tc>
        <w:tc>
          <w:tcPr>
            <w:tcW w:w="0" w:type="auto"/>
            <w:vAlign w:val="center"/>
          </w:tcPr>
          <w:p w14:paraId="5D38A731">
            <w:pPr>
              <w:pStyle w:val="45"/>
              <w:spacing w:beforeLines="0" w:afterLines="0" w:line="240" w:lineRule="auto"/>
              <w:rPr>
                <w:rFonts w:ascii="Times New Roman"/>
                <w:snapToGrid w:val="0"/>
                <w:kern w:val="21"/>
                <w:szCs w:val="24"/>
              </w:rPr>
            </w:pPr>
          </w:p>
        </w:tc>
        <w:tc>
          <w:tcPr>
            <w:tcW w:w="0" w:type="auto"/>
            <w:vAlign w:val="center"/>
          </w:tcPr>
          <w:p w14:paraId="6172DBD0">
            <w:pPr>
              <w:pStyle w:val="45"/>
              <w:spacing w:beforeLines="0" w:afterLines="0" w:line="240" w:lineRule="auto"/>
              <w:rPr>
                <w:rFonts w:ascii="Times New Roman"/>
                <w:snapToGrid w:val="0"/>
                <w:kern w:val="21"/>
                <w:szCs w:val="24"/>
              </w:rPr>
            </w:pPr>
            <w:r>
              <w:rPr>
                <w:rFonts w:ascii="Times New Roman"/>
                <w:snapToGrid w:val="0"/>
                <w:kern w:val="21"/>
                <w:szCs w:val="24"/>
              </w:rPr>
              <w:t>0.05</w:t>
            </w:r>
          </w:p>
        </w:tc>
        <w:tc>
          <w:tcPr>
            <w:tcW w:w="0" w:type="auto"/>
            <w:vAlign w:val="center"/>
          </w:tcPr>
          <w:p w14:paraId="0E67B2AD">
            <w:pPr>
              <w:pStyle w:val="45"/>
              <w:spacing w:beforeLines="0" w:afterLines="0" w:line="240" w:lineRule="auto"/>
              <w:rPr>
                <w:rFonts w:ascii="Times New Roman"/>
                <w:snapToGrid w:val="0"/>
                <w:kern w:val="21"/>
                <w:szCs w:val="24"/>
              </w:rPr>
            </w:pPr>
          </w:p>
        </w:tc>
        <w:tc>
          <w:tcPr>
            <w:tcW w:w="0" w:type="auto"/>
            <w:vAlign w:val="center"/>
          </w:tcPr>
          <w:p w14:paraId="3B3E50D8">
            <w:pPr>
              <w:pStyle w:val="45"/>
              <w:spacing w:beforeLines="0" w:afterLines="0" w:line="240" w:lineRule="auto"/>
              <w:rPr>
                <w:rFonts w:ascii="Times New Roman"/>
                <w:snapToGrid w:val="0"/>
                <w:kern w:val="21"/>
                <w:szCs w:val="24"/>
              </w:rPr>
            </w:pPr>
            <w:r>
              <w:rPr>
                <w:rFonts w:ascii="Times New Roman"/>
                <w:snapToGrid w:val="0"/>
                <w:kern w:val="21"/>
                <w:szCs w:val="24"/>
              </w:rPr>
              <w:t>0.05</w:t>
            </w:r>
          </w:p>
        </w:tc>
        <w:tc>
          <w:tcPr>
            <w:tcW w:w="0" w:type="auto"/>
            <w:vAlign w:val="center"/>
          </w:tcPr>
          <w:p w14:paraId="60B03892">
            <w:pPr>
              <w:pStyle w:val="45"/>
              <w:spacing w:beforeLines="0" w:afterLines="0" w:line="240" w:lineRule="auto"/>
              <w:rPr>
                <w:rFonts w:ascii="Times New Roman"/>
                <w:snapToGrid w:val="0"/>
                <w:kern w:val="21"/>
                <w:szCs w:val="24"/>
              </w:rPr>
            </w:pPr>
            <w:r>
              <w:rPr>
                <w:rFonts w:ascii="Times New Roman"/>
                <w:snapToGrid w:val="0"/>
                <w:kern w:val="21"/>
                <w:szCs w:val="24"/>
              </w:rPr>
              <w:t>+0.05</w:t>
            </w:r>
          </w:p>
        </w:tc>
      </w:tr>
      <w:tr w14:paraId="2160C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6DCDC8DC">
            <w:pPr>
              <w:pStyle w:val="45"/>
              <w:spacing w:beforeLines="0" w:afterLines="0" w:line="240" w:lineRule="auto"/>
              <w:rPr>
                <w:rFonts w:ascii="Times New Roman"/>
                <w:snapToGrid w:val="0"/>
                <w:kern w:val="21"/>
                <w:szCs w:val="24"/>
              </w:rPr>
            </w:pPr>
          </w:p>
        </w:tc>
        <w:tc>
          <w:tcPr>
            <w:tcW w:w="1346" w:type="dxa"/>
            <w:vAlign w:val="center"/>
          </w:tcPr>
          <w:p w14:paraId="0A9F9291">
            <w:pPr>
              <w:pStyle w:val="45"/>
              <w:spacing w:beforeLines="0" w:afterLines="0" w:line="240" w:lineRule="auto"/>
              <w:rPr>
                <w:rFonts w:ascii="Times New Roman"/>
                <w:szCs w:val="24"/>
              </w:rPr>
            </w:pPr>
            <w:r>
              <w:rPr>
                <w:rFonts w:hint="eastAsia" w:ascii="Times New Roman"/>
                <w:szCs w:val="24"/>
              </w:rPr>
              <w:t>电捕焦油器废油</w:t>
            </w:r>
          </w:p>
        </w:tc>
        <w:tc>
          <w:tcPr>
            <w:tcW w:w="1596" w:type="dxa"/>
            <w:vAlign w:val="center"/>
          </w:tcPr>
          <w:p w14:paraId="26C674DB">
            <w:pPr>
              <w:pStyle w:val="45"/>
              <w:spacing w:beforeLines="0" w:afterLines="0" w:line="240" w:lineRule="auto"/>
              <w:rPr>
                <w:rFonts w:ascii="Times New Roman"/>
                <w:snapToGrid w:val="0"/>
                <w:kern w:val="21"/>
                <w:szCs w:val="24"/>
              </w:rPr>
            </w:pPr>
          </w:p>
        </w:tc>
        <w:tc>
          <w:tcPr>
            <w:tcW w:w="0" w:type="auto"/>
            <w:vAlign w:val="center"/>
          </w:tcPr>
          <w:p w14:paraId="267DC788">
            <w:pPr>
              <w:pStyle w:val="45"/>
              <w:spacing w:beforeLines="0" w:afterLines="0" w:line="240" w:lineRule="auto"/>
              <w:rPr>
                <w:rFonts w:ascii="Times New Roman"/>
                <w:snapToGrid w:val="0"/>
                <w:kern w:val="21"/>
                <w:szCs w:val="24"/>
              </w:rPr>
            </w:pPr>
          </w:p>
        </w:tc>
        <w:tc>
          <w:tcPr>
            <w:tcW w:w="0" w:type="auto"/>
            <w:vAlign w:val="center"/>
          </w:tcPr>
          <w:p w14:paraId="425C7B4E">
            <w:pPr>
              <w:pStyle w:val="45"/>
              <w:spacing w:beforeLines="0" w:afterLines="0" w:line="240" w:lineRule="auto"/>
              <w:rPr>
                <w:rFonts w:ascii="Times New Roman"/>
                <w:snapToGrid w:val="0"/>
                <w:kern w:val="21"/>
                <w:szCs w:val="24"/>
              </w:rPr>
            </w:pPr>
          </w:p>
        </w:tc>
        <w:tc>
          <w:tcPr>
            <w:tcW w:w="0" w:type="auto"/>
            <w:vAlign w:val="center"/>
          </w:tcPr>
          <w:p w14:paraId="70F34370">
            <w:pPr>
              <w:pStyle w:val="45"/>
              <w:spacing w:beforeLines="0" w:afterLines="0" w:line="240" w:lineRule="auto"/>
              <w:rPr>
                <w:rFonts w:ascii="Times New Roman"/>
                <w:snapToGrid w:val="0"/>
                <w:kern w:val="21"/>
                <w:szCs w:val="24"/>
              </w:rPr>
            </w:pPr>
            <w:r>
              <w:rPr>
                <w:rFonts w:ascii="Times New Roman"/>
                <w:snapToGrid w:val="0"/>
                <w:kern w:val="21"/>
                <w:szCs w:val="24"/>
              </w:rPr>
              <w:t>0.0114</w:t>
            </w:r>
          </w:p>
        </w:tc>
        <w:tc>
          <w:tcPr>
            <w:tcW w:w="0" w:type="auto"/>
            <w:vAlign w:val="center"/>
          </w:tcPr>
          <w:p w14:paraId="3F6F134D">
            <w:pPr>
              <w:pStyle w:val="45"/>
              <w:spacing w:beforeLines="0" w:afterLines="0" w:line="240" w:lineRule="auto"/>
              <w:rPr>
                <w:rFonts w:ascii="Times New Roman"/>
                <w:snapToGrid w:val="0"/>
                <w:kern w:val="21"/>
                <w:szCs w:val="24"/>
              </w:rPr>
            </w:pPr>
          </w:p>
        </w:tc>
        <w:tc>
          <w:tcPr>
            <w:tcW w:w="0" w:type="auto"/>
            <w:vAlign w:val="center"/>
          </w:tcPr>
          <w:p w14:paraId="2344554E">
            <w:pPr>
              <w:pStyle w:val="45"/>
              <w:spacing w:beforeLines="0" w:afterLines="0" w:line="240" w:lineRule="auto"/>
              <w:rPr>
                <w:rFonts w:ascii="Times New Roman"/>
                <w:snapToGrid w:val="0"/>
                <w:kern w:val="21"/>
                <w:szCs w:val="24"/>
              </w:rPr>
            </w:pPr>
            <w:r>
              <w:rPr>
                <w:rFonts w:ascii="Times New Roman"/>
                <w:snapToGrid w:val="0"/>
                <w:kern w:val="21"/>
                <w:szCs w:val="24"/>
              </w:rPr>
              <w:t>0.0114</w:t>
            </w:r>
          </w:p>
        </w:tc>
        <w:tc>
          <w:tcPr>
            <w:tcW w:w="0" w:type="auto"/>
            <w:vAlign w:val="center"/>
          </w:tcPr>
          <w:p w14:paraId="0F894D22">
            <w:pPr>
              <w:pStyle w:val="45"/>
              <w:spacing w:beforeLines="0" w:afterLines="0" w:line="240" w:lineRule="auto"/>
              <w:rPr>
                <w:rFonts w:ascii="Times New Roman"/>
                <w:snapToGrid w:val="0"/>
                <w:kern w:val="21"/>
                <w:szCs w:val="24"/>
              </w:rPr>
            </w:pPr>
            <w:r>
              <w:rPr>
                <w:rFonts w:ascii="Times New Roman"/>
                <w:snapToGrid w:val="0"/>
                <w:kern w:val="21"/>
                <w:szCs w:val="24"/>
              </w:rPr>
              <w:t>+0.0114</w:t>
            </w:r>
          </w:p>
        </w:tc>
      </w:tr>
      <w:tr w14:paraId="1F387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vAlign w:val="center"/>
          </w:tcPr>
          <w:p w14:paraId="18210E0D">
            <w:pPr>
              <w:pStyle w:val="45"/>
              <w:spacing w:beforeLines="0" w:afterLines="0" w:line="240" w:lineRule="auto"/>
              <w:rPr>
                <w:rFonts w:ascii="Times New Roman"/>
                <w:snapToGrid w:val="0"/>
                <w:kern w:val="21"/>
                <w:szCs w:val="24"/>
              </w:rPr>
            </w:pPr>
          </w:p>
        </w:tc>
        <w:tc>
          <w:tcPr>
            <w:tcW w:w="1346" w:type="dxa"/>
            <w:vAlign w:val="center"/>
          </w:tcPr>
          <w:p w14:paraId="4724DA2B">
            <w:pPr>
              <w:pStyle w:val="45"/>
              <w:spacing w:beforeLines="0" w:afterLines="0" w:line="240" w:lineRule="auto"/>
              <w:rPr>
                <w:rFonts w:ascii="Times New Roman"/>
                <w:snapToGrid w:val="0"/>
                <w:kern w:val="21"/>
                <w:szCs w:val="24"/>
              </w:rPr>
            </w:pPr>
            <w:r>
              <w:rPr>
                <w:rFonts w:ascii="Times New Roman"/>
                <w:szCs w:val="24"/>
              </w:rPr>
              <w:t>废含油手套、抹布</w:t>
            </w:r>
          </w:p>
        </w:tc>
        <w:tc>
          <w:tcPr>
            <w:tcW w:w="1596" w:type="dxa"/>
            <w:vAlign w:val="center"/>
          </w:tcPr>
          <w:p w14:paraId="6BD28E77">
            <w:pPr>
              <w:pStyle w:val="45"/>
              <w:spacing w:beforeLines="0" w:afterLines="0" w:line="240" w:lineRule="auto"/>
              <w:rPr>
                <w:rFonts w:ascii="Times New Roman"/>
                <w:snapToGrid w:val="0"/>
                <w:kern w:val="21"/>
                <w:szCs w:val="24"/>
              </w:rPr>
            </w:pPr>
          </w:p>
        </w:tc>
        <w:tc>
          <w:tcPr>
            <w:tcW w:w="0" w:type="auto"/>
            <w:vAlign w:val="center"/>
          </w:tcPr>
          <w:p w14:paraId="07B06C30">
            <w:pPr>
              <w:pStyle w:val="45"/>
              <w:spacing w:beforeLines="0" w:afterLines="0" w:line="240" w:lineRule="auto"/>
              <w:rPr>
                <w:rFonts w:ascii="Times New Roman"/>
                <w:snapToGrid w:val="0"/>
                <w:kern w:val="21"/>
                <w:szCs w:val="24"/>
              </w:rPr>
            </w:pPr>
          </w:p>
        </w:tc>
        <w:tc>
          <w:tcPr>
            <w:tcW w:w="0" w:type="auto"/>
            <w:vAlign w:val="center"/>
          </w:tcPr>
          <w:p w14:paraId="163311C8">
            <w:pPr>
              <w:pStyle w:val="45"/>
              <w:spacing w:beforeLines="0" w:afterLines="0" w:line="240" w:lineRule="auto"/>
              <w:rPr>
                <w:rFonts w:ascii="Times New Roman"/>
                <w:snapToGrid w:val="0"/>
                <w:kern w:val="21"/>
                <w:szCs w:val="24"/>
              </w:rPr>
            </w:pPr>
          </w:p>
        </w:tc>
        <w:tc>
          <w:tcPr>
            <w:tcW w:w="0" w:type="auto"/>
            <w:vAlign w:val="center"/>
          </w:tcPr>
          <w:p w14:paraId="403DDCCE">
            <w:pPr>
              <w:pStyle w:val="45"/>
              <w:spacing w:beforeLines="0" w:afterLines="0" w:line="240" w:lineRule="auto"/>
              <w:rPr>
                <w:rFonts w:ascii="Times New Roman"/>
                <w:snapToGrid w:val="0"/>
                <w:kern w:val="21"/>
                <w:szCs w:val="24"/>
              </w:rPr>
            </w:pPr>
            <w:r>
              <w:rPr>
                <w:rFonts w:ascii="Times New Roman"/>
                <w:snapToGrid w:val="0"/>
                <w:kern w:val="21"/>
                <w:szCs w:val="24"/>
              </w:rPr>
              <w:t>0.05</w:t>
            </w:r>
          </w:p>
        </w:tc>
        <w:tc>
          <w:tcPr>
            <w:tcW w:w="0" w:type="auto"/>
            <w:vAlign w:val="center"/>
          </w:tcPr>
          <w:p w14:paraId="204C98B0">
            <w:pPr>
              <w:pStyle w:val="45"/>
              <w:spacing w:beforeLines="0" w:afterLines="0" w:line="240" w:lineRule="auto"/>
              <w:rPr>
                <w:rFonts w:ascii="Times New Roman"/>
                <w:snapToGrid w:val="0"/>
                <w:kern w:val="21"/>
                <w:szCs w:val="24"/>
              </w:rPr>
            </w:pPr>
          </w:p>
        </w:tc>
        <w:tc>
          <w:tcPr>
            <w:tcW w:w="0" w:type="auto"/>
            <w:vAlign w:val="center"/>
          </w:tcPr>
          <w:p w14:paraId="358A6736">
            <w:pPr>
              <w:pStyle w:val="45"/>
              <w:spacing w:beforeLines="0" w:afterLines="0" w:line="240" w:lineRule="auto"/>
              <w:rPr>
                <w:rFonts w:ascii="Times New Roman"/>
                <w:snapToGrid w:val="0"/>
                <w:kern w:val="21"/>
                <w:szCs w:val="24"/>
              </w:rPr>
            </w:pPr>
            <w:r>
              <w:rPr>
                <w:rFonts w:ascii="Times New Roman"/>
                <w:snapToGrid w:val="0"/>
                <w:kern w:val="21"/>
                <w:szCs w:val="24"/>
              </w:rPr>
              <w:t>0.05</w:t>
            </w:r>
          </w:p>
        </w:tc>
        <w:tc>
          <w:tcPr>
            <w:tcW w:w="0" w:type="auto"/>
            <w:vAlign w:val="center"/>
          </w:tcPr>
          <w:p w14:paraId="19A66334">
            <w:pPr>
              <w:pStyle w:val="45"/>
              <w:spacing w:beforeLines="0" w:afterLines="0" w:line="240" w:lineRule="auto"/>
              <w:rPr>
                <w:rFonts w:ascii="Times New Roman"/>
                <w:snapToGrid w:val="0"/>
                <w:kern w:val="21"/>
                <w:szCs w:val="24"/>
              </w:rPr>
            </w:pPr>
            <w:r>
              <w:rPr>
                <w:rFonts w:ascii="Times New Roman"/>
                <w:snapToGrid w:val="0"/>
                <w:kern w:val="21"/>
                <w:szCs w:val="24"/>
              </w:rPr>
              <w:t>+0.05</w:t>
            </w:r>
          </w:p>
        </w:tc>
      </w:tr>
    </w:tbl>
    <w:p w14:paraId="54C1BFE5">
      <w:pPr>
        <w:pStyle w:val="45"/>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14:paraId="27EBA423">
      <w:pPr>
        <w:rPr>
          <w:rFonts w:eastAsia="黑体"/>
        </w:rPr>
      </w:pPr>
    </w:p>
    <w:sectPr>
      <w:footerReference r:id="rId4" w:type="default"/>
      <w:pgSz w:w="16838" w:h="11906" w:orient="landscape"/>
      <w:pgMar w:top="1531" w:right="1701" w:bottom="1531" w:left="1701"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E303">
    <w:pPr>
      <w:pStyle w:val="16"/>
      <w:framePr w:wrap="around" w:vAnchor="text" w:hAnchor="page" w:x="5401" w:y="-350"/>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26</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14:paraId="2385BB8A">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C4FD">
    <w:pPr>
      <w:pStyle w:val="16"/>
      <w:framePr w:wrap="around" w:vAnchor="text" w:hAnchor="page" w:x="7872" w:y="-47"/>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105</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14:paraId="3CA2E88A">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D2686"/>
    <w:multiLevelType w:val="singleLevel"/>
    <w:tmpl w:val="228D2686"/>
    <w:lvl w:ilvl="0" w:tentative="0">
      <w:start w:val="5"/>
      <w:numFmt w:val="decimal"/>
      <w:pStyle w:val="66"/>
      <w:lvlText w:val="%1."/>
      <w:legacy w:legacy="1" w:legacySpace="0" w:legacyIndent="0"/>
      <w:lvlJc w:val="left"/>
      <w:rPr>
        <w:rFonts w:hint="eastAsia" w:ascii="宋体" w:hAnsi="宋体" w:eastAsia="宋体"/>
        <w:color w:val="292D28"/>
      </w:rPr>
    </w:lvl>
  </w:abstractNum>
  <w:abstractNum w:abstractNumId="1">
    <w:nsid w:val="3C4A2160"/>
    <w:multiLevelType w:val="multilevel"/>
    <w:tmpl w:val="3C4A2160"/>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F6D5C3C"/>
    <w:multiLevelType w:val="multilevel"/>
    <w:tmpl w:val="4F6D5C3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0215C2"/>
    <w:multiLevelType w:val="singleLevel"/>
    <w:tmpl w:val="680215C2"/>
    <w:lvl w:ilvl="0" w:tentative="0">
      <w:start w:val="1"/>
      <w:numFmt w:val="decimal"/>
      <w:suff w:val="nothing"/>
      <w:lvlText w:val="%1、"/>
      <w:lvlJc w:val="left"/>
    </w:lvl>
  </w:abstractNum>
  <w:abstractNum w:abstractNumId="4">
    <w:nsid w:val="69B20ED4"/>
    <w:multiLevelType w:val="multilevel"/>
    <w:tmpl w:val="69B20ED4"/>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Y2UwNGYyNThmNDcyZjYyNDc2NDkzZGEwNGZiOTcifQ=="/>
  </w:docVars>
  <w:rsids>
    <w:rsidRoot w:val="00172A27"/>
    <w:rsid w:val="0000049D"/>
    <w:rsid w:val="00002596"/>
    <w:rsid w:val="000060B3"/>
    <w:rsid w:val="00007C85"/>
    <w:rsid w:val="00010F8F"/>
    <w:rsid w:val="00011598"/>
    <w:rsid w:val="00013237"/>
    <w:rsid w:val="000158B2"/>
    <w:rsid w:val="000207AE"/>
    <w:rsid w:val="000211DD"/>
    <w:rsid w:val="0002342F"/>
    <w:rsid w:val="00024C6B"/>
    <w:rsid w:val="00025FE1"/>
    <w:rsid w:val="000304B2"/>
    <w:rsid w:val="00030D13"/>
    <w:rsid w:val="0003375B"/>
    <w:rsid w:val="00034EFF"/>
    <w:rsid w:val="00042BD6"/>
    <w:rsid w:val="0004364B"/>
    <w:rsid w:val="00045485"/>
    <w:rsid w:val="00045E89"/>
    <w:rsid w:val="00050C3D"/>
    <w:rsid w:val="0005297B"/>
    <w:rsid w:val="00053BA1"/>
    <w:rsid w:val="00055A45"/>
    <w:rsid w:val="000578C5"/>
    <w:rsid w:val="00061B1F"/>
    <w:rsid w:val="000620CD"/>
    <w:rsid w:val="00065250"/>
    <w:rsid w:val="00065FE5"/>
    <w:rsid w:val="000673A9"/>
    <w:rsid w:val="00067489"/>
    <w:rsid w:val="00070DE6"/>
    <w:rsid w:val="000733C4"/>
    <w:rsid w:val="00073DF6"/>
    <w:rsid w:val="000746DC"/>
    <w:rsid w:val="00074783"/>
    <w:rsid w:val="00080627"/>
    <w:rsid w:val="0008070B"/>
    <w:rsid w:val="000810AC"/>
    <w:rsid w:val="00081A02"/>
    <w:rsid w:val="00082231"/>
    <w:rsid w:val="00082E0E"/>
    <w:rsid w:val="00085468"/>
    <w:rsid w:val="000879B2"/>
    <w:rsid w:val="00092D38"/>
    <w:rsid w:val="0009377B"/>
    <w:rsid w:val="00096EA4"/>
    <w:rsid w:val="000A2090"/>
    <w:rsid w:val="000A20C9"/>
    <w:rsid w:val="000A6030"/>
    <w:rsid w:val="000A7B15"/>
    <w:rsid w:val="000B058F"/>
    <w:rsid w:val="000B05F8"/>
    <w:rsid w:val="000B1957"/>
    <w:rsid w:val="000B3A95"/>
    <w:rsid w:val="000B4467"/>
    <w:rsid w:val="000B4DB9"/>
    <w:rsid w:val="000B608D"/>
    <w:rsid w:val="000C09AC"/>
    <w:rsid w:val="000C159B"/>
    <w:rsid w:val="000C166A"/>
    <w:rsid w:val="000C2719"/>
    <w:rsid w:val="000C4984"/>
    <w:rsid w:val="000C7651"/>
    <w:rsid w:val="000C767F"/>
    <w:rsid w:val="000C7A5A"/>
    <w:rsid w:val="000D1D27"/>
    <w:rsid w:val="000D30E8"/>
    <w:rsid w:val="000D46CF"/>
    <w:rsid w:val="000D47C2"/>
    <w:rsid w:val="000D5A44"/>
    <w:rsid w:val="000D621F"/>
    <w:rsid w:val="000D7A8C"/>
    <w:rsid w:val="000E01D6"/>
    <w:rsid w:val="000E3ED2"/>
    <w:rsid w:val="000E3FCE"/>
    <w:rsid w:val="000E79AA"/>
    <w:rsid w:val="000F6EC1"/>
    <w:rsid w:val="000F7E0B"/>
    <w:rsid w:val="00100C5E"/>
    <w:rsid w:val="00100F5C"/>
    <w:rsid w:val="0010263E"/>
    <w:rsid w:val="00102F1F"/>
    <w:rsid w:val="00106FA6"/>
    <w:rsid w:val="00111E78"/>
    <w:rsid w:val="00113AEF"/>
    <w:rsid w:val="00113BB2"/>
    <w:rsid w:val="00114D3E"/>
    <w:rsid w:val="001157BC"/>
    <w:rsid w:val="00115F70"/>
    <w:rsid w:val="0011605A"/>
    <w:rsid w:val="001173EB"/>
    <w:rsid w:val="00117BC8"/>
    <w:rsid w:val="00117FA2"/>
    <w:rsid w:val="0012061E"/>
    <w:rsid w:val="00121455"/>
    <w:rsid w:val="00122C6A"/>
    <w:rsid w:val="00122FD2"/>
    <w:rsid w:val="00123C28"/>
    <w:rsid w:val="00124465"/>
    <w:rsid w:val="00125A80"/>
    <w:rsid w:val="001260F0"/>
    <w:rsid w:val="00131F42"/>
    <w:rsid w:val="001343D0"/>
    <w:rsid w:val="001357F1"/>
    <w:rsid w:val="00136D04"/>
    <w:rsid w:val="00137D84"/>
    <w:rsid w:val="00140FA8"/>
    <w:rsid w:val="00141570"/>
    <w:rsid w:val="00142FEB"/>
    <w:rsid w:val="00143A2D"/>
    <w:rsid w:val="0014524D"/>
    <w:rsid w:val="00145A41"/>
    <w:rsid w:val="0015013B"/>
    <w:rsid w:val="00151675"/>
    <w:rsid w:val="0015223F"/>
    <w:rsid w:val="001558ED"/>
    <w:rsid w:val="00157435"/>
    <w:rsid w:val="00160215"/>
    <w:rsid w:val="0016197E"/>
    <w:rsid w:val="001619B6"/>
    <w:rsid w:val="00163B3D"/>
    <w:rsid w:val="00167F9F"/>
    <w:rsid w:val="00170908"/>
    <w:rsid w:val="00172A27"/>
    <w:rsid w:val="00173162"/>
    <w:rsid w:val="001742DA"/>
    <w:rsid w:val="0017504D"/>
    <w:rsid w:val="0017671A"/>
    <w:rsid w:val="00177422"/>
    <w:rsid w:val="00180C11"/>
    <w:rsid w:val="00184590"/>
    <w:rsid w:val="0018497D"/>
    <w:rsid w:val="00184AB1"/>
    <w:rsid w:val="001865F9"/>
    <w:rsid w:val="001870D1"/>
    <w:rsid w:val="0018781E"/>
    <w:rsid w:val="0019069D"/>
    <w:rsid w:val="0019262D"/>
    <w:rsid w:val="00196725"/>
    <w:rsid w:val="001A18A9"/>
    <w:rsid w:val="001A1B35"/>
    <w:rsid w:val="001A1BC2"/>
    <w:rsid w:val="001A2DBB"/>
    <w:rsid w:val="001A46CE"/>
    <w:rsid w:val="001A48A2"/>
    <w:rsid w:val="001A5641"/>
    <w:rsid w:val="001A5F01"/>
    <w:rsid w:val="001A6F61"/>
    <w:rsid w:val="001A7E1F"/>
    <w:rsid w:val="001B5217"/>
    <w:rsid w:val="001B72B8"/>
    <w:rsid w:val="001C3C38"/>
    <w:rsid w:val="001C3F6C"/>
    <w:rsid w:val="001C4EF4"/>
    <w:rsid w:val="001C69B3"/>
    <w:rsid w:val="001D03B8"/>
    <w:rsid w:val="001D285C"/>
    <w:rsid w:val="001D481C"/>
    <w:rsid w:val="001D5595"/>
    <w:rsid w:val="001D7874"/>
    <w:rsid w:val="001D7F22"/>
    <w:rsid w:val="001E038E"/>
    <w:rsid w:val="001E1E51"/>
    <w:rsid w:val="001E368D"/>
    <w:rsid w:val="001E3B4F"/>
    <w:rsid w:val="001E50E8"/>
    <w:rsid w:val="001F0005"/>
    <w:rsid w:val="001F0E7B"/>
    <w:rsid w:val="001F0F17"/>
    <w:rsid w:val="001F3347"/>
    <w:rsid w:val="001F3A0E"/>
    <w:rsid w:val="001F4721"/>
    <w:rsid w:val="001F57B3"/>
    <w:rsid w:val="001F69E4"/>
    <w:rsid w:val="001F71BC"/>
    <w:rsid w:val="001F7A54"/>
    <w:rsid w:val="0020070B"/>
    <w:rsid w:val="002014B6"/>
    <w:rsid w:val="00201909"/>
    <w:rsid w:val="0020255A"/>
    <w:rsid w:val="002027E5"/>
    <w:rsid w:val="00202AC6"/>
    <w:rsid w:val="00205DEE"/>
    <w:rsid w:val="00206511"/>
    <w:rsid w:val="00210E21"/>
    <w:rsid w:val="00211636"/>
    <w:rsid w:val="002125B4"/>
    <w:rsid w:val="002155B8"/>
    <w:rsid w:val="00215A91"/>
    <w:rsid w:val="00215C7F"/>
    <w:rsid w:val="0021750E"/>
    <w:rsid w:val="00220AB6"/>
    <w:rsid w:val="00221B88"/>
    <w:rsid w:val="00222188"/>
    <w:rsid w:val="0022252F"/>
    <w:rsid w:val="0022260D"/>
    <w:rsid w:val="00224839"/>
    <w:rsid w:val="002249B2"/>
    <w:rsid w:val="00224E42"/>
    <w:rsid w:val="0022510A"/>
    <w:rsid w:val="00226574"/>
    <w:rsid w:val="002278EC"/>
    <w:rsid w:val="00230B33"/>
    <w:rsid w:val="00232377"/>
    <w:rsid w:val="002323C4"/>
    <w:rsid w:val="0023280E"/>
    <w:rsid w:val="002347A6"/>
    <w:rsid w:val="002349AA"/>
    <w:rsid w:val="00235946"/>
    <w:rsid w:val="002377D1"/>
    <w:rsid w:val="0023798F"/>
    <w:rsid w:val="0024016B"/>
    <w:rsid w:val="00247047"/>
    <w:rsid w:val="00247487"/>
    <w:rsid w:val="00247E0F"/>
    <w:rsid w:val="002506BC"/>
    <w:rsid w:val="00251333"/>
    <w:rsid w:val="00253BA3"/>
    <w:rsid w:val="00253D63"/>
    <w:rsid w:val="00254141"/>
    <w:rsid w:val="00254345"/>
    <w:rsid w:val="00254DE9"/>
    <w:rsid w:val="00257B9F"/>
    <w:rsid w:val="00260BB8"/>
    <w:rsid w:val="00263F13"/>
    <w:rsid w:val="00263F53"/>
    <w:rsid w:val="00264557"/>
    <w:rsid w:val="00264BD9"/>
    <w:rsid w:val="0026524B"/>
    <w:rsid w:val="002671D5"/>
    <w:rsid w:val="002708D8"/>
    <w:rsid w:val="002738B6"/>
    <w:rsid w:val="0027393E"/>
    <w:rsid w:val="00275E1F"/>
    <w:rsid w:val="00277CFA"/>
    <w:rsid w:val="002805AB"/>
    <w:rsid w:val="00280A79"/>
    <w:rsid w:val="00284204"/>
    <w:rsid w:val="0028453B"/>
    <w:rsid w:val="00285073"/>
    <w:rsid w:val="002914D3"/>
    <w:rsid w:val="00291773"/>
    <w:rsid w:val="00294BF8"/>
    <w:rsid w:val="002A0313"/>
    <w:rsid w:val="002A168C"/>
    <w:rsid w:val="002A2A09"/>
    <w:rsid w:val="002A3DC7"/>
    <w:rsid w:val="002A63FF"/>
    <w:rsid w:val="002A6E74"/>
    <w:rsid w:val="002A6EB2"/>
    <w:rsid w:val="002B485B"/>
    <w:rsid w:val="002B49E2"/>
    <w:rsid w:val="002B7185"/>
    <w:rsid w:val="002B7B00"/>
    <w:rsid w:val="002B7C44"/>
    <w:rsid w:val="002C217E"/>
    <w:rsid w:val="002C2B17"/>
    <w:rsid w:val="002C3B66"/>
    <w:rsid w:val="002C5577"/>
    <w:rsid w:val="002C6741"/>
    <w:rsid w:val="002D29C7"/>
    <w:rsid w:val="002D2D66"/>
    <w:rsid w:val="002D3DD0"/>
    <w:rsid w:val="002D463A"/>
    <w:rsid w:val="002D5426"/>
    <w:rsid w:val="002E1F3A"/>
    <w:rsid w:val="002E298A"/>
    <w:rsid w:val="002E2AB1"/>
    <w:rsid w:val="002E62A6"/>
    <w:rsid w:val="002E6A89"/>
    <w:rsid w:val="002F0BE3"/>
    <w:rsid w:val="002F144F"/>
    <w:rsid w:val="002F42B9"/>
    <w:rsid w:val="002F517B"/>
    <w:rsid w:val="002F5678"/>
    <w:rsid w:val="002F5D97"/>
    <w:rsid w:val="002F5F77"/>
    <w:rsid w:val="002F60FD"/>
    <w:rsid w:val="002F6EB7"/>
    <w:rsid w:val="00301978"/>
    <w:rsid w:val="0030199A"/>
    <w:rsid w:val="00302018"/>
    <w:rsid w:val="00302480"/>
    <w:rsid w:val="003029CB"/>
    <w:rsid w:val="0030332C"/>
    <w:rsid w:val="003051C2"/>
    <w:rsid w:val="0030611C"/>
    <w:rsid w:val="00311BD3"/>
    <w:rsid w:val="00311D75"/>
    <w:rsid w:val="00312296"/>
    <w:rsid w:val="003133A0"/>
    <w:rsid w:val="00314F0E"/>
    <w:rsid w:val="00314F5B"/>
    <w:rsid w:val="00315D12"/>
    <w:rsid w:val="00317CAA"/>
    <w:rsid w:val="003201AE"/>
    <w:rsid w:val="003208B6"/>
    <w:rsid w:val="00321D8E"/>
    <w:rsid w:val="00323901"/>
    <w:rsid w:val="00325928"/>
    <w:rsid w:val="00326283"/>
    <w:rsid w:val="0032634E"/>
    <w:rsid w:val="0032690A"/>
    <w:rsid w:val="003307A2"/>
    <w:rsid w:val="00332863"/>
    <w:rsid w:val="00332B54"/>
    <w:rsid w:val="00332D75"/>
    <w:rsid w:val="003338A1"/>
    <w:rsid w:val="003344EE"/>
    <w:rsid w:val="003362C1"/>
    <w:rsid w:val="0033684D"/>
    <w:rsid w:val="00337B42"/>
    <w:rsid w:val="00341102"/>
    <w:rsid w:val="003412E7"/>
    <w:rsid w:val="00341B42"/>
    <w:rsid w:val="00342018"/>
    <w:rsid w:val="00342653"/>
    <w:rsid w:val="00342B48"/>
    <w:rsid w:val="00343290"/>
    <w:rsid w:val="0034348F"/>
    <w:rsid w:val="003474F4"/>
    <w:rsid w:val="00353337"/>
    <w:rsid w:val="003536F1"/>
    <w:rsid w:val="00353FED"/>
    <w:rsid w:val="003547CC"/>
    <w:rsid w:val="00356653"/>
    <w:rsid w:val="0035743F"/>
    <w:rsid w:val="00357BE2"/>
    <w:rsid w:val="003609BC"/>
    <w:rsid w:val="0036170C"/>
    <w:rsid w:val="00363797"/>
    <w:rsid w:val="00363BCE"/>
    <w:rsid w:val="00366636"/>
    <w:rsid w:val="00366E0F"/>
    <w:rsid w:val="003703B2"/>
    <w:rsid w:val="00370679"/>
    <w:rsid w:val="00376642"/>
    <w:rsid w:val="00381A72"/>
    <w:rsid w:val="00382370"/>
    <w:rsid w:val="003827FB"/>
    <w:rsid w:val="00383610"/>
    <w:rsid w:val="00384676"/>
    <w:rsid w:val="00385073"/>
    <w:rsid w:val="00385867"/>
    <w:rsid w:val="00390857"/>
    <w:rsid w:val="00390BBF"/>
    <w:rsid w:val="003927CC"/>
    <w:rsid w:val="00393E9A"/>
    <w:rsid w:val="00396D05"/>
    <w:rsid w:val="003976FB"/>
    <w:rsid w:val="003978D2"/>
    <w:rsid w:val="003A1808"/>
    <w:rsid w:val="003A2B44"/>
    <w:rsid w:val="003A456F"/>
    <w:rsid w:val="003A4BF3"/>
    <w:rsid w:val="003A4CFF"/>
    <w:rsid w:val="003A5938"/>
    <w:rsid w:val="003A5973"/>
    <w:rsid w:val="003A63A1"/>
    <w:rsid w:val="003B1831"/>
    <w:rsid w:val="003B420D"/>
    <w:rsid w:val="003B7422"/>
    <w:rsid w:val="003B7CAF"/>
    <w:rsid w:val="003C16C6"/>
    <w:rsid w:val="003C1CFB"/>
    <w:rsid w:val="003C4A77"/>
    <w:rsid w:val="003C65FA"/>
    <w:rsid w:val="003C6A41"/>
    <w:rsid w:val="003C6C16"/>
    <w:rsid w:val="003C6EB7"/>
    <w:rsid w:val="003C75F0"/>
    <w:rsid w:val="003D061C"/>
    <w:rsid w:val="003D0E0A"/>
    <w:rsid w:val="003D2F39"/>
    <w:rsid w:val="003D39CB"/>
    <w:rsid w:val="003D4D56"/>
    <w:rsid w:val="003D5A99"/>
    <w:rsid w:val="003D5F49"/>
    <w:rsid w:val="003D61AD"/>
    <w:rsid w:val="003D6971"/>
    <w:rsid w:val="003D794D"/>
    <w:rsid w:val="003D7CFE"/>
    <w:rsid w:val="003E0E8F"/>
    <w:rsid w:val="003E2226"/>
    <w:rsid w:val="003E25FE"/>
    <w:rsid w:val="003E3058"/>
    <w:rsid w:val="003E3F25"/>
    <w:rsid w:val="003E4410"/>
    <w:rsid w:val="003E45DC"/>
    <w:rsid w:val="003E47DA"/>
    <w:rsid w:val="003E6465"/>
    <w:rsid w:val="003E7127"/>
    <w:rsid w:val="003E7640"/>
    <w:rsid w:val="003E76A9"/>
    <w:rsid w:val="003E77E9"/>
    <w:rsid w:val="003F0809"/>
    <w:rsid w:val="003F181D"/>
    <w:rsid w:val="003F1FA0"/>
    <w:rsid w:val="003F2130"/>
    <w:rsid w:val="003F2B1A"/>
    <w:rsid w:val="003F5722"/>
    <w:rsid w:val="003F6A8C"/>
    <w:rsid w:val="003F755C"/>
    <w:rsid w:val="003F774F"/>
    <w:rsid w:val="003F79B3"/>
    <w:rsid w:val="00401827"/>
    <w:rsid w:val="00401D9A"/>
    <w:rsid w:val="00403FB0"/>
    <w:rsid w:val="00406F01"/>
    <w:rsid w:val="00415D93"/>
    <w:rsid w:val="004162B0"/>
    <w:rsid w:val="00416D50"/>
    <w:rsid w:val="00416FD5"/>
    <w:rsid w:val="00417772"/>
    <w:rsid w:val="00417B17"/>
    <w:rsid w:val="00420E6A"/>
    <w:rsid w:val="00422061"/>
    <w:rsid w:val="00425A9E"/>
    <w:rsid w:val="00426D6B"/>
    <w:rsid w:val="00431E6C"/>
    <w:rsid w:val="00433CE7"/>
    <w:rsid w:val="004341FD"/>
    <w:rsid w:val="0044137D"/>
    <w:rsid w:val="00445115"/>
    <w:rsid w:val="00450FE7"/>
    <w:rsid w:val="00451265"/>
    <w:rsid w:val="00451AB2"/>
    <w:rsid w:val="00452389"/>
    <w:rsid w:val="00452738"/>
    <w:rsid w:val="00456091"/>
    <w:rsid w:val="004564B4"/>
    <w:rsid w:val="00461E84"/>
    <w:rsid w:val="00462013"/>
    <w:rsid w:val="00463723"/>
    <w:rsid w:val="004644B7"/>
    <w:rsid w:val="00466321"/>
    <w:rsid w:val="004707BA"/>
    <w:rsid w:val="0047250B"/>
    <w:rsid w:val="004738A0"/>
    <w:rsid w:val="00475066"/>
    <w:rsid w:val="004757D1"/>
    <w:rsid w:val="0047759C"/>
    <w:rsid w:val="00477743"/>
    <w:rsid w:val="00477F84"/>
    <w:rsid w:val="0048064C"/>
    <w:rsid w:val="004812B1"/>
    <w:rsid w:val="004816A9"/>
    <w:rsid w:val="00481B29"/>
    <w:rsid w:val="00481DDA"/>
    <w:rsid w:val="00482894"/>
    <w:rsid w:val="00482AD1"/>
    <w:rsid w:val="00484B9B"/>
    <w:rsid w:val="004855F6"/>
    <w:rsid w:val="0048661E"/>
    <w:rsid w:val="0048679D"/>
    <w:rsid w:val="004902EC"/>
    <w:rsid w:val="0049084F"/>
    <w:rsid w:val="00492FD8"/>
    <w:rsid w:val="0049372B"/>
    <w:rsid w:val="00494670"/>
    <w:rsid w:val="0049504E"/>
    <w:rsid w:val="004958CB"/>
    <w:rsid w:val="0049609D"/>
    <w:rsid w:val="00496215"/>
    <w:rsid w:val="00496379"/>
    <w:rsid w:val="004A0380"/>
    <w:rsid w:val="004A0FBE"/>
    <w:rsid w:val="004A11E8"/>
    <w:rsid w:val="004A24E9"/>
    <w:rsid w:val="004A2651"/>
    <w:rsid w:val="004A3279"/>
    <w:rsid w:val="004A3823"/>
    <w:rsid w:val="004A64B2"/>
    <w:rsid w:val="004A6534"/>
    <w:rsid w:val="004B04B5"/>
    <w:rsid w:val="004B21D5"/>
    <w:rsid w:val="004B3BD0"/>
    <w:rsid w:val="004B4C46"/>
    <w:rsid w:val="004B5F10"/>
    <w:rsid w:val="004C000C"/>
    <w:rsid w:val="004C0240"/>
    <w:rsid w:val="004C1017"/>
    <w:rsid w:val="004C1521"/>
    <w:rsid w:val="004C2FDE"/>
    <w:rsid w:val="004C6622"/>
    <w:rsid w:val="004C7EB1"/>
    <w:rsid w:val="004D2107"/>
    <w:rsid w:val="004D3EC8"/>
    <w:rsid w:val="004D7456"/>
    <w:rsid w:val="004E1F3E"/>
    <w:rsid w:val="004E3CC2"/>
    <w:rsid w:val="004E5220"/>
    <w:rsid w:val="004E6946"/>
    <w:rsid w:val="004E6AF7"/>
    <w:rsid w:val="004E757E"/>
    <w:rsid w:val="004F1AD8"/>
    <w:rsid w:val="004F2208"/>
    <w:rsid w:val="004F469E"/>
    <w:rsid w:val="004F5F39"/>
    <w:rsid w:val="0050016F"/>
    <w:rsid w:val="00503111"/>
    <w:rsid w:val="005039CB"/>
    <w:rsid w:val="00505060"/>
    <w:rsid w:val="0050558F"/>
    <w:rsid w:val="00506286"/>
    <w:rsid w:val="00506A65"/>
    <w:rsid w:val="00510813"/>
    <w:rsid w:val="00510CE3"/>
    <w:rsid w:val="005118BD"/>
    <w:rsid w:val="00511990"/>
    <w:rsid w:val="00511DE0"/>
    <w:rsid w:val="00512261"/>
    <w:rsid w:val="005124F5"/>
    <w:rsid w:val="00514870"/>
    <w:rsid w:val="00514B9B"/>
    <w:rsid w:val="005171F8"/>
    <w:rsid w:val="00517F02"/>
    <w:rsid w:val="00520F01"/>
    <w:rsid w:val="00522A40"/>
    <w:rsid w:val="00524303"/>
    <w:rsid w:val="00524CCF"/>
    <w:rsid w:val="005250BC"/>
    <w:rsid w:val="005258A2"/>
    <w:rsid w:val="00526260"/>
    <w:rsid w:val="00526E5C"/>
    <w:rsid w:val="00536C86"/>
    <w:rsid w:val="00537D25"/>
    <w:rsid w:val="005401AE"/>
    <w:rsid w:val="00541D80"/>
    <w:rsid w:val="00542E07"/>
    <w:rsid w:val="00543F08"/>
    <w:rsid w:val="00543F46"/>
    <w:rsid w:val="00545424"/>
    <w:rsid w:val="00546246"/>
    <w:rsid w:val="005463A9"/>
    <w:rsid w:val="00554099"/>
    <w:rsid w:val="00554A7B"/>
    <w:rsid w:val="00554F55"/>
    <w:rsid w:val="0055572C"/>
    <w:rsid w:val="0055630D"/>
    <w:rsid w:val="0056106A"/>
    <w:rsid w:val="00566B6B"/>
    <w:rsid w:val="00567A9E"/>
    <w:rsid w:val="00571276"/>
    <w:rsid w:val="005720AE"/>
    <w:rsid w:val="00572D49"/>
    <w:rsid w:val="00580010"/>
    <w:rsid w:val="005800A7"/>
    <w:rsid w:val="00580498"/>
    <w:rsid w:val="005817F3"/>
    <w:rsid w:val="00581F1D"/>
    <w:rsid w:val="0058485F"/>
    <w:rsid w:val="00584ADD"/>
    <w:rsid w:val="00585CA4"/>
    <w:rsid w:val="005919F2"/>
    <w:rsid w:val="00594D77"/>
    <w:rsid w:val="005966FC"/>
    <w:rsid w:val="005969E4"/>
    <w:rsid w:val="00597A08"/>
    <w:rsid w:val="005A06B7"/>
    <w:rsid w:val="005A1759"/>
    <w:rsid w:val="005A1AFD"/>
    <w:rsid w:val="005A3FFC"/>
    <w:rsid w:val="005A5CFF"/>
    <w:rsid w:val="005A68A7"/>
    <w:rsid w:val="005B111D"/>
    <w:rsid w:val="005B1191"/>
    <w:rsid w:val="005B1A3A"/>
    <w:rsid w:val="005B1F60"/>
    <w:rsid w:val="005B2D0D"/>
    <w:rsid w:val="005B5DBC"/>
    <w:rsid w:val="005B6CCA"/>
    <w:rsid w:val="005B7DE8"/>
    <w:rsid w:val="005C11FC"/>
    <w:rsid w:val="005C1326"/>
    <w:rsid w:val="005C1F73"/>
    <w:rsid w:val="005C26FD"/>
    <w:rsid w:val="005C294F"/>
    <w:rsid w:val="005C49E5"/>
    <w:rsid w:val="005C4CCE"/>
    <w:rsid w:val="005C7976"/>
    <w:rsid w:val="005D2091"/>
    <w:rsid w:val="005D36AB"/>
    <w:rsid w:val="005D6737"/>
    <w:rsid w:val="005D6942"/>
    <w:rsid w:val="005E0E16"/>
    <w:rsid w:val="005E16B9"/>
    <w:rsid w:val="005E3264"/>
    <w:rsid w:val="005E4EE0"/>
    <w:rsid w:val="005E5130"/>
    <w:rsid w:val="005E668B"/>
    <w:rsid w:val="005E71AC"/>
    <w:rsid w:val="005E7928"/>
    <w:rsid w:val="005F2F55"/>
    <w:rsid w:val="005F5F22"/>
    <w:rsid w:val="005F71BA"/>
    <w:rsid w:val="00600D9B"/>
    <w:rsid w:val="006012FA"/>
    <w:rsid w:val="00603A92"/>
    <w:rsid w:val="006070A0"/>
    <w:rsid w:val="006137FE"/>
    <w:rsid w:val="00613DC8"/>
    <w:rsid w:val="006143BA"/>
    <w:rsid w:val="00615F4D"/>
    <w:rsid w:val="00617CC3"/>
    <w:rsid w:val="00620803"/>
    <w:rsid w:val="00621A96"/>
    <w:rsid w:val="00623A2F"/>
    <w:rsid w:val="0062435D"/>
    <w:rsid w:val="006267B9"/>
    <w:rsid w:val="00630CB6"/>
    <w:rsid w:val="006377A6"/>
    <w:rsid w:val="00637A3D"/>
    <w:rsid w:val="0064019B"/>
    <w:rsid w:val="006411EF"/>
    <w:rsid w:val="00642AE2"/>
    <w:rsid w:val="00643FD7"/>
    <w:rsid w:val="00644018"/>
    <w:rsid w:val="006448C1"/>
    <w:rsid w:val="00647524"/>
    <w:rsid w:val="006534ED"/>
    <w:rsid w:val="006543DC"/>
    <w:rsid w:val="00661B01"/>
    <w:rsid w:val="00666B30"/>
    <w:rsid w:val="00667A65"/>
    <w:rsid w:val="00670B72"/>
    <w:rsid w:val="00670CD9"/>
    <w:rsid w:val="00672FC7"/>
    <w:rsid w:val="0067328B"/>
    <w:rsid w:val="006748B8"/>
    <w:rsid w:val="00674A46"/>
    <w:rsid w:val="006757F9"/>
    <w:rsid w:val="006775C3"/>
    <w:rsid w:val="006803E5"/>
    <w:rsid w:val="006814DB"/>
    <w:rsid w:val="0068150F"/>
    <w:rsid w:val="00682251"/>
    <w:rsid w:val="00683061"/>
    <w:rsid w:val="00684BA6"/>
    <w:rsid w:val="006873F1"/>
    <w:rsid w:val="00687A3D"/>
    <w:rsid w:val="0069267D"/>
    <w:rsid w:val="0069290A"/>
    <w:rsid w:val="0069770A"/>
    <w:rsid w:val="0069775A"/>
    <w:rsid w:val="00697813"/>
    <w:rsid w:val="006A080A"/>
    <w:rsid w:val="006A091D"/>
    <w:rsid w:val="006A14A3"/>
    <w:rsid w:val="006A2BDF"/>
    <w:rsid w:val="006A3EE8"/>
    <w:rsid w:val="006A40AA"/>
    <w:rsid w:val="006A7293"/>
    <w:rsid w:val="006A72BF"/>
    <w:rsid w:val="006A7B40"/>
    <w:rsid w:val="006B03F2"/>
    <w:rsid w:val="006B37DC"/>
    <w:rsid w:val="006B3A72"/>
    <w:rsid w:val="006B4F68"/>
    <w:rsid w:val="006B586F"/>
    <w:rsid w:val="006B5DB1"/>
    <w:rsid w:val="006C0587"/>
    <w:rsid w:val="006C0592"/>
    <w:rsid w:val="006C272E"/>
    <w:rsid w:val="006C3FFC"/>
    <w:rsid w:val="006C4E77"/>
    <w:rsid w:val="006C5479"/>
    <w:rsid w:val="006C646B"/>
    <w:rsid w:val="006D009C"/>
    <w:rsid w:val="006D13B5"/>
    <w:rsid w:val="006D17C0"/>
    <w:rsid w:val="006D252E"/>
    <w:rsid w:val="006D5160"/>
    <w:rsid w:val="006E0C91"/>
    <w:rsid w:val="006E1214"/>
    <w:rsid w:val="006E12FF"/>
    <w:rsid w:val="006E1F93"/>
    <w:rsid w:val="006E3588"/>
    <w:rsid w:val="006E4FF3"/>
    <w:rsid w:val="006E607E"/>
    <w:rsid w:val="006E7328"/>
    <w:rsid w:val="006F4F8F"/>
    <w:rsid w:val="006F5E35"/>
    <w:rsid w:val="006F6BF3"/>
    <w:rsid w:val="007014F7"/>
    <w:rsid w:val="00702078"/>
    <w:rsid w:val="0070388D"/>
    <w:rsid w:val="00703D98"/>
    <w:rsid w:val="007040EA"/>
    <w:rsid w:val="007058EA"/>
    <w:rsid w:val="00705B34"/>
    <w:rsid w:val="00705EC4"/>
    <w:rsid w:val="0070604D"/>
    <w:rsid w:val="00706C5D"/>
    <w:rsid w:val="00712CAB"/>
    <w:rsid w:val="007133B4"/>
    <w:rsid w:val="007136CA"/>
    <w:rsid w:val="007142B7"/>
    <w:rsid w:val="00714B11"/>
    <w:rsid w:val="00715B05"/>
    <w:rsid w:val="00717A30"/>
    <w:rsid w:val="00721B48"/>
    <w:rsid w:val="00724FF6"/>
    <w:rsid w:val="00725798"/>
    <w:rsid w:val="007269AF"/>
    <w:rsid w:val="00727D1E"/>
    <w:rsid w:val="00732922"/>
    <w:rsid w:val="00732FCB"/>
    <w:rsid w:val="007346E7"/>
    <w:rsid w:val="007356B7"/>
    <w:rsid w:val="00735A45"/>
    <w:rsid w:val="00736277"/>
    <w:rsid w:val="007419CF"/>
    <w:rsid w:val="00741A08"/>
    <w:rsid w:val="0074600D"/>
    <w:rsid w:val="00747928"/>
    <w:rsid w:val="00747A81"/>
    <w:rsid w:val="0075162E"/>
    <w:rsid w:val="00751B4D"/>
    <w:rsid w:val="007528E4"/>
    <w:rsid w:val="00754034"/>
    <w:rsid w:val="00754293"/>
    <w:rsid w:val="00755771"/>
    <w:rsid w:val="00755BBC"/>
    <w:rsid w:val="00756556"/>
    <w:rsid w:val="00756A76"/>
    <w:rsid w:val="007570A4"/>
    <w:rsid w:val="007618C4"/>
    <w:rsid w:val="007627BD"/>
    <w:rsid w:val="00766F58"/>
    <w:rsid w:val="00767980"/>
    <w:rsid w:val="00767A5E"/>
    <w:rsid w:val="00770026"/>
    <w:rsid w:val="00770B19"/>
    <w:rsid w:val="00770B1A"/>
    <w:rsid w:val="00771319"/>
    <w:rsid w:val="00773213"/>
    <w:rsid w:val="0077463F"/>
    <w:rsid w:val="007748F0"/>
    <w:rsid w:val="00776BF5"/>
    <w:rsid w:val="007834BC"/>
    <w:rsid w:val="007836EA"/>
    <w:rsid w:val="0078386A"/>
    <w:rsid w:val="007838A7"/>
    <w:rsid w:val="00783BE1"/>
    <w:rsid w:val="00784469"/>
    <w:rsid w:val="00784CDA"/>
    <w:rsid w:val="007906C4"/>
    <w:rsid w:val="0079204B"/>
    <w:rsid w:val="007940EA"/>
    <w:rsid w:val="00795D80"/>
    <w:rsid w:val="00795E1E"/>
    <w:rsid w:val="007967E8"/>
    <w:rsid w:val="007A2170"/>
    <w:rsid w:val="007A22BF"/>
    <w:rsid w:val="007A26B9"/>
    <w:rsid w:val="007A3323"/>
    <w:rsid w:val="007A5009"/>
    <w:rsid w:val="007B0F76"/>
    <w:rsid w:val="007B6265"/>
    <w:rsid w:val="007B6D1F"/>
    <w:rsid w:val="007B72B8"/>
    <w:rsid w:val="007B7A58"/>
    <w:rsid w:val="007C21B5"/>
    <w:rsid w:val="007C4171"/>
    <w:rsid w:val="007C47B6"/>
    <w:rsid w:val="007C54B9"/>
    <w:rsid w:val="007C64C2"/>
    <w:rsid w:val="007C7355"/>
    <w:rsid w:val="007D34DB"/>
    <w:rsid w:val="007D51B9"/>
    <w:rsid w:val="007D730C"/>
    <w:rsid w:val="007E03F5"/>
    <w:rsid w:val="007E16F6"/>
    <w:rsid w:val="007E17EA"/>
    <w:rsid w:val="007E3283"/>
    <w:rsid w:val="007E34D1"/>
    <w:rsid w:val="007E38D1"/>
    <w:rsid w:val="007E4BD2"/>
    <w:rsid w:val="007F146A"/>
    <w:rsid w:val="007F1E8B"/>
    <w:rsid w:val="007F3156"/>
    <w:rsid w:val="007F5296"/>
    <w:rsid w:val="007F6150"/>
    <w:rsid w:val="007F7B92"/>
    <w:rsid w:val="00801393"/>
    <w:rsid w:val="00802F88"/>
    <w:rsid w:val="00802FF5"/>
    <w:rsid w:val="00805C0E"/>
    <w:rsid w:val="00806A8A"/>
    <w:rsid w:val="00810676"/>
    <w:rsid w:val="00812447"/>
    <w:rsid w:val="0081293E"/>
    <w:rsid w:val="00815465"/>
    <w:rsid w:val="0081616D"/>
    <w:rsid w:val="00817E9A"/>
    <w:rsid w:val="008203DD"/>
    <w:rsid w:val="008208BE"/>
    <w:rsid w:val="008234B4"/>
    <w:rsid w:val="008303EC"/>
    <w:rsid w:val="008306BD"/>
    <w:rsid w:val="00831A80"/>
    <w:rsid w:val="00832FA5"/>
    <w:rsid w:val="00833743"/>
    <w:rsid w:val="008340A4"/>
    <w:rsid w:val="00834CC5"/>
    <w:rsid w:val="008355E3"/>
    <w:rsid w:val="00843574"/>
    <w:rsid w:val="00845561"/>
    <w:rsid w:val="0084617A"/>
    <w:rsid w:val="00846F6F"/>
    <w:rsid w:val="00852C6D"/>
    <w:rsid w:val="008553D5"/>
    <w:rsid w:val="008567D9"/>
    <w:rsid w:val="00857F17"/>
    <w:rsid w:val="00860BBD"/>
    <w:rsid w:val="00860C1F"/>
    <w:rsid w:val="00861C3F"/>
    <w:rsid w:val="00862308"/>
    <w:rsid w:val="00862FD0"/>
    <w:rsid w:val="00867AB0"/>
    <w:rsid w:val="00867CD8"/>
    <w:rsid w:val="0087135F"/>
    <w:rsid w:val="00872D94"/>
    <w:rsid w:val="00874AE0"/>
    <w:rsid w:val="00874FB5"/>
    <w:rsid w:val="00876ED2"/>
    <w:rsid w:val="00880364"/>
    <w:rsid w:val="00882E12"/>
    <w:rsid w:val="00883429"/>
    <w:rsid w:val="00883A0F"/>
    <w:rsid w:val="008841AD"/>
    <w:rsid w:val="008858CA"/>
    <w:rsid w:val="00886F84"/>
    <w:rsid w:val="00890542"/>
    <w:rsid w:val="00891592"/>
    <w:rsid w:val="00891E9E"/>
    <w:rsid w:val="008927F9"/>
    <w:rsid w:val="008A2F68"/>
    <w:rsid w:val="008A36B4"/>
    <w:rsid w:val="008A3DB9"/>
    <w:rsid w:val="008A7AD2"/>
    <w:rsid w:val="008A7DE7"/>
    <w:rsid w:val="008B3DBE"/>
    <w:rsid w:val="008B4FA6"/>
    <w:rsid w:val="008B5282"/>
    <w:rsid w:val="008B7C17"/>
    <w:rsid w:val="008C0DD6"/>
    <w:rsid w:val="008C10EE"/>
    <w:rsid w:val="008C2D01"/>
    <w:rsid w:val="008C325A"/>
    <w:rsid w:val="008C40B8"/>
    <w:rsid w:val="008C40E6"/>
    <w:rsid w:val="008C4456"/>
    <w:rsid w:val="008C682D"/>
    <w:rsid w:val="008C7DDA"/>
    <w:rsid w:val="008C7F1D"/>
    <w:rsid w:val="008D05EC"/>
    <w:rsid w:val="008D0F7A"/>
    <w:rsid w:val="008D35F1"/>
    <w:rsid w:val="008D4A51"/>
    <w:rsid w:val="008D4E2A"/>
    <w:rsid w:val="008D4FE3"/>
    <w:rsid w:val="008D68E4"/>
    <w:rsid w:val="008D6B6A"/>
    <w:rsid w:val="008D6EA4"/>
    <w:rsid w:val="008D7433"/>
    <w:rsid w:val="008E0506"/>
    <w:rsid w:val="008E0CFF"/>
    <w:rsid w:val="008E2728"/>
    <w:rsid w:val="008E3A7C"/>
    <w:rsid w:val="008E5D6B"/>
    <w:rsid w:val="008E76F0"/>
    <w:rsid w:val="008F15FE"/>
    <w:rsid w:val="008F2D29"/>
    <w:rsid w:val="008F2E0E"/>
    <w:rsid w:val="008F486E"/>
    <w:rsid w:val="008F5187"/>
    <w:rsid w:val="008F60D8"/>
    <w:rsid w:val="008F751F"/>
    <w:rsid w:val="00900EE1"/>
    <w:rsid w:val="0090115E"/>
    <w:rsid w:val="0090253C"/>
    <w:rsid w:val="00902727"/>
    <w:rsid w:val="00903111"/>
    <w:rsid w:val="0090312B"/>
    <w:rsid w:val="0090357B"/>
    <w:rsid w:val="0090723B"/>
    <w:rsid w:val="0091211B"/>
    <w:rsid w:val="0091212F"/>
    <w:rsid w:val="00912546"/>
    <w:rsid w:val="00912830"/>
    <w:rsid w:val="00912B52"/>
    <w:rsid w:val="00913532"/>
    <w:rsid w:val="009141FE"/>
    <w:rsid w:val="0091445B"/>
    <w:rsid w:val="0091651E"/>
    <w:rsid w:val="00916BD2"/>
    <w:rsid w:val="00916C62"/>
    <w:rsid w:val="0091736D"/>
    <w:rsid w:val="00923749"/>
    <w:rsid w:val="0093037A"/>
    <w:rsid w:val="009316C8"/>
    <w:rsid w:val="009360B8"/>
    <w:rsid w:val="00936B57"/>
    <w:rsid w:val="0094154D"/>
    <w:rsid w:val="00941F11"/>
    <w:rsid w:val="00943498"/>
    <w:rsid w:val="0095155F"/>
    <w:rsid w:val="009518BC"/>
    <w:rsid w:val="00953A0B"/>
    <w:rsid w:val="00954429"/>
    <w:rsid w:val="009554B5"/>
    <w:rsid w:val="009563CE"/>
    <w:rsid w:val="00960BEB"/>
    <w:rsid w:val="00960DEF"/>
    <w:rsid w:val="009623E7"/>
    <w:rsid w:val="009632D7"/>
    <w:rsid w:val="00967E40"/>
    <w:rsid w:val="00970069"/>
    <w:rsid w:val="009707FD"/>
    <w:rsid w:val="00970D64"/>
    <w:rsid w:val="009727DB"/>
    <w:rsid w:val="0097498C"/>
    <w:rsid w:val="0097510B"/>
    <w:rsid w:val="009760D5"/>
    <w:rsid w:val="00976328"/>
    <w:rsid w:val="0097680D"/>
    <w:rsid w:val="0098172A"/>
    <w:rsid w:val="00982438"/>
    <w:rsid w:val="00983164"/>
    <w:rsid w:val="0098404C"/>
    <w:rsid w:val="0098520E"/>
    <w:rsid w:val="00985283"/>
    <w:rsid w:val="009931A0"/>
    <w:rsid w:val="00994A86"/>
    <w:rsid w:val="00995992"/>
    <w:rsid w:val="00996056"/>
    <w:rsid w:val="009A03E5"/>
    <w:rsid w:val="009A0F3B"/>
    <w:rsid w:val="009A1BB4"/>
    <w:rsid w:val="009A1BD1"/>
    <w:rsid w:val="009A2628"/>
    <w:rsid w:val="009A3200"/>
    <w:rsid w:val="009A5130"/>
    <w:rsid w:val="009A53F3"/>
    <w:rsid w:val="009B0897"/>
    <w:rsid w:val="009B0E0B"/>
    <w:rsid w:val="009B20A5"/>
    <w:rsid w:val="009B6AEB"/>
    <w:rsid w:val="009B7BD9"/>
    <w:rsid w:val="009B7E3C"/>
    <w:rsid w:val="009C2787"/>
    <w:rsid w:val="009C2A0E"/>
    <w:rsid w:val="009C2C02"/>
    <w:rsid w:val="009C4B27"/>
    <w:rsid w:val="009C5F93"/>
    <w:rsid w:val="009C60AB"/>
    <w:rsid w:val="009C7DD5"/>
    <w:rsid w:val="009D178D"/>
    <w:rsid w:val="009D3073"/>
    <w:rsid w:val="009D4927"/>
    <w:rsid w:val="009D6096"/>
    <w:rsid w:val="009D613A"/>
    <w:rsid w:val="009D65D3"/>
    <w:rsid w:val="009D6AEB"/>
    <w:rsid w:val="009D7C83"/>
    <w:rsid w:val="009E0844"/>
    <w:rsid w:val="009E227D"/>
    <w:rsid w:val="009E5019"/>
    <w:rsid w:val="009F11D6"/>
    <w:rsid w:val="009F1C3F"/>
    <w:rsid w:val="009F265B"/>
    <w:rsid w:val="009F5553"/>
    <w:rsid w:val="009F76DB"/>
    <w:rsid w:val="009F7815"/>
    <w:rsid w:val="00A03C83"/>
    <w:rsid w:val="00A04032"/>
    <w:rsid w:val="00A04F1B"/>
    <w:rsid w:val="00A0501B"/>
    <w:rsid w:val="00A079B2"/>
    <w:rsid w:val="00A12982"/>
    <w:rsid w:val="00A12AFA"/>
    <w:rsid w:val="00A14947"/>
    <w:rsid w:val="00A20887"/>
    <w:rsid w:val="00A246A1"/>
    <w:rsid w:val="00A2677F"/>
    <w:rsid w:val="00A274E4"/>
    <w:rsid w:val="00A32A83"/>
    <w:rsid w:val="00A32C57"/>
    <w:rsid w:val="00A34810"/>
    <w:rsid w:val="00A3481D"/>
    <w:rsid w:val="00A368DB"/>
    <w:rsid w:val="00A40A6F"/>
    <w:rsid w:val="00A423AA"/>
    <w:rsid w:val="00A429C4"/>
    <w:rsid w:val="00A44115"/>
    <w:rsid w:val="00A44FDF"/>
    <w:rsid w:val="00A471EE"/>
    <w:rsid w:val="00A50FF2"/>
    <w:rsid w:val="00A53EC6"/>
    <w:rsid w:val="00A55C0F"/>
    <w:rsid w:val="00A61DD6"/>
    <w:rsid w:val="00A659E8"/>
    <w:rsid w:val="00A6759D"/>
    <w:rsid w:val="00A6793A"/>
    <w:rsid w:val="00A67E97"/>
    <w:rsid w:val="00A71415"/>
    <w:rsid w:val="00A73A46"/>
    <w:rsid w:val="00A7476F"/>
    <w:rsid w:val="00A7490E"/>
    <w:rsid w:val="00A776D9"/>
    <w:rsid w:val="00A82FB3"/>
    <w:rsid w:val="00A85CC6"/>
    <w:rsid w:val="00A8713F"/>
    <w:rsid w:val="00A8768C"/>
    <w:rsid w:val="00A879C2"/>
    <w:rsid w:val="00A90BA1"/>
    <w:rsid w:val="00A90FCD"/>
    <w:rsid w:val="00A92D6B"/>
    <w:rsid w:val="00A92D8E"/>
    <w:rsid w:val="00A93778"/>
    <w:rsid w:val="00A9485D"/>
    <w:rsid w:val="00A955EB"/>
    <w:rsid w:val="00A96D0F"/>
    <w:rsid w:val="00A96FAC"/>
    <w:rsid w:val="00A972D2"/>
    <w:rsid w:val="00A97A9A"/>
    <w:rsid w:val="00AA0671"/>
    <w:rsid w:val="00AA0C54"/>
    <w:rsid w:val="00AA2531"/>
    <w:rsid w:val="00AA2A7A"/>
    <w:rsid w:val="00AA340B"/>
    <w:rsid w:val="00AA41B7"/>
    <w:rsid w:val="00AA5153"/>
    <w:rsid w:val="00AA5C02"/>
    <w:rsid w:val="00AA6C71"/>
    <w:rsid w:val="00AA772F"/>
    <w:rsid w:val="00AB090D"/>
    <w:rsid w:val="00AB0DBE"/>
    <w:rsid w:val="00AB1E09"/>
    <w:rsid w:val="00AB226C"/>
    <w:rsid w:val="00AB5330"/>
    <w:rsid w:val="00AB75F3"/>
    <w:rsid w:val="00AB7747"/>
    <w:rsid w:val="00AC14CE"/>
    <w:rsid w:val="00AC296D"/>
    <w:rsid w:val="00AC2A56"/>
    <w:rsid w:val="00AC5A80"/>
    <w:rsid w:val="00AC6127"/>
    <w:rsid w:val="00AD055E"/>
    <w:rsid w:val="00AD085B"/>
    <w:rsid w:val="00AD2F20"/>
    <w:rsid w:val="00AD47A7"/>
    <w:rsid w:val="00AD7678"/>
    <w:rsid w:val="00AE0DA8"/>
    <w:rsid w:val="00AE61BA"/>
    <w:rsid w:val="00AE7B33"/>
    <w:rsid w:val="00AF043B"/>
    <w:rsid w:val="00AF087B"/>
    <w:rsid w:val="00AF0CBF"/>
    <w:rsid w:val="00AF257F"/>
    <w:rsid w:val="00AF33CF"/>
    <w:rsid w:val="00AF4D50"/>
    <w:rsid w:val="00AF4E21"/>
    <w:rsid w:val="00AF5D98"/>
    <w:rsid w:val="00AF6109"/>
    <w:rsid w:val="00AF6179"/>
    <w:rsid w:val="00B003C7"/>
    <w:rsid w:val="00B00B5A"/>
    <w:rsid w:val="00B01FFB"/>
    <w:rsid w:val="00B0206E"/>
    <w:rsid w:val="00B03489"/>
    <w:rsid w:val="00B049DE"/>
    <w:rsid w:val="00B05F41"/>
    <w:rsid w:val="00B1098B"/>
    <w:rsid w:val="00B1295A"/>
    <w:rsid w:val="00B130EB"/>
    <w:rsid w:val="00B14A32"/>
    <w:rsid w:val="00B20A45"/>
    <w:rsid w:val="00B20BF2"/>
    <w:rsid w:val="00B210B8"/>
    <w:rsid w:val="00B21B74"/>
    <w:rsid w:val="00B22A9C"/>
    <w:rsid w:val="00B22C5C"/>
    <w:rsid w:val="00B24F30"/>
    <w:rsid w:val="00B25F19"/>
    <w:rsid w:val="00B26E3E"/>
    <w:rsid w:val="00B30B76"/>
    <w:rsid w:val="00B31ABF"/>
    <w:rsid w:val="00B33BE3"/>
    <w:rsid w:val="00B3430D"/>
    <w:rsid w:val="00B34567"/>
    <w:rsid w:val="00B3622C"/>
    <w:rsid w:val="00B362DB"/>
    <w:rsid w:val="00B4323E"/>
    <w:rsid w:val="00B43363"/>
    <w:rsid w:val="00B45FC9"/>
    <w:rsid w:val="00B463F2"/>
    <w:rsid w:val="00B507B6"/>
    <w:rsid w:val="00B5156A"/>
    <w:rsid w:val="00B53B5D"/>
    <w:rsid w:val="00B562D2"/>
    <w:rsid w:val="00B5631F"/>
    <w:rsid w:val="00B57890"/>
    <w:rsid w:val="00B6055E"/>
    <w:rsid w:val="00B6226D"/>
    <w:rsid w:val="00B6317D"/>
    <w:rsid w:val="00B70FEB"/>
    <w:rsid w:val="00B71CCC"/>
    <w:rsid w:val="00B73EE6"/>
    <w:rsid w:val="00B765CE"/>
    <w:rsid w:val="00B7688F"/>
    <w:rsid w:val="00B7723F"/>
    <w:rsid w:val="00B8033A"/>
    <w:rsid w:val="00B80534"/>
    <w:rsid w:val="00B81A3E"/>
    <w:rsid w:val="00B82F0C"/>
    <w:rsid w:val="00B83F04"/>
    <w:rsid w:val="00B8433C"/>
    <w:rsid w:val="00B85C12"/>
    <w:rsid w:val="00B86978"/>
    <w:rsid w:val="00B86C62"/>
    <w:rsid w:val="00B87491"/>
    <w:rsid w:val="00B92BBA"/>
    <w:rsid w:val="00B952EF"/>
    <w:rsid w:val="00B9571B"/>
    <w:rsid w:val="00BA29E9"/>
    <w:rsid w:val="00BA3E3B"/>
    <w:rsid w:val="00BA50CB"/>
    <w:rsid w:val="00BA547A"/>
    <w:rsid w:val="00BA691F"/>
    <w:rsid w:val="00BA6C43"/>
    <w:rsid w:val="00BA7142"/>
    <w:rsid w:val="00BB07F7"/>
    <w:rsid w:val="00BB237C"/>
    <w:rsid w:val="00BB335B"/>
    <w:rsid w:val="00BB41A3"/>
    <w:rsid w:val="00BB655B"/>
    <w:rsid w:val="00BB681B"/>
    <w:rsid w:val="00BC121A"/>
    <w:rsid w:val="00BC22A4"/>
    <w:rsid w:val="00BC32DC"/>
    <w:rsid w:val="00BC35B6"/>
    <w:rsid w:val="00BC3D53"/>
    <w:rsid w:val="00BC4AB7"/>
    <w:rsid w:val="00BC5230"/>
    <w:rsid w:val="00BC606E"/>
    <w:rsid w:val="00BC63E6"/>
    <w:rsid w:val="00BC6470"/>
    <w:rsid w:val="00BD17D6"/>
    <w:rsid w:val="00BD1B51"/>
    <w:rsid w:val="00BD27C5"/>
    <w:rsid w:val="00BD4596"/>
    <w:rsid w:val="00BD6091"/>
    <w:rsid w:val="00BE1405"/>
    <w:rsid w:val="00BE2F53"/>
    <w:rsid w:val="00BE312D"/>
    <w:rsid w:val="00BE359C"/>
    <w:rsid w:val="00BE3918"/>
    <w:rsid w:val="00BE4E6F"/>
    <w:rsid w:val="00BE501A"/>
    <w:rsid w:val="00BF1C20"/>
    <w:rsid w:val="00BF2CFD"/>
    <w:rsid w:val="00BF5D97"/>
    <w:rsid w:val="00BF7364"/>
    <w:rsid w:val="00C0074B"/>
    <w:rsid w:val="00C01DE6"/>
    <w:rsid w:val="00C02AD8"/>
    <w:rsid w:val="00C04DD1"/>
    <w:rsid w:val="00C05AE4"/>
    <w:rsid w:val="00C07120"/>
    <w:rsid w:val="00C072F3"/>
    <w:rsid w:val="00C10578"/>
    <w:rsid w:val="00C135BC"/>
    <w:rsid w:val="00C15C95"/>
    <w:rsid w:val="00C207A2"/>
    <w:rsid w:val="00C2125A"/>
    <w:rsid w:val="00C2139E"/>
    <w:rsid w:val="00C2596A"/>
    <w:rsid w:val="00C27537"/>
    <w:rsid w:val="00C30458"/>
    <w:rsid w:val="00C328FE"/>
    <w:rsid w:val="00C33507"/>
    <w:rsid w:val="00C34130"/>
    <w:rsid w:val="00C36B15"/>
    <w:rsid w:val="00C3775F"/>
    <w:rsid w:val="00C40693"/>
    <w:rsid w:val="00C421AC"/>
    <w:rsid w:val="00C4409D"/>
    <w:rsid w:val="00C44E72"/>
    <w:rsid w:val="00C45A06"/>
    <w:rsid w:val="00C47AC6"/>
    <w:rsid w:val="00C47E5B"/>
    <w:rsid w:val="00C47E71"/>
    <w:rsid w:val="00C504D3"/>
    <w:rsid w:val="00C519FB"/>
    <w:rsid w:val="00C5250D"/>
    <w:rsid w:val="00C532D3"/>
    <w:rsid w:val="00C53E58"/>
    <w:rsid w:val="00C54562"/>
    <w:rsid w:val="00C55052"/>
    <w:rsid w:val="00C6190C"/>
    <w:rsid w:val="00C61E4B"/>
    <w:rsid w:val="00C63881"/>
    <w:rsid w:val="00C63C60"/>
    <w:rsid w:val="00C63E05"/>
    <w:rsid w:val="00C64BFF"/>
    <w:rsid w:val="00C64C90"/>
    <w:rsid w:val="00C6592B"/>
    <w:rsid w:val="00C67122"/>
    <w:rsid w:val="00C67A36"/>
    <w:rsid w:val="00C704E9"/>
    <w:rsid w:val="00C72039"/>
    <w:rsid w:val="00C72548"/>
    <w:rsid w:val="00C748B3"/>
    <w:rsid w:val="00C74C29"/>
    <w:rsid w:val="00C755B7"/>
    <w:rsid w:val="00C763C9"/>
    <w:rsid w:val="00C80057"/>
    <w:rsid w:val="00C80119"/>
    <w:rsid w:val="00C81794"/>
    <w:rsid w:val="00C82232"/>
    <w:rsid w:val="00C82913"/>
    <w:rsid w:val="00C835FD"/>
    <w:rsid w:val="00C86310"/>
    <w:rsid w:val="00C863BD"/>
    <w:rsid w:val="00C94F47"/>
    <w:rsid w:val="00C95004"/>
    <w:rsid w:val="00C95D8C"/>
    <w:rsid w:val="00C972B1"/>
    <w:rsid w:val="00CA0091"/>
    <w:rsid w:val="00CA2CCE"/>
    <w:rsid w:val="00CA43FD"/>
    <w:rsid w:val="00CA6FCB"/>
    <w:rsid w:val="00CA7752"/>
    <w:rsid w:val="00CA7EF8"/>
    <w:rsid w:val="00CB13AB"/>
    <w:rsid w:val="00CB476D"/>
    <w:rsid w:val="00CB5274"/>
    <w:rsid w:val="00CB6241"/>
    <w:rsid w:val="00CB6852"/>
    <w:rsid w:val="00CB7F0D"/>
    <w:rsid w:val="00CC1CAA"/>
    <w:rsid w:val="00CC1D56"/>
    <w:rsid w:val="00CC3238"/>
    <w:rsid w:val="00CC3AEE"/>
    <w:rsid w:val="00CC489B"/>
    <w:rsid w:val="00CC4D6F"/>
    <w:rsid w:val="00CC683D"/>
    <w:rsid w:val="00CC74FF"/>
    <w:rsid w:val="00CD1B5B"/>
    <w:rsid w:val="00CD1CF7"/>
    <w:rsid w:val="00CD21A5"/>
    <w:rsid w:val="00CD2BCD"/>
    <w:rsid w:val="00CD3A4C"/>
    <w:rsid w:val="00CD4767"/>
    <w:rsid w:val="00CE10E9"/>
    <w:rsid w:val="00CE14F6"/>
    <w:rsid w:val="00CE2449"/>
    <w:rsid w:val="00CE2910"/>
    <w:rsid w:val="00CE5393"/>
    <w:rsid w:val="00CE6402"/>
    <w:rsid w:val="00CE6C9B"/>
    <w:rsid w:val="00CE6E32"/>
    <w:rsid w:val="00CE7DB1"/>
    <w:rsid w:val="00CF1080"/>
    <w:rsid w:val="00CF1999"/>
    <w:rsid w:val="00CF36BE"/>
    <w:rsid w:val="00CF4092"/>
    <w:rsid w:val="00CF4D8A"/>
    <w:rsid w:val="00CF5F88"/>
    <w:rsid w:val="00CF6000"/>
    <w:rsid w:val="00CF6762"/>
    <w:rsid w:val="00CF7CD7"/>
    <w:rsid w:val="00CF7E15"/>
    <w:rsid w:val="00D003F3"/>
    <w:rsid w:val="00D00858"/>
    <w:rsid w:val="00D00C64"/>
    <w:rsid w:val="00D019EC"/>
    <w:rsid w:val="00D01A03"/>
    <w:rsid w:val="00D02E0F"/>
    <w:rsid w:val="00D0364F"/>
    <w:rsid w:val="00D03B41"/>
    <w:rsid w:val="00D059C4"/>
    <w:rsid w:val="00D06125"/>
    <w:rsid w:val="00D06834"/>
    <w:rsid w:val="00D110DD"/>
    <w:rsid w:val="00D139BF"/>
    <w:rsid w:val="00D14165"/>
    <w:rsid w:val="00D165B1"/>
    <w:rsid w:val="00D1677E"/>
    <w:rsid w:val="00D16C50"/>
    <w:rsid w:val="00D17616"/>
    <w:rsid w:val="00D2115C"/>
    <w:rsid w:val="00D23C70"/>
    <w:rsid w:val="00D26E67"/>
    <w:rsid w:val="00D27F42"/>
    <w:rsid w:val="00D308ED"/>
    <w:rsid w:val="00D32115"/>
    <w:rsid w:val="00D348EF"/>
    <w:rsid w:val="00D36D86"/>
    <w:rsid w:val="00D371E4"/>
    <w:rsid w:val="00D376F3"/>
    <w:rsid w:val="00D41238"/>
    <w:rsid w:val="00D421AA"/>
    <w:rsid w:val="00D428AA"/>
    <w:rsid w:val="00D42D1A"/>
    <w:rsid w:val="00D45469"/>
    <w:rsid w:val="00D4635C"/>
    <w:rsid w:val="00D47255"/>
    <w:rsid w:val="00D50A34"/>
    <w:rsid w:val="00D5270D"/>
    <w:rsid w:val="00D53EFA"/>
    <w:rsid w:val="00D54468"/>
    <w:rsid w:val="00D54717"/>
    <w:rsid w:val="00D5743C"/>
    <w:rsid w:val="00D61737"/>
    <w:rsid w:val="00D62ABE"/>
    <w:rsid w:val="00D630AC"/>
    <w:rsid w:val="00D660C2"/>
    <w:rsid w:val="00D663AE"/>
    <w:rsid w:val="00D670A4"/>
    <w:rsid w:val="00D71458"/>
    <w:rsid w:val="00D71565"/>
    <w:rsid w:val="00D71D60"/>
    <w:rsid w:val="00D72208"/>
    <w:rsid w:val="00D726D2"/>
    <w:rsid w:val="00D75EDF"/>
    <w:rsid w:val="00D76623"/>
    <w:rsid w:val="00D809D1"/>
    <w:rsid w:val="00D81F05"/>
    <w:rsid w:val="00D86C54"/>
    <w:rsid w:val="00D91369"/>
    <w:rsid w:val="00D919D8"/>
    <w:rsid w:val="00D9482C"/>
    <w:rsid w:val="00D94A7C"/>
    <w:rsid w:val="00D95896"/>
    <w:rsid w:val="00D96138"/>
    <w:rsid w:val="00D97353"/>
    <w:rsid w:val="00D97F76"/>
    <w:rsid w:val="00DA1AF6"/>
    <w:rsid w:val="00DA2EE8"/>
    <w:rsid w:val="00DA3DB8"/>
    <w:rsid w:val="00DB2983"/>
    <w:rsid w:val="00DB4393"/>
    <w:rsid w:val="00DB461F"/>
    <w:rsid w:val="00DC1257"/>
    <w:rsid w:val="00DC3DC0"/>
    <w:rsid w:val="00DC40E0"/>
    <w:rsid w:val="00DC4175"/>
    <w:rsid w:val="00DC5B2B"/>
    <w:rsid w:val="00DC6C09"/>
    <w:rsid w:val="00DC7E4D"/>
    <w:rsid w:val="00DD0821"/>
    <w:rsid w:val="00DD0AD9"/>
    <w:rsid w:val="00DD1036"/>
    <w:rsid w:val="00DD304C"/>
    <w:rsid w:val="00DD318D"/>
    <w:rsid w:val="00DD3E1B"/>
    <w:rsid w:val="00DD59A0"/>
    <w:rsid w:val="00DD763A"/>
    <w:rsid w:val="00DE7126"/>
    <w:rsid w:val="00DE7F60"/>
    <w:rsid w:val="00DF2E12"/>
    <w:rsid w:val="00DF4E03"/>
    <w:rsid w:val="00DF514A"/>
    <w:rsid w:val="00DF6690"/>
    <w:rsid w:val="00DF6804"/>
    <w:rsid w:val="00E02232"/>
    <w:rsid w:val="00E0358D"/>
    <w:rsid w:val="00E04323"/>
    <w:rsid w:val="00E0455A"/>
    <w:rsid w:val="00E0613A"/>
    <w:rsid w:val="00E070A2"/>
    <w:rsid w:val="00E102EE"/>
    <w:rsid w:val="00E13DA6"/>
    <w:rsid w:val="00E1576A"/>
    <w:rsid w:val="00E205F8"/>
    <w:rsid w:val="00E2141D"/>
    <w:rsid w:val="00E21F62"/>
    <w:rsid w:val="00E222A3"/>
    <w:rsid w:val="00E24EFE"/>
    <w:rsid w:val="00E253BC"/>
    <w:rsid w:val="00E2656A"/>
    <w:rsid w:val="00E2731C"/>
    <w:rsid w:val="00E3086C"/>
    <w:rsid w:val="00E33B5E"/>
    <w:rsid w:val="00E35CE5"/>
    <w:rsid w:val="00E35EC0"/>
    <w:rsid w:val="00E362C0"/>
    <w:rsid w:val="00E366DD"/>
    <w:rsid w:val="00E40F69"/>
    <w:rsid w:val="00E412D0"/>
    <w:rsid w:val="00E45A7A"/>
    <w:rsid w:val="00E45D8A"/>
    <w:rsid w:val="00E52760"/>
    <w:rsid w:val="00E54D35"/>
    <w:rsid w:val="00E55AC1"/>
    <w:rsid w:val="00E56322"/>
    <w:rsid w:val="00E57437"/>
    <w:rsid w:val="00E5798E"/>
    <w:rsid w:val="00E60982"/>
    <w:rsid w:val="00E6109E"/>
    <w:rsid w:val="00E61E03"/>
    <w:rsid w:val="00E62107"/>
    <w:rsid w:val="00E62C62"/>
    <w:rsid w:val="00E646A3"/>
    <w:rsid w:val="00E654C1"/>
    <w:rsid w:val="00E65D97"/>
    <w:rsid w:val="00E66D36"/>
    <w:rsid w:val="00E67780"/>
    <w:rsid w:val="00E70B3F"/>
    <w:rsid w:val="00E72A5A"/>
    <w:rsid w:val="00E73354"/>
    <w:rsid w:val="00E74EB3"/>
    <w:rsid w:val="00E768BE"/>
    <w:rsid w:val="00E7704F"/>
    <w:rsid w:val="00E770D5"/>
    <w:rsid w:val="00E9242D"/>
    <w:rsid w:val="00E93628"/>
    <w:rsid w:val="00E95C42"/>
    <w:rsid w:val="00E97A6B"/>
    <w:rsid w:val="00EA0AAE"/>
    <w:rsid w:val="00EA3648"/>
    <w:rsid w:val="00EA7128"/>
    <w:rsid w:val="00EA73F3"/>
    <w:rsid w:val="00EA786E"/>
    <w:rsid w:val="00EA78DA"/>
    <w:rsid w:val="00EB2E4E"/>
    <w:rsid w:val="00EB4BAA"/>
    <w:rsid w:val="00EB5255"/>
    <w:rsid w:val="00EB550A"/>
    <w:rsid w:val="00EB5C47"/>
    <w:rsid w:val="00EB70C4"/>
    <w:rsid w:val="00EC63E9"/>
    <w:rsid w:val="00EC7DE7"/>
    <w:rsid w:val="00ED0639"/>
    <w:rsid w:val="00ED0FC4"/>
    <w:rsid w:val="00ED21F2"/>
    <w:rsid w:val="00ED2243"/>
    <w:rsid w:val="00ED3342"/>
    <w:rsid w:val="00ED452C"/>
    <w:rsid w:val="00EE0DF6"/>
    <w:rsid w:val="00EE120B"/>
    <w:rsid w:val="00EE158E"/>
    <w:rsid w:val="00EE2468"/>
    <w:rsid w:val="00EE69B7"/>
    <w:rsid w:val="00EF0B1E"/>
    <w:rsid w:val="00EF23A6"/>
    <w:rsid w:val="00EF4755"/>
    <w:rsid w:val="00EF5C85"/>
    <w:rsid w:val="00EF6E0B"/>
    <w:rsid w:val="00EF7135"/>
    <w:rsid w:val="00F00915"/>
    <w:rsid w:val="00F01234"/>
    <w:rsid w:val="00F01EA7"/>
    <w:rsid w:val="00F027DB"/>
    <w:rsid w:val="00F02E4C"/>
    <w:rsid w:val="00F06C4E"/>
    <w:rsid w:val="00F0716A"/>
    <w:rsid w:val="00F07355"/>
    <w:rsid w:val="00F0739C"/>
    <w:rsid w:val="00F074DC"/>
    <w:rsid w:val="00F11DD7"/>
    <w:rsid w:val="00F1327B"/>
    <w:rsid w:val="00F13417"/>
    <w:rsid w:val="00F1492F"/>
    <w:rsid w:val="00F14A7A"/>
    <w:rsid w:val="00F15214"/>
    <w:rsid w:val="00F1600C"/>
    <w:rsid w:val="00F16B7C"/>
    <w:rsid w:val="00F2065C"/>
    <w:rsid w:val="00F22985"/>
    <w:rsid w:val="00F2643E"/>
    <w:rsid w:val="00F26ECD"/>
    <w:rsid w:val="00F31512"/>
    <w:rsid w:val="00F3383E"/>
    <w:rsid w:val="00F346FD"/>
    <w:rsid w:val="00F35491"/>
    <w:rsid w:val="00F3561B"/>
    <w:rsid w:val="00F43037"/>
    <w:rsid w:val="00F465A7"/>
    <w:rsid w:val="00F477FA"/>
    <w:rsid w:val="00F47BAF"/>
    <w:rsid w:val="00F50B7C"/>
    <w:rsid w:val="00F50E07"/>
    <w:rsid w:val="00F550E6"/>
    <w:rsid w:val="00F55D52"/>
    <w:rsid w:val="00F611B2"/>
    <w:rsid w:val="00F61356"/>
    <w:rsid w:val="00F614B5"/>
    <w:rsid w:val="00F63F7E"/>
    <w:rsid w:val="00F64953"/>
    <w:rsid w:val="00F67212"/>
    <w:rsid w:val="00F6763E"/>
    <w:rsid w:val="00F7098C"/>
    <w:rsid w:val="00F73F3C"/>
    <w:rsid w:val="00F74345"/>
    <w:rsid w:val="00F753F0"/>
    <w:rsid w:val="00F76D93"/>
    <w:rsid w:val="00F774DD"/>
    <w:rsid w:val="00F80A0A"/>
    <w:rsid w:val="00F80A95"/>
    <w:rsid w:val="00F81C63"/>
    <w:rsid w:val="00F823C0"/>
    <w:rsid w:val="00F82B19"/>
    <w:rsid w:val="00F8324D"/>
    <w:rsid w:val="00F834C5"/>
    <w:rsid w:val="00F8368B"/>
    <w:rsid w:val="00F85991"/>
    <w:rsid w:val="00F87006"/>
    <w:rsid w:val="00F87036"/>
    <w:rsid w:val="00F87308"/>
    <w:rsid w:val="00F876DB"/>
    <w:rsid w:val="00F9212D"/>
    <w:rsid w:val="00F965DA"/>
    <w:rsid w:val="00F976D6"/>
    <w:rsid w:val="00F97C41"/>
    <w:rsid w:val="00FA1670"/>
    <w:rsid w:val="00FA406A"/>
    <w:rsid w:val="00FA4430"/>
    <w:rsid w:val="00FB0809"/>
    <w:rsid w:val="00FB4000"/>
    <w:rsid w:val="00FB4703"/>
    <w:rsid w:val="00FB4D1E"/>
    <w:rsid w:val="00FB503A"/>
    <w:rsid w:val="00FB516C"/>
    <w:rsid w:val="00FB7A3E"/>
    <w:rsid w:val="00FC21AF"/>
    <w:rsid w:val="00FC2F7B"/>
    <w:rsid w:val="00FC4C70"/>
    <w:rsid w:val="00FD0236"/>
    <w:rsid w:val="00FD105C"/>
    <w:rsid w:val="00FD18F4"/>
    <w:rsid w:val="00FD4EB0"/>
    <w:rsid w:val="00FD54DB"/>
    <w:rsid w:val="00FD619F"/>
    <w:rsid w:val="00FD7368"/>
    <w:rsid w:val="00FE237D"/>
    <w:rsid w:val="00FE2809"/>
    <w:rsid w:val="00FE5AC6"/>
    <w:rsid w:val="00FE6B11"/>
    <w:rsid w:val="00FF09D5"/>
    <w:rsid w:val="00FF20A6"/>
    <w:rsid w:val="00FF2172"/>
    <w:rsid w:val="00FF3E3B"/>
    <w:rsid w:val="00FF47A6"/>
    <w:rsid w:val="00FF4D89"/>
    <w:rsid w:val="00FF6E12"/>
    <w:rsid w:val="00FF7181"/>
    <w:rsid w:val="01290F7E"/>
    <w:rsid w:val="015D1E09"/>
    <w:rsid w:val="01F0046E"/>
    <w:rsid w:val="02697903"/>
    <w:rsid w:val="02704C56"/>
    <w:rsid w:val="02F96569"/>
    <w:rsid w:val="03EA7B21"/>
    <w:rsid w:val="05017C52"/>
    <w:rsid w:val="05A74948"/>
    <w:rsid w:val="05F41AC6"/>
    <w:rsid w:val="05F83EAE"/>
    <w:rsid w:val="063E7D85"/>
    <w:rsid w:val="06966449"/>
    <w:rsid w:val="07293586"/>
    <w:rsid w:val="07295285"/>
    <w:rsid w:val="074D3623"/>
    <w:rsid w:val="07636392"/>
    <w:rsid w:val="07770C56"/>
    <w:rsid w:val="07BE4064"/>
    <w:rsid w:val="092217DD"/>
    <w:rsid w:val="093A7294"/>
    <w:rsid w:val="097E0E3B"/>
    <w:rsid w:val="0990707C"/>
    <w:rsid w:val="0A101D01"/>
    <w:rsid w:val="0A263993"/>
    <w:rsid w:val="0A2D3AC2"/>
    <w:rsid w:val="0A5219E5"/>
    <w:rsid w:val="0AA755DF"/>
    <w:rsid w:val="0B0038E7"/>
    <w:rsid w:val="0B120D44"/>
    <w:rsid w:val="0B3C5593"/>
    <w:rsid w:val="0BD27BF6"/>
    <w:rsid w:val="0C0A6FB2"/>
    <w:rsid w:val="0C3B3C7D"/>
    <w:rsid w:val="0C894532"/>
    <w:rsid w:val="0CAB2EAE"/>
    <w:rsid w:val="0CE97D43"/>
    <w:rsid w:val="0CF63E15"/>
    <w:rsid w:val="0D0019FA"/>
    <w:rsid w:val="0D301714"/>
    <w:rsid w:val="0D621C7D"/>
    <w:rsid w:val="0E73034D"/>
    <w:rsid w:val="0F13775A"/>
    <w:rsid w:val="0F5F45FE"/>
    <w:rsid w:val="0F9A112B"/>
    <w:rsid w:val="103E61FE"/>
    <w:rsid w:val="106D2F64"/>
    <w:rsid w:val="10B63710"/>
    <w:rsid w:val="10F10820"/>
    <w:rsid w:val="111C2F7A"/>
    <w:rsid w:val="11665CA1"/>
    <w:rsid w:val="117C5FB0"/>
    <w:rsid w:val="11DE311B"/>
    <w:rsid w:val="122A62C6"/>
    <w:rsid w:val="131B11F2"/>
    <w:rsid w:val="13951726"/>
    <w:rsid w:val="14396509"/>
    <w:rsid w:val="14DD2C3C"/>
    <w:rsid w:val="16087E1D"/>
    <w:rsid w:val="17701D14"/>
    <w:rsid w:val="177241CE"/>
    <w:rsid w:val="17735226"/>
    <w:rsid w:val="17C674E1"/>
    <w:rsid w:val="189F624C"/>
    <w:rsid w:val="18BC2E03"/>
    <w:rsid w:val="1A1C66C0"/>
    <w:rsid w:val="1A2F5E10"/>
    <w:rsid w:val="1A42393B"/>
    <w:rsid w:val="1AAD45DE"/>
    <w:rsid w:val="1B046F80"/>
    <w:rsid w:val="1B2D62FF"/>
    <w:rsid w:val="1B3267B5"/>
    <w:rsid w:val="1B3D4CE4"/>
    <w:rsid w:val="1B40161D"/>
    <w:rsid w:val="1B441859"/>
    <w:rsid w:val="1B6606B1"/>
    <w:rsid w:val="1C573B19"/>
    <w:rsid w:val="1C5E7925"/>
    <w:rsid w:val="1CED7C31"/>
    <w:rsid w:val="1CFD070F"/>
    <w:rsid w:val="1D5F6196"/>
    <w:rsid w:val="1D6132A5"/>
    <w:rsid w:val="1D8E56D5"/>
    <w:rsid w:val="1DF840A7"/>
    <w:rsid w:val="1E652612"/>
    <w:rsid w:val="1E7A43DA"/>
    <w:rsid w:val="1FE01832"/>
    <w:rsid w:val="1FE7539E"/>
    <w:rsid w:val="205B39F5"/>
    <w:rsid w:val="20671BE0"/>
    <w:rsid w:val="20963CB8"/>
    <w:rsid w:val="20A81A1B"/>
    <w:rsid w:val="20B07FB6"/>
    <w:rsid w:val="20B646FB"/>
    <w:rsid w:val="211629ED"/>
    <w:rsid w:val="213B74B1"/>
    <w:rsid w:val="21497037"/>
    <w:rsid w:val="215A2310"/>
    <w:rsid w:val="21DE318A"/>
    <w:rsid w:val="21EF5B80"/>
    <w:rsid w:val="221537D9"/>
    <w:rsid w:val="22576990"/>
    <w:rsid w:val="228B59C2"/>
    <w:rsid w:val="22F47480"/>
    <w:rsid w:val="23DE1C48"/>
    <w:rsid w:val="240210CD"/>
    <w:rsid w:val="2450338F"/>
    <w:rsid w:val="24BF09F7"/>
    <w:rsid w:val="252D53FE"/>
    <w:rsid w:val="25C74149"/>
    <w:rsid w:val="25EC2D81"/>
    <w:rsid w:val="262839AE"/>
    <w:rsid w:val="267A740D"/>
    <w:rsid w:val="277057A2"/>
    <w:rsid w:val="280B0245"/>
    <w:rsid w:val="28CB5F98"/>
    <w:rsid w:val="29035308"/>
    <w:rsid w:val="29206EB8"/>
    <w:rsid w:val="29292DAA"/>
    <w:rsid w:val="29595666"/>
    <w:rsid w:val="29874881"/>
    <w:rsid w:val="2995030B"/>
    <w:rsid w:val="29E325E0"/>
    <w:rsid w:val="29F10684"/>
    <w:rsid w:val="2A452503"/>
    <w:rsid w:val="2BA936A8"/>
    <w:rsid w:val="2C315A5A"/>
    <w:rsid w:val="2C4B1C25"/>
    <w:rsid w:val="2CB54711"/>
    <w:rsid w:val="2D02768E"/>
    <w:rsid w:val="2D491606"/>
    <w:rsid w:val="2D911B72"/>
    <w:rsid w:val="2D9E56F5"/>
    <w:rsid w:val="2E5B5089"/>
    <w:rsid w:val="2E667F96"/>
    <w:rsid w:val="2E8226AB"/>
    <w:rsid w:val="2E996D68"/>
    <w:rsid w:val="2FD065E6"/>
    <w:rsid w:val="2FD85936"/>
    <w:rsid w:val="2FD96870"/>
    <w:rsid w:val="3016339B"/>
    <w:rsid w:val="30580BC9"/>
    <w:rsid w:val="311E2ED7"/>
    <w:rsid w:val="315619EE"/>
    <w:rsid w:val="315C449C"/>
    <w:rsid w:val="31B82709"/>
    <w:rsid w:val="31D05482"/>
    <w:rsid w:val="31D56377"/>
    <w:rsid w:val="323B2381"/>
    <w:rsid w:val="32400B34"/>
    <w:rsid w:val="329E6876"/>
    <w:rsid w:val="333015F2"/>
    <w:rsid w:val="334B6320"/>
    <w:rsid w:val="33D934D4"/>
    <w:rsid w:val="33FE2F6A"/>
    <w:rsid w:val="340E07E5"/>
    <w:rsid w:val="34235BF7"/>
    <w:rsid w:val="34F44424"/>
    <w:rsid w:val="358C5FA8"/>
    <w:rsid w:val="35C15DF1"/>
    <w:rsid w:val="35CA1862"/>
    <w:rsid w:val="36074A7F"/>
    <w:rsid w:val="36923549"/>
    <w:rsid w:val="36B75FBF"/>
    <w:rsid w:val="36BD0C45"/>
    <w:rsid w:val="378E02E1"/>
    <w:rsid w:val="37E00298"/>
    <w:rsid w:val="38B302F9"/>
    <w:rsid w:val="38F12CD3"/>
    <w:rsid w:val="38F94775"/>
    <w:rsid w:val="390C0490"/>
    <w:rsid w:val="392971ED"/>
    <w:rsid w:val="39325651"/>
    <w:rsid w:val="39F97FDA"/>
    <w:rsid w:val="3A872856"/>
    <w:rsid w:val="3AA97DE3"/>
    <w:rsid w:val="3B3763D1"/>
    <w:rsid w:val="3B395D6E"/>
    <w:rsid w:val="3C2F6E1E"/>
    <w:rsid w:val="3C4F64BA"/>
    <w:rsid w:val="3C714A11"/>
    <w:rsid w:val="3CDA245A"/>
    <w:rsid w:val="3D1E06B7"/>
    <w:rsid w:val="3D8F692F"/>
    <w:rsid w:val="3DB8290A"/>
    <w:rsid w:val="3EDA0523"/>
    <w:rsid w:val="407A6407"/>
    <w:rsid w:val="40FC6A14"/>
    <w:rsid w:val="41E85A7D"/>
    <w:rsid w:val="4200449D"/>
    <w:rsid w:val="421D4F33"/>
    <w:rsid w:val="423A3BCC"/>
    <w:rsid w:val="424E57D2"/>
    <w:rsid w:val="42B26C49"/>
    <w:rsid w:val="43056B10"/>
    <w:rsid w:val="431551AC"/>
    <w:rsid w:val="433A6FE6"/>
    <w:rsid w:val="43480868"/>
    <w:rsid w:val="4350713C"/>
    <w:rsid w:val="436653E0"/>
    <w:rsid w:val="43C4431A"/>
    <w:rsid w:val="44B951CC"/>
    <w:rsid w:val="44CD14E0"/>
    <w:rsid w:val="44F20B0B"/>
    <w:rsid w:val="452E5F4C"/>
    <w:rsid w:val="45612018"/>
    <w:rsid w:val="45704524"/>
    <w:rsid w:val="45726CB7"/>
    <w:rsid w:val="458946E9"/>
    <w:rsid w:val="45A47C0E"/>
    <w:rsid w:val="46577FD6"/>
    <w:rsid w:val="46B14465"/>
    <w:rsid w:val="46D955A7"/>
    <w:rsid w:val="47133957"/>
    <w:rsid w:val="471A62E0"/>
    <w:rsid w:val="47A07E0C"/>
    <w:rsid w:val="4870272E"/>
    <w:rsid w:val="48C0272E"/>
    <w:rsid w:val="49DC7715"/>
    <w:rsid w:val="49F56FBB"/>
    <w:rsid w:val="4A023139"/>
    <w:rsid w:val="4A7B576F"/>
    <w:rsid w:val="4AF561A9"/>
    <w:rsid w:val="4B7266CA"/>
    <w:rsid w:val="4B864006"/>
    <w:rsid w:val="4BE476F9"/>
    <w:rsid w:val="4C4A0649"/>
    <w:rsid w:val="4C7E5ECA"/>
    <w:rsid w:val="4C876AA5"/>
    <w:rsid w:val="4CEA4FDE"/>
    <w:rsid w:val="4D0E00FB"/>
    <w:rsid w:val="4D176606"/>
    <w:rsid w:val="4D980F36"/>
    <w:rsid w:val="4DC144E2"/>
    <w:rsid w:val="4DCF582D"/>
    <w:rsid w:val="4DEC4FB0"/>
    <w:rsid w:val="4E075D8A"/>
    <w:rsid w:val="4E93685A"/>
    <w:rsid w:val="4EC00FAD"/>
    <w:rsid w:val="4EE8371F"/>
    <w:rsid w:val="4F9843DC"/>
    <w:rsid w:val="4FC62A8C"/>
    <w:rsid w:val="4FE20F0D"/>
    <w:rsid w:val="4FE51552"/>
    <w:rsid w:val="50504C4B"/>
    <w:rsid w:val="509911F7"/>
    <w:rsid w:val="509C6E7C"/>
    <w:rsid w:val="5162104E"/>
    <w:rsid w:val="51CC4F4E"/>
    <w:rsid w:val="51F642DD"/>
    <w:rsid w:val="52950FA7"/>
    <w:rsid w:val="52FD61A9"/>
    <w:rsid w:val="53A039CC"/>
    <w:rsid w:val="53A1505A"/>
    <w:rsid w:val="53DA2719"/>
    <w:rsid w:val="54063E08"/>
    <w:rsid w:val="543437E8"/>
    <w:rsid w:val="54B52D8E"/>
    <w:rsid w:val="54F73313"/>
    <w:rsid w:val="54F80955"/>
    <w:rsid w:val="55334BF4"/>
    <w:rsid w:val="5534390C"/>
    <w:rsid w:val="555170A7"/>
    <w:rsid w:val="5587536D"/>
    <w:rsid w:val="559B174B"/>
    <w:rsid w:val="55B71498"/>
    <w:rsid w:val="55CE0CF4"/>
    <w:rsid w:val="56B22A9C"/>
    <w:rsid w:val="56BA4014"/>
    <w:rsid w:val="57385F33"/>
    <w:rsid w:val="57B72A76"/>
    <w:rsid w:val="57C3426C"/>
    <w:rsid w:val="57CE1F93"/>
    <w:rsid w:val="58491431"/>
    <w:rsid w:val="588743D1"/>
    <w:rsid w:val="5887701A"/>
    <w:rsid w:val="58E54061"/>
    <w:rsid w:val="59C0439F"/>
    <w:rsid w:val="5ABE2233"/>
    <w:rsid w:val="5B7353CF"/>
    <w:rsid w:val="5BDF5D95"/>
    <w:rsid w:val="5BFE7528"/>
    <w:rsid w:val="5C533FE7"/>
    <w:rsid w:val="5C7F33D1"/>
    <w:rsid w:val="5D376C50"/>
    <w:rsid w:val="5D956FD5"/>
    <w:rsid w:val="5E2467F1"/>
    <w:rsid w:val="5E3F65A9"/>
    <w:rsid w:val="5F1A2B43"/>
    <w:rsid w:val="5F922514"/>
    <w:rsid w:val="5FA77E3C"/>
    <w:rsid w:val="5FB837BB"/>
    <w:rsid w:val="60BE0FD5"/>
    <w:rsid w:val="60CC405A"/>
    <w:rsid w:val="611238F7"/>
    <w:rsid w:val="61E215D8"/>
    <w:rsid w:val="621B3775"/>
    <w:rsid w:val="62364782"/>
    <w:rsid w:val="62D02F3B"/>
    <w:rsid w:val="62F07A29"/>
    <w:rsid w:val="6394356A"/>
    <w:rsid w:val="63C61B2C"/>
    <w:rsid w:val="63D40BE9"/>
    <w:rsid w:val="63EF43C0"/>
    <w:rsid w:val="64102431"/>
    <w:rsid w:val="64A5243A"/>
    <w:rsid w:val="64B6026D"/>
    <w:rsid w:val="64F531DE"/>
    <w:rsid w:val="65373578"/>
    <w:rsid w:val="65E01977"/>
    <w:rsid w:val="66C058D4"/>
    <w:rsid w:val="67152E65"/>
    <w:rsid w:val="671F124A"/>
    <w:rsid w:val="674407D6"/>
    <w:rsid w:val="677A33C6"/>
    <w:rsid w:val="681F6961"/>
    <w:rsid w:val="685179D9"/>
    <w:rsid w:val="68610A2F"/>
    <w:rsid w:val="687152A7"/>
    <w:rsid w:val="68805514"/>
    <w:rsid w:val="69316E2F"/>
    <w:rsid w:val="694E2071"/>
    <w:rsid w:val="69696295"/>
    <w:rsid w:val="69766163"/>
    <w:rsid w:val="697A3B33"/>
    <w:rsid w:val="698A2B79"/>
    <w:rsid w:val="69D44760"/>
    <w:rsid w:val="6A520EC7"/>
    <w:rsid w:val="6A5C3F51"/>
    <w:rsid w:val="6AF87E20"/>
    <w:rsid w:val="6B322639"/>
    <w:rsid w:val="6B5667FB"/>
    <w:rsid w:val="6C2F7FCF"/>
    <w:rsid w:val="6C4858D8"/>
    <w:rsid w:val="6C636C38"/>
    <w:rsid w:val="6CE80B04"/>
    <w:rsid w:val="6DB34098"/>
    <w:rsid w:val="6DB545B6"/>
    <w:rsid w:val="6DE02FB4"/>
    <w:rsid w:val="6E514CED"/>
    <w:rsid w:val="6E8E4C2D"/>
    <w:rsid w:val="6EB563D5"/>
    <w:rsid w:val="6ED92677"/>
    <w:rsid w:val="6F225983"/>
    <w:rsid w:val="6F2434FF"/>
    <w:rsid w:val="6FEF699F"/>
    <w:rsid w:val="6FFC5590"/>
    <w:rsid w:val="70107B68"/>
    <w:rsid w:val="70173C53"/>
    <w:rsid w:val="706D1DD0"/>
    <w:rsid w:val="70856B87"/>
    <w:rsid w:val="70D527EE"/>
    <w:rsid w:val="715B5300"/>
    <w:rsid w:val="716A38D3"/>
    <w:rsid w:val="71D27F8A"/>
    <w:rsid w:val="71D44ABE"/>
    <w:rsid w:val="72176D83"/>
    <w:rsid w:val="72553024"/>
    <w:rsid w:val="72AB79C6"/>
    <w:rsid w:val="73087E8E"/>
    <w:rsid w:val="73122968"/>
    <w:rsid w:val="731F5D5E"/>
    <w:rsid w:val="73304E09"/>
    <w:rsid w:val="73C51AD5"/>
    <w:rsid w:val="74170CA0"/>
    <w:rsid w:val="741E793C"/>
    <w:rsid w:val="745E3944"/>
    <w:rsid w:val="750962A6"/>
    <w:rsid w:val="75B4558B"/>
    <w:rsid w:val="75E706DE"/>
    <w:rsid w:val="7635099D"/>
    <w:rsid w:val="76C0575C"/>
    <w:rsid w:val="775653BD"/>
    <w:rsid w:val="77672279"/>
    <w:rsid w:val="77762421"/>
    <w:rsid w:val="77B56B1F"/>
    <w:rsid w:val="77D37E69"/>
    <w:rsid w:val="77D70DB1"/>
    <w:rsid w:val="78032647"/>
    <w:rsid w:val="780F09F4"/>
    <w:rsid w:val="78A90480"/>
    <w:rsid w:val="7A364017"/>
    <w:rsid w:val="7A8265E1"/>
    <w:rsid w:val="7AFA7DC7"/>
    <w:rsid w:val="7B20451C"/>
    <w:rsid w:val="7B686D42"/>
    <w:rsid w:val="7B841746"/>
    <w:rsid w:val="7C6C5AC7"/>
    <w:rsid w:val="7CC6544B"/>
    <w:rsid w:val="7D0239FF"/>
    <w:rsid w:val="7D5E40CD"/>
    <w:rsid w:val="7DCD56F2"/>
    <w:rsid w:val="7E6244DB"/>
    <w:rsid w:val="7E8C3322"/>
    <w:rsid w:val="7E90224E"/>
    <w:rsid w:val="7F001CE7"/>
    <w:rsid w:val="7F38036C"/>
    <w:rsid w:val="7FE47E50"/>
    <w:rsid w:val="7FE9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adjustRightInd w:val="0"/>
      <w:snapToGrid w:val="0"/>
      <w:spacing w:before="156" w:line="360" w:lineRule="auto"/>
      <w:outlineLvl w:val="1"/>
    </w:pPr>
    <w:rPr>
      <w:b/>
    </w:rPr>
  </w:style>
  <w:style w:type="paragraph" w:styleId="4">
    <w:name w:val="heading 3"/>
    <w:basedOn w:val="1"/>
    <w:next w:val="1"/>
    <w:link w:val="31"/>
    <w:qFormat/>
    <w:locked/>
    <w:uiPriority w:val="0"/>
    <w:pPr>
      <w:keepNext/>
      <w:keepLines/>
      <w:spacing w:before="260" w:after="260" w:line="416" w:lineRule="auto"/>
      <w:outlineLvl w:val="2"/>
    </w:pPr>
    <w:rPr>
      <w:b/>
      <w:bCs/>
      <w:sz w:val="32"/>
      <w:szCs w:val="32"/>
    </w:rPr>
  </w:style>
  <w:style w:type="paragraph" w:styleId="5">
    <w:name w:val="heading 4"/>
    <w:basedOn w:val="1"/>
    <w:next w:val="1"/>
    <w:link w:val="32"/>
    <w:qFormat/>
    <w:locked/>
    <w:uiPriority w:val="0"/>
    <w:pPr>
      <w:keepNext/>
      <w:keepLines/>
      <w:widowControl/>
      <w:spacing w:line="360" w:lineRule="auto"/>
      <w:ind w:firstLine="640" w:firstLineChars="200"/>
      <w:outlineLvl w:val="3"/>
    </w:pPr>
    <w:rPr>
      <w:b/>
      <w:bCs/>
      <w:color w:val="000000"/>
      <w:sz w:val="28"/>
      <w:szCs w:val="28"/>
    </w:rPr>
  </w:style>
  <w:style w:type="paragraph" w:styleId="6">
    <w:name w:val="heading 5"/>
    <w:basedOn w:val="1"/>
    <w:next w:val="1"/>
    <w:link w:val="33"/>
    <w:qFormat/>
    <w:locked/>
    <w:uiPriority w:val="0"/>
    <w:pPr>
      <w:keepNext/>
      <w:keepLines/>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4"/>
    <w:semiHidden/>
    <w:qFormat/>
    <w:uiPriority w:val="0"/>
    <w:pPr>
      <w:jc w:val="left"/>
    </w:pPr>
    <w:rPr>
      <w:kern w:val="0"/>
      <w:szCs w:val="20"/>
    </w:rPr>
  </w:style>
  <w:style w:type="paragraph" w:styleId="8">
    <w:name w:val="Salutation"/>
    <w:basedOn w:val="1"/>
    <w:next w:val="1"/>
    <w:qFormat/>
    <w:locked/>
    <w:uiPriority w:val="0"/>
  </w:style>
  <w:style w:type="paragraph" w:styleId="9">
    <w:name w:val="Body Text"/>
    <w:basedOn w:val="1"/>
    <w:next w:val="10"/>
    <w:link w:val="35"/>
    <w:uiPriority w:val="0"/>
    <w:pPr>
      <w:widowControl/>
      <w:snapToGrid w:val="0"/>
      <w:spacing w:before="60" w:after="160" w:line="259" w:lineRule="auto"/>
      <w:ind w:right="113"/>
    </w:pPr>
    <w:rPr>
      <w:kern w:val="0"/>
      <w:sz w:val="18"/>
      <w:szCs w:val="20"/>
    </w:rPr>
  </w:style>
  <w:style w:type="paragraph" w:customStyle="1" w:styleId="10">
    <w:name w:val="style4"/>
    <w:basedOn w:val="1"/>
    <w:next w:val="11"/>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2"/>
    <w:basedOn w:val="1"/>
    <w:next w:val="1"/>
    <w:uiPriority w:val="0"/>
    <w:pPr>
      <w:adjustRightInd w:val="0"/>
      <w:spacing w:line="420" w:lineRule="atLeast"/>
      <w:ind w:left="1134" w:hanging="227"/>
      <w:textAlignment w:val="baseline"/>
    </w:pPr>
    <w:rPr>
      <w:kern w:val="0"/>
      <w:szCs w:val="20"/>
    </w:rPr>
  </w:style>
  <w:style w:type="paragraph" w:styleId="12">
    <w:name w:val="Body Text Indent"/>
    <w:basedOn w:val="1"/>
    <w:link w:val="36"/>
    <w:uiPriority w:val="0"/>
    <w:pPr>
      <w:spacing w:after="120"/>
      <w:ind w:left="420" w:leftChars="200"/>
    </w:pPr>
    <w:rPr>
      <w:kern w:val="0"/>
      <w:szCs w:val="20"/>
    </w:rPr>
  </w:style>
  <w:style w:type="paragraph" w:styleId="13">
    <w:name w:val="Plain Text"/>
    <w:basedOn w:val="1"/>
    <w:next w:val="8"/>
    <w:qFormat/>
    <w:locked/>
    <w:uiPriority w:val="0"/>
    <w:rPr>
      <w:rFonts w:ascii="宋体" w:hAnsi="Courier New"/>
    </w:rPr>
  </w:style>
  <w:style w:type="paragraph" w:styleId="14">
    <w:name w:val="Date"/>
    <w:basedOn w:val="1"/>
    <w:next w:val="1"/>
    <w:link w:val="37"/>
    <w:uiPriority w:val="0"/>
    <w:pPr>
      <w:ind w:left="100" w:leftChars="2500"/>
    </w:pPr>
    <w:rPr>
      <w:kern w:val="0"/>
      <w:szCs w:val="20"/>
    </w:rPr>
  </w:style>
  <w:style w:type="paragraph" w:styleId="15">
    <w:name w:val="Balloon Text"/>
    <w:basedOn w:val="1"/>
    <w:link w:val="38"/>
    <w:semiHidden/>
    <w:uiPriority w:val="0"/>
    <w:rPr>
      <w:kern w:val="0"/>
      <w:sz w:val="18"/>
      <w:szCs w:val="20"/>
    </w:rPr>
  </w:style>
  <w:style w:type="paragraph" w:styleId="16">
    <w:name w:val="footer"/>
    <w:basedOn w:val="1"/>
    <w:link w:val="39"/>
    <w:uiPriority w:val="99"/>
    <w:pPr>
      <w:tabs>
        <w:tab w:val="center" w:pos="4153"/>
        <w:tab w:val="right" w:pos="8306"/>
      </w:tabs>
      <w:snapToGrid w:val="0"/>
      <w:jc w:val="left"/>
    </w:pPr>
    <w:rPr>
      <w:kern w:val="0"/>
      <w:sz w:val="18"/>
      <w:szCs w:val="20"/>
    </w:rPr>
  </w:style>
  <w:style w:type="paragraph" w:styleId="17">
    <w:name w:val="header"/>
    <w:basedOn w:val="1"/>
    <w:link w:val="40"/>
    <w:uiPriority w:val="0"/>
    <w:pPr>
      <w:pBdr>
        <w:bottom w:val="single" w:color="auto" w:sz="6" w:space="1"/>
      </w:pBdr>
      <w:tabs>
        <w:tab w:val="center" w:pos="4153"/>
        <w:tab w:val="right" w:pos="8306"/>
      </w:tabs>
      <w:snapToGrid w:val="0"/>
      <w:jc w:val="center"/>
    </w:pPr>
    <w:rPr>
      <w:kern w:val="0"/>
      <w:sz w:val="18"/>
      <w:szCs w:val="20"/>
    </w:rPr>
  </w:style>
  <w:style w:type="paragraph" w:styleId="18">
    <w:name w:val="Body Text 2"/>
    <w:basedOn w:val="1"/>
    <w:qFormat/>
    <w:locked/>
    <w:uiPriority w:val="0"/>
    <w:pPr>
      <w:spacing w:after="120" w:line="480" w:lineRule="auto"/>
    </w:pPr>
    <w:rPr>
      <w:lang w:eastAsia="ja-JP"/>
    </w:rPr>
  </w:style>
  <w:style w:type="paragraph" w:styleId="19">
    <w:name w:val="Normal (Web)"/>
    <w:basedOn w:val="1"/>
    <w:link w:val="41"/>
    <w:qFormat/>
    <w:uiPriority w:val="0"/>
    <w:pPr>
      <w:widowControl/>
      <w:spacing w:before="100" w:beforeAutospacing="1" w:after="100" w:afterAutospacing="1"/>
      <w:jc w:val="left"/>
    </w:pPr>
    <w:rPr>
      <w:rFonts w:ascii="宋体" w:hAnsi="宋体"/>
      <w:kern w:val="0"/>
      <w:szCs w:val="20"/>
    </w:rPr>
  </w:style>
  <w:style w:type="paragraph" w:styleId="20">
    <w:name w:val="Title"/>
    <w:basedOn w:val="1"/>
    <w:next w:val="1"/>
    <w:link w:val="42"/>
    <w:qFormat/>
    <w:locked/>
    <w:uiPriority w:val="0"/>
    <w:pPr>
      <w:spacing w:before="240" w:after="60"/>
      <w:jc w:val="center"/>
      <w:outlineLvl w:val="0"/>
    </w:pPr>
    <w:rPr>
      <w:rFonts w:ascii="等线 Light" w:hAnsi="等线 Light"/>
      <w:b/>
      <w:bCs/>
      <w:sz w:val="32"/>
      <w:szCs w:val="32"/>
    </w:rPr>
  </w:style>
  <w:style w:type="paragraph" w:styleId="21">
    <w:name w:val="annotation subject"/>
    <w:basedOn w:val="7"/>
    <w:next w:val="7"/>
    <w:link w:val="43"/>
    <w:qFormat/>
    <w:uiPriority w:val="0"/>
    <w:rPr>
      <w:b/>
    </w:rPr>
  </w:style>
  <w:style w:type="paragraph" w:styleId="22">
    <w:name w:val="Body Text First Indent"/>
    <w:basedOn w:val="9"/>
    <w:next w:val="23"/>
    <w:unhideWhenUsed/>
    <w:qFormat/>
    <w:locked/>
    <w:uiPriority w:val="99"/>
    <w:pPr>
      <w:ind w:firstLine="420" w:firstLineChars="100"/>
    </w:pPr>
  </w:style>
  <w:style w:type="paragraph" w:styleId="23">
    <w:name w:val="Body Text First Indent 2"/>
    <w:basedOn w:val="12"/>
    <w:next w:val="1"/>
    <w:qFormat/>
    <w:locked/>
    <w:uiPriority w:val="0"/>
    <w:pPr>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qFormat/>
    <w:locked/>
    <w:uiPriority w:val="0"/>
  </w:style>
  <w:style w:type="character" w:styleId="29">
    <w:name w:val="Hyperlink"/>
    <w:qFormat/>
    <w:locked/>
    <w:uiPriority w:val="0"/>
    <w:rPr>
      <w:color w:val="0000FF"/>
      <w:u w:val="single"/>
    </w:rPr>
  </w:style>
  <w:style w:type="character" w:styleId="30">
    <w:name w:val="annotation reference"/>
    <w:semiHidden/>
    <w:qFormat/>
    <w:uiPriority w:val="0"/>
    <w:rPr>
      <w:sz w:val="21"/>
    </w:rPr>
  </w:style>
  <w:style w:type="character" w:customStyle="1" w:styleId="31">
    <w:name w:val="标题 3 字符"/>
    <w:link w:val="4"/>
    <w:semiHidden/>
    <w:uiPriority w:val="0"/>
    <w:rPr>
      <w:b/>
      <w:bCs/>
      <w:kern w:val="2"/>
      <w:sz w:val="32"/>
      <w:szCs w:val="32"/>
    </w:rPr>
  </w:style>
  <w:style w:type="character" w:customStyle="1" w:styleId="32">
    <w:name w:val="标题 4 字符"/>
    <w:link w:val="5"/>
    <w:uiPriority w:val="0"/>
    <w:rPr>
      <w:rFonts w:ascii="Cambria" w:hAnsi="Cambria" w:eastAsia="宋体" w:cs="Times New Roman"/>
      <w:b/>
      <w:bCs/>
      <w:kern w:val="2"/>
      <w:sz w:val="28"/>
      <w:szCs w:val="28"/>
    </w:rPr>
  </w:style>
  <w:style w:type="character" w:customStyle="1" w:styleId="33">
    <w:name w:val="标题 5 字符"/>
    <w:link w:val="6"/>
    <w:semiHidden/>
    <w:uiPriority w:val="0"/>
    <w:rPr>
      <w:b/>
      <w:bCs/>
      <w:kern w:val="2"/>
      <w:sz w:val="28"/>
      <w:szCs w:val="28"/>
    </w:rPr>
  </w:style>
  <w:style w:type="character" w:customStyle="1" w:styleId="34">
    <w:name w:val="批注文字 字符"/>
    <w:link w:val="7"/>
    <w:qFormat/>
    <w:locked/>
    <w:uiPriority w:val="0"/>
    <w:rPr>
      <w:rFonts w:ascii="Times New Roman" w:hAnsi="Times New Roman" w:eastAsia="宋体"/>
      <w:sz w:val="24"/>
    </w:rPr>
  </w:style>
  <w:style w:type="character" w:customStyle="1" w:styleId="35">
    <w:name w:val="正文文本 字符"/>
    <w:link w:val="9"/>
    <w:locked/>
    <w:uiPriority w:val="0"/>
    <w:rPr>
      <w:sz w:val="18"/>
    </w:rPr>
  </w:style>
  <w:style w:type="character" w:customStyle="1" w:styleId="36">
    <w:name w:val="正文文本缩进 字符"/>
    <w:link w:val="12"/>
    <w:semiHidden/>
    <w:locked/>
    <w:uiPriority w:val="0"/>
    <w:rPr>
      <w:rFonts w:ascii="Times New Roman" w:hAnsi="Times New Roman" w:eastAsia="宋体"/>
      <w:sz w:val="24"/>
    </w:rPr>
  </w:style>
  <w:style w:type="character" w:customStyle="1" w:styleId="37">
    <w:name w:val="日期 字符1"/>
    <w:link w:val="14"/>
    <w:locked/>
    <w:uiPriority w:val="0"/>
    <w:rPr>
      <w:rFonts w:ascii="Times New Roman" w:hAnsi="Times New Roman" w:eastAsia="宋体"/>
      <w:sz w:val="24"/>
    </w:rPr>
  </w:style>
  <w:style w:type="character" w:customStyle="1" w:styleId="38">
    <w:name w:val="批注框文本 字符"/>
    <w:link w:val="15"/>
    <w:semiHidden/>
    <w:locked/>
    <w:uiPriority w:val="0"/>
    <w:rPr>
      <w:rFonts w:ascii="Times New Roman" w:hAnsi="Times New Roman" w:eastAsia="宋体"/>
      <w:sz w:val="18"/>
    </w:rPr>
  </w:style>
  <w:style w:type="character" w:customStyle="1" w:styleId="39">
    <w:name w:val="页脚 字符1"/>
    <w:link w:val="16"/>
    <w:locked/>
    <w:uiPriority w:val="99"/>
    <w:rPr>
      <w:sz w:val="18"/>
    </w:rPr>
  </w:style>
  <w:style w:type="character" w:customStyle="1" w:styleId="40">
    <w:name w:val="页眉 字符"/>
    <w:link w:val="17"/>
    <w:qFormat/>
    <w:locked/>
    <w:uiPriority w:val="0"/>
    <w:rPr>
      <w:sz w:val="18"/>
    </w:rPr>
  </w:style>
  <w:style w:type="character" w:customStyle="1" w:styleId="41">
    <w:name w:val="普通(网站) 字符"/>
    <w:link w:val="19"/>
    <w:qFormat/>
    <w:locked/>
    <w:uiPriority w:val="0"/>
    <w:rPr>
      <w:rFonts w:ascii="宋体" w:hAnsi="宋体" w:eastAsia="宋体"/>
      <w:sz w:val="24"/>
    </w:rPr>
  </w:style>
  <w:style w:type="character" w:customStyle="1" w:styleId="42">
    <w:name w:val="标题 字符"/>
    <w:link w:val="20"/>
    <w:qFormat/>
    <w:uiPriority w:val="0"/>
    <w:rPr>
      <w:rFonts w:ascii="等线 Light" w:hAnsi="等线 Light" w:cs="Times New Roman"/>
      <w:b/>
      <w:bCs/>
      <w:kern w:val="2"/>
      <w:sz w:val="32"/>
      <w:szCs w:val="32"/>
    </w:rPr>
  </w:style>
  <w:style w:type="character" w:customStyle="1" w:styleId="43">
    <w:name w:val="批注主题 字符"/>
    <w:link w:val="21"/>
    <w:semiHidden/>
    <w:qFormat/>
    <w:locked/>
    <w:uiPriority w:val="0"/>
    <w:rPr>
      <w:rFonts w:ascii="Times New Roman" w:hAnsi="Times New Roman" w:eastAsia="宋体"/>
      <w:b/>
      <w:kern w:val="2"/>
      <w:sz w:val="24"/>
    </w:rPr>
  </w:style>
  <w:style w:type="character" w:customStyle="1" w:styleId="44">
    <w:name w:val="表格 Char"/>
    <w:link w:val="45"/>
    <w:qFormat/>
    <w:locked/>
    <w:uiPriority w:val="0"/>
    <w:rPr>
      <w:rFonts w:ascii="宋体"/>
      <w:sz w:val="21"/>
    </w:rPr>
  </w:style>
  <w:style w:type="paragraph" w:customStyle="1" w:styleId="45">
    <w:name w:val="表格"/>
    <w:basedOn w:val="1"/>
    <w:next w:val="1"/>
    <w:link w:val="44"/>
    <w:qFormat/>
    <w:uiPriority w:val="0"/>
    <w:pPr>
      <w:adjustRightInd w:val="0"/>
      <w:snapToGrid w:val="0"/>
      <w:spacing w:beforeLines="10" w:afterLines="10" w:line="259" w:lineRule="auto"/>
      <w:jc w:val="center"/>
    </w:pPr>
    <w:rPr>
      <w:rFonts w:ascii="宋体"/>
      <w:kern w:val="0"/>
      <w:szCs w:val="20"/>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日期 字符"/>
    <w:semiHidden/>
    <w:qFormat/>
    <w:uiPriority w:val="0"/>
    <w:rPr>
      <w:rFonts w:ascii="Times New Roman" w:hAnsi="Times New Roman" w:eastAsia="宋体"/>
      <w:sz w:val="24"/>
    </w:rPr>
  </w:style>
  <w:style w:type="character" w:customStyle="1" w:styleId="48">
    <w:name w:val="正文文本 字符1"/>
    <w:semiHidden/>
    <w:qFormat/>
    <w:uiPriority w:val="0"/>
    <w:rPr>
      <w:rFonts w:ascii="Times New Roman" w:hAnsi="Times New Roman" w:eastAsia="宋体"/>
      <w:sz w:val="24"/>
    </w:rPr>
  </w:style>
  <w:style w:type="character" w:customStyle="1" w:styleId="49">
    <w:name w:val="页脚 字符"/>
    <w:qFormat/>
    <w:uiPriority w:val="99"/>
  </w:style>
  <w:style w:type="paragraph" w:customStyle="1" w:styleId="50">
    <w:name w:val="Table Paragraph"/>
    <w:basedOn w:val="1"/>
    <w:qFormat/>
    <w:uiPriority w:val="1"/>
    <w:rPr>
      <w:rFonts w:ascii="宋体" w:hAnsi="宋体" w:cs="宋体"/>
      <w:lang w:val="zh-CN" w:bidi="zh-CN"/>
    </w:rPr>
  </w:style>
  <w:style w:type="paragraph" w:customStyle="1" w:styleId="51">
    <w:name w:val="正文新"/>
    <w:basedOn w:val="1"/>
    <w:next w:val="1"/>
    <w:qFormat/>
    <w:uiPriority w:val="0"/>
    <w:pPr>
      <w:spacing w:line="360" w:lineRule="auto"/>
      <w:ind w:firstLine="480" w:firstLineChars="200"/>
    </w:pPr>
    <w:rPr>
      <w:color w:val="00000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题目1"/>
    <w:basedOn w:val="1"/>
    <w:link w:val="82"/>
    <w:qFormat/>
    <w:uiPriority w:val="0"/>
    <w:pPr>
      <w:ind w:firstLine="527" w:firstLineChars="250"/>
      <w:jc w:val="left"/>
    </w:pPr>
    <w:rPr>
      <w:b/>
      <w:bCs/>
      <w:color w:val="000000"/>
    </w:rPr>
  </w:style>
  <w:style w:type="paragraph" w:customStyle="1" w:styleId="54">
    <w:name w:val="标题2"/>
    <w:basedOn w:val="13"/>
    <w:qFormat/>
    <w:uiPriority w:val="0"/>
    <w:pPr>
      <w:adjustRightInd w:val="0"/>
      <w:snapToGrid w:val="0"/>
      <w:spacing w:before="120" w:after="120" w:line="360" w:lineRule="auto"/>
    </w:pPr>
    <w:rPr>
      <w:rFonts w:ascii="Times New Roman" w:hAnsi="Times New Roman"/>
      <w:b/>
      <w:color w:val="000000"/>
      <w:sz w:val="28"/>
    </w:rPr>
  </w:style>
  <w:style w:type="paragraph" w:customStyle="1" w:styleId="55">
    <w:name w:val="u正文"/>
    <w:basedOn w:val="1"/>
    <w:next w:val="1"/>
    <w:qFormat/>
    <w:uiPriority w:val="0"/>
    <w:pPr>
      <w:spacing w:line="440" w:lineRule="exact"/>
      <w:ind w:firstLine="480" w:firstLineChars="200"/>
    </w:pPr>
    <w:rPr>
      <w:kern w:val="0"/>
      <w:szCs w:val="20"/>
    </w:rPr>
  </w:style>
  <w:style w:type="paragraph" w:customStyle="1" w:styleId="56">
    <w:name w:val="普通(网站)2"/>
    <w:basedOn w:val="1"/>
    <w:uiPriority w:val="0"/>
    <w:pPr>
      <w:widowControl/>
      <w:spacing w:before="100" w:beforeAutospacing="1" w:after="100" w:afterAutospacing="1"/>
      <w:jc w:val="left"/>
    </w:pPr>
    <w:rPr>
      <w:rFonts w:ascii="宋体" w:hAnsi="宋体"/>
      <w:szCs w:val="20"/>
    </w:rPr>
  </w:style>
  <w:style w:type="paragraph" w:customStyle="1" w:styleId="57">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
    <w:basedOn w:val="1"/>
    <w:next w:val="1"/>
    <w:link w:val="88"/>
    <w:qFormat/>
    <w:uiPriority w:val="0"/>
    <w:pPr>
      <w:spacing w:line="360" w:lineRule="auto"/>
      <w:ind w:firstLine="200" w:firstLineChars="200"/>
    </w:pPr>
    <w:rPr>
      <w:color w:val="000000"/>
      <w:kern w:val="0"/>
    </w:rPr>
  </w:style>
  <w:style w:type="paragraph" w:customStyle="1" w:styleId="59">
    <w:name w:val="正文-1"/>
    <w:qFormat/>
    <w:uiPriority w:val="0"/>
    <w:pPr>
      <w:spacing w:line="480" w:lineRule="exact"/>
      <w:ind w:firstLine="200" w:firstLineChars="200"/>
      <w:jc w:val="both"/>
    </w:pPr>
    <w:rPr>
      <w:rFonts w:ascii="Times New Roman" w:hAnsi="Times New Roman" w:eastAsia="宋体" w:cs="宋体"/>
      <w:kern w:val="2"/>
      <w:sz w:val="24"/>
      <w:lang w:val="en-US" w:eastAsia="zh-CN" w:bidi="ar-SA"/>
    </w:rPr>
  </w:style>
  <w:style w:type="paragraph" w:customStyle="1" w:styleId="60">
    <w:name w:val="样式 小四 首行缩进:  0.85 厘米 行距: 1.5 倍行距1"/>
    <w:basedOn w:val="1"/>
    <w:qFormat/>
    <w:uiPriority w:val="0"/>
    <w:pPr>
      <w:spacing w:line="360" w:lineRule="auto"/>
      <w:ind w:firstLine="480"/>
    </w:pPr>
    <w:rPr>
      <w:rFonts w:ascii="宋体" w:hAnsi="宋体"/>
      <w:kern w:val="0"/>
      <w:szCs w:val="20"/>
    </w:rPr>
  </w:style>
  <w:style w:type="paragraph" w:customStyle="1" w:styleId="61">
    <w:name w:val="样式9"/>
    <w:basedOn w:val="1"/>
    <w:qFormat/>
    <w:uiPriority w:val="0"/>
    <w:pPr>
      <w:spacing w:line="520" w:lineRule="exact"/>
      <w:ind w:firstLine="560" w:firstLineChars="200"/>
    </w:pPr>
    <w:rPr>
      <w:color w:val="000000"/>
      <w:sz w:val="28"/>
      <w:szCs w:val="28"/>
    </w:rPr>
  </w:style>
  <w:style w:type="paragraph" w:customStyle="1" w:styleId="62">
    <w:name w:val="正文1"/>
    <w:basedOn w:val="1"/>
    <w:qFormat/>
    <w:uiPriority w:val="0"/>
    <w:pPr>
      <w:widowControl/>
      <w:spacing w:line="360" w:lineRule="auto"/>
      <w:ind w:firstLine="480"/>
    </w:pPr>
    <w:rPr>
      <w:bCs/>
      <w:color w:val="0070C0"/>
      <w:kern w:val="0"/>
      <w:szCs w:val="26"/>
    </w:rPr>
  </w:style>
  <w:style w:type="paragraph" w:customStyle="1" w:styleId="63">
    <w:name w:val="表格内容1"/>
    <w:basedOn w:val="1"/>
    <w:link w:val="79"/>
    <w:qFormat/>
    <w:uiPriority w:val="0"/>
    <w:pPr>
      <w:tabs>
        <w:tab w:val="left" w:pos="1535"/>
        <w:tab w:val="left" w:pos="3105"/>
        <w:tab w:val="left" w:pos="4676"/>
        <w:tab w:val="left" w:pos="6247"/>
        <w:tab w:val="left" w:pos="7740"/>
        <w:tab w:val="left" w:pos="9288"/>
      </w:tabs>
      <w:adjustRightInd w:val="0"/>
      <w:snapToGrid w:val="0"/>
      <w:jc w:val="center"/>
      <w:textAlignment w:val="baseline"/>
    </w:pPr>
    <w:rPr>
      <w:sz w:val="21"/>
      <w:szCs w:val="21"/>
    </w:rPr>
  </w:style>
  <w:style w:type="paragraph" w:customStyle="1" w:styleId="64">
    <w:name w:val="正正文"/>
    <w:basedOn w:val="1"/>
    <w:link w:val="65"/>
    <w:uiPriority w:val="0"/>
    <w:pPr>
      <w:spacing w:line="360" w:lineRule="auto"/>
      <w:ind w:firstLine="480" w:firstLineChars="200"/>
    </w:pPr>
    <w:rPr>
      <w:bCs/>
      <w:snapToGrid w:val="0"/>
      <w:szCs w:val="28"/>
    </w:rPr>
  </w:style>
  <w:style w:type="character" w:customStyle="1" w:styleId="65">
    <w:name w:val="正正文 Char"/>
    <w:link w:val="64"/>
    <w:uiPriority w:val="0"/>
    <w:rPr>
      <w:rFonts w:ascii="Times New Roman" w:hAnsi="Times New Roman"/>
      <w:bCs/>
      <w:snapToGrid/>
      <w:kern w:val="2"/>
      <w:sz w:val="24"/>
      <w:szCs w:val="28"/>
    </w:rPr>
  </w:style>
  <w:style w:type="paragraph" w:customStyle="1" w:styleId="66">
    <w:name w:val="分点段落文字"/>
    <w:basedOn w:val="1"/>
    <w:uiPriority w:val="0"/>
    <w:pPr>
      <w:numPr>
        <w:ilvl w:val="0"/>
        <w:numId w:val="1"/>
      </w:numPr>
      <w:spacing w:line="360" w:lineRule="auto"/>
    </w:pPr>
  </w:style>
  <w:style w:type="character" w:customStyle="1" w:styleId="67">
    <w:name w:val="正文新 字符"/>
    <w:uiPriority w:val="0"/>
    <w:rPr>
      <w:kern w:val="2"/>
      <w:sz w:val="24"/>
      <w:szCs w:val="24"/>
    </w:rPr>
  </w:style>
  <w:style w:type="table" w:customStyle="1" w:styleId="68">
    <w:name w:val="Table Normal"/>
    <w:basedOn w:val="24"/>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69">
    <w:name w:val="表格内"/>
    <w:basedOn w:val="1"/>
    <w:qFormat/>
    <w:uiPriority w:val="0"/>
    <w:pPr>
      <w:spacing w:line="360" w:lineRule="exact"/>
      <w:jc w:val="center"/>
    </w:pPr>
    <w:rPr>
      <w:snapToGrid w:val="0"/>
      <w:sz w:val="21"/>
      <w:szCs w:val="21"/>
    </w:rPr>
  </w:style>
  <w:style w:type="character" w:customStyle="1" w:styleId="70">
    <w:name w:val="font31"/>
    <w:uiPriority w:val="0"/>
    <w:rPr>
      <w:rFonts w:hint="default" w:ascii="Times New Roman" w:hAnsi="Times New Roman" w:cs="Times New Roman"/>
      <w:color w:val="000000"/>
      <w:sz w:val="21"/>
      <w:szCs w:val="21"/>
      <w:u w:val="none"/>
    </w:rPr>
  </w:style>
  <w:style w:type="character" w:customStyle="1" w:styleId="71">
    <w:name w:val="font11"/>
    <w:uiPriority w:val="0"/>
    <w:rPr>
      <w:rFonts w:hint="eastAsia" w:ascii="宋体" w:hAnsi="宋体" w:eastAsia="宋体"/>
      <w:color w:val="000000"/>
      <w:sz w:val="21"/>
      <w:szCs w:val="21"/>
      <w:u w:val="none"/>
    </w:rPr>
  </w:style>
  <w:style w:type="character" w:customStyle="1" w:styleId="72">
    <w:name w:val="font41"/>
    <w:qFormat/>
    <w:uiPriority w:val="0"/>
    <w:rPr>
      <w:rFonts w:hint="default" w:ascii="Times New Roman" w:hAnsi="Times New Roman" w:cs="Times New Roman"/>
      <w:color w:val="000000"/>
      <w:sz w:val="21"/>
      <w:szCs w:val="21"/>
      <w:u w:val="none"/>
      <w:vertAlign w:val="superscript"/>
    </w:rPr>
  </w:style>
  <w:style w:type="character" w:customStyle="1" w:styleId="73">
    <w:name w:val="font51"/>
    <w:uiPriority w:val="0"/>
    <w:rPr>
      <w:rFonts w:hint="default" w:ascii="Times New Roman" w:hAnsi="Times New Roman" w:cs="Times New Roman"/>
      <w:color w:val="000000"/>
      <w:sz w:val="21"/>
      <w:szCs w:val="21"/>
      <w:u w:val="none"/>
      <w:vertAlign w:val="subscript"/>
    </w:rPr>
  </w:style>
  <w:style w:type="paragraph" w:customStyle="1" w:styleId="74">
    <w:name w:val="表头，alt+D"/>
    <w:basedOn w:val="1"/>
    <w:qFormat/>
    <w:uiPriority w:val="0"/>
    <w:pPr>
      <w:widowControl/>
      <w:kinsoku w:val="0"/>
      <w:autoSpaceDE w:val="0"/>
      <w:autoSpaceDN w:val="0"/>
      <w:adjustRightInd w:val="0"/>
      <w:snapToGrid w:val="0"/>
      <w:spacing w:before="60" w:after="60" w:line="240" w:lineRule="atLeast"/>
      <w:ind w:left="-113" w:right="-113"/>
      <w:jc w:val="center"/>
      <w:textAlignment w:val="center"/>
    </w:pPr>
    <w:rPr>
      <w:rFonts w:ascii="Arial" w:hAnsi="Arial" w:cs="Arial"/>
      <w:color w:val="808000"/>
      <w:kern w:val="0"/>
      <w:szCs w:val="21"/>
    </w:rPr>
  </w:style>
  <w:style w:type="paragraph" w:customStyle="1" w:styleId="75">
    <w:name w:val="标准正文"/>
    <w:basedOn w:val="1"/>
    <w:qFormat/>
    <w:uiPriority w:val="0"/>
    <w:pPr>
      <w:widowControl/>
      <w:kinsoku w:val="0"/>
      <w:autoSpaceDE w:val="0"/>
      <w:autoSpaceDN w:val="0"/>
      <w:adjustRightInd w:val="0"/>
      <w:snapToGrid w:val="0"/>
      <w:spacing w:line="360" w:lineRule="auto"/>
      <w:ind w:firstLine="480" w:firstLineChars="200"/>
      <w:jc w:val="left"/>
      <w:textAlignment w:val="baseline"/>
    </w:pPr>
    <w:rPr>
      <w:rFonts w:ascii="宋体" w:hAnsi="Arial" w:cs="Arial"/>
      <w:color w:val="000000"/>
      <w:kern w:val="0"/>
      <w:sz w:val="28"/>
      <w:szCs w:val="22"/>
    </w:rPr>
  </w:style>
  <w:style w:type="paragraph" w:customStyle="1" w:styleId="76">
    <w:name w:val="1表格题目"/>
    <w:basedOn w:val="1"/>
    <w:link w:val="78"/>
    <w:qFormat/>
    <w:uiPriority w:val="0"/>
    <w:pPr>
      <w:spacing w:line="240" w:lineRule="atLeast"/>
      <w:ind w:firstLine="200" w:firstLineChars="200"/>
      <w:jc w:val="left"/>
    </w:pPr>
    <w:rPr>
      <w:rFonts w:eastAsia="黑体"/>
      <w:snapToGrid w:val="0"/>
      <w:color w:val="000000"/>
      <w:sz w:val="21"/>
    </w:rPr>
  </w:style>
  <w:style w:type="paragraph" w:customStyle="1" w:styleId="77">
    <w:name w:val="1正文"/>
    <w:basedOn w:val="1"/>
    <w:link w:val="80"/>
    <w:qFormat/>
    <w:uiPriority w:val="0"/>
    <w:pPr>
      <w:spacing w:line="360" w:lineRule="auto"/>
      <w:ind w:firstLine="482" w:firstLineChars="200"/>
    </w:pPr>
  </w:style>
  <w:style w:type="character" w:customStyle="1" w:styleId="78">
    <w:name w:val="1表格题目 字符"/>
    <w:link w:val="76"/>
    <w:uiPriority w:val="0"/>
    <w:rPr>
      <w:rFonts w:eastAsia="黑体"/>
      <w:snapToGrid w:val="0"/>
      <w:color w:val="000000"/>
      <w:kern w:val="2"/>
      <w:sz w:val="21"/>
      <w:szCs w:val="24"/>
    </w:rPr>
  </w:style>
  <w:style w:type="character" w:customStyle="1" w:styleId="79">
    <w:name w:val="表格内容1 字符"/>
    <w:link w:val="63"/>
    <w:qFormat/>
    <w:locked/>
    <w:uiPriority w:val="0"/>
    <w:rPr>
      <w:kern w:val="2"/>
      <w:sz w:val="21"/>
      <w:szCs w:val="21"/>
    </w:rPr>
  </w:style>
  <w:style w:type="character" w:customStyle="1" w:styleId="80">
    <w:name w:val="1正文 字符"/>
    <w:link w:val="77"/>
    <w:uiPriority w:val="0"/>
    <w:rPr>
      <w:kern w:val="2"/>
      <w:sz w:val="24"/>
      <w:szCs w:val="24"/>
    </w:rPr>
  </w:style>
  <w:style w:type="paragraph" w:customStyle="1" w:styleId="81">
    <w:name w:val="表格后题目"/>
    <w:basedOn w:val="77"/>
    <w:link w:val="83"/>
    <w:qFormat/>
    <w:uiPriority w:val="0"/>
    <w:pPr>
      <w:ind w:firstLine="200"/>
    </w:pPr>
    <w:rPr>
      <w:sz w:val="10"/>
      <w:szCs w:val="10"/>
    </w:rPr>
  </w:style>
  <w:style w:type="character" w:customStyle="1" w:styleId="82">
    <w:name w:val="表格题目1 字符"/>
    <w:link w:val="53"/>
    <w:qFormat/>
    <w:uiPriority w:val="0"/>
    <w:rPr>
      <w:b/>
      <w:bCs/>
      <w:color w:val="000000"/>
      <w:kern w:val="2"/>
      <w:sz w:val="24"/>
      <w:szCs w:val="24"/>
    </w:rPr>
  </w:style>
  <w:style w:type="character" w:customStyle="1" w:styleId="83">
    <w:name w:val="表格后题目 字符"/>
    <w:link w:val="81"/>
    <w:uiPriority w:val="0"/>
    <w:rPr>
      <w:kern w:val="2"/>
      <w:sz w:val="10"/>
      <w:szCs w:val="10"/>
    </w:rPr>
  </w:style>
  <w:style w:type="character" w:customStyle="1" w:styleId="84">
    <w:name w:val="表格新 字符"/>
    <w:link w:val="85"/>
    <w:qFormat/>
    <w:uiPriority w:val="0"/>
    <w:rPr>
      <w:bCs/>
      <w:kern w:val="2"/>
      <w:sz w:val="21"/>
      <w:szCs w:val="21"/>
    </w:rPr>
  </w:style>
  <w:style w:type="paragraph" w:customStyle="1" w:styleId="85">
    <w:name w:val="表格新"/>
    <w:basedOn w:val="1"/>
    <w:link w:val="84"/>
    <w:qFormat/>
    <w:uiPriority w:val="0"/>
    <w:pPr>
      <w:jc w:val="center"/>
    </w:pPr>
    <w:rPr>
      <w:bCs/>
      <w:sz w:val="21"/>
      <w:szCs w:val="21"/>
    </w:rPr>
  </w:style>
  <w:style w:type="paragraph" w:customStyle="1" w:styleId="86">
    <w:name w:val="正文文本缩进1"/>
    <w:basedOn w:val="1"/>
    <w:qFormat/>
    <w:uiPriority w:val="99"/>
    <w:pPr>
      <w:spacing w:line="320" w:lineRule="exact"/>
      <w:ind w:firstLine="113"/>
      <w:jc w:val="center"/>
    </w:pPr>
    <w:rPr>
      <w:rFonts w:ascii="宋体" w:hAnsi="宋体"/>
      <w:bCs/>
      <w:color w:val="000000"/>
      <w:szCs w:val="28"/>
    </w:rPr>
  </w:style>
  <w:style w:type="paragraph" w:styleId="87">
    <w:name w:val="List Paragraph"/>
    <w:basedOn w:val="1"/>
    <w:qFormat/>
    <w:uiPriority w:val="99"/>
    <w:pPr>
      <w:ind w:firstLine="420" w:firstLineChars="200"/>
    </w:pPr>
  </w:style>
  <w:style w:type="character" w:customStyle="1" w:styleId="88">
    <w:name w:val="！正文 Char"/>
    <w:link w:val="58"/>
    <w:qFormat/>
    <w:locked/>
    <w:uiPriority w:val="0"/>
    <w:rPr>
      <w:color w:val="000000"/>
      <w:sz w:val="24"/>
      <w:szCs w:val="24"/>
    </w:rPr>
  </w:style>
  <w:style w:type="paragraph" w:customStyle="1" w:styleId="89">
    <w:name w:val="。。表头"/>
    <w:basedOn w:val="1"/>
    <w:qFormat/>
    <w:uiPriority w:val="0"/>
    <w:pPr>
      <w:jc w:val="center"/>
    </w:pPr>
    <w:rPr>
      <w:rFonts w:eastAsia="黑体"/>
      <w:bCs/>
      <w:sz w:val="21"/>
    </w:rPr>
  </w:style>
  <w:style w:type="table" w:customStyle="1" w:styleId="90">
    <w:name w:val="表格样式1"/>
    <w:basedOn w:val="24"/>
    <w:uiPriority w:val="99"/>
    <w:tblPr>
      <w:tblBorders>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emf"/><Relationship Id="rId6" Type="http://schemas.openxmlformats.org/officeDocument/2006/relationships/package" Target="embeddings/Microsoft_Visio___1.vsdx"/><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image" Target="media/image36.jpeg"/><Relationship Id="rId47" Type="http://schemas.openxmlformats.org/officeDocument/2006/relationships/image" Target="media/image35.jpeg"/><Relationship Id="rId46" Type="http://schemas.openxmlformats.org/officeDocument/2006/relationships/image" Target="media/image34.jpeg"/><Relationship Id="rId45" Type="http://schemas.openxmlformats.org/officeDocument/2006/relationships/image" Target="media/image33.jpeg"/><Relationship Id="rId44" Type="http://schemas.openxmlformats.org/officeDocument/2006/relationships/image" Target="media/image32.jpeg"/><Relationship Id="rId43" Type="http://schemas.openxmlformats.org/officeDocument/2006/relationships/image" Target="media/image31.jpeg"/><Relationship Id="rId42" Type="http://schemas.openxmlformats.org/officeDocument/2006/relationships/image" Target="media/image30.jpeg"/><Relationship Id="rId41" Type="http://schemas.openxmlformats.org/officeDocument/2006/relationships/image" Target="media/image29.jpeg"/><Relationship Id="rId40" Type="http://schemas.openxmlformats.org/officeDocument/2006/relationships/image" Target="media/image28.jpeg"/><Relationship Id="rId4" Type="http://schemas.openxmlformats.org/officeDocument/2006/relationships/footer" Target="footer2.xml"/><Relationship Id="rId39" Type="http://schemas.openxmlformats.org/officeDocument/2006/relationships/image" Target="media/image27.jpeg"/><Relationship Id="rId38" Type="http://schemas.openxmlformats.org/officeDocument/2006/relationships/image" Target="media/image26.png"/><Relationship Id="rId37" Type="http://schemas.openxmlformats.org/officeDocument/2006/relationships/image" Target="media/image25.wmf"/><Relationship Id="rId36" Type="http://schemas.openxmlformats.org/officeDocument/2006/relationships/image" Target="media/image24.wmf"/><Relationship Id="rId35" Type="http://schemas.openxmlformats.org/officeDocument/2006/relationships/image" Target="media/image23.wmf"/><Relationship Id="rId34" Type="http://schemas.openxmlformats.org/officeDocument/2006/relationships/image" Target="media/image22.wmf"/><Relationship Id="rId33" Type="http://schemas.openxmlformats.org/officeDocument/2006/relationships/image" Target="media/image21.wmf"/><Relationship Id="rId32" Type="http://schemas.openxmlformats.org/officeDocument/2006/relationships/image" Target="media/image20.wmf"/><Relationship Id="rId31" Type="http://schemas.openxmlformats.org/officeDocument/2006/relationships/image" Target="media/image19.wmf"/><Relationship Id="rId30" Type="http://schemas.openxmlformats.org/officeDocument/2006/relationships/image" Target="media/image18.wmf"/><Relationship Id="rId3" Type="http://schemas.openxmlformats.org/officeDocument/2006/relationships/footer" Target="footer1.xml"/><Relationship Id="rId29" Type="http://schemas.openxmlformats.org/officeDocument/2006/relationships/image" Target="media/image17.wmf"/><Relationship Id="rId28" Type="http://schemas.openxmlformats.org/officeDocument/2006/relationships/image" Target="media/image16.wmf"/><Relationship Id="rId27" Type="http://schemas.openxmlformats.org/officeDocument/2006/relationships/image" Target="media/image15.wmf"/><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pn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6.vsdx"/><Relationship Id="rId17" Type="http://schemas.openxmlformats.org/officeDocument/2006/relationships/image" Target="media/image6.emf"/><Relationship Id="rId16" Type="http://schemas.openxmlformats.org/officeDocument/2006/relationships/package" Target="embeddings/Microsoft_Visio___5.vsdx"/><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2884E-4075-429E-8391-CA6B2FBFE0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103</Pages>
  <Words>30643</Words>
  <Characters>32365</Characters>
  <Lines>561</Lines>
  <Paragraphs>158</Paragraphs>
  <TotalTime>4369</TotalTime>
  <ScaleCrop>false</ScaleCrop>
  <LinksUpToDate>false</LinksUpToDate>
  <CharactersWithSpaces>32721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2025-04-25T11:23:00Z</dcterms:created>
  <dc:creator>lhj</dc:creator>
  <cp:lastModifiedBy>小麦啾</cp:lastModifiedBy>
  <cp:lastPrinted>2025-06-03T03:37:00Z</cp:lastPrinted>
  <dcterms:modified xsi:type="dcterms:W3CDTF">2025-07-09T12:04:41Z</dcterms:modified>
  <dc:title>附件2</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BA3D9DF01CBE47D19AFBBC945E258AF2_13</vt:lpwstr>
  </property>
  <property fmtid="{D5CDD505-2E9C-101B-9397-08002B2CF9AE}" pid="4" name="KSOTemplateDocerSaveRecord">
    <vt:lpwstr>eyJoZGlkIjoiMzcxN2Q5OGY0MzIxMzQ2YTVkNjkyNjY4OTc0MzQwMDIiLCJ1c2VySWQiOiIzMjQ5NjUzODcifQ==</vt:lpwstr>
  </property>
</Properties>
</file>