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A8164">
      <w:pPr>
        <w:adjustRightInd w:val="0"/>
        <w:snapToGrid w:val="0"/>
        <w:jc w:val="center"/>
        <w:outlineLvl w:val="0"/>
        <w:rPr>
          <w:rFonts w:eastAsia="方正小标宋_GBK"/>
          <w:bCs/>
          <w:color w:val="auto"/>
          <w:sz w:val="72"/>
          <w:szCs w:val="72"/>
          <w:highlight w:val="none"/>
        </w:rPr>
      </w:pPr>
    </w:p>
    <w:p w14:paraId="23C6609B">
      <w:pPr>
        <w:pStyle w:val="25"/>
        <w:rPr>
          <w:rFonts w:eastAsia="方正小标宋_GBK"/>
          <w:bCs/>
          <w:color w:val="auto"/>
          <w:sz w:val="72"/>
          <w:szCs w:val="72"/>
          <w:highlight w:val="none"/>
        </w:rPr>
      </w:pPr>
    </w:p>
    <w:p w14:paraId="113E7A1D">
      <w:pPr>
        <w:pStyle w:val="12"/>
      </w:pPr>
    </w:p>
    <w:p w14:paraId="18F2923A">
      <w:pPr>
        <w:adjustRightInd w:val="0"/>
        <w:snapToGrid w:val="0"/>
        <w:jc w:val="center"/>
        <w:outlineLvl w:val="0"/>
        <w:rPr>
          <w:rFonts w:eastAsia="方正小标宋_GBK"/>
          <w:bCs/>
          <w:color w:val="auto"/>
          <w:sz w:val="72"/>
          <w:szCs w:val="72"/>
          <w:highlight w:val="none"/>
        </w:rPr>
      </w:pPr>
      <w:r>
        <w:rPr>
          <w:rFonts w:eastAsia="方正小标宋_GBK"/>
          <w:bCs/>
          <w:color w:val="auto"/>
          <w:sz w:val="72"/>
          <w:szCs w:val="72"/>
          <w:highlight w:val="none"/>
        </w:rPr>
        <w:t>建设项目环境影响报告表</w:t>
      </w:r>
    </w:p>
    <w:p w14:paraId="7E0BC39D">
      <w:pPr>
        <w:adjustRightInd w:val="0"/>
        <w:snapToGrid w:val="0"/>
        <w:spacing w:before="192" w:beforeLines="80"/>
        <w:jc w:val="center"/>
        <w:rPr>
          <w:rFonts w:eastAsia="楷体_GB2312"/>
          <w:bCs/>
          <w:color w:val="auto"/>
          <w:sz w:val="48"/>
          <w:szCs w:val="48"/>
          <w:highlight w:val="none"/>
        </w:rPr>
      </w:pPr>
      <w:r>
        <w:rPr>
          <w:rFonts w:eastAsia="楷体_GB2312"/>
          <w:bCs/>
          <w:color w:val="auto"/>
          <w:sz w:val="48"/>
          <w:szCs w:val="48"/>
          <w:highlight w:val="none"/>
        </w:rPr>
        <w:t>（污染影响类）</w:t>
      </w:r>
    </w:p>
    <w:p w14:paraId="7663FD84">
      <w:pPr>
        <w:adjustRightInd w:val="0"/>
        <w:snapToGrid w:val="0"/>
        <w:spacing w:line="288" w:lineRule="auto"/>
        <w:jc w:val="center"/>
        <w:outlineLvl w:val="0"/>
        <w:rPr>
          <w:rFonts w:hint="default" w:eastAsia="华文仿宋"/>
          <w:color w:val="auto"/>
          <w:kern w:val="44"/>
          <w:sz w:val="32"/>
          <w:szCs w:val="32"/>
          <w:highlight w:val="none"/>
          <w:lang w:val="en-US" w:eastAsia="zh-CN"/>
        </w:rPr>
      </w:pPr>
    </w:p>
    <w:p w14:paraId="03C8CC6C">
      <w:pPr>
        <w:jc w:val="center"/>
        <w:rPr>
          <w:rFonts w:eastAsia="仿宋"/>
          <w:color w:val="auto"/>
          <w:sz w:val="52"/>
          <w:szCs w:val="52"/>
          <w:highlight w:val="none"/>
        </w:rPr>
      </w:pPr>
    </w:p>
    <w:p w14:paraId="60F5630C">
      <w:pPr>
        <w:ind w:firstLine="1040"/>
        <w:rPr>
          <w:rFonts w:eastAsia="仿宋"/>
          <w:color w:val="auto"/>
          <w:sz w:val="44"/>
          <w:szCs w:val="44"/>
          <w:highlight w:val="none"/>
        </w:rPr>
      </w:pPr>
    </w:p>
    <w:p w14:paraId="3C98E297">
      <w:pPr>
        <w:ind w:firstLine="1040"/>
        <w:rPr>
          <w:rFonts w:eastAsia="仿宋"/>
          <w:color w:val="auto"/>
          <w:sz w:val="44"/>
          <w:szCs w:val="44"/>
          <w:highlight w:val="none"/>
        </w:rPr>
      </w:pPr>
    </w:p>
    <w:p w14:paraId="53517039">
      <w:pPr>
        <w:ind w:firstLine="1040"/>
        <w:rPr>
          <w:rFonts w:eastAsia="仿宋"/>
          <w:color w:val="auto"/>
          <w:sz w:val="44"/>
          <w:szCs w:val="44"/>
          <w:highlight w:val="none"/>
        </w:rPr>
      </w:pPr>
    </w:p>
    <w:p w14:paraId="45366A29">
      <w:pPr>
        <w:pStyle w:val="25"/>
        <w:rPr>
          <w:rFonts w:eastAsia="仿宋"/>
          <w:color w:val="auto"/>
          <w:sz w:val="44"/>
          <w:szCs w:val="44"/>
          <w:highlight w:val="none"/>
        </w:rPr>
      </w:pPr>
    </w:p>
    <w:p w14:paraId="0B640A3C">
      <w:pPr>
        <w:pStyle w:val="12"/>
      </w:pPr>
    </w:p>
    <w:p w14:paraId="7860D0CB">
      <w:pPr>
        <w:ind w:firstLine="1040"/>
        <w:rPr>
          <w:rFonts w:eastAsia="仿宋"/>
          <w:color w:val="auto"/>
          <w:sz w:val="44"/>
          <w:szCs w:val="44"/>
          <w:highlight w:val="none"/>
        </w:rPr>
      </w:pPr>
    </w:p>
    <w:p w14:paraId="6FEC1B51">
      <w:pPr>
        <w:adjustRightInd w:val="0"/>
        <w:snapToGrid w:val="0"/>
        <w:spacing w:line="288" w:lineRule="auto"/>
        <w:ind w:left="1800" w:hanging="1800" w:hangingChars="500"/>
        <w:rPr>
          <w:rFonts w:eastAsia="仿宋_GB2312"/>
          <w:sz w:val="36"/>
          <w:szCs w:val="36"/>
          <w:u w:val="single"/>
        </w:rPr>
      </w:pPr>
      <w:r>
        <w:rPr>
          <w:rFonts w:hint="default" w:ascii="Times New Roman" w:hAnsi="Times New Roman" w:eastAsia="仿宋_GB2312" w:cs="Times New Roman"/>
          <w:sz w:val="36"/>
          <w:szCs w:val="36"/>
        </w:rPr>
        <w:t>项目名称：</w:t>
      </w:r>
      <w:r>
        <w:rPr>
          <w:rFonts w:hint="default" w:ascii="Times New Roman" w:hAnsi="Times New Roman" w:eastAsia="仿宋_GB2312" w:cs="Times New Roman"/>
          <w:sz w:val="36"/>
          <w:szCs w:val="36"/>
          <w:u w:val="single"/>
        </w:rPr>
        <w:t xml:space="preserve"> </w:t>
      </w:r>
      <w:r>
        <w:rPr>
          <w:rFonts w:hint="default" w:ascii="Times New Roman" w:hAnsi="Times New Roman" w:eastAsia="仿宋_GB2312" w:cs="Times New Roman"/>
          <w:sz w:val="36"/>
          <w:szCs w:val="36"/>
          <w:u w:val="single"/>
          <w:lang w:val="en-US" w:eastAsia="zh-CN"/>
        </w:rPr>
        <w:t>高端智慧农业装备生产基地建设项目</w:t>
      </w:r>
      <w:r>
        <w:rPr>
          <w:rFonts w:hint="eastAsia" w:ascii="Times New Roman" w:hAnsi="Times New Roman" w:eastAsia="仿宋_GB2312" w:cs="Times New Roman"/>
          <w:sz w:val="36"/>
          <w:szCs w:val="36"/>
          <w:u w:val="single"/>
          <w:lang w:val="en-US" w:eastAsia="zh-CN"/>
        </w:rPr>
        <w:t xml:space="preserve"> </w:t>
      </w:r>
    </w:p>
    <w:p w14:paraId="155A8B92">
      <w:pPr>
        <w:adjustRightInd w:val="0"/>
        <w:snapToGrid w:val="0"/>
        <w:spacing w:line="288" w:lineRule="auto"/>
        <w:rPr>
          <w:rFonts w:eastAsia="仿宋_GB2312"/>
          <w:sz w:val="36"/>
          <w:szCs w:val="36"/>
          <w:highlight w:val="none"/>
          <w:u w:val="single"/>
        </w:rPr>
      </w:pPr>
      <w:r>
        <w:rPr>
          <w:rFonts w:eastAsia="仿宋_GB2312"/>
          <w:sz w:val="36"/>
          <w:szCs w:val="36"/>
        </w:rPr>
        <w:t>建设单位（盖章）：</w:t>
      </w:r>
      <w:r>
        <w:rPr>
          <w:rFonts w:hint="eastAsia" w:ascii="Times New Roman" w:hAnsi="Times New Roman" w:eastAsia="仿宋_GB2312" w:cs="Times New Roman"/>
          <w:sz w:val="36"/>
          <w:szCs w:val="36"/>
          <w:highlight w:val="none"/>
          <w:u w:val="single"/>
          <w:lang w:val="en-US" w:eastAsia="zh-CN"/>
        </w:rPr>
        <w:t>新疆盛林科创机械制造有限公司</w:t>
      </w:r>
    </w:p>
    <w:p w14:paraId="3B8160AF">
      <w:pPr>
        <w:adjustRightInd w:val="0"/>
        <w:snapToGrid w:val="0"/>
        <w:spacing w:line="288" w:lineRule="auto"/>
        <w:rPr>
          <w:rFonts w:eastAsia="仿宋_GB2312"/>
          <w:sz w:val="36"/>
          <w:szCs w:val="36"/>
          <w:u w:val="single"/>
        </w:rPr>
      </w:pPr>
      <w:r>
        <w:rPr>
          <w:rFonts w:eastAsia="仿宋_GB2312"/>
          <w:sz w:val="36"/>
          <w:szCs w:val="36"/>
          <w:highlight w:val="none"/>
        </w:rPr>
        <w:t>编制日期：</w:t>
      </w:r>
      <w:r>
        <w:rPr>
          <w:rFonts w:eastAsia="仿宋_GB2312"/>
          <w:sz w:val="36"/>
          <w:szCs w:val="36"/>
          <w:highlight w:val="none"/>
          <w:u w:val="single"/>
        </w:rPr>
        <w:t xml:space="preserve"> </w:t>
      </w:r>
      <w:r>
        <w:rPr>
          <w:rFonts w:hint="eastAsia" w:eastAsia="仿宋_GB2312"/>
          <w:sz w:val="36"/>
          <w:szCs w:val="36"/>
          <w:highlight w:val="none"/>
          <w:u w:val="single"/>
          <w:lang w:val="en-US" w:eastAsia="zh-CN"/>
        </w:rPr>
        <w:t xml:space="preserve">    </w:t>
      </w:r>
      <w:r>
        <w:rPr>
          <w:rFonts w:hint="eastAsia" w:eastAsia="仿宋_GB2312"/>
          <w:sz w:val="36"/>
          <w:szCs w:val="36"/>
          <w:highlight w:val="none"/>
          <w:u w:val="single"/>
        </w:rPr>
        <w:t>二〇二</w:t>
      </w:r>
      <w:r>
        <w:rPr>
          <w:rFonts w:hint="eastAsia" w:eastAsia="仿宋_GB2312"/>
          <w:sz w:val="36"/>
          <w:szCs w:val="36"/>
          <w:highlight w:val="none"/>
          <w:u w:val="single"/>
          <w:lang w:val="en-US" w:eastAsia="zh-CN"/>
        </w:rPr>
        <w:t>五</w:t>
      </w:r>
      <w:r>
        <w:rPr>
          <w:rFonts w:eastAsia="仿宋_GB2312"/>
          <w:sz w:val="36"/>
          <w:szCs w:val="36"/>
          <w:highlight w:val="none"/>
          <w:u w:val="single"/>
        </w:rPr>
        <w:t>年</w:t>
      </w:r>
      <w:r>
        <w:rPr>
          <w:rFonts w:hint="eastAsia" w:eastAsia="仿宋_GB2312"/>
          <w:sz w:val="36"/>
          <w:szCs w:val="36"/>
          <w:highlight w:val="none"/>
          <w:u w:val="single"/>
          <w:lang w:val="en-US" w:eastAsia="zh-CN"/>
        </w:rPr>
        <w:t>四</w:t>
      </w:r>
      <w:r>
        <w:rPr>
          <w:rFonts w:eastAsia="仿宋_GB2312"/>
          <w:sz w:val="36"/>
          <w:szCs w:val="36"/>
          <w:highlight w:val="none"/>
          <w:u w:val="single"/>
        </w:rPr>
        <w:t xml:space="preserve">月  </w:t>
      </w:r>
      <w:r>
        <w:rPr>
          <w:rFonts w:eastAsia="仿宋_GB2312"/>
          <w:sz w:val="36"/>
          <w:szCs w:val="36"/>
          <w:u w:val="single"/>
        </w:rPr>
        <w:t xml:space="preserve">              </w:t>
      </w:r>
    </w:p>
    <w:p w14:paraId="52AF370C">
      <w:pPr>
        <w:adjustRightInd w:val="0"/>
        <w:snapToGrid w:val="0"/>
        <w:spacing w:line="288" w:lineRule="auto"/>
        <w:ind w:firstLine="1040"/>
        <w:rPr>
          <w:rFonts w:hint="default" w:ascii="Times New Roman" w:hAnsi="Times New Roman" w:eastAsia="仿宋_GB2312" w:cs="Times New Roman"/>
          <w:sz w:val="36"/>
          <w:szCs w:val="36"/>
        </w:rPr>
      </w:pPr>
    </w:p>
    <w:p w14:paraId="5E066044">
      <w:pPr>
        <w:adjustRightInd w:val="0"/>
        <w:snapToGrid w:val="0"/>
        <w:spacing w:line="288" w:lineRule="auto"/>
        <w:rPr>
          <w:rFonts w:eastAsia="仿宋_GB2312"/>
          <w:color w:val="auto"/>
          <w:sz w:val="36"/>
          <w:szCs w:val="36"/>
          <w:highlight w:val="none"/>
        </w:rPr>
      </w:pPr>
      <w:bookmarkStart w:id="0" w:name="_Hlk57884087"/>
    </w:p>
    <w:p w14:paraId="1785962F">
      <w:pPr>
        <w:pStyle w:val="25"/>
      </w:pPr>
    </w:p>
    <w:bookmarkEnd w:id="0"/>
    <w:p w14:paraId="375DA3CB">
      <w:pPr>
        <w:jc w:val="center"/>
        <w:rPr>
          <w:rFonts w:hint="eastAsia" w:eastAsia="楷体_GB2312"/>
          <w:color w:val="auto"/>
          <w:sz w:val="36"/>
          <w:szCs w:val="36"/>
          <w:highlight w:val="none"/>
          <w:lang w:val="en-US" w:eastAsia="zh-CN"/>
        </w:rPr>
      </w:pPr>
      <w:r>
        <w:rPr>
          <w:rFonts w:eastAsia="楷体_GB2312"/>
          <w:color w:val="auto"/>
          <w:sz w:val="36"/>
          <w:szCs w:val="36"/>
          <w:highlight w:val="none"/>
        </w:rPr>
        <w:t>中华人民共和国生态环境</w:t>
      </w:r>
      <w:r>
        <w:rPr>
          <w:rFonts w:hint="eastAsia" w:eastAsia="楷体_GB2312"/>
          <w:color w:val="auto"/>
          <w:sz w:val="36"/>
          <w:szCs w:val="36"/>
          <w:highlight w:val="none"/>
          <w:lang w:val="en-US" w:eastAsia="zh-CN"/>
        </w:rPr>
        <w:t>部制</w:t>
      </w:r>
    </w:p>
    <w:p w14:paraId="78D77FA4">
      <w:pPr>
        <w:rPr>
          <w:rFonts w:hint="eastAsia"/>
          <w:lang w:val="en-US" w:eastAsia="zh-CN"/>
        </w:rPr>
      </w:pPr>
      <w:r>
        <w:rPr>
          <w:rFonts w:hint="eastAsia" w:eastAsia="楷体_GB2312"/>
          <w:color w:val="auto"/>
          <w:sz w:val="36"/>
          <w:szCs w:val="36"/>
          <w:highlight w:val="none"/>
          <w:lang w:val="en-US" w:eastAsia="zh-CN"/>
        </w:rPr>
        <w:br w:type="page"/>
      </w:r>
      <w:r>
        <w:rPr>
          <w:rFonts w:hint="eastAsia" w:eastAsia="楷体_GB2312"/>
          <w:color w:val="auto"/>
          <w:sz w:val="36"/>
          <w:szCs w:val="36"/>
          <w:highlight w:val="none"/>
          <w:lang w:val="en-US" w:eastAsia="zh-CN"/>
        </w:rPr>
        <w:br w:type="page"/>
      </w:r>
    </w:p>
    <w:p w14:paraId="04A0739A">
      <w:pPr>
        <w:jc w:val="center"/>
        <w:rPr>
          <w:rFonts w:hint="eastAsia" w:ascii="黑体" w:hAnsi="黑体" w:eastAsia="黑体"/>
          <w:snapToGrid w:val="0"/>
          <w:color w:val="auto"/>
          <w:sz w:val="30"/>
          <w:szCs w:val="30"/>
          <w:highlight w:val="none"/>
        </w:rPr>
      </w:pPr>
      <w:r>
        <w:rPr>
          <w:rFonts w:hint="eastAsia" w:ascii="黑体" w:hAnsi="黑体" w:eastAsia="黑体"/>
          <w:snapToGrid w:val="0"/>
          <w:color w:val="auto"/>
          <w:sz w:val="30"/>
          <w:szCs w:val="30"/>
          <w:highlight w:val="none"/>
        </w:rPr>
        <w:t>一、建设项目基本情况</w:t>
      </w:r>
    </w:p>
    <w:tbl>
      <w:tblPr>
        <w:tblStyle w:val="26"/>
        <w:tblpPr w:leftFromText="180" w:rightFromText="180" w:vertAnchor="text" w:horzAnchor="page" w:tblpX="1528" w:tblpY="525"/>
        <w:tblOverlap w:val="never"/>
        <w:tblW w:w="887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43"/>
        <w:gridCol w:w="690"/>
        <w:gridCol w:w="2209"/>
        <w:gridCol w:w="1946"/>
        <w:gridCol w:w="3082"/>
      </w:tblGrid>
      <w:tr w14:paraId="091FAD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633" w:type="dxa"/>
            <w:gridSpan w:val="2"/>
            <w:tcMar>
              <w:top w:w="16" w:type="dxa"/>
              <w:left w:w="16" w:type="dxa"/>
              <w:right w:w="16" w:type="dxa"/>
            </w:tcMar>
            <w:vAlign w:val="center"/>
          </w:tcPr>
          <w:p w14:paraId="7A608A2D">
            <w:pPr>
              <w:pageBreakBefore w:val="0"/>
              <w:kinsoku/>
              <w:wordWrap/>
              <w:overflowPunct/>
              <w:topLinePunct w:val="0"/>
              <w:bidi w:val="0"/>
              <w:adjustRightInd w:val="0"/>
              <w:snapToGrid w:val="0"/>
              <w:spacing w:line="240" w:lineRule="auto"/>
              <w:ind w:left="0" w:leftChars="0" w:right="0" w:firstLine="0" w:firstLineChars="0"/>
              <w:jc w:val="center"/>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建设项目名称</w:t>
            </w:r>
          </w:p>
        </w:tc>
        <w:tc>
          <w:tcPr>
            <w:tcW w:w="7237" w:type="dxa"/>
            <w:gridSpan w:val="3"/>
            <w:vAlign w:val="center"/>
          </w:tcPr>
          <w:p w14:paraId="1E446011">
            <w:pPr>
              <w:keepNext w:val="0"/>
              <w:keepLines w:val="0"/>
              <w:pageBreakBefore w:val="0"/>
              <w:widowControl/>
              <w:suppressLineNumbers w:val="0"/>
              <w:kinsoku/>
              <w:wordWrap/>
              <w:overflowPunct/>
              <w:topLinePunct w:val="0"/>
              <w:bidi w:val="0"/>
              <w:spacing w:line="240" w:lineRule="auto"/>
              <w:ind w:left="0" w:leftChars="0" w:righ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kern w:val="0"/>
                <w:sz w:val="24"/>
                <w:szCs w:val="24"/>
                <w:highlight w:val="none"/>
                <w:lang w:val="en-US" w:eastAsia="zh-CN" w:bidi="ar"/>
              </w:rPr>
              <w:t>高端智慧农业装备生产基地建设项目</w:t>
            </w:r>
          </w:p>
        </w:tc>
      </w:tr>
      <w:tr w14:paraId="2C20E7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97" w:hRule="atLeast"/>
        </w:trPr>
        <w:tc>
          <w:tcPr>
            <w:tcW w:w="1633" w:type="dxa"/>
            <w:gridSpan w:val="2"/>
            <w:tcMar>
              <w:top w:w="16" w:type="dxa"/>
              <w:left w:w="16" w:type="dxa"/>
              <w:right w:w="16" w:type="dxa"/>
            </w:tcMar>
            <w:vAlign w:val="center"/>
          </w:tcPr>
          <w:p w14:paraId="4C51B1E5">
            <w:pPr>
              <w:pageBreakBefore w:val="0"/>
              <w:kinsoku/>
              <w:wordWrap/>
              <w:overflowPunct/>
              <w:topLinePunct w:val="0"/>
              <w:bidi w:val="0"/>
              <w:adjustRightInd w:val="0"/>
              <w:snapToGrid w:val="0"/>
              <w:spacing w:line="240" w:lineRule="auto"/>
              <w:ind w:left="0" w:leftChars="0" w:right="0" w:firstLine="0" w:firstLineChars="0"/>
              <w:jc w:val="center"/>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项目代码</w:t>
            </w:r>
          </w:p>
        </w:tc>
        <w:tc>
          <w:tcPr>
            <w:tcW w:w="7237" w:type="dxa"/>
            <w:gridSpan w:val="3"/>
            <w:vAlign w:val="center"/>
          </w:tcPr>
          <w:p w14:paraId="07C3BF13">
            <w:pPr>
              <w:pageBreakBefore w:val="0"/>
              <w:kinsoku/>
              <w:wordWrap/>
              <w:overflowPunct/>
              <w:topLinePunct w:val="0"/>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2407-652301-04-01-659849</w:t>
            </w:r>
          </w:p>
        </w:tc>
      </w:tr>
      <w:tr w14:paraId="1E3807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633" w:type="dxa"/>
            <w:gridSpan w:val="2"/>
            <w:tcMar>
              <w:top w:w="16" w:type="dxa"/>
              <w:left w:w="16" w:type="dxa"/>
              <w:right w:w="16" w:type="dxa"/>
            </w:tcMar>
            <w:vAlign w:val="center"/>
          </w:tcPr>
          <w:p w14:paraId="78E6624A">
            <w:pPr>
              <w:pageBreakBefore w:val="0"/>
              <w:kinsoku/>
              <w:wordWrap/>
              <w:overflowPunct/>
              <w:topLinePunct w:val="0"/>
              <w:bidi w:val="0"/>
              <w:adjustRightInd w:val="0"/>
              <w:snapToGrid w:val="0"/>
              <w:spacing w:line="240" w:lineRule="auto"/>
              <w:ind w:left="0" w:leftChars="0" w:right="0" w:firstLine="0" w:firstLineChars="0"/>
              <w:jc w:val="center"/>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建设单位联系人</w:t>
            </w:r>
          </w:p>
        </w:tc>
        <w:tc>
          <w:tcPr>
            <w:tcW w:w="2209" w:type="dxa"/>
            <w:vAlign w:val="center"/>
          </w:tcPr>
          <w:p w14:paraId="74EA5231">
            <w:pPr>
              <w:keepNext w:val="0"/>
              <w:keepLines w:val="0"/>
              <w:pageBreakBefore w:val="0"/>
              <w:widowControl/>
              <w:suppressLineNumbers w:val="0"/>
              <w:kinsoku/>
              <w:wordWrap/>
              <w:overflowPunct/>
              <w:topLinePunct w:val="0"/>
              <w:bidi w:val="0"/>
              <w:spacing w:line="240" w:lineRule="auto"/>
              <w:ind w:left="0" w:leftChars="0" w:righ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w:t>
            </w:r>
          </w:p>
        </w:tc>
        <w:tc>
          <w:tcPr>
            <w:tcW w:w="1946" w:type="dxa"/>
            <w:vAlign w:val="center"/>
          </w:tcPr>
          <w:p w14:paraId="59B50FAF">
            <w:pPr>
              <w:pageBreakBefore w:val="0"/>
              <w:kinsoku/>
              <w:wordWrap/>
              <w:overflowPunct/>
              <w:topLinePunct w:val="0"/>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联系方式</w:t>
            </w:r>
          </w:p>
        </w:tc>
        <w:tc>
          <w:tcPr>
            <w:tcW w:w="3082" w:type="dxa"/>
            <w:vAlign w:val="center"/>
          </w:tcPr>
          <w:p w14:paraId="7B7019AF">
            <w:pPr>
              <w:keepNext w:val="0"/>
              <w:keepLines w:val="0"/>
              <w:pageBreakBefore w:val="0"/>
              <w:widowControl/>
              <w:suppressLineNumbers w:val="0"/>
              <w:kinsoku/>
              <w:wordWrap/>
              <w:overflowPunct/>
              <w:topLinePunct w:val="0"/>
              <w:bidi w:val="0"/>
              <w:spacing w:line="240" w:lineRule="auto"/>
              <w:ind w:left="0" w:leftChars="0" w:right="0" w:firstLine="0" w:firstLineChars="0"/>
              <w:jc w:val="center"/>
              <w:textAlignment w:val="auto"/>
              <w:rPr>
                <w:rFonts w:hint="default" w:ascii="Times New Roman" w:hAnsi="Times New Roman" w:eastAsia="宋体" w:cs="Times New Roman"/>
                <w:color w:val="auto"/>
                <w:sz w:val="24"/>
                <w:szCs w:val="24"/>
                <w:highlight w:val="none"/>
                <w:lang w:val="en-US"/>
              </w:rPr>
            </w:pPr>
            <w:r>
              <w:rPr>
                <w:rFonts w:hint="eastAsia" w:cs="Times New Roman"/>
                <w:color w:val="auto"/>
                <w:kern w:val="0"/>
                <w:sz w:val="24"/>
                <w:szCs w:val="24"/>
                <w:highlight w:val="none"/>
                <w:lang w:val="en-US" w:eastAsia="zh-CN" w:bidi="ar"/>
              </w:rPr>
              <w:t>******</w:t>
            </w:r>
          </w:p>
        </w:tc>
      </w:tr>
      <w:tr w14:paraId="71558C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633" w:type="dxa"/>
            <w:gridSpan w:val="2"/>
            <w:tcMar>
              <w:top w:w="16" w:type="dxa"/>
              <w:left w:w="16" w:type="dxa"/>
              <w:right w:w="16" w:type="dxa"/>
            </w:tcMar>
            <w:vAlign w:val="center"/>
          </w:tcPr>
          <w:p w14:paraId="6D936A29">
            <w:pPr>
              <w:pageBreakBefore w:val="0"/>
              <w:kinsoku/>
              <w:wordWrap/>
              <w:overflowPunct/>
              <w:topLinePunct w:val="0"/>
              <w:bidi w:val="0"/>
              <w:adjustRightInd w:val="0"/>
              <w:snapToGrid w:val="0"/>
              <w:spacing w:line="240" w:lineRule="auto"/>
              <w:ind w:left="0" w:leftChars="0" w:right="0" w:firstLine="0" w:firstLineChars="0"/>
              <w:jc w:val="center"/>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建设地点</w:t>
            </w:r>
          </w:p>
        </w:tc>
        <w:tc>
          <w:tcPr>
            <w:tcW w:w="7237" w:type="dxa"/>
            <w:gridSpan w:val="3"/>
            <w:vAlign w:val="center"/>
          </w:tcPr>
          <w:p w14:paraId="233449F3">
            <w:pPr>
              <w:keepNext w:val="0"/>
              <w:keepLines w:val="0"/>
              <w:pageBreakBefore w:val="0"/>
              <w:widowControl/>
              <w:suppressLineNumbers w:val="0"/>
              <w:kinsoku/>
              <w:wordWrap/>
              <w:overflowPunct/>
              <w:topLinePunct w:val="0"/>
              <w:bidi w:val="0"/>
              <w:spacing w:line="240" w:lineRule="auto"/>
              <w:ind w:left="0" w:leftChars="0" w:right="0" w:firstLine="0" w:firstLineChars="0"/>
              <w:jc w:val="center"/>
              <w:textAlignment w:val="auto"/>
              <w:rPr>
                <w:rFonts w:hint="default" w:ascii="Times New Roman" w:hAnsi="Times New Roman" w:eastAsia="宋体" w:cs="Times New Roman"/>
                <w:color w:val="auto"/>
                <w:sz w:val="24"/>
                <w:szCs w:val="24"/>
                <w:highlight w:val="none"/>
                <w:lang w:val="en-US"/>
              </w:rPr>
            </w:pPr>
            <w:r>
              <w:rPr>
                <w:rFonts w:hint="eastAsia" w:ascii="Times New Roman" w:hAnsi="Times New Roman" w:eastAsia="宋体" w:cs="Times New Roman"/>
                <w:color w:val="auto"/>
                <w:kern w:val="2"/>
                <w:sz w:val="24"/>
                <w:szCs w:val="24"/>
                <w:highlight w:val="none"/>
                <w:lang w:val="en-US" w:eastAsia="zh-CN" w:bidi="zh-CN"/>
              </w:rPr>
              <w:t>新疆</w:t>
            </w:r>
            <w:r>
              <w:rPr>
                <w:rFonts w:hint="eastAsia" w:cs="Times New Roman"/>
                <w:color w:val="auto"/>
                <w:kern w:val="2"/>
                <w:sz w:val="24"/>
                <w:szCs w:val="24"/>
                <w:highlight w:val="none"/>
                <w:lang w:val="en-US" w:eastAsia="zh-CN" w:bidi="zh-CN"/>
              </w:rPr>
              <w:t>昌吉回族自治州昌吉市大西渠镇闽昌工业园区</w:t>
            </w:r>
          </w:p>
        </w:tc>
      </w:tr>
      <w:tr w14:paraId="723CE7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633" w:type="dxa"/>
            <w:gridSpan w:val="2"/>
            <w:tcMar>
              <w:top w:w="16" w:type="dxa"/>
              <w:left w:w="16" w:type="dxa"/>
              <w:right w:w="16" w:type="dxa"/>
            </w:tcMar>
            <w:vAlign w:val="center"/>
          </w:tcPr>
          <w:p w14:paraId="1F9331F2">
            <w:pPr>
              <w:pageBreakBefore w:val="0"/>
              <w:kinsoku/>
              <w:wordWrap/>
              <w:overflowPunct/>
              <w:topLinePunct w:val="0"/>
              <w:bidi w:val="0"/>
              <w:adjustRightInd w:val="0"/>
              <w:snapToGrid w:val="0"/>
              <w:spacing w:line="240" w:lineRule="auto"/>
              <w:ind w:left="0" w:leftChars="0" w:right="0" w:firstLine="0" w:firstLineChars="0"/>
              <w:jc w:val="center"/>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地理坐标</w:t>
            </w:r>
          </w:p>
        </w:tc>
        <w:tc>
          <w:tcPr>
            <w:tcW w:w="7237" w:type="dxa"/>
            <w:gridSpan w:val="3"/>
            <w:vAlign w:val="center"/>
          </w:tcPr>
          <w:p w14:paraId="5B707AB9">
            <w:pPr>
              <w:pageBreakBefore w:val="0"/>
              <w:kinsoku/>
              <w:wordWrap/>
              <w:overflowPunct/>
              <w:topLinePunct w:val="0"/>
              <w:bidi w:val="0"/>
              <w:spacing w:line="240" w:lineRule="auto"/>
              <w:ind w:left="0" w:leftChars="0" w:righ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东经</w:t>
            </w:r>
            <w:r>
              <w:rPr>
                <w:rFonts w:hint="eastAsia" w:cs="Times New Roman"/>
                <w:color w:val="auto"/>
                <w:sz w:val="24"/>
                <w:szCs w:val="24"/>
                <w:highlight w:val="none"/>
                <w:u w:val="single"/>
                <w:lang w:val="en-US" w:eastAsia="zh-CN"/>
              </w:rPr>
              <w:t>87</w:t>
            </w:r>
            <w:r>
              <w:rPr>
                <w:rFonts w:hint="default" w:ascii="Times New Roman" w:hAnsi="Times New Roman" w:eastAsia="宋体" w:cs="Times New Roman"/>
                <w:color w:val="auto"/>
                <w:sz w:val="24"/>
                <w:szCs w:val="24"/>
                <w:highlight w:val="none"/>
              </w:rPr>
              <w:t>度</w:t>
            </w:r>
            <w:r>
              <w:rPr>
                <w:rFonts w:hint="eastAsia" w:cs="Times New Roman"/>
                <w:color w:val="auto"/>
                <w:sz w:val="24"/>
                <w:szCs w:val="24"/>
                <w:highlight w:val="none"/>
                <w:u w:val="single"/>
                <w:lang w:val="en-US" w:eastAsia="zh-CN"/>
              </w:rPr>
              <w:t>13</w:t>
            </w:r>
            <w:r>
              <w:rPr>
                <w:rFonts w:hint="default" w:ascii="Times New Roman" w:hAnsi="Times New Roman" w:eastAsia="宋体" w:cs="Times New Roman"/>
                <w:color w:val="auto"/>
                <w:sz w:val="24"/>
                <w:szCs w:val="24"/>
                <w:highlight w:val="none"/>
              </w:rPr>
              <w:t>分</w:t>
            </w:r>
            <w:r>
              <w:rPr>
                <w:rFonts w:hint="eastAsia" w:cs="Times New Roman"/>
                <w:color w:val="auto"/>
                <w:sz w:val="24"/>
                <w:szCs w:val="24"/>
                <w:highlight w:val="none"/>
                <w:u w:val="single"/>
                <w:lang w:val="en-US" w:eastAsia="zh-CN"/>
              </w:rPr>
              <w:t>19.22</w:t>
            </w:r>
            <w:r>
              <w:rPr>
                <w:rFonts w:hint="default" w:ascii="Times New Roman" w:hAnsi="Times New Roman" w:eastAsia="宋体" w:cs="Times New Roman"/>
                <w:color w:val="auto"/>
                <w:sz w:val="24"/>
                <w:szCs w:val="24"/>
                <w:highlight w:val="none"/>
              </w:rPr>
              <w:t>秒，</w:t>
            </w:r>
            <w:r>
              <w:rPr>
                <w:rFonts w:hint="eastAsia" w:cs="Times New Roman"/>
                <w:color w:val="auto"/>
                <w:sz w:val="24"/>
                <w:szCs w:val="24"/>
                <w:highlight w:val="none"/>
                <w:lang w:val="en-US" w:eastAsia="zh-CN"/>
              </w:rPr>
              <w:t>北纬</w:t>
            </w:r>
            <w:r>
              <w:rPr>
                <w:rFonts w:hint="eastAsia" w:cs="Times New Roman"/>
                <w:color w:val="auto"/>
                <w:sz w:val="24"/>
                <w:szCs w:val="24"/>
                <w:highlight w:val="none"/>
                <w:u w:val="single"/>
                <w:lang w:val="en-US" w:eastAsia="zh-CN"/>
              </w:rPr>
              <w:t>44</w:t>
            </w:r>
            <w:r>
              <w:rPr>
                <w:rFonts w:hint="default" w:ascii="Times New Roman" w:hAnsi="Times New Roman" w:eastAsia="宋体" w:cs="Times New Roman"/>
                <w:color w:val="auto"/>
                <w:sz w:val="24"/>
                <w:szCs w:val="24"/>
                <w:highlight w:val="none"/>
              </w:rPr>
              <w:t>度</w:t>
            </w:r>
            <w:r>
              <w:rPr>
                <w:rFonts w:hint="eastAsia" w:cs="Times New Roman"/>
                <w:color w:val="auto"/>
                <w:sz w:val="24"/>
                <w:szCs w:val="24"/>
                <w:highlight w:val="none"/>
                <w:u w:val="single"/>
                <w:lang w:val="en-US" w:eastAsia="zh-CN"/>
              </w:rPr>
              <w:t>02</w:t>
            </w:r>
            <w:r>
              <w:rPr>
                <w:rFonts w:hint="default" w:ascii="Times New Roman" w:hAnsi="Times New Roman" w:eastAsia="宋体" w:cs="Times New Roman"/>
                <w:color w:val="auto"/>
                <w:sz w:val="24"/>
                <w:szCs w:val="24"/>
                <w:highlight w:val="none"/>
              </w:rPr>
              <w:t>分</w:t>
            </w:r>
            <w:r>
              <w:rPr>
                <w:rFonts w:hint="eastAsia" w:cs="Times New Roman"/>
                <w:color w:val="auto"/>
                <w:sz w:val="24"/>
                <w:szCs w:val="24"/>
                <w:highlight w:val="none"/>
                <w:u w:val="single"/>
                <w:lang w:val="en-US" w:eastAsia="zh-CN"/>
              </w:rPr>
              <w:t>30.56</w:t>
            </w:r>
            <w:r>
              <w:rPr>
                <w:rFonts w:hint="default" w:ascii="Times New Roman" w:hAnsi="Times New Roman" w:eastAsia="宋体" w:cs="Times New Roman"/>
                <w:color w:val="auto"/>
                <w:sz w:val="24"/>
                <w:szCs w:val="24"/>
                <w:highlight w:val="none"/>
              </w:rPr>
              <w:t>秒）</w:t>
            </w:r>
          </w:p>
        </w:tc>
      </w:tr>
      <w:tr w14:paraId="7A578E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trPr>
        <w:tc>
          <w:tcPr>
            <w:tcW w:w="1633" w:type="dxa"/>
            <w:gridSpan w:val="2"/>
            <w:tcMar>
              <w:top w:w="16" w:type="dxa"/>
              <w:left w:w="16" w:type="dxa"/>
              <w:right w:w="16" w:type="dxa"/>
            </w:tcMar>
            <w:vAlign w:val="center"/>
          </w:tcPr>
          <w:p w14:paraId="49ED08BC">
            <w:pPr>
              <w:pageBreakBefore w:val="0"/>
              <w:kinsoku/>
              <w:wordWrap/>
              <w:overflowPunct/>
              <w:topLinePunct w:val="0"/>
              <w:bidi w:val="0"/>
              <w:adjustRightInd w:val="0"/>
              <w:snapToGrid w:val="0"/>
              <w:spacing w:line="240" w:lineRule="auto"/>
              <w:ind w:left="0" w:leftChars="0" w:right="0" w:firstLine="0" w:firstLineChars="0"/>
              <w:jc w:val="center"/>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国民经济行业类别</w:t>
            </w:r>
          </w:p>
        </w:tc>
        <w:tc>
          <w:tcPr>
            <w:tcW w:w="2209" w:type="dxa"/>
            <w:vAlign w:val="center"/>
          </w:tcPr>
          <w:p w14:paraId="2662F4C1">
            <w:pPr>
              <w:pStyle w:val="37"/>
              <w:pageBreakBefore w:val="0"/>
              <w:kinsoku/>
              <w:wordWrap/>
              <w:overflowPunct/>
              <w:topLinePunct w:val="0"/>
              <w:bidi w:val="0"/>
              <w:spacing w:line="240" w:lineRule="auto"/>
              <w:ind w:left="0" w:leftChars="0" w:righ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C</w:t>
            </w:r>
            <w:r>
              <w:rPr>
                <w:rFonts w:hint="eastAsia" w:ascii="Times New Roman" w:hAnsi="Times New Roman" w:cs="Times New Roman"/>
                <w:color w:val="auto"/>
                <w:sz w:val="24"/>
                <w:szCs w:val="24"/>
                <w:highlight w:val="none"/>
                <w:lang w:val="en-US" w:eastAsia="zh-CN"/>
              </w:rPr>
              <w:t>3572机械化农业及园艺机具制造</w:t>
            </w:r>
          </w:p>
        </w:tc>
        <w:tc>
          <w:tcPr>
            <w:tcW w:w="1946" w:type="dxa"/>
            <w:vAlign w:val="center"/>
          </w:tcPr>
          <w:p w14:paraId="166795D2">
            <w:pPr>
              <w:pStyle w:val="37"/>
              <w:pageBreakBefore w:val="0"/>
              <w:kinsoku/>
              <w:wordWrap/>
              <w:overflowPunct/>
              <w:topLinePunct w:val="0"/>
              <w:bidi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rPr>
              <w:t>建设项目行业类别</w:t>
            </w:r>
          </w:p>
        </w:tc>
        <w:tc>
          <w:tcPr>
            <w:tcW w:w="3082" w:type="dxa"/>
            <w:vAlign w:val="top"/>
          </w:tcPr>
          <w:p w14:paraId="317BEAA8">
            <w:pPr>
              <w:pStyle w:val="37"/>
              <w:pageBreakBefore w:val="0"/>
              <w:kinsoku/>
              <w:wordWrap/>
              <w:overflowPunct/>
              <w:topLinePunct w:val="0"/>
              <w:bidi w:val="0"/>
              <w:spacing w:line="240" w:lineRule="auto"/>
              <w:ind w:left="0" w:leftChars="0" w:righ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三十二</w:t>
            </w:r>
            <w:r>
              <w:rPr>
                <w:rFonts w:hint="default" w:ascii="Times New Roman" w:hAnsi="Times New Roman" w:eastAsia="宋体"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专用设备制造业35农、林、牧、渔专用机械制造 357</w:t>
            </w:r>
          </w:p>
        </w:tc>
      </w:tr>
      <w:tr w14:paraId="093618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trPr>
        <w:tc>
          <w:tcPr>
            <w:tcW w:w="1633" w:type="dxa"/>
            <w:gridSpan w:val="2"/>
            <w:tcMar>
              <w:top w:w="16" w:type="dxa"/>
              <w:left w:w="16" w:type="dxa"/>
              <w:right w:w="16" w:type="dxa"/>
            </w:tcMar>
            <w:vAlign w:val="center"/>
          </w:tcPr>
          <w:p w14:paraId="51EABC86">
            <w:pPr>
              <w:pStyle w:val="37"/>
              <w:pageBreakBefore w:val="0"/>
              <w:kinsoku/>
              <w:wordWrap/>
              <w:overflowPunct/>
              <w:topLinePunct w:val="0"/>
              <w:bidi w:val="0"/>
              <w:spacing w:line="240" w:lineRule="auto"/>
              <w:ind w:left="0" w:leftChars="0" w:right="0" w:firstLine="0" w:firstLineChars="0"/>
              <w:jc w:val="center"/>
              <w:textAlignment w:val="auto"/>
              <w:rPr>
                <w:rFonts w:ascii="宋体" w:hAnsi="宋体" w:cs="宋体"/>
                <w:b/>
                <w:bCs/>
                <w:color w:val="auto"/>
                <w:sz w:val="21"/>
                <w:szCs w:val="21"/>
                <w:highlight w:val="none"/>
              </w:rPr>
            </w:pPr>
            <w:r>
              <w:rPr>
                <w:b/>
                <w:bCs/>
                <w:color w:val="auto"/>
                <w:sz w:val="21"/>
                <w:szCs w:val="21"/>
                <w:highlight w:val="none"/>
              </w:rPr>
              <w:t>建设性质</w:t>
            </w:r>
          </w:p>
        </w:tc>
        <w:tc>
          <w:tcPr>
            <w:tcW w:w="2209" w:type="dxa"/>
            <w:vAlign w:val="center"/>
          </w:tcPr>
          <w:p w14:paraId="372ACFB7">
            <w:pPr>
              <w:pStyle w:val="37"/>
              <w:pageBreakBefore w:val="0"/>
              <w:kinsoku/>
              <w:wordWrap/>
              <w:overflowPunct/>
              <w:topLinePunct w:val="0"/>
              <w:bidi w:val="0"/>
              <w:spacing w:line="240" w:lineRule="auto"/>
              <w:ind w:left="0" w:leftChars="0" w:right="0" w:firstLine="0" w:firstLineChars="0"/>
              <w:jc w:val="left"/>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lang w:eastAsia="zh-CN"/>
              </w:rPr>
              <w:sym w:font="Wingdings 2" w:char="0052"/>
            </w:r>
            <w:r>
              <w:rPr>
                <w:rFonts w:hint="default" w:ascii="Times New Roman" w:hAnsi="Times New Roman" w:eastAsia="宋体" w:cs="Times New Roman"/>
                <w:color w:val="auto"/>
                <w:sz w:val="24"/>
                <w:szCs w:val="24"/>
                <w:highlight w:val="none"/>
              </w:rPr>
              <w:t>新建（迁建）</w:t>
            </w:r>
          </w:p>
          <w:p w14:paraId="2FD9C5F5">
            <w:pPr>
              <w:pStyle w:val="37"/>
              <w:pageBreakBefore w:val="0"/>
              <w:kinsoku/>
              <w:wordWrap/>
              <w:overflowPunct/>
              <w:topLinePunct w:val="0"/>
              <w:bidi w:val="0"/>
              <w:spacing w:line="240" w:lineRule="auto"/>
              <w:ind w:left="0" w:leftChars="0" w:righ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改建</w:t>
            </w:r>
          </w:p>
          <w:p w14:paraId="015CF799">
            <w:pPr>
              <w:pStyle w:val="37"/>
              <w:pageBreakBefore w:val="0"/>
              <w:kinsoku/>
              <w:wordWrap/>
              <w:overflowPunct/>
              <w:topLinePunct w:val="0"/>
              <w:bidi w:val="0"/>
              <w:spacing w:line="240" w:lineRule="auto"/>
              <w:ind w:left="0" w:leftChars="0" w:righ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扩建</w:t>
            </w:r>
          </w:p>
          <w:p w14:paraId="1B056882">
            <w:pPr>
              <w:pStyle w:val="37"/>
              <w:pageBreakBefore w:val="0"/>
              <w:kinsoku/>
              <w:wordWrap/>
              <w:overflowPunct/>
              <w:topLinePunct w:val="0"/>
              <w:bidi w:val="0"/>
              <w:spacing w:line="240" w:lineRule="auto"/>
              <w:ind w:left="0" w:leftChars="0" w:righ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技术改造</w:t>
            </w:r>
          </w:p>
        </w:tc>
        <w:tc>
          <w:tcPr>
            <w:tcW w:w="1946" w:type="dxa"/>
            <w:vAlign w:val="center"/>
          </w:tcPr>
          <w:p w14:paraId="1162D16C">
            <w:pPr>
              <w:pStyle w:val="37"/>
              <w:pageBreakBefore w:val="0"/>
              <w:kinsoku/>
              <w:wordWrap/>
              <w:overflowPunct/>
              <w:topLinePunct w:val="0"/>
              <w:bidi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rPr>
              <w:t>建设项目申报情形</w:t>
            </w:r>
          </w:p>
        </w:tc>
        <w:tc>
          <w:tcPr>
            <w:tcW w:w="3082" w:type="dxa"/>
            <w:vAlign w:val="top"/>
          </w:tcPr>
          <w:p w14:paraId="58A55414">
            <w:pPr>
              <w:pStyle w:val="37"/>
              <w:pageBreakBefore w:val="0"/>
              <w:kinsoku/>
              <w:wordWrap/>
              <w:overflowPunct/>
              <w:topLinePunct w:val="0"/>
              <w:bidi w:val="0"/>
              <w:spacing w:line="240" w:lineRule="auto"/>
              <w:ind w:left="0" w:leftChars="0" w:right="0" w:firstLine="0" w:firstLineChars="0"/>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lang w:eastAsia="zh-CN"/>
              </w:rPr>
              <w:sym w:font="Wingdings 2" w:char="0052"/>
            </w:r>
            <w:r>
              <w:rPr>
                <w:rFonts w:hint="default" w:ascii="Times New Roman" w:hAnsi="Times New Roman" w:eastAsia="宋体" w:cs="Times New Roman"/>
                <w:color w:val="auto"/>
                <w:sz w:val="24"/>
                <w:szCs w:val="24"/>
                <w:highlight w:val="none"/>
              </w:rPr>
              <w:t>首次申报项目</w:t>
            </w:r>
          </w:p>
          <w:p w14:paraId="68F0255C">
            <w:pPr>
              <w:pStyle w:val="37"/>
              <w:pageBreakBefore w:val="0"/>
              <w:kinsoku/>
              <w:wordWrap/>
              <w:overflowPunct/>
              <w:topLinePunct w:val="0"/>
              <w:bidi w:val="0"/>
              <w:spacing w:line="240" w:lineRule="auto"/>
              <w:ind w:left="0" w:leftChars="0" w:right="0" w:firstLine="0" w:firstLine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不予批准后再次申报项目</w:t>
            </w:r>
          </w:p>
          <w:p w14:paraId="68240353">
            <w:pPr>
              <w:pStyle w:val="37"/>
              <w:pageBreakBefore w:val="0"/>
              <w:kinsoku/>
              <w:wordWrap/>
              <w:overflowPunct/>
              <w:topLinePunct w:val="0"/>
              <w:bidi w:val="0"/>
              <w:spacing w:line="240" w:lineRule="auto"/>
              <w:ind w:left="0" w:leftChars="0" w:right="0" w:firstLine="0" w:firstLine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超五年重新审核项目</w:t>
            </w:r>
          </w:p>
          <w:p w14:paraId="7749BF5B">
            <w:pPr>
              <w:pStyle w:val="37"/>
              <w:pageBreakBefore w:val="0"/>
              <w:kinsoku/>
              <w:wordWrap/>
              <w:overflowPunct/>
              <w:topLinePunct w:val="0"/>
              <w:bidi w:val="0"/>
              <w:spacing w:line="240" w:lineRule="auto"/>
              <w:ind w:left="0" w:leftChars="0" w:right="0" w:firstLine="0" w:firstLine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重大变动重新报批项目</w:t>
            </w:r>
          </w:p>
        </w:tc>
      </w:tr>
      <w:tr w14:paraId="20A0F8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trPr>
        <w:tc>
          <w:tcPr>
            <w:tcW w:w="1633" w:type="dxa"/>
            <w:gridSpan w:val="2"/>
            <w:tcMar>
              <w:top w:w="16" w:type="dxa"/>
              <w:left w:w="16" w:type="dxa"/>
              <w:right w:w="16" w:type="dxa"/>
            </w:tcMar>
            <w:vAlign w:val="center"/>
          </w:tcPr>
          <w:p w14:paraId="7A455B3A">
            <w:pPr>
              <w:pageBreakBefore w:val="0"/>
              <w:kinsoku/>
              <w:wordWrap/>
              <w:overflowPunct/>
              <w:topLinePunct w:val="0"/>
              <w:bidi w:val="0"/>
              <w:adjustRightInd w:val="0"/>
              <w:snapToGrid w:val="0"/>
              <w:spacing w:line="240" w:lineRule="auto"/>
              <w:ind w:left="0" w:leftChars="0" w:right="0" w:firstLine="0" w:firstLineChars="0"/>
              <w:jc w:val="center"/>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项目审批（核准</w:t>
            </w:r>
            <w:r>
              <w:rPr>
                <w:rFonts w:ascii="宋体" w:hAnsi="宋体" w:cs="宋体"/>
                <w:b/>
                <w:bCs/>
                <w:color w:val="auto"/>
                <w:sz w:val="21"/>
                <w:szCs w:val="21"/>
                <w:highlight w:val="none"/>
              </w:rPr>
              <w:t>/</w:t>
            </w:r>
            <w:r>
              <w:rPr>
                <w:rFonts w:hint="eastAsia" w:ascii="宋体" w:hAnsi="宋体" w:cs="宋体"/>
                <w:b/>
                <w:bCs/>
                <w:color w:val="auto"/>
                <w:sz w:val="21"/>
                <w:szCs w:val="21"/>
                <w:highlight w:val="none"/>
              </w:rPr>
              <w:t>备案）部门（选填）</w:t>
            </w:r>
          </w:p>
        </w:tc>
        <w:tc>
          <w:tcPr>
            <w:tcW w:w="2209" w:type="dxa"/>
            <w:vAlign w:val="center"/>
          </w:tcPr>
          <w:p w14:paraId="585AD69A">
            <w:pPr>
              <w:pageBreakBefore w:val="0"/>
              <w:kinsoku/>
              <w:wordWrap/>
              <w:overflowPunct/>
              <w:topLinePunct w:val="0"/>
              <w:bidi w:val="0"/>
              <w:adjustRightInd w:val="0"/>
              <w:snapToGrid w:val="0"/>
              <w:spacing w:line="240" w:lineRule="auto"/>
              <w:ind w:left="0" w:leftChars="0" w:right="0" w:firstLine="0" w:firstLineChars="0"/>
              <w:jc w:val="both"/>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昌吉市发展改革委员会</w:t>
            </w:r>
          </w:p>
        </w:tc>
        <w:tc>
          <w:tcPr>
            <w:tcW w:w="1946" w:type="dxa"/>
            <w:vAlign w:val="center"/>
          </w:tcPr>
          <w:p w14:paraId="56BA7DF5">
            <w:pPr>
              <w:pageBreakBefore w:val="0"/>
              <w:kinsoku/>
              <w:wordWrap/>
              <w:overflowPunct/>
              <w:topLinePunct w:val="0"/>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项目审批（核准/备案）文号（选填）</w:t>
            </w:r>
          </w:p>
        </w:tc>
        <w:tc>
          <w:tcPr>
            <w:tcW w:w="3082" w:type="dxa"/>
            <w:vAlign w:val="center"/>
          </w:tcPr>
          <w:p w14:paraId="0CD8FD96">
            <w:pPr>
              <w:pageBreakBefore w:val="0"/>
              <w:kinsoku/>
              <w:wordWrap/>
              <w:overflowPunct/>
              <w:topLinePunct w:val="0"/>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2407181258652300000150</w:t>
            </w:r>
          </w:p>
        </w:tc>
      </w:tr>
      <w:tr w14:paraId="1D201A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633" w:type="dxa"/>
            <w:gridSpan w:val="2"/>
            <w:tcMar>
              <w:top w:w="16" w:type="dxa"/>
              <w:left w:w="16" w:type="dxa"/>
              <w:right w:w="16" w:type="dxa"/>
            </w:tcMar>
            <w:vAlign w:val="center"/>
          </w:tcPr>
          <w:p w14:paraId="73BB55E0">
            <w:pPr>
              <w:pageBreakBefore w:val="0"/>
              <w:kinsoku/>
              <w:wordWrap/>
              <w:overflowPunct/>
              <w:topLinePunct w:val="0"/>
              <w:bidi w:val="0"/>
              <w:adjustRightInd w:val="0"/>
              <w:snapToGrid w:val="0"/>
              <w:spacing w:line="240" w:lineRule="auto"/>
              <w:ind w:left="0" w:leftChars="0" w:right="0" w:firstLine="0" w:firstLineChars="0"/>
              <w:jc w:val="center"/>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总投资（万元）</w:t>
            </w:r>
          </w:p>
        </w:tc>
        <w:tc>
          <w:tcPr>
            <w:tcW w:w="2209" w:type="dxa"/>
            <w:vAlign w:val="center"/>
          </w:tcPr>
          <w:p w14:paraId="0A710664">
            <w:pPr>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19800</w:t>
            </w:r>
          </w:p>
        </w:tc>
        <w:tc>
          <w:tcPr>
            <w:tcW w:w="1946" w:type="dxa"/>
            <w:tcMar>
              <w:top w:w="16" w:type="dxa"/>
              <w:left w:w="16" w:type="dxa"/>
              <w:right w:w="16" w:type="dxa"/>
            </w:tcMar>
            <w:vAlign w:val="center"/>
          </w:tcPr>
          <w:p w14:paraId="6D3038B6">
            <w:pPr>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环保投资（万元）</w:t>
            </w:r>
          </w:p>
        </w:tc>
        <w:tc>
          <w:tcPr>
            <w:tcW w:w="3082" w:type="dxa"/>
            <w:vAlign w:val="center"/>
          </w:tcPr>
          <w:p w14:paraId="1DFB410B">
            <w:pPr>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110</w:t>
            </w:r>
          </w:p>
        </w:tc>
      </w:tr>
      <w:tr w14:paraId="11B73A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633" w:type="dxa"/>
            <w:gridSpan w:val="2"/>
            <w:tcMar>
              <w:top w:w="16" w:type="dxa"/>
              <w:left w:w="16" w:type="dxa"/>
              <w:right w:w="16" w:type="dxa"/>
            </w:tcMar>
            <w:vAlign w:val="center"/>
          </w:tcPr>
          <w:p w14:paraId="30930D3C">
            <w:pPr>
              <w:pageBreakBefore w:val="0"/>
              <w:kinsoku/>
              <w:wordWrap/>
              <w:overflowPunct/>
              <w:topLinePunct w:val="0"/>
              <w:bidi w:val="0"/>
              <w:adjustRightInd w:val="0"/>
              <w:snapToGrid w:val="0"/>
              <w:spacing w:line="240" w:lineRule="auto"/>
              <w:ind w:left="0" w:leftChars="0" w:right="0" w:firstLine="0" w:firstLineChars="0"/>
              <w:jc w:val="center"/>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环保投资占比（</w:t>
            </w:r>
            <w:r>
              <w:rPr>
                <w:rFonts w:ascii="宋体" w:hAnsi="宋体" w:cs="宋体"/>
                <w:b/>
                <w:bCs/>
                <w:color w:val="auto"/>
                <w:sz w:val="21"/>
                <w:szCs w:val="21"/>
                <w:highlight w:val="none"/>
              </w:rPr>
              <w:t>%</w:t>
            </w:r>
            <w:r>
              <w:rPr>
                <w:rFonts w:hint="eastAsia" w:ascii="宋体" w:hAnsi="宋体" w:cs="宋体"/>
                <w:b/>
                <w:bCs/>
                <w:color w:val="auto"/>
                <w:sz w:val="21"/>
                <w:szCs w:val="21"/>
                <w:highlight w:val="none"/>
              </w:rPr>
              <w:t>）</w:t>
            </w:r>
          </w:p>
        </w:tc>
        <w:tc>
          <w:tcPr>
            <w:tcW w:w="2209" w:type="dxa"/>
            <w:vAlign w:val="center"/>
          </w:tcPr>
          <w:p w14:paraId="00591B1C">
            <w:pPr>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0.56%</w:t>
            </w:r>
          </w:p>
        </w:tc>
        <w:tc>
          <w:tcPr>
            <w:tcW w:w="1946" w:type="dxa"/>
            <w:tcMar>
              <w:top w:w="16" w:type="dxa"/>
              <w:left w:w="16" w:type="dxa"/>
              <w:right w:w="16" w:type="dxa"/>
            </w:tcMar>
            <w:vAlign w:val="center"/>
          </w:tcPr>
          <w:p w14:paraId="38E58B50">
            <w:pPr>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施工工期</w:t>
            </w:r>
          </w:p>
        </w:tc>
        <w:tc>
          <w:tcPr>
            <w:tcW w:w="3082" w:type="dxa"/>
            <w:vAlign w:val="center"/>
          </w:tcPr>
          <w:p w14:paraId="43644B3C">
            <w:pPr>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4个月</w:t>
            </w:r>
          </w:p>
        </w:tc>
      </w:tr>
      <w:tr w14:paraId="27FC31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633" w:type="dxa"/>
            <w:gridSpan w:val="2"/>
            <w:tcMar>
              <w:top w:w="16" w:type="dxa"/>
              <w:left w:w="16" w:type="dxa"/>
              <w:right w:w="16" w:type="dxa"/>
            </w:tcMar>
            <w:vAlign w:val="center"/>
          </w:tcPr>
          <w:p w14:paraId="4C4D4E24">
            <w:pPr>
              <w:pageBreakBefore w:val="0"/>
              <w:kinsoku/>
              <w:wordWrap/>
              <w:overflowPunct/>
              <w:topLinePunct w:val="0"/>
              <w:bidi w:val="0"/>
              <w:adjustRightInd w:val="0"/>
              <w:snapToGrid w:val="0"/>
              <w:spacing w:line="240" w:lineRule="auto"/>
              <w:ind w:left="0" w:leftChars="0" w:right="0" w:firstLine="0" w:firstLineChars="0"/>
              <w:jc w:val="center"/>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是否开工建设</w:t>
            </w:r>
          </w:p>
        </w:tc>
        <w:tc>
          <w:tcPr>
            <w:tcW w:w="2209" w:type="dxa"/>
            <w:vAlign w:val="center"/>
          </w:tcPr>
          <w:p w14:paraId="04CC3704">
            <w:pPr>
              <w:pageBreakBefore w:val="0"/>
              <w:kinsoku/>
              <w:wordWrap/>
              <w:overflowPunct/>
              <w:topLinePunct w:val="0"/>
              <w:bidi w:val="0"/>
              <w:adjustRightInd w:val="0"/>
              <w:snapToGrid w:val="0"/>
              <w:spacing w:line="240" w:lineRule="auto"/>
              <w:ind w:right="0"/>
              <w:jc w:val="both"/>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lang w:eastAsia="zh-CN"/>
              </w:rPr>
              <w:sym w:font="Wingdings 2" w:char="0052"/>
            </w:r>
            <w:r>
              <w:rPr>
                <w:rFonts w:hint="default" w:ascii="Times New Roman" w:hAnsi="Times New Roman" w:eastAsia="宋体" w:cs="Times New Roman"/>
                <w:color w:val="auto"/>
                <w:sz w:val="24"/>
                <w:szCs w:val="24"/>
                <w:highlight w:val="none"/>
              </w:rPr>
              <w:t>否</w:t>
            </w:r>
          </w:p>
          <w:p w14:paraId="34B6D084">
            <w:pPr>
              <w:pageBreakBefore w:val="0"/>
              <w:kinsoku/>
              <w:wordWrap/>
              <w:overflowPunct/>
              <w:topLinePunct w:val="0"/>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口</w:t>
            </w:r>
            <w:r>
              <w:rPr>
                <w:rFonts w:hint="default" w:ascii="Times New Roman" w:hAnsi="Times New Roman" w:eastAsia="宋体" w:cs="Times New Roman"/>
                <w:color w:val="auto"/>
                <w:sz w:val="24"/>
                <w:szCs w:val="24"/>
                <w:highlight w:val="none"/>
              </w:rPr>
              <w:t>是</w:t>
            </w:r>
          </w:p>
        </w:tc>
        <w:tc>
          <w:tcPr>
            <w:tcW w:w="1946" w:type="dxa"/>
            <w:tcMar>
              <w:top w:w="16" w:type="dxa"/>
              <w:left w:w="16" w:type="dxa"/>
              <w:right w:w="16" w:type="dxa"/>
            </w:tcMar>
            <w:vAlign w:val="center"/>
          </w:tcPr>
          <w:p w14:paraId="39256297">
            <w:pPr>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pacing w:val="-6"/>
                <w:sz w:val="24"/>
                <w:szCs w:val="24"/>
                <w:highlight w:val="none"/>
              </w:rPr>
              <w:t>用地（用海）面积（m</w:t>
            </w:r>
            <w:r>
              <w:rPr>
                <w:rFonts w:hint="default" w:ascii="Times New Roman" w:hAnsi="Times New Roman" w:eastAsia="宋体" w:cs="Times New Roman"/>
                <w:b/>
                <w:bCs/>
                <w:color w:val="auto"/>
                <w:spacing w:val="-6"/>
                <w:sz w:val="24"/>
                <w:szCs w:val="24"/>
                <w:highlight w:val="none"/>
                <w:vertAlign w:val="superscript"/>
              </w:rPr>
              <w:t>2</w:t>
            </w:r>
            <w:r>
              <w:rPr>
                <w:rFonts w:hint="default" w:ascii="Times New Roman" w:hAnsi="Times New Roman" w:eastAsia="宋体" w:cs="Times New Roman"/>
                <w:b/>
                <w:bCs/>
                <w:color w:val="auto"/>
                <w:spacing w:val="-6"/>
                <w:sz w:val="24"/>
                <w:szCs w:val="24"/>
                <w:highlight w:val="none"/>
              </w:rPr>
              <w:t>）</w:t>
            </w:r>
          </w:p>
        </w:tc>
        <w:tc>
          <w:tcPr>
            <w:tcW w:w="3082" w:type="dxa"/>
            <w:vAlign w:val="center"/>
          </w:tcPr>
          <w:p w14:paraId="57389031">
            <w:pPr>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highlight w:val="none"/>
                <w:vertAlign w:val="superscript"/>
                <w:lang w:val="en-US" w:eastAsia="zh-CN"/>
              </w:rPr>
            </w:pPr>
            <w:r>
              <w:rPr>
                <w:rFonts w:hint="eastAsia" w:cs="Times New Roman"/>
                <w:color w:val="auto"/>
                <w:sz w:val="24"/>
                <w:szCs w:val="24"/>
                <w:highlight w:val="none"/>
                <w:lang w:val="en-US" w:eastAsia="zh-CN"/>
              </w:rPr>
              <w:t>36491.93m</w:t>
            </w:r>
            <w:r>
              <w:rPr>
                <w:rFonts w:hint="eastAsia" w:cs="Times New Roman"/>
                <w:color w:val="auto"/>
                <w:sz w:val="24"/>
                <w:szCs w:val="24"/>
                <w:highlight w:val="none"/>
                <w:vertAlign w:val="superscript"/>
                <w:lang w:val="en-US" w:eastAsia="zh-CN"/>
              </w:rPr>
              <w:t>2</w:t>
            </w:r>
          </w:p>
        </w:tc>
      </w:tr>
      <w:tr w14:paraId="01C8EB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33" w:type="dxa"/>
            <w:gridSpan w:val="2"/>
            <w:vAlign w:val="center"/>
          </w:tcPr>
          <w:p w14:paraId="318569FB">
            <w:pPr>
              <w:pageBreakBefore w:val="0"/>
              <w:kinsoku/>
              <w:wordWrap/>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专项评价设置情况</w:t>
            </w:r>
          </w:p>
        </w:tc>
        <w:tc>
          <w:tcPr>
            <w:tcW w:w="7237" w:type="dxa"/>
            <w:gridSpan w:val="3"/>
            <w:vAlign w:val="center"/>
          </w:tcPr>
          <w:p w14:paraId="77DDBDC6">
            <w:pPr>
              <w:pageBreakBefore w:val="0"/>
              <w:kinsoku/>
              <w:wordWrap/>
              <w:overflowPunct/>
              <w:topLinePunct w:val="0"/>
              <w:autoSpaceDE w:val="0"/>
              <w:autoSpaceDN w:val="0"/>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无</w:t>
            </w:r>
          </w:p>
        </w:tc>
      </w:tr>
      <w:tr w14:paraId="5E64E5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43" w:type="dxa"/>
            <w:vAlign w:val="center"/>
          </w:tcPr>
          <w:p w14:paraId="24F701E8">
            <w:pPr>
              <w:pageBreakBefore w:val="0"/>
              <w:kinsoku/>
              <w:wordWrap/>
              <w:overflowPunct/>
              <w:topLinePunct w:val="0"/>
              <w:autoSpaceDE w:val="0"/>
              <w:autoSpaceDN w:val="0"/>
              <w:bidi w:val="0"/>
              <w:adjustRightInd w:val="0"/>
              <w:snapToGrid w:val="0"/>
              <w:spacing w:line="240" w:lineRule="auto"/>
              <w:ind w:left="0" w:leftChars="0" w:right="0" w:firstLine="0" w:firstLineChars="0"/>
              <w:jc w:val="center"/>
              <w:textAlignment w:val="auto"/>
              <w:rPr>
                <w:rFonts w:hint="eastAsia" w:ascii="宋体" w:hAnsi="宋体" w:cs="宋体"/>
                <w:color w:val="auto"/>
                <w:kern w:val="0"/>
                <w:szCs w:val="21"/>
                <w:highlight w:val="none"/>
              </w:rPr>
            </w:pPr>
            <w:r>
              <w:rPr>
                <w:rFonts w:hint="eastAsia" w:ascii="宋体" w:hAnsi="宋体" w:cs="宋体"/>
                <w:b w:val="0"/>
                <w:bCs w:val="0"/>
                <w:color w:val="auto"/>
                <w:szCs w:val="21"/>
                <w:highlight w:val="none"/>
              </w:rPr>
              <w:t>规划情况</w:t>
            </w:r>
          </w:p>
        </w:tc>
        <w:tc>
          <w:tcPr>
            <w:tcW w:w="7927" w:type="dxa"/>
            <w:gridSpan w:val="4"/>
            <w:vAlign w:val="center"/>
          </w:tcPr>
          <w:p w14:paraId="05D537AF">
            <w:pPr>
              <w:pStyle w:val="22"/>
              <w:keepNext w:val="0"/>
              <w:keepLines w:val="0"/>
              <w:pageBreakBefore w:val="0"/>
              <w:kinsoku/>
              <w:wordWrap/>
              <w:overflowPunct/>
              <w:topLinePunct w:val="0"/>
              <w:autoSpaceDE/>
              <w:autoSpaceDN/>
              <w:bidi w:val="0"/>
              <w:adjustRightInd/>
              <w:snapToGrid/>
              <w:spacing w:line="360" w:lineRule="auto"/>
              <w:ind w:left="0" w:leftChars="0" w:right="0" w:firstLine="480" w:firstLineChars="200"/>
              <w:jc w:val="left"/>
              <w:textAlignment w:val="auto"/>
              <w:rPr>
                <w:rFonts w:ascii="宋体" w:hAnsi="宋体" w:cs="宋体"/>
                <w:color w:val="auto"/>
                <w:kern w:val="0"/>
                <w:szCs w:val="21"/>
                <w:highlight w:val="none"/>
              </w:rPr>
            </w:pPr>
            <w:r>
              <w:rPr>
                <w:rFonts w:hint="eastAsia" w:cs="Times New Roman"/>
                <w:color w:val="auto"/>
                <w:sz w:val="24"/>
                <w:highlight w:val="none"/>
                <w:lang w:val="en-US" w:eastAsia="zh-CN"/>
              </w:rPr>
              <w:t>规划文件名称：</w:t>
            </w:r>
            <w:r>
              <w:rPr>
                <w:rFonts w:hint="default" w:ascii="Times New Roman" w:hAnsi="Times New Roman" w:eastAsia="宋体" w:cs="Times New Roman"/>
                <w:color w:val="auto"/>
                <w:sz w:val="24"/>
                <w:highlight w:val="none"/>
                <w:lang w:val="en-US" w:eastAsia="zh-CN"/>
              </w:rPr>
              <w:t>闽昌工业园区总体规划（2012-2030）</w:t>
            </w:r>
          </w:p>
        </w:tc>
      </w:tr>
      <w:tr w14:paraId="523FEA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943" w:type="dxa"/>
            <w:vAlign w:val="center"/>
          </w:tcPr>
          <w:p w14:paraId="271A84AB">
            <w:pPr>
              <w:pageBreakBefore w:val="0"/>
              <w:kinsoku/>
              <w:wordWrap/>
              <w:overflowPunct/>
              <w:topLinePunct w:val="0"/>
              <w:bidi w:val="0"/>
              <w:adjustRightInd w:val="0"/>
              <w:snapToGrid w:val="0"/>
              <w:spacing w:line="240" w:lineRule="auto"/>
              <w:ind w:left="0" w:leftChars="0" w:right="0" w:firstLine="0" w:firstLineChars="0"/>
              <w:jc w:val="center"/>
              <w:textAlignment w:val="auto"/>
              <w:rPr>
                <w:rFonts w:ascii="宋体" w:hAnsi="宋体" w:cs="宋体"/>
                <w:color w:val="auto"/>
                <w:szCs w:val="21"/>
                <w:highlight w:val="none"/>
              </w:rPr>
            </w:pPr>
            <w:r>
              <w:rPr>
                <w:rFonts w:hint="eastAsia" w:ascii="宋体" w:hAnsi="宋体" w:cs="宋体"/>
                <w:color w:val="auto"/>
                <w:szCs w:val="21"/>
                <w:highlight w:val="none"/>
              </w:rPr>
              <w:t>规划环境影响</w:t>
            </w:r>
          </w:p>
          <w:p w14:paraId="654EAA8F">
            <w:pPr>
              <w:pageBreakBefore w:val="0"/>
              <w:kinsoku/>
              <w:wordWrap/>
              <w:overflowPunct/>
              <w:topLinePunct w:val="0"/>
              <w:bidi w:val="0"/>
              <w:adjustRightInd w:val="0"/>
              <w:snapToGrid w:val="0"/>
              <w:spacing w:line="240" w:lineRule="auto"/>
              <w:ind w:left="0" w:leftChars="0" w:right="0" w:firstLine="0" w:firstLineChars="0"/>
              <w:jc w:val="center"/>
              <w:textAlignment w:val="auto"/>
              <w:rPr>
                <w:rFonts w:hint="eastAsia" w:ascii="宋体" w:hAnsi="宋体" w:cs="宋体"/>
                <w:color w:val="auto"/>
                <w:kern w:val="0"/>
                <w:szCs w:val="21"/>
                <w:highlight w:val="none"/>
              </w:rPr>
            </w:pPr>
            <w:r>
              <w:rPr>
                <w:rFonts w:hint="eastAsia" w:ascii="宋体" w:hAnsi="宋体" w:cs="宋体"/>
                <w:color w:val="auto"/>
                <w:szCs w:val="21"/>
                <w:highlight w:val="none"/>
              </w:rPr>
              <w:t>评价情况</w:t>
            </w:r>
          </w:p>
        </w:tc>
        <w:tc>
          <w:tcPr>
            <w:tcW w:w="7927" w:type="dxa"/>
            <w:gridSpan w:val="4"/>
            <w:vAlign w:val="center"/>
          </w:tcPr>
          <w:p w14:paraId="165C702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cs="Times New Roman"/>
                <w:color w:val="auto"/>
                <w:sz w:val="24"/>
                <w:highlight w:val="none"/>
                <w:lang w:val="en-US" w:eastAsia="zh-CN"/>
              </w:rPr>
            </w:pPr>
            <w:r>
              <w:rPr>
                <w:rFonts w:hint="eastAsia" w:cs="Times New Roman"/>
                <w:color w:val="auto"/>
                <w:sz w:val="24"/>
                <w:highlight w:val="none"/>
                <w:lang w:val="en-US" w:eastAsia="zh-CN"/>
              </w:rPr>
              <w:t>规划环境影响文件名称：《闽昌食品产业园专项规划(2024~2035年)环境影响报告书）》</w:t>
            </w:r>
          </w:p>
          <w:p w14:paraId="7F335D5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cs="Times New Roman"/>
                <w:color w:val="auto"/>
                <w:sz w:val="24"/>
                <w:highlight w:val="none"/>
                <w:lang w:val="en-US" w:eastAsia="zh-CN"/>
              </w:rPr>
            </w:pPr>
            <w:r>
              <w:rPr>
                <w:rFonts w:hint="eastAsia" w:cs="Times New Roman"/>
                <w:color w:val="auto"/>
                <w:sz w:val="24"/>
                <w:highlight w:val="none"/>
                <w:lang w:val="en-US" w:eastAsia="zh-CN"/>
              </w:rPr>
              <w:t>召集审查机关：昌吉回族自治州生态环境局</w:t>
            </w:r>
          </w:p>
          <w:p w14:paraId="1E840EE1">
            <w:pPr>
              <w:pStyle w:val="22"/>
              <w:keepNext w:val="0"/>
              <w:keepLines w:val="0"/>
              <w:pageBreakBefore w:val="0"/>
              <w:kinsoku/>
              <w:wordWrap/>
              <w:overflowPunct/>
              <w:topLinePunct w:val="0"/>
              <w:autoSpaceDE/>
              <w:autoSpaceDN/>
              <w:bidi w:val="0"/>
              <w:adjustRightInd/>
              <w:snapToGrid/>
              <w:spacing w:line="360" w:lineRule="auto"/>
              <w:ind w:left="0" w:leftChars="0" w:right="0" w:firstLine="48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审查文件名称及文号:《关于</w:t>
            </w:r>
            <w:r>
              <w:rPr>
                <w:rFonts w:hint="eastAsia" w:ascii="宋体" w:hAnsi="宋体" w:cs="宋体"/>
                <w:color w:val="auto"/>
                <w:kern w:val="0"/>
                <w:szCs w:val="21"/>
                <w:highlight w:val="none"/>
                <w:lang w:val="en-US" w:eastAsia="zh-CN"/>
              </w:rPr>
              <w:t>&lt;</w:t>
            </w:r>
            <w:r>
              <w:rPr>
                <w:rFonts w:hint="eastAsia" w:ascii="宋体" w:hAnsi="宋体" w:cs="宋体"/>
                <w:color w:val="auto"/>
                <w:kern w:val="0"/>
                <w:szCs w:val="21"/>
                <w:highlight w:val="none"/>
              </w:rPr>
              <w:t>闽昌食品产业园专项规划(2024-2035年)环境影响报告书</w:t>
            </w:r>
            <w:r>
              <w:rPr>
                <w:rFonts w:hint="eastAsia" w:ascii="宋体" w:hAnsi="宋体" w:cs="宋体"/>
                <w:color w:val="auto"/>
                <w:kern w:val="0"/>
                <w:szCs w:val="21"/>
                <w:highlight w:val="none"/>
                <w:lang w:val="en-US" w:eastAsia="zh-CN"/>
              </w:rPr>
              <w:t>&gt;</w:t>
            </w:r>
            <w:r>
              <w:rPr>
                <w:rFonts w:hint="eastAsia" w:ascii="宋体" w:hAnsi="宋体" w:cs="宋体"/>
                <w:color w:val="auto"/>
                <w:kern w:val="0"/>
                <w:szCs w:val="21"/>
                <w:highlight w:val="none"/>
              </w:rPr>
              <w:t>的审查意见》(昌州环函</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2025</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13号</w:t>
            </w:r>
            <w:r>
              <w:rPr>
                <w:rFonts w:hint="default" w:ascii="Times New Roman" w:hAnsi="Times New Roman" w:cs="Times New Roman"/>
                <w:color w:val="auto"/>
                <w:kern w:val="0"/>
                <w:szCs w:val="21"/>
                <w:highlight w:val="none"/>
              </w:rPr>
              <w:t>)</w:t>
            </w:r>
          </w:p>
        </w:tc>
      </w:tr>
      <w:tr w14:paraId="661799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73" w:hRule="atLeast"/>
        </w:trPr>
        <w:tc>
          <w:tcPr>
            <w:tcW w:w="943" w:type="dxa"/>
            <w:vAlign w:val="center"/>
          </w:tcPr>
          <w:p w14:paraId="1C179823">
            <w:pPr>
              <w:pageBreakBefore w:val="0"/>
              <w:kinsoku/>
              <w:wordWrap/>
              <w:overflowPunct/>
              <w:topLinePunct w:val="0"/>
              <w:autoSpaceDE w:val="0"/>
              <w:autoSpaceDN w:val="0"/>
              <w:bidi w:val="0"/>
              <w:adjustRightInd w:val="0"/>
              <w:snapToGrid w:val="0"/>
              <w:spacing w:line="240" w:lineRule="auto"/>
              <w:ind w:left="0" w:leftChars="0" w:right="0" w:firstLine="0" w:firstLineChars="0"/>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规划及规划环境影响评价符合性分析</w:t>
            </w:r>
          </w:p>
        </w:tc>
        <w:tc>
          <w:tcPr>
            <w:tcW w:w="7927" w:type="dxa"/>
            <w:gridSpan w:val="4"/>
            <w:vAlign w:val="center"/>
          </w:tcPr>
          <w:p w14:paraId="1D614377">
            <w:pPr>
              <w:pStyle w:val="63"/>
              <w:spacing w:line="360" w:lineRule="auto"/>
              <w:ind w:left="0" w:leftChars="0" w:firstLine="0" w:firstLineChars="0"/>
              <w:rPr>
                <w:rFonts w:hint="default" w:ascii="Times New Roman" w:hAnsi="Times New Roman" w:eastAsia="宋体" w:cs="Times New Roman"/>
                <w:b/>
                <w:bCs/>
                <w:lang w:val="en-US" w:eastAsia="zh-CN"/>
              </w:rPr>
            </w:pPr>
            <w:r>
              <w:rPr>
                <w:rFonts w:hint="eastAsia" w:cs="Times New Roman"/>
                <w:b/>
                <w:bCs/>
                <w:lang w:val="en-US" w:eastAsia="zh-CN"/>
              </w:rPr>
              <w:t>1 规划符合性分析</w:t>
            </w:r>
          </w:p>
          <w:p w14:paraId="48E91211">
            <w:pPr>
              <w:pStyle w:val="63"/>
              <w:spacing w:line="360" w:lineRule="auto"/>
              <w:ind w:firstLine="480" w:firstLineChars="200"/>
              <w:rPr>
                <w:rFonts w:hint="eastAsia" w:cs="Times New Roman"/>
                <w:b w:val="0"/>
                <w:bCs w:val="0"/>
                <w:lang w:val="en-US" w:eastAsia="zh-CN"/>
              </w:rPr>
            </w:pPr>
            <w:r>
              <w:rPr>
                <w:rFonts w:hint="default" w:ascii="Times New Roman" w:hAnsi="Times New Roman" w:cs="Times New Roman"/>
                <w:b w:val="0"/>
                <w:bCs w:val="0"/>
              </w:rPr>
              <w:t>闽昌工业园区位于昌吉市西北部6km处的大西渠镇。园区南起昌吉市西延的石河子路，西至大西渠镇行政区划界限，东至大西渠镇区的幸福路，北至昌吉市西延的北环路，</w:t>
            </w:r>
            <w:r>
              <w:rPr>
                <w:rFonts w:hint="eastAsia"/>
                <w:color w:val="000000"/>
                <w:sz w:val="24"/>
              </w:rPr>
              <w:t>地块呈长方形“带状”布置</w:t>
            </w:r>
            <w:r>
              <w:rPr>
                <w:rFonts w:hint="eastAsia"/>
                <w:color w:val="000000"/>
                <w:sz w:val="24"/>
                <w:lang w:eastAsia="zh-CN"/>
              </w:rPr>
              <w:t>，</w:t>
            </w:r>
            <w:r>
              <w:rPr>
                <w:rFonts w:hint="default" w:ascii="Times New Roman" w:hAnsi="Times New Roman" w:cs="Times New Roman"/>
                <w:b w:val="0"/>
                <w:bCs w:val="0"/>
              </w:rPr>
              <w:t>规划范围</w:t>
            </w:r>
            <w:r>
              <w:rPr>
                <w:rFonts w:hint="eastAsia" w:cs="Times New Roman"/>
                <w:b w:val="0"/>
                <w:bCs w:val="0"/>
                <w:lang w:val="en-US" w:eastAsia="zh-CN"/>
              </w:rPr>
              <w:t>9.35</w:t>
            </w:r>
            <w:r>
              <w:rPr>
                <w:rFonts w:hint="default" w:ascii="Times New Roman" w:hAnsi="Times New Roman" w:eastAsia="宋体" w:cs="Times New Roman"/>
                <w:b w:val="0"/>
                <w:bCs w:val="0"/>
              </w:rPr>
              <w:t>km</w:t>
            </w:r>
            <w:r>
              <w:rPr>
                <w:rFonts w:hint="default" w:ascii="Times New Roman" w:hAnsi="Times New Roman" w:eastAsia="宋体" w:cs="Times New Roman"/>
                <w:b w:val="0"/>
                <w:bCs w:val="0"/>
                <w:vertAlign w:val="superscript"/>
              </w:rPr>
              <w:t>2</w:t>
            </w:r>
            <w:r>
              <w:rPr>
                <w:rFonts w:hint="default" w:ascii="Times New Roman" w:hAnsi="Times New Roman" w:cs="Times New Roman"/>
                <w:b w:val="0"/>
                <w:bCs w:val="0"/>
              </w:rPr>
              <w:t>。</w:t>
            </w:r>
            <w:r>
              <w:rPr>
                <w:rFonts w:hint="eastAsia" w:cs="Times New Roman"/>
                <w:b w:val="0"/>
                <w:bCs w:val="0"/>
                <w:lang w:val="en-US" w:eastAsia="zh-CN"/>
              </w:rPr>
              <w:t>规划情况如下：</w:t>
            </w:r>
          </w:p>
          <w:p w14:paraId="0DD97ABB">
            <w:pPr>
              <w:pStyle w:val="63"/>
              <w:numPr>
                <w:ilvl w:val="0"/>
                <w:numId w:val="2"/>
              </w:numPr>
              <w:spacing w:line="360" w:lineRule="auto"/>
              <w:ind w:firstLine="480" w:firstLineChars="200"/>
              <w:rPr>
                <w:rFonts w:hint="eastAsia" w:cs="Times New Roman"/>
                <w:b w:val="0"/>
                <w:bCs w:val="0"/>
                <w:lang w:val="en-US" w:eastAsia="zh-CN"/>
              </w:rPr>
            </w:pPr>
            <w:r>
              <w:rPr>
                <w:rFonts w:hint="eastAsia" w:cs="Times New Roman"/>
                <w:b w:val="0"/>
                <w:bCs w:val="0"/>
                <w:lang w:val="en-US" w:eastAsia="zh-CN"/>
              </w:rPr>
              <w:t>空间结构</w:t>
            </w:r>
          </w:p>
          <w:p w14:paraId="593F01F2">
            <w:pPr>
              <w:pStyle w:val="63"/>
              <w:numPr>
                <w:ilvl w:val="0"/>
                <w:numId w:val="0"/>
              </w:numPr>
              <w:spacing w:line="360" w:lineRule="auto"/>
              <w:ind w:firstLine="480" w:firstLineChars="200"/>
              <w:rPr>
                <w:rFonts w:hint="default" w:cs="Times New Roman"/>
                <w:b w:val="0"/>
                <w:bCs w:val="0"/>
                <w:lang w:val="en-US" w:eastAsia="zh-CN"/>
              </w:rPr>
            </w:pPr>
            <w:r>
              <w:rPr>
                <w:rFonts w:hint="default" w:ascii="Times New Roman" w:hAnsi="Times New Roman" w:eastAsia="宋体" w:cs="Times New Roman"/>
                <w:color w:val="auto"/>
                <w:lang w:val="en-US" w:eastAsia="zh-CN"/>
              </w:rPr>
              <w:t>结合现有用地及产业基础，对接产业专项规划的产业定位，规划形成</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一心两轴</w:t>
            </w:r>
            <w:r>
              <w:rPr>
                <w:rFonts w:hint="eastAsia" w:cs="Times New Roman"/>
                <w:color w:val="auto"/>
                <w:lang w:val="en-US" w:eastAsia="zh-CN"/>
              </w:rPr>
              <w:t>三</w:t>
            </w:r>
            <w:r>
              <w:rPr>
                <w:rFonts w:hint="default" w:ascii="Times New Roman" w:hAnsi="Times New Roman" w:eastAsia="宋体" w:cs="Times New Roman"/>
                <w:color w:val="auto"/>
                <w:lang w:val="en-US" w:eastAsia="zh-CN"/>
              </w:rPr>
              <w:t>区</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的空间结构。</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一心</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指综合服务中心，承担产业园区和大西渠镇综合办公、商业服务、教育医疗、休闲娱乐等生活和产业服务功能。</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两轴</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指乌昌大道东西向城镇发展轴和幸福路南北产业综合发展轴。</w:t>
            </w:r>
            <w:r>
              <w:rPr>
                <w:rFonts w:hint="eastAsia" w:ascii="Times New Roman" w:hAnsi="Times New Roman" w:eastAsia="宋体" w:cs="Times New Roman"/>
                <w:color w:val="auto"/>
                <w:lang w:val="en-US" w:eastAsia="zh-CN"/>
              </w:rPr>
              <w:t>“</w:t>
            </w:r>
            <w:r>
              <w:rPr>
                <w:rFonts w:hint="eastAsia" w:cs="Times New Roman"/>
                <w:color w:val="auto"/>
                <w:lang w:val="en-US" w:eastAsia="zh-CN"/>
              </w:rPr>
              <w:t>三</w:t>
            </w:r>
            <w:r>
              <w:rPr>
                <w:rFonts w:hint="default" w:ascii="Times New Roman" w:hAnsi="Times New Roman" w:eastAsia="宋体" w:cs="Times New Roman"/>
                <w:color w:val="auto"/>
                <w:lang w:val="en-US" w:eastAsia="zh-CN"/>
              </w:rPr>
              <w:t>区</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为综合服务区、食品制造区、工贸协同区。</w:t>
            </w:r>
          </w:p>
          <w:p w14:paraId="3C4C462C">
            <w:pPr>
              <w:pStyle w:val="63"/>
              <w:spacing w:line="360" w:lineRule="auto"/>
              <w:ind w:firstLine="480" w:firstLineChars="200"/>
              <w:rPr>
                <w:rFonts w:hint="default"/>
                <w:color w:val="000000"/>
                <w:sz w:val="24"/>
                <w:lang w:val="en-US" w:eastAsia="zh-CN"/>
              </w:rPr>
            </w:pPr>
            <w:r>
              <w:rPr>
                <w:rFonts w:hint="eastAsia"/>
                <w:color w:val="000000"/>
                <w:sz w:val="24"/>
                <w:lang w:val="en-US" w:eastAsia="zh-CN"/>
              </w:rPr>
              <w:t>（2）功能分区</w:t>
            </w:r>
          </w:p>
          <w:p w14:paraId="210949DC">
            <w:pPr>
              <w:pStyle w:val="63"/>
              <w:spacing w:line="360" w:lineRule="auto"/>
              <w:ind w:firstLine="480" w:firstLineChars="200"/>
              <w:rPr>
                <w:rFonts w:hint="eastAsia"/>
                <w:color w:val="000000"/>
                <w:sz w:val="24"/>
                <w:lang w:val="en-US" w:eastAsia="zh-CN"/>
              </w:rPr>
            </w:pPr>
            <w:r>
              <w:rPr>
                <w:rFonts w:hint="eastAsia"/>
                <w:color w:val="000000"/>
                <w:sz w:val="24"/>
                <w:lang w:val="en-US" w:eastAsia="zh-CN"/>
              </w:rPr>
              <w:t>根据园区各类产业门类和产业链功能分区，闽昌食品产业园可以分为三大功能区。</w:t>
            </w:r>
          </w:p>
          <w:p w14:paraId="3EBAFFDC">
            <w:pPr>
              <w:pStyle w:val="63"/>
              <w:spacing w:line="360" w:lineRule="auto"/>
              <w:ind w:firstLine="480" w:firstLineChars="200"/>
              <w:rPr>
                <w:rFonts w:hint="eastAsia"/>
                <w:color w:val="000000"/>
                <w:sz w:val="24"/>
                <w:lang w:val="en-US" w:eastAsia="zh-CN"/>
              </w:rPr>
            </w:pPr>
            <w:r>
              <w:rPr>
                <w:rFonts w:hint="eastAsia"/>
                <w:color w:val="000000"/>
                <w:sz w:val="24"/>
                <w:lang w:val="en-US" w:eastAsia="zh-CN"/>
              </w:rPr>
              <w:t>①综合服务区</w:t>
            </w:r>
          </w:p>
          <w:p w14:paraId="3015E620">
            <w:pPr>
              <w:pStyle w:val="63"/>
              <w:spacing w:line="360" w:lineRule="auto"/>
              <w:ind w:firstLine="480" w:firstLineChars="200"/>
              <w:rPr>
                <w:rFonts w:hint="eastAsia"/>
                <w:color w:val="000000"/>
                <w:sz w:val="24"/>
                <w:lang w:val="en-US" w:eastAsia="zh-CN"/>
              </w:rPr>
            </w:pPr>
            <w:r>
              <w:rPr>
                <w:rFonts w:hint="eastAsia"/>
                <w:color w:val="000000"/>
                <w:sz w:val="24"/>
                <w:lang w:val="en-US" w:eastAsia="zh-CN"/>
              </w:rPr>
              <w:t>以大西渠镇区行政办公、教育医疗、商业服务、居住等功能为依托，整体作为产业园区的综合生活服务功能区，功能区面积384.82公顷，占总用地面积39%。</w:t>
            </w:r>
          </w:p>
          <w:p w14:paraId="781B8F8A">
            <w:pPr>
              <w:pStyle w:val="63"/>
              <w:spacing w:line="360" w:lineRule="auto"/>
              <w:ind w:firstLine="480" w:firstLineChars="200"/>
              <w:rPr>
                <w:rFonts w:hint="eastAsia"/>
                <w:color w:val="000000"/>
                <w:sz w:val="24"/>
                <w:lang w:val="en-US" w:eastAsia="zh-CN"/>
              </w:rPr>
            </w:pPr>
            <w:r>
              <w:rPr>
                <w:rFonts w:hint="eastAsia"/>
                <w:color w:val="000000"/>
                <w:sz w:val="24"/>
                <w:lang w:val="en-US" w:eastAsia="zh-CN"/>
              </w:rPr>
              <w:t>②食品制造区</w:t>
            </w:r>
          </w:p>
          <w:p w14:paraId="01A8C223">
            <w:pPr>
              <w:pStyle w:val="63"/>
              <w:spacing w:line="360" w:lineRule="auto"/>
              <w:ind w:firstLine="480" w:firstLineChars="200"/>
              <w:rPr>
                <w:rFonts w:hint="eastAsia"/>
                <w:color w:val="000000"/>
                <w:sz w:val="24"/>
                <w:lang w:val="en-US" w:eastAsia="zh-CN"/>
              </w:rPr>
            </w:pPr>
            <w:r>
              <w:rPr>
                <w:rFonts w:hint="eastAsia"/>
                <w:color w:val="000000"/>
                <w:sz w:val="24"/>
                <w:lang w:val="en-US" w:eastAsia="zh-CN"/>
              </w:rPr>
              <w:t>依托本地种植养殖、调味品等产业基础，创新发展新型调味品、特色果蔬饮品、休闲零食等地域新产品加工区，功能区面积385.12公顷，占总用地面积39%。</w:t>
            </w:r>
          </w:p>
          <w:p w14:paraId="7960DE45">
            <w:pPr>
              <w:pStyle w:val="63"/>
              <w:spacing w:line="360" w:lineRule="auto"/>
              <w:ind w:firstLine="480" w:firstLineChars="200"/>
              <w:rPr>
                <w:rFonts w:hint="eastAsia"/>
                <w:color w:val="000000"/>
                <w:sz w:val="24"/>
                <w:lang w:val="en-US" w:eastAsia="zh-CN"/>
              </w:rPr>
            </w:pPr>
            <w:r>
              <w:rPr>
                <w:rFonts w:hint="eastAsia"/>
                <w:color w:val="000000"/>
                <w:sz w:val="24"/>
                <w:lang w:val="en-US" w:eastAsia="zh-CN"/>
              </w:rPr>
              <w:t>③工贸协同区</w:t>
            </w:r>
          </w:p>
          <w:p w14:paraId="1E8E44BF">
            <w:pPr>
              <w:pStyle w:val="63"/>
              <w:spacing w:line="360" w:lineRule="auto"/>
              <w:ind w:firstLine="480" w:firstLineChars="200"/>
              <w:rPr>
                <w:rFonts w:hint="eastAsia"/>
                <w:color w:val="000000"/>
                <w:sz w:val="24"/>
                <w:lang w:val="en-US" w:eastAsia="zh-CN"/>
              </w:rPr>
            </w:pPr>
            <w:r>
              <w:rPr>
                <w:rFonts w:hint="default"/>
                <w:color w:val="auto"/>
                <w:lang w:val="en-US" w:eastAsia="zh-CN"/>
              </w:rPr>
              <w:t>依托昌吉市及周边地区食品产业工艺需求，聚集发展盖、瓶、罐、箱、盒等食品包装企业，提供保鲜包装、无菌包装、速冻包装、真空包装等食品包装服务；依托园区食品加工产品，在现有食品专业市场功能基础上建设食品展销、零售、批发、信息平台等功能一体的产销协同功能区；糖厂以南区域以食品加工产品的品类拓展、业态延伸与服务需求为产业方向</w:t>
            </w:r>
            <w:r>
              <w:rPr>
                <w:rFonts w:hint="eastAsia"/>
                <w:color w:val="auto"/>
                <w:lang w:val="en-US" w:eastAsia="zh-CN"/>
              </w:rPr>
              <w:t>。</w:t>
            </w:r>
            <w:r>
              <w:rPr>
                <w:rFonts w:hint="default"/>
                <w:color w:val="auto"/>
                <w:lang w:val="en-US" w:eastAsia="zh-CN"/>
              </w:rPr>
              <w:t>工贸协同区面积 211.72 公顷，占总用地面积 22%。</w:t>
            </w:r>
          </w:p>
          <w:p w14:paraId="44C77931">
            <w:pPr>
              <w:pStyle w:val="63"/>
              <w:spacing w:line="360" w:lineRule="auto"/>
              <w:ind w:firstLine="480" w:firstLineChars="200"/>
              <w:rPr>
                <w:rFonts w:hint="default"/>
                <w:color w:val="000000"/>
                <w:sz w:val="24"/>
                <w:lang w:val="en-US" w:eastAsia="zh-CN"/>
              </w:rPr>
            </w:pPr>
            <w:r>
              <w:rPr>
                <w:rFonts w:hint="eastAsia"/>
                <w:color w:val="000000"/>
                <w:sz w:val="24"/>
                <w:lang w:val="en-US" w:eastAsia="zh-CN"/>
              </w:rPr>
              <w:t>（3）产业选择</w:t>
            </w:r>
          </w:p>
          <w:p w14:paraId="51E14A7F">
            <w:pPr>
              <w:pStyle w:val="63"/>
              <w:spacing w:line="360" w:lineRule="auto"/>
              <w:ind w:firstLine="480" w:firstLineChars="200"/>
              <w:rPr>
                <w:rFonts w:hint="default"/>
                <w:color w:val="000000"/>
                <w:sz w:val="24"/>
                <w:lang w:val="en-US" w:eastAsia="zh-CN"/>
              </w:rPr>
            </w:pPr>
            <w:r>
              <w:rPr>
                <w:rFonts w:hint="eastAsia"/>
                <w:color w:val="000000"/>
                <w:sz w:val="24"/>
                <w:lang w:val="en-US" w:eastAsia="zh-CN"/>
              </w:rPr>
              <w:t>①</w:t>
            </w:r>
            <w:r>
              <w:rPr>
                <w:rFonts w:hint="default" w:ascii="Times New Roman" w:hAnsi="Times New Roman" w:eastAsia="宋体" w:cs="Times New Roman"/>
                <w:color w:val="auto"/>
                <w:lang w:val="en-US" w:eastAsia="zh-CN"/>
              </w:rPr>
              <w:t>食品产业</w:t>
            </w:r>
          </w:p>
          <w:p w14:paraId="78B409E6">
            <w:pPr>
              <w:pStyle w:val="63"/>
              <w:spacing w:line="360" w:lineRule="auto"/>
              <w:ind w:firstLine="48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立足本地番茄种植规模优势，丰富番茄精深加工产品矩阵，做强番茄调味品，特色发展番茄饮品，延伸布局番茄保健品，着力打造番茄加工区域品牌。</w:t>
            </w:r>
          </w:p>
          <w:p w14:paraId="356AB10C">
            <w:pPr>
              <w:pStyle w:val="63"/>
              <w:spacing w:line="360" w:lineRule="auto"/>
              <w:ind w:firstLine="480" w:firstLineChars="200"/>
              <w:rPr>
                <w:rFonts w:hint="eastAsia" w:ascii="Times New Roman" w:hAnsi="Times New Roman" w:eastAsia="宋体" w:cs="Times New Roman"/>
                <w:color w:val="auto"/>
                <w:lang w:val="en-US" w:eastAsia="zh-CN"/>
              </w:rPr>
            </w:pPr>
            <w:r>
              <w:rPr>
                <w:rFonts w:hint="eastAsia" w:eastAsia="宋体" w:cs="Times New Roman"/>
                <w:color w:val="auto"/>
                <w:lang w:val="en-US" w:eastAsia="zh-CN"/>
              </w:rPr>
              <w:t>②</w:t>
            </w:r>
            <w:r>
              <w:rPr>
                <w:rFonts w:hint="eastAsia" w:cs="Times New Roman"/>
                <w:color w:val="auto"/>
                <w:lang w:val="en-US" w:eastAsia="zh-CN"/>
              </w:rPr>
              <w:t>高端装备</w:t>
            </w:r>
          </w:p>
          <w:p w14:paraId="289BD398">
            <w:pPr>
              <w:pStyle w:val="63"/>
              <w:spacing w:line="360" w:lineRule="auto"/>
              <w:ind w:firstLine="480" w:firstLineChars="200"/>
              <w:rPr>
                <w:rFonts w:hint="eastAsia"/>
                <w:color w:val="000000"/>
                <w:sz w:val="24"/>
                <w:lang w:val="en-US" w:eastAsia="zh-CN"/>
              </w:rPr>
            </w:pPr>
            <w:r>
              <w:rPr>
                <w:rFonts w:hint="default" w:ascii="Times New Roman" w:hAnsi="Times New Roman" w:eastAsia="宋体" w:cs="Times New Roman"/>
                <w:color w:val="auto"/>
                <w:lang w:val="en-US" w:eastAsia="zh-CN"/>
              </w:rPr>
              <w:t>瞄准食品产业高效生产、高质产出目标，围绕食品机械设备、食品包装材料两个重点领域，强化发展食品产业相关高端装备制造业，提升食品工业产业链现代化水平。重点发展食品加工机械、农机装备等细分领域。</w:t>
            </w:r>
          </w:p>
          <w:p w14:paraId="4E1D6FBB">
            <w:pPr>
              <w:pStyle w:val="63"/>
              <w:spacing w:line="360" w:lineRule="auto"/>
              <w:ind w:firstLine="480" w:firstLineChars="200"/>
              <w:rPr>
                <w:rFonts w:hint="default"/>
                <w:color w:val="000000"/>
                <w:sz w:val="24"/>
                <w:lang w:val="en-US" w:eastAsia="zh-CN"/>
              </w:rPr>
            </w:pPr>
            <w:r>
              <w:rPr>
                <w:rFonts w:hint="eastAsia"/>
                <w:color w:val="000000"/>
                <w:sz w:val="24"/>
                <w:lang w:val="en-US" w:eastAsia="zh-CN"/>
              </w:rPr>
              <w:t>③</w:t>
            </w:r>
            <w:r>
              <w:rPr>
                <w:rFonts w:hint="default" w:ascii="Times New Roman" w:hAnsi="Times New Roman" w:eastAsia="宋体" w:cs="Times New Roman"/>
                <w:color w:val="auto"/>
                <w:lang w:val="en-US" w:eastAsia="zh-CN"/>
              </w:rPr>
              <w:t>现代服务</w:t>
            </w:r>
          </w:p>
          <w:p w14:paraId="65F42530">
            <w:pPr>
              <w:pStyle w:val="63"/>
              <w:spacing w:line="360" w:lineRule="auto"/>
              <w:ind w:firstLine="480" w:firstLineChars="200"/>
              <w:rPr>
                <w:rFonts w:hint="eastAsia"/>
                <w:color w:val="000000"/>
                <w:sz w:val="24"/>
                <w:lang w:val="en-US" w:eastAsia="zh-CN"/>
              </w:rPr>
            </w:pPr>
            <w:r>
              <w:rPr>
                <w:rFonts w:hint="default" w:ascii="Times New Roman" w:hAnsi="Times New Roman" w:eastAsia="宋体" w:cs="Times New Roman"/>
                <w:color w:val="auto"/>
                <w:lang w:val="en-US" w:eastAsia="zh-CN"/>
              </w:rPr>
              <w:t>聚焦食品产业品类拓展、业态延伸需求，围绕商贸服务、科技服务等方向布局一批新业态，助力食品产业前端产品创新与后端市场拓展。</w:t>
            </w:r>
          </w:p>
          <w:p w14:paraId="66CCB024">
            <w:pPr>
              <w:pStyle w:val="63"/>
              <w:spacing w:line="360" w:lineRule="auto"/>
              <w:ind w:firstLine="480" w:firstLineChars="200"/>
              <w:rPr>
                <w:rFonts w:hint="default"/>
                <w:color w:val="000000"/>
                <w:sz w:val="24"/>
                <w:lang w:val="en-US" w:eastAsia="zh-CN"/>
              </w:rPr>
            </w:pPr>
            <w:r>
              <w:rPr>
                <w:rFonts w:hint="eastAsia"/>
                <w:color w:val="000000"/>
                <w:sz w:val="24"/>
                <w:lang w:val="en-US" w:eastAsia="zh-CN"/>
              </w:rPr>
              <w:t>④</w:t>
            </w:r>
            <w:r>
              <w:rPr>
                <w:rFonts w:hint="default" w:ascii="Times New Roman" w:hAnsi="Times New Roman" w:eastAsia="宋体" w:cs="Times New Roman"/>
                <w:color w:val="auto"/>
                <w:lang w:val="en-US" w:eastAsia="zh-CN"/>
              </w:rPr>
              <w:t>生物产业</w:t>
            </w:r>
          </w:p>
          <w:p w14:paraId="37A0FB82">
            <w:pPr>
              <w:pStyle w:val="63"/>
              <w:spacing w:line="360" w:lineRule="auto"/>
              <w:ind w:firstLine="480" w:firstLineChars="200"/>
              <w:rPr>
                <w:rFonts w:hint="eastAsia"/>
                <w:color w:val="000000"/>
                <w:sz w:val="24"/>
                <w:lang w:val="en-US" w:eastAsia="zh-CN"/>
              </w:rPr>
            </w:pPr>
            <w:r>
              <w:rPr>
                <w:rFonts w:hint="eastAsia" w:ascii="Times New Roman" w:hAnsi="Times New Roman" w:eastAsia="宋体" w:cs="Times New Roman"/>
                <w:color w:val="auto"/>
                <w:lang w:val="en-US" w:eastAsia="zh-CN"/>
              </w:rPr>
              <w:t>发挥生物资源禀赋优势，加速食品产业向高附加值领域延伸，探索布局生物育种、功能性食品、生物医美产品等新赛道。</w:t>
            </w:r>
          </w:p>
          <w:p w14:paraId="6314F1C8">
            <w:pPr>
              <w:pStyle w:val="63"/>
              <w:spacing w:line="360" w:lineRule="auto"/>
              <w:ind w:firstLine="480" w:firstLineChars="200"/>
              <w:rPr>
                <w:rFonts w:hint="eastAsia" w:eastAsia="宋体" w:cs="Times New Roman"/>
                <w:sz w:val="24"/>
                <w:szCs w:val="24"/>
                <w:u w:val="none"/>
                <w:lang w:val="en-US" w:eastAsia="zh-CN"/>
              </w:rPr>
            </w:pPr>
            <w:r>
              <w:rPr>
                <w:rFonts w:hint="eastAsia" w:cs="Times New Roman"/>
                <w:b w:val="0"/>
                <w:bCs w:val="0"/>
                <w:lang w:val="en-US" w:eastAsia="zh-CN"/>
              </w:rPr>
              <w:t>本项目位于</w:t>
            </w:r>
            <w:r>
              <w:rPr>
                <w:rFonts w:hint="default" w:ascii="Times New Roman" w:hAnsi="Times New Roman" w:eastAsia="宋体" w:cs="Times New Roman"/>
                <w:sz w:val="24"/>
                <w:szCs w:val="24"/>
                <w:u w:val="none"/>
                <w:lang w:val="en-US" w:eastAsia="zh-CN"/>
              </w:rPr>
              <w:t>昌吉市大西渠镇</w:t>
            </w:r>
            <w:r>
              <w:rPr>
                <w:rFonts w:hint="eastAsia" w:ascii="Times New Roman" w:hAnsi="Times New Roman" w:eastAsia="宋体" w:cs="Times New Roman"/>
                <w:sz w:val="24"/>
                <w:szCs w:val="24"/>
                <w:u w:val="none"/>
                <w:lang w:val="en-US" w:eastAsia="zh-CN"/>
              </w:rPr>
              <w:t>闽昌工业园</w:t>
            </w:r>
            <w:r>
              <w:rPr>
                <w:rFonts w:hint="eastAsia" w:cs="Times New Roman"/>
                <w:sz w:val="24"/>
                <w:szCs w:val="24"/>
                <w:u w:val="none"/>
                <w:lang w:val="en-US" w:eastAsia="zh-CN"/>
              </w:rPr>
              <w:t>，功能区类别为</w:t>
            </w:r>
            <w:r>
              <w:rPr>
                <w:rFonts w:hint="eastAsia"/>
                <w:color w:val="000000"/>
                <w:sz w:val="24"/>
                <w:lang w:val="en-US" w:eastAsia="zh-CN"/>
              </w:rPr>
              <w:t>工贸协同区，</w:t>
            </w:r>
            <w:r>
              <w:rPr>
                <w:rFonts w:hint="eastAsia" w:hAnsi="宋体"/>
                <w:sz w:val="24"/>
                <w:lang w:val="en-US" w:eastAsia="zh-CN"/>
              </w:rPr>
              <w:t>属于二类工业用地。本项目为</w:t>
            </w:r>
            <w:r>
              <w:rPr>
                <w:rFonts w:hint="eastAsia" w:ascii="Times New Roman" w:hAnsi="Times New Roman" w:cs="Times New Roman"/>
                <w:color w:val="auto"/>
                <w:sz w:val="24"/>
                <w:szCs w:val="24"/>
                <w:highlight w:val="none"/>
                <w:lang w:val="en-US" w:eastAsia="zh-CN"/>
              </w:rPr>
              <w:t>机械化农业及园艺机具制造</w:t>
            </w:r>
            <w:r>
              <w:rPr>
                <w:rFonts w:hint="eastAsia" w:cs="Times New Roman"/>
                <w:color w:val="auto"/>
                <w:sz w:val="24"/>
                <w:szCs w:val="24"/>
                <w:highlight w:val="none"/>
                <w:lang w:val="en-US" w:eastAsia="zh-CN"/>
              </w:rPr>
              <w:t>，符合规划中产业选择中的高端装备制造业-农机装备领域，</w:t>
            </w:r>
            <w:r>
              <w:rPr>
                <w:color w:val="auto"/>
                <w:kern w:val="0"/>
                <w:highlight w:val="none"/>
              </w:rPr>
              <w:t>项目建设符合</w:t>
            </w:r>
            <w:r>
              <w:rPr>
                <w:rFonts w:hint="default" w:ascii="Times New Roman" w:hAnsi="Times New Roman" w:eastAsia="宋体" w:cs="Times New Roman"/>
                <w:color w:val="auto"/>
                <w:sz w:val="24"/>
                <w:highlight w:val="none"/>
                <w:lang w:val="en-US" w:eastAsia="zh-CN"/>
              </w:rPr>
              <w:t>闽昌工业园区总体规划</w:t>
            </w:r>
            <w:r>
              <w:rPr>
                <w:rFonts w:hint="eastAsia" w:cs="Times New Roman"/>
                <w:color w:val="auto"/>
                <w:sz w:val="24"/>
                <w:highlight w:val="none"/>
                <w:lang w:val="en-US" w:eastAsia="zh-CN"/>
              </w:rPr>
              <w:t>的相关要求</w:t>
            </w:r>
            <w:r>
              <w:rPr>
                <w:rFonts w:hint="eastAsia"/>
                <w:color w:val="auto"/>
                <w:kern w:val="0"/>
                <w:highlight w:val="none"/>
                <w:lang w:eastAsia="zh-CN"/>
              </w:rPr>
              <w:t>。</w:t>
            </w:r>
          </w:p>
          <w:p w14:paraId="65A3FEF7">
            <w:pPr>
              <w:pStyle w:val="63"/>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b/>
                <w:bCs/>
                <w:color w:val="auto"/>
                <w:kern w:val="0"/>
                <w:highlight w:val="none"/>
              </w:rPr>
            </w:pPr>
            <w:r>
              <w:rPr>
                <w:rFonts w:hint="eastAsia"/>
                <w:b/>
                <w:bCs/>
                <w:color w:val="auto"/>
                <w:kern w:val="0"/>
                <w:highlight w:val="none"/>
              </w:rPr>
              <w:t>2 规划环评及审查意见符合性分析</w:t>
            </w:r>
          </w:p>
          <w:p w14:paraId="2E48EC57">
            <w:pPr>
              <w:pStyle w:val="63"/>
              <w:spacing w:line="360" w:lineRule="auto"/>
              <w:ind w:firstLine="480" w:firstLineChars="200"/>
              <w:rPr>
                <w:rFonts w:hint="eastAsia"/>
                <w:color w:val="auto"/>
                <w:kern w:val="0"/>
                <w:highlight w:val="none"/>
              </w:rPr>
            </w:pPr>
            <w:r>
              <w:rPr>
                <w:rFonts w:hint="eastAsia"/>
                <w:color w:val="auto"/>
                <w:kern w:val="0"/>
                <w:highlight w:val="none"/>
              </w:rPr>
              <w:t>根据</w:t>
            </w:r>
            <w:r>
              <w:rPr>
                <w:rFonts w:hint="eastAsia" w:cs="Times New Roman"/>
                <w:color w:val="auto"/>
                <w:sz w:val="24"/>
                <w:highlight w:val="none"/>
                <w:lang w:val="en-US" w:eastAsia="zh-CN"/>
              </w:rPr>
              <w:t>《闽昌食品产业园专项规划(2024~2035年)环境影响报告书）》</w:t>
            </w:r>
            <w:r>
              <w:rPr>
                <w:rFonts w:hint="eastAsia"/>
                <w:color w:val="auto"/>
                <w:kern w:val="0"/>
                <w:highlight w:val="none"/>
                <w:lang w:val="en-US" w:eastAsia="zh-CN"/>
              </w:rPr>
              <w:t>及其审查意见，</w:t>
            </w:r>
            <w:r>
              <w:rPr>
                <w:rFonts w:hint="eastAsia"/>
                <w:color w:val="auto"/>
                <w:kern w:val="0"/>
                <w:highlight w:val="none"/>
              </w:rPr>
              <w:t>园区项目建设应遵循《新疆维吾尔自治区国民经济和社会发展“十二五”规划》、《</w:t>
            </w:r>
            <w:r>
              <w:rPr>
                <w:rFonts w:hAnsi="宋体"/>
                <w:b w:val="0"/>
                <w:bCs/>
                <w:sz w:val="24"/>
              </w:rPr>
              <w:t>昌吉市</w:t>
            </w:r>
            <w:r>
              <w:rPr>
                <w:rFonts w:hint="eastAsia"/>
                <w:color w:val="auto"/>
                <w:kern w:val="0"/>
                <w:highlight w:val="none"/>
              </w:rPr>
              <w:t>国民经济和社会发展“十二五”规划》</w:t>
            </w:r>
            <w:r>
              <w:rPr>
                <w:rFonts w:hint="eastAsia"/>
                <w:color w:val="auto"/>
                <w:kern w:val="0"/>
                <w:highlight w:val="none"/>
                <w:lang w:eastAsia="zh-CN"/>
              </w:rPr>
              <w:t>、</w:t>
            </w:r>
            <w:r>
              <w:rPr>
                <w:rFonts w:hAnsi="宋体"/>
                <w:b w:val="0"/>
                <w:bCs/>
                <w:sz w:val="24"/>
              </w:rPr>
              <w:t>《</w:t>
            </w:r>
            <w:r>
              <w:rPr>
                <w:rFonts w:hint="eastAsia" w:hAnsi="宋体"/>
                <w:b w:val="0"/>
                <w:bCs/>
                <w:sz w:val="24"/>
                <w:lang w:val="en-US" w:eastAsia="zh-CN"/>
              </w:rPr>
              <w:t>昌吉市国土空间总体规划（2021-2035）</w:t>
            </w:r>
            <w:r>
              <w:rPr>
                <w:rFonts w:hAnsi="宋体"/>
                <w:b w:val="0"/>
                <w:bCs/>
                <w:sz w:val="24"/>
              </w:rPr>
              <w:t>》</w:t>
            </w:r>
            <w:r>
              <w:rPr>
                <w:rFonts w:hint="eastAsia" w:hAnsi="宋体"/>
                <w:b w:val="0"/>
                <w:bCs/>
                <w:sz w:val="24"/>
                <w:lang w:val="en-US" w:eastAsia="zh-CN"/>
              </w:rPr>
              <w:t>等相关规划要求，</w:t>
            </w:r>
            <w:r>
              <w:rPr>
                <w:rFonts w:hint="default" w:ascii="Times New Roman" w:hAnsi="Times New Roman" w:eastAsia="宋体" w:cs="Times New Roman"/>
                <w:color w:val="auto"/>
                <w:lang w:val="en-US" w:eastAsia="zh-CN"/>
              </w:rPr>
              <w:t>重视园区环境准入要求，突出重点入园项目必须符合园区环境准入要求。重点突出工程分析、污染防治措施、风险评价等内容</w:t>
            </w:r>
            <w:r>
              <w:rPr>
                <w:rFonts w:hint="eastAsia" w:eastAsia="宋体" w:cs="Times New Roman"/>
                <w:color w:val="auto"/>
                <w:lang w:val="en-US" w:eastAsia="zh-CN"/>
              </w:rPr>
              <w:t>；</w:t>
            </w:r>
            <w:r>
              <w:rPr>
                <w:rFonts w:hint="default" w:ascii="Times New Roman" w:hAnsi="Times New Roman" w:eastAsia="宋体" w:cs="Times New Roman"/>
                <w:color w:val="auto"/>
                <w:lang w:val="en-US" w:eastAsia="zh-CN"/>
              </w:rPr>
              <w:t>应重视企业水污染物排放指标与园区污水处理厂进水水质要求的衔接，对于污水处理厂能处理的特征污染物应根据工艺和环境管理的要求选择执行相关行业排放标准要求</w:t>
            </w:r>
            <w:r>
              <w:rPr>
                <w:rFonts w:hint="eastAsia" w:eastAsia="宋体" w:cs="Times New Roman"/>
                <w:color w:val="auto"/>
                <w:lang w:val="en-US" w:eastAsia="zh-CN"/>
              </w:rPr>
              <w:t>；</w:t>
            </w:r>
            <w:r>
              <w:rPr>
                <w:rFonts w:hint="default" w:ascii="Times New Roman" w:hAnsi="Times New Roman" w:eastAsia="宋体" w:cs="Times New Roman"/>
                <w:color w:val="auto"/>
                <w:lang w:val="en-US" w:eastAsia="zh-CN"/>
              </w:rPr>
              <w:t>推动能源清洁低碳转型，在保障能源安全的前提下，加快煤炭减量步伐，实施可再生能源替代行动</w:t>
            </w:r>
            <w:r>
              <w:rPr>
                <w:rFonts w:hint="eastAsia" w:eastAsia="宋体" w:cs="Times New Roman"/>
                <w:color w:val="auto"/>
                <w:lang w:val="en-US" w:eastAsia="zh-CN"/>
              </w:rPr>
              <w:t>；</w:t>
            </w:r>
            <w:r>
              <w:rPr>
                <w:rFonts w:hint="eastAsia"/>
                <w:color w:val="auto"/>
                <w:kern w:val="0"/>
                <w:highlight w:val="none"/>
              </w:rPr>
              <w:t>合理布设园区企业产业布局，禁止开采地下水，确保污染物达标排放等。</w:t>
            </w:r>
          </w:p>
          <w:p w14:paraId="1B3704E2">
            <w:pPr>
              <w:pStyle w:val="63"/>
              <w:spacing w:line="360" w:lineRule="auto"/>
              <w:ind w:firstLine="480" w:firstLineChars="200"/>
              <w:rPr>
                <w:rFonts w:hint="eastAsia"/>
                <w:color w:val="auto"/>
                <w:kern w:val="0"/>
                <w:highlight w:val="none"/>
                <w:lang w:val="en-US" w:eastAsia="zh-CN"/>
              </w:rPr>
            </w:pPr>
            <w:r>
              <w:rPr>
                <w:rFonts w:hint="eastAsia"/>
                <w:color w:val="auto"/>
                <w:kern w:val="0"/>
                <w:highlight w:val="none"/>
                <w:lang w:val="en-US" w:eastAsia="zh-CN"/>
              </w:rPr>
              <w:t>本项目位于大西渠镇闽昌工业园区，</w:t>
            </w:r>
            <w:r>
              <w:rPr>
                <w:rFonts w:hint="eastAsia" w:hAnsi="宋体"/>
                <w:sz w:val="24"/>
                <w:lang w:val="en-US" w:eastAsia="zh-CN"/>
              </w:rPr>
              <w:t>属于二类工业用地，</w:t>
            </w:r>
            <w:r>
              <w:rPr>
                <w:color w:val="auto"/>
                <w:kern w:val="0"/>
                <w:highlight w:val="none"/>
              </w:rPr>
              <w:t>项目</w:t>
            </w:r>
            <w:r>
              <w:rPr>
                <w:rFonts w:hint="eastAsia"/>
                <w:color w:val="auto"/>
                <w:kern w:val="0"/>
                <w:highlight w:val="none"/>
                <w:lang w:val="en-US" w:eastAsia="zh-CN"/>
              </w:rPr>
              <w:t>生产过程中产生得粉尘颗粒物通过“袋式除尘器+15m 高排气筒”处理；产生的非甲烷总烃经活性炭吸附+催化燃烧装置处理后通过 15m 高排气筒排放，颗粒物排放符合《大气污染物综合排放标准》（GB16297-1996）中表2新污染源大气污染物排放限值；非甲烷总烃排放浓度符合《挥发性有机物无组织排放控制标准》（GB37822-2019）的相关要求。</w:t>
            </w:r>
          </w:p>
          <w:p w14:paraId="0F994226">
            <w:pPr>
              <w:pStyle w:val="63"/>
              <w:spacing w:line="360" w:lineRule="auto"/>
              <w:ind w:firstLine="480" w:firstLineChars="200"/>
              <w:rPr>
                <w:rFonts w:hint="default" w:ascii="Times New Roman" w:hAnsi="Times New Roman" w:eastAsia="宋体" w:cs="Times New Roman"/>
                <w:color w:val="auto"/>
                <w:kern w:val="0"/>
                <w:sz w:val="24"/>
                <w:szCs w:val="24"/>
                <w:highlight w:val="none"/>
              </w:rPr>
            </w:pPr>
            <w:r>
              <w:rPr>
                <w:rFonts w:hint="eastAsia"/>
                <w:color w:val="auto"/>
                <w:kern w:val="0"/>
                <w:sz w:val="24"/>
                <w:szCs w:val="24"/>
                <w:highlight w:val="none"/>
                <w:lang w:val="en-US" w:eastAsia="zh-CN"/>
              </w:rPr>
              <w:t>项目生产生活用水来源于供水管网，生产运营过程中产生的生活污水直排污水管网，最终进入昌吉市城北污水处理厂深度处理，产品检验用水循环使用不外排，项目建设不开采地下水资源，</w:t>
            </w:r>
            <w:r>
              <w:rPr>
                <w:rFonts w:hint="eastAsia"/>
                <w:color w:val="auto"/>
                <w:kern w:val="0"/>
                <w:highlight w:val="none"/>
              </w:rPr>
              <w:t>不涉及对地下水的开采，污染物均达标排放，故本项目符合园区规划环评审查意见</w:t>
            </w:r>
            <w:r>
              <w:rPr>
                <w:rFonts w:hint="eastAsia"/>
                <w:color w:val="auto"/>
                <w:kern w:val="0"/>
                <w:highlight w:val="none"/>
                <w:lang w:val="en-US" w:eastAsia="zh-CN"/>
              </w:rPr>
              <w:t>的相关</w:t>
            </w:r>
            <w:r>
              <w:rPr>
                <w:rFonts w:hint="eastAsia"/>
                <w:color w:val="auto"/>
                <w:kern w:val="0"/>
                <w:highlight w:val="none"/>
              </w:rPr>
              <w:t>要求。</w:t>
            </w:r>
          </w:p>
        </w:tc>
      </w:tr>
      <w:tr w14:paraId="232983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33" w:hRule="atLeast"/>
        </w:trPr>
        <w:tc>
          <w:tcPr>
            <w:tcW w:w="943" w:type="dxa"/>
            <w:vAlign w:val="center"/>
          </w:tcPr>
          <w:p w14:paraId="095E0EA4">
            <w:pPr>
              <w:pageBreakBefore w:val="0"/>
              <w:kinsoku/>
              <w:wordWrap/>
              <w:overflowPunct/>
              <w:topLinePunct w:val="0"/>
              <w:autoSpaceDE w:val="0"/>
              <w:autoSpaceDN w:val="0"/>
              <w:bidi w:val="0"/>
              <w:adjustRightInd w:val="0"/>
              <w:snapToGrid w:val="0"/>
              <w:spacing w:line="240" w:lineRule="auto"/>
              <w:ind w:left="0" w:leftChars="0" w:right="0" w:firstLine="0" w:firstLineChars="0"/>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其他符合性分析</w:t>
            </w:r>
          </w:p>
        </w:tc>
        <w:tc>
          <w:tcPr>
            <w:tcW w:w="7927" w:type="dxa"/>
            <w:gridSpan w:val="4"/>
            <w:vAlign w:val="center"/>
          </w:tcPr>
          <w:p w14:paraId="56360097">
            <w:pPr>
              <w:pStyle w:val="37"/>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rPr>
              <w:t>产业政策相符性分析</w:t>
            </w:r>
          </w:p>
          <w:p w14:paraId="2FFA0D21">
            <w:pPr>
              <w:pStyle w:val="37"/>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根据中华人民共和国国家发展和改革委员会令第9号《产业结构调整指导目录（20</w:t>
            </w:r>
            <w:r>
              <w:rPr>
                <w:rFonts w:hint="eastAsia" w:ascii="Times New Roman" w:hAnsi="Times New Roman" w:cs="Times New Roman"/>
                <w:color w:val="auto"/>
                <w:sz w:val="24"/>
                <w:szCs w:val="24"/>
                <w:highlight w:val="none"/>
                <w:lang w:val="en-US" w:eastAsia="zh-CN"/>
              </w:rPr>
              <w:t>24</w:t>
            </w:r>
            <w:r>
              <w:rPr>
                <w:rFonts w:hint="default" w:ascii="Times New Roman" w:hAnsi="Times New Roman" w:eastAsia="宋体" w:cs="Times New Roman"/>
                <w:color w:val="auto"/>
                <w:sz w:val="24"/>
                <w:szCs w:val="24"/>
                <w:highlight w:val="none"/>
              </w:rPr>
              <w:t>年本）》，该类项目</w:t>
            </w:r>
            <w:r>
              <w:rPr>
                <w:rFonts w:hint="eastAsia" w:ascii="Times New Roman" w:hAnsi="Times New Roman" w:cs="Times New Roman"/>
                <w:color w:val="auto"/>
                <w:sz w:val="24"/>
                <w:szCs w:val="24"/>
                <w:highlight w:val="none"/>
                <w:lang w:val="en-US" w:eastAsia="zh-CN"/>
              </w:rPr>
              <w:t>不属于鼓励类、限制类和淘汰类，因此为允许类建设项目</w:t>
            </w:r>
            <w:r>
              <w:rPr>
                <w:rFonts w:hint="default" w:ascii="Times New Roman" w:hAnsi="Times New Roman" w:eastAsia="宋体" w:cs="Times New Roman"/>
                <w:color w:val="auto"/>
                <w:sz w:val="24"/>
                <w:szCs w:val="24"/>
                <w:highlight w:val="none"/>
              </w:rPr>
              <w:t>。本项目的建设符合国家产业政策的要求。</w:t>
            </w:r>
          </w:p>
          <w:p w14:paraId="2F13CF59">
            <w:pPr>
              <w:pStyle w:val="37"/>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2</w:t>
            </w:r>
            <w:r>
              <w:rPr>
                <w:rFonts w:hint="eastAsia" w:ascii="Times New Roman" w:hAnsi="Times New Roman" w:cs="Times New Roman"/>
                <w:b/>
                <w:bCs/>
                <w:color w:val="auto"/>
                <w:sz w:val="24"/>
                <w:szCs w:val="24"/>
                <w:highlight w:val="none"/>
                <w:lang w:val="en-US" w:eastAsia="zh-CN"/>
              </w:rPr>
              <w:t>.</w:t>
            </w:r>
            <w:r>
              <w:rPr>
                <w:rFonts w:hint="default" w:ascii="Times New Roman" w:hAnsi="Times New Roman" w:eastAsia="宋体" w:cs="Times New Roman"/>
                <w:b/>
                <w:bCs/>
                <w:color w:val="auto"/>
                <w:sz w:val="24"/>
                <w:szCs w:val="24"/>
                <w:highlight w:val="none"/>
              </w:rPr>
              <w:t>选址合理性分析</w:t>
            </w:r>
          </w:p>
          <w:p w14:paraId="77E6EC62">
            <w:pPr>
              <w:pStyle w:val="37"/>
              <w:keepNext w:val="0"/>
              <w:keepLines w:val="0"/>
              <w:pageBreakBefore w:val="0"/>
              <w:widowControl w:val="0"/>
              <w:numPr>
                <w:ilvl w:val="0"/>
                <w:numId w:val="0"/>
              </w:numPr>
              <w:tabs>
                <w:tab w:val="left" w:pos="1199"/>
              </w:tabs>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本项目位于</w:t>
            </w:r>
            <w:r>
              <w:rPr>
                <w:rFonts w:hint="eastAsia" w:ascii="Times New Roman" w:hAnsi="Times New Roman" w:cs="Times New Roman"/>
                <w:color w:val="auto"/>
                <w:sz w:val="24"/>
                <w:szCs w:val="24"/>
                <w:highlight w:val="none"/>
                <w:lang w:val="en-US" w:eastAsia="zh-CN"/>
              </w:rPr>
              <w:t>新疆维吾尔自治区昌吉回族自治州昌吉市大西渠镇闽昌工业园区</w:t>
            </w:r>
            <w:r>
              <w:rPr>
                <w:rFonts w:hint="default" w:ascii="Times New Roman" w:hAnsi="Times New Roman" w:eastAsia="宋体" w:cs="Times New Roman"/>
                <w:color w:val="auto"/>
                <w:sz w:val="24"/>
                <w:szCs w:val="24"/>
                <w:highlight w:val="none"/>
              </w:rPr>
              <w:t>。根据现场调查，项目周围无自然保护区及珍稀动植物，项目所产生的各项污染物，在采取本评价所提出的各项治理措施后，均可做到达标排放或得到合理的处理处置，且本项目周围距居民区较远，因此本项目的建设对周围环境影响较小。</w:t>
            </w:r>
          </w:p>
          <w:p w14:paraId="082DC693">
            <w:pPr>
              <w:pStyle w:val="37"/>
              <w:keepNext w:val="0"/>
              <w:keepLines w:val="0"/>
              <w:pageBreakBefore w:val="0"/>
              <w:widowControl w:val="0"/>
              <w:numPr>
                <w:ilvl w:val="0"/>
                <w:numId w:val="0"/>
              </w:numPr>
              <w:tabs>
                <w:tab w:val="left" w:pos="1193"/>
              </w:tabs>
              <w:kinsoku/>
              <w:wordWrap/>
              <w:overflowPunct/>
              <w:topLinePunct w:val="0"/>
              <w:autoSpaceDE/>
              <w:autoSpaceDN/>
              <w:bidi w:val="0"/>
              <w:adjustRightInd/>
              <w:snapToGrid/>
              <w:spacing w:line="360" w:lineRule="auto"/>
              <w:ind w:right="0" w:rightChars="0" w:firstLine="480" w:firstLineChars="200"/>
              <w:jc w:val="left"/>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项目所在区域基础设施配套完善，周围具有较完善的给水、供电、通信等基础设施条件，可以满足该项目生产需求。</w:t>
            </w:r>
          </w:p>
          <w:p w14:paraId="7C79DB4B">
            <w:pPr>
              <w:pStyle w:val="37"/>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项目区所在地周围无饮用水保护区、基本农田保护区、生态脆弱区等社会关注区，根据《建设项目环境影响评价分类管类管理名录2021版》（生态保护</w:t>
            </w:r>
            <w:r>
              <w:rPr>
                <w:rFonts w:hint="eastAsia" w:ascii="Times New Roman" w:hAnsi="Times New Roman" w:cs="Times New Roman"/>
                <w:color w:val="auto"/>
                <w:sz w:val="24"/>
                <w:szCs w:val="24"/>
                <w:highlight w:val="none"/>
                <w:lang w:eastAsia="zh-CN"/>
              </w:rPr>
              <w:t>部令</w:t>
            </w:r>
            <w:r>
              <w:rPr>
                <w:rFonts w:hint="default" w:ascii="Times New Roman" w:hAnsi="Times New Roman" w:eastAsia="宋体" w:cs="Times New Roman"/>
                <w:color w:val="auto"/>
                <w:sz w:val="24"/>
                <w:szCs w:val="24"/>
                <w:highlight w:val="none"/>
              </w:rPr>
              <w:t>第16号）中对环境敏感区的界定原则，本项目地处环境非敏感区。故本项目选址合理。</w:t>
            </w:r>
          </w:p>
          <w:p w14:paraId="73249ABE">
            <w:pPr>
              <w:pStyle w:val="37"/>
              <w:keepNext w:val="0"/>
              <w:keepLines w:val="0"/>
              <w:pageBreakBefore w:val="0"/>
              <w:widowControl w:val="0"/>
              <w:numPr>
                <w:ilvl w:val="0"/>
                <w:numId w:val="0"/>
              </w:numPr>
              <w:tabs>
                <w:tab w:val="left" w:pos="1193"/>
              </w:tabs>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3</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项目用地性质为工业用地，用地不属于国土资发《关于发布实施&lt;限制用地项目目录（2012年本）和&lt;禁止用地项目目录（2012年本）&gt;的通知》中限制用地和禁止用地项目。</w:t>
            </w:r>
          </w:p>
          <w:p w14:paraId="1105620F">
            <w:pPr>
              <w:pStyle w:val="37"/>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本项目根据现场调查，项目周边市政道路及供排水、供电等基础设施已建成，项目所在区域交通便利，利于本项目建设。</w:t>
            </w:r>
          </w:p>
          <w:p w14:paraId="39F49916">
            <w:pPr>
              <w:pStyle w:val="37"/>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项目北侧隔一条无名道路为鑫合盛彩钢厂，彩钢厂西侧为祥运驾校，项目西侧为昌吉市赵保东废品回收站，项目西侧偏南为新疆聚百弘汽车交易市场，项目南侧为中闵光捷加油站，项目东侧为一条无名道路，道路东侧为宏昊钢材综合交易市场，</w:t>
            </w:r>
            <w:r>
              <w:rPr>
                <w:rFonts w:hint="default" w:ascii="Times New Roman" w:hAnsi="Times New Roman" w:eastAsia="宋体" w:cs="Times New Roman"/>
                <w:color w:val="auto"/>
                <w:sz w:val="24"/>
                <w:szCs w:val="24"/>
                <w:highlight w:val="none"/>
              </w:rPr>
              <w:t>项目区周边无社会关注的自然保护区、风景区、名胜古迹和其他需要特别保护的敏感目标；同时，本项目工艺及产品对外环境无特殊要求，无其他制约因素，故本项目与外环境相容。</w:t>
            </w:r>
          </w:p>
          <w:p w14:paraId="4CBF9ECF">
            <w:pPr>
              <w:pStyle w:val="37"/>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综上，本项目选址合理。</w:t>
            </w:r>
          </w:p>
          <w:p w14:paraId="3EDF9AB0">
            <w:pPr>
              <w:pStyle w:val="37"/>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3</w:t>
            </w:r>
            <w:r>
              <w:rPr>
                <w:rFonts w:hint="eastAsia" w:ascii="Times New Roman" w:hAnsi="Times New Roman" w:cs="Times New Roman"/>
                <w:b/>
                <w:bCs/>
                <w:color w:val="auto"/>
                <w:sz w:val="24"/>
                <w:szCs w:val="24"/>
                <w:highlight w:val="none"/>
                <w:lang w:val="en-US" w:eastAsia="zh-CN"/>
              </w:rPr>
              <w:t>.</w:t>
            </w:r>
            <w:r>
              <w:rPr>
                <w:rFonts w:hint="default" w:ascii="Times New Roman" w:hAnsi="Times New Roman" w:eastAsia="宋体" w:cs="Times New Roman"/>
                <w:b/>
                <w:bCs/>
                <w:color w:val="auto"/>
                <w:sz w:val="24"/>
                <w:szCs w:val="24"/>
                <w:highlight w:val="none"/>
              </w:rPr>
              <w:t>与“三线一单”相符性分析</w:t>
            </w:r>
          </w:p>
          <w:p w14:paraId="5ECCCC8A">
            <w:pPr>
              <w:pStyle w:val="37"/>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w:t>
            </w:r>
            <w:r>
              <w:rPr>
                <w:rFonts w:hint="eastAsia" w:ascii="Times New Roman" w:hAnsi="Times New Roman" w:cs="Times New Roman"/>
                <w:color w:val="auto"/>
                <w:sz w:val="24"/>
                <w:szCs w:val="24"/>
                <w:highlight w:val="none"/>
                <w:lang w:eastAsia="zh-CN"/>
              </w:rPr>
              <w:t>生态环境部</w:t>
            </w:r>
            <w:r>
              <w:rPr>
                <w:rFonts w:hint="default" w:ascii="Times New Roman" w:hAnsi="Times New Roman" w:eastAsia="宋体" w:cs="Times New Roman"/>
                <w:color w:val="auto"/>
                <w:sz w:val="24"/>
                <w:szCs w:val="24"/>
                <w:highlight w:val="none"/>
              </w:rPr>
              <w:t>文《关于以改善环境质量为核心加强环境影响评价管理的通知》（环环评【2016】150号），三线一单中的三线是指“生态保护红线、环境质量底线、资源利用上线”，一单是指“环境准入负面清单”。</w:t>
            </w:r>
          </w:p>
          <w:p w14:paraId="327C5582">
            <w:pPr>
              <w:pStyle w:val="12"/>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3.1与《</w:t>
            </w:r>
            <w:r>
              <w:rPr>
                <w:rFonts w:hint="default" w:ascii="Times New Roman" w:hAnsi="Times New Roman" w:eastAsia="宋体" w:cs="Times New Roman"/>
                <w:b/>
                <w:bCs/>
                <w:color w:val="auto"/>
                <w:sz w:val="24"/>
                <w:szCs w:val="24"/>
                <w:highlight w:val="none"/>
                <w:lang w:val="en-US" w:eastAsia="zh-CN"/>
              </w:rPr>
              <w:t>新疆维吾尔自治区生态环境分区管控动态更新成果</w:t>
            </w: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val="en-US" w:eastAsia="zh-CN"/>
              </w:rPr>
              <w:t>（新环环评发〔2024〕157号）</w:t>
            </w:r>
            <w:r>
              <w:rPr>
                <w:rFonts w:hint="default" w:ascii="Times New Roman" w:hAnsi="Times New Roman" w:eastAsia="宋体" w:cs="Times New Roman"/>
                <w:b/>
                <w:bCs/>
                <w:color w:val="auto"/>
                <w:sz w:val="24"/>
                <w:szCs w:val="24"/>
                <w:highlight w:val="none"/>
              </w:rPr>
              <w:t>符合性分析</w:t>
            </w:r>
          </w:p>
          <w:p w14:paraId="218A34EB">
            <w:pPr>
              <w:pStyle w:val="37"/>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新疆维吾尔自治区生态环境分区管控动态更新成果</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（新环环评发〔2024〕157号）</w:t>
            </w:r>
            <w:r>
              <w:rPr>
                <w:rFonts w:hint="default" w:ascii="Times New Roman" w:hAnsi="Times New Roman" w:eastAsia="宋体" w:cs="Times New Roman"/>
                <w:color w:val="auto"/>
                <w:sz w:val="24"/>
                <w:szCs w:val="24"/>
                <w:highlight w:val="none"/>
              </w:rPr>
              <w:t>，按照生态保护红线、环境质量底线、资源利用上线的管控要求，将自治区从生态环境保护角度划分为优先保护单元、重点管控单元、一般管控单元三类环境管控单元。</w:t>
            </w:r>
          </w:p>
          <w:p w14:paraId="1CAC7E29">
            <w:pPr>
              <w:pStyle w:val="37"/>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根据项目建设地点与</w:t>
            </w:r>
            <w:r>
              <w:rPr>
                <w:rFonts w:hint="eastAsia" w:ascii="Times New Roman" w:hAnsi="Times New Roman" w:cs="Times New Roman"/>
                <w:color w:val="auto"/>
                <w:sz w:val="24"/>
                <w:szCs w:val="24"/>
                <w:highlight w:val="none"/>
                <w:lang w:val="en-US" w:eastAsia="zh-CN"/>
              </w:rPr>
              <w:t>最新新疆维吾尔自治区管控要求成果数据</w:t>
            </w:r>
            <w:r>
              <w:rPr>
                <w:rFonts w:hint="default" w:ascii="Times New Roman" w:hAnsi="Times New Roman" w:eastAsia="宋体" w:cs="Times New Roman"/>
                <w:color w:val="auto"/>
                <w:sz w:val="24"/>
                <w:szCs w:val="24"/>
                <w:highlight w:val="none"/>
              </w:rPr>
              <w:t>的核查，本项目属于重点管控单元，重点管控单元要求：要着力优化空间布局，不断提升资源利用效率，有针对性地加强污染物排放管控和环境风险防控，解决生态环境质量不达标、生态环境风险高等问题。</w:t>
            </w:r>
          </w:p>
          <w:p w14:paraId="6F7BE21D">
            <w:pPr>
              <w:pStyle w:val="37"/>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本项目属于</w:t>
            </w:r>
            <w:r>
              <w:rPr>
                <w:rFonts w:hint="eastAsia" w:ascii="Times New Roman" w:hAnsi="Times New Roman" w:cs="Times New Roman"/>
                <w:color w:val="auto"/>
                <w:sz w:val="24"/>
                <w:szCs w:val="24"/>
                <w:highlight w:val="none"/>
                <w:lang w:val="en-US" w:eastAsia="zh-CN"/>
              </w:rPr>
              <w:t>机械化农业及园艺机具制造</w:t>
            </w:r>
            <w:r>
              <w:rPr>
                <w:rFonts w:hint="default" w:ascii="Times New Roman" w:hAnsi="Times New Roman" w:eastAsia="宋体" w:cs="Times New Roman"/>
                <w:color w:val="auto"/>
                <w:sz w:val="24"/>
                <w:szCs w:val="24"/>
                <w:highlight w:val="none"/>
              </w:rPr>
              <w:t>，运行期产生的废气均有较好合理的治理措施，废水有合理的去向，对环境影响较小，故本项目符合分区管控的要求。</w:t>
            </w:r>
          </w:p>
          <w:p w14:paraId="57935091">
            <w:pPr>
              <w:keepNext w:val="0"/>
              <w:keepLines w:val="0"/>
              <w:pageBreakBefore w:val="0"/>
              <w:widowControl w:val="0"/>
              <w:tabs>
                <w:tab w:val="left" w:pos="3120"/>
              </w:tabs>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1"/>
                <w:szCs w:val="21"/>
                <w:highlight w:val="none"/>
              </w:rPr>
              <w:t>表1-1</w:t>
            </w:r>
            <w:r>
              <w:rPr>
                <w:rFonts w:hint="eastAsia" w:cs="Times New Roman"/>
                <w:b/>
                <w:bCs/>
                <w:color w:val="auto"/>
                <w:sz w:val="21"/>
                <w:szCs w:val="21"/>
                <w:highlight w:val="none"/>
                <w:lang w:val="en-US" w:eastAsia="zh-CN"/>
              </w:rPr>
              <w:t xml:space="preserve">    </w:t>
            </w:r>
            <w:bookmarkStart w:id="2" w:name="_GoBack"/>
            <w:bookmarkEnd w:id="2"/>
            <w:r>
              <w:rPr>
                <w:rFonts w:hint="eastAsia" w:cs="Times New Roman"/>
                <w:b/>
                <w:bCs/>
                <w:color w:val="auto"/>
                <w:sz w:val="21"/>
                <w:szCs w:val="21"/>
                <w:highlight w:val="none"/>
                <w:lang w:val="en-US" w:eastAsia="zh-CN"/>
              </w:rPr>
              <w:t>《新疆维吾尔自治区生态环境分区管控动态更新成果》</w:t>
            </w:r>
            <w:r>
              <w:rPr>
                <w:rFonts w:hint="default" w:ascii="Times New Roman" w:hAnsi="Times New Roman" w:eastAsia="宋体" w:cs="Times New Roman"/>
                <w:b/>
                <w:bCs/>
                <w:color w:val="auto"/>
                <w:sz w:val="21"/>
                <w:szCs w:val="21"/>
                <w:highlight w:val="none"/>
              </w:rPr>
              <w:t>符合性分析</w:t>
            </w:r>
          </w:p>
          <w:tbl>
            <w:tblPr>
              <w:tblStyle w:val="26"/>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560"/>
              <w:gridCol w:w="4049"/>
              <w:gridCol w:w="3099"/>
            </w:tblGrid>
            <w:tr w14:paraId="3641BBC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63" w:type="pct"/>
                  <w:tcBorders>
                    <w:bottom w:val="single" w:color="000000" w:sz="12" w:space="0"/>
                  </w:tcBorders>
                  <w:vAlign w:val="center"/>
                </w:tcPr>
                <w:p w14:paraId="01A20D85">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内容</w:t>
                  </w:r>
                </w:p>
              </w:tc>
              <w:tc>
                <w:tcPr>
                  <w:tcW w:w="2626" w:type="pct"/>
                  <w:tcBorders>
                    <w:bottom w:val="single" w:color="000000" w:sz="12" w:space="0"/>
                  </w:tcBorders>
                  <w:vAlign w:val="center"/>
                </w:tcPr>
                <w:p w14:paraId="4543A9EF">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要求</w:t>
                  </w:r>
                </w:p>
              </w:tc>
              <w:tc>
                <w:tcPr>
                  <w:tcW w:w="2010" w:type="pct"/>
                  <w:tcBorders>
                    <w:bottom w:val="single" w:color="000000" w:sz="12" w:space="0"/>
                  </w:tcBorders>
                  <w:vAlign w:val="center"/>
                </w:tcPr>
                <w:p w14:paraId="557105E8">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符合性</w:t>
                  </w:r>
                </w:p>
              </w:tc>
            </w:tr>
            <w:tr w14:paraId="7B7B2FF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63" w:type="pct"/>
                  <w:tcBorders>
                    <w:top w:val="single" w:color="000000" w:sz="12" w:space="0"/>
                    <w:tl2br w:val="nil"/>
                    <w:tr2bl w:val="nil"/>
                  </w:tcBorders>
                  <w:vAlign w:val="center"/>
                </w:tcPr>
                <w:p w14:paraId="77E7551B">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空间布局约束</w:t>
                  </w:r>
                </w:p>
              </w:tc>
              <w:tc>
                <w:tcPr>
                  <w:tcW w:w="2626" w:type="pct"/>
                  <w:tcBorders>
                    <w:top w:val="single" w:color="000000" w:sz="12" w:space="0"/>
                    <w:tl2br w:val="nil"/>
                    <w:tr2bl w:val="nil"/>
                  </w:tcBorders>
                  <w:vAlign w:val="center"/>
                </w:tcPr>
                <w:p w14:paraId="2099F32E">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〔A1.1-1〕禁止新建、扩建《产业结构调整指导目录(2024年本)》中淘汰类项目。禁止引入《市场准入负面清单(2022年版)》禁止准入类事项。</w:t>
                  </w:r>
                </w:p>
                <w:p w14:paraId="6349206B">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〔A1.1-2〕禁止建设不符合国家和自治区环境保护标准的项目。</w:t>
                  </w:r>
                </w:p>
                <w:p w14:paraId="3EAC6760">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〔A1.1-3〕禁止在饮用水水源保护区、风景名胜区、自然保护区的核心区和缓冲区、城镇居民区、文化教育科学研究区等人口集中区域以及法律、法规规定的其他禁止养殖区域建设畜禽养殖场、养殖小区。</w:t>
                  </w:r>
                </w:p>
                <w:p w14:paraId="58A4E775">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〔A1.1-6〕禁止在自治区行政区域内引进能(水)耗不符合相关国家标准中准入值要求且污染物排放和环境风险防控不符合国家(地方)标准及有关产业准入条件的高污染(排放)、高能(水)耗、高环境风险的工业项目</w:t>
                  </w:r>
                  <w:r>
                    <w:rPr>
                      <w:rFonts w:hint="eastAsia" w:ascii="Times New Roman" w:hAnsi="Times New Roman" w:cs="Times New Roman"/>
                      <w:color w:val="auto"/>
                      <w:sz w:val="21"/>
                      <w:szCs w:val="21"/>
                      <w:highlight w:val="none"/>
                      <w:lang w:eastAsia="zh-CN"/>
                    </w:rPr>
                    <w:t>。</w:t>
                  </w:r>
                </w:p>
              </w:tc>
              <w:tc>
                <w:tcPr>
                  <w:tcW w:w="2010" w:type="pct"/>
                  <w:tcBorders>
                    <w:top w:val="single" w:color="000000" w:sz="12" w:space="0"/>
                    <w:tl2br w:val="nil"/>
                    <w:tr2bl w:val="nil"/>
                  </w:tcBorders>
                  <w:vAlign w:val="center"/>
                </w:tcPr>
                <w:p w14:paraId="55777731">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项目位于</w:t>
                  </w:r>
                  <w:r>
                    <w:rPr>
                      <w:rFonts w:hint="eastAsia" w:ascii="Times New Roman" w:hAnsi="Times New Roman" w:cs="Times New Roman"/>
                      <w:color w:val="auto"/>
                      <w:sz w:val="21"/>
                      <w:szCs w:val="21"/>
                      <w:highlight w:val="none"/>
                      <w:lang w:eastAsia="zh-CN"/>
                    </w:rPr>
                    <w:t>新疆昌吉回族自治州昌吉市大西渠镇。</w:t>
                  </w:r>
                  <w:r>
                    <w:rPr>
                      <w:rFonts w:hint="eastAsia" w:ascii="Times New Roman" w:hAnsi="Times New Roman" w:cs="Times New Roman"/>
                      <w:color w:val="auto"/>
                      <w:sz w:val="21"/>
                      <w:szCs w:val="21"/>
                      <w:highlight w:val="none"/>
                      <w:lang w:val="en-US" w:eastAsia="zh-CN"/>
                    </w:rPr>
                    <w:t>项目不属于</w:t>
                  </w:r>
                  <w:r>
                    <w:rPr>
                      <w:rFonts w:hint="default" w:ascii="Times New Roman" w:hAnsi="Times New Roman" w:eastAsia="宋体" w:cs="Times New Roman"/>
                      <w:color w:val="auto"/>
                      <w:sz w:val="21"/>
                      <w:szCs w:val="21"/>
                      <w:highlight w:val="none"/>
                    </w:rPr>
                    <w:t>《产业结构调整指导目录(2024年本)》中淘汰类项目</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属于允许类。项目附近无</w:t>
                  </w:r>
                  <w:r>
                    <w:rPr>
                      <w:rFonts w:hint="default" w:ascii="Times New Roman" w:hAnsi="Times New Roman" w:eastAsia="宋体" w:cs="Times New Roman"/>
                      <w:color w:val="auto"/>
                      <w:sz w:val="21"/>
                      <w:szCs w:val="21"/>
                      <w:highlight w:val="none"/>
                    </w:rPr>
                    <w:t>饮用水水源保护区、风景名胜区、自然保护区的核心区和缓冲区</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附近无环境敏感区。项目</w:t>
                  </w:r>
                  <w:r>
                    <w:rPr>
                      <w:rFonts w:hint="default" w:ascii="Times New Roman" w:hAnsi="Times New Roman" w:eastAsia="宋体" w:cs="Times New Roman"/>
                      <w:color w:val="auto"/>
                      <w:sz w:val="21"/>
                      <w:szCs w:val="21"/>
                      <w:highlight w:val="none"/>
                    </w:rPr>
                    <w:t>污染物排放和环境风险防控符合国家</w:t>
                  </w:r>
                  <w:r>
                    <w:rPr>
                      <w:rFonts w:hint="eastAsia" w:ascii="Times New Roman" w:hAnsi="Times New Roman" w:cs="Times New Roman"/>
                      <w:color w:val="auto"/>
                      <w:sz w:val="21"/>
                      <w:szCs w:val="21"/>
                      <w:highlight w:val="none"/>
                      <w:lang w:val="en-US" w:eastAsia="zh-CN"/>
                    </w:rPr>
                    <w:t>标准。</w:t>
                  </w:r>
                </w:p>
                <w:p w14:paraId="323B53F0">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rFonts w:hint="default" w:ascii="Times New Roman" w:hAnsi="Times New Roman" w:eastAsia="宋体" w:cs="Times New Roman"/>
                      <w:color w:val="auto"/>
                      <w:sz w:val="21"/>
                      <w:szCs w:val="21"/>
                      <w:highlight w:val="none"/>
                      <w:lang w:val="en-US" w:eastAsia="zh-CN"/>
                    </w:rPr>
                  </w:pPr>
                </w:p>
              </w:tc>
            </w:tr>
            <w:tr w14:paraId="012517B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63" w:type="pct"/>
                  <w:tcBorders>
                    <w:tl2br w:val="nil"/>
                    <w:tr2bl w:val="nil"/>
                  </w:tcBorders>
                  <w:vAlign w:val="center"/>
                </w:tcPr>
                <w:p w14:paraId="4B59835E">
                  <w:pPr>
                    <w:pStyle w:val="39"/>
                    <w:keepNext w:val="0"/>
                    <w:keepLines w:val="0"/>
                    <w:pageBreakBefore w:val="0"/>
                    <w:widowControl w:val="0"/>
                    <w:kinsoku/>
                    <w:wordWrap/>
                    <w:overflowPunct/>
                    <w:topLinePunct w:val="0"/>
                    <w:autoSpaceDE/>
                    <w:autoSpaceDN/>
                    <w:bidi w:val="0"/>
                    <w:spacing w:beforeLines="0" w:afterLines="0"/>
                    <w:ind w:left="0" w:leftChars="0" w:firstLine="0" w:firstLineChars="0"/>
                    <w:jc w:val="left"/>
                    <w:textAlignment w:val="auto"/>
                    <w:rPr>
                      <w:rFonts w:hint="default" w:cs="Times New Roman"/>
                      <w:b w:val="0"/>
                      <w:bCs w:val="0"/>
                      <w:color w:val="auto"/>
                      <w:szCs w:val="21"/>
                      <w:highlight w:val="none"/>
                      <w:lang w:val="en-US" w:eastAsia="zh-CN"/>
                    </w:rPr>
                  </w:pPr>
                  <w:r>
                    <w:rPr>
                      <w:rFonts w:hint="eastAsia" w:cs="Times New Roman"/>
                      <w:b w:val="0"/>
                      <w:bCs w:val="0"/>
                      <w:color w:val="auto"/>
                      <w:szCs w:val="21"/>
                      <w:highlight w:val="none"/>
                      <w:lang w:val="en-US" w:eastAsia="zh-CN"/>
                    </w:rPr>
                    <w:t>污染物排放管控</w:t>
                  </w:r>
                </w:p>
              </w:tc>
              <w:tc>
                <w:tcPr>
                  <w:tcW w:w="2626" w:type="pct"/>
                  <w:tcBorders>
                    <w:tl2br w:val="nil"/>
                    <w:tr2bl w:val="nil"/>
                  </w:tcBorders>
                  <w:shd w:val="clear" w:color="auto" w:fill="auto"/>
                  <w:vAlign w:val="center"/>
                </w:tcPr>
                <w:p w14:paraId="5C345DD3">
                  <w:pPr>
                    <w:pStyle w:val="39"/>
                    <w:keepNext w:val="0"/>
                    <w:keepLines w:val="0"/>
                    <w:pageBreakBefore w:val="0"/>
                    <w:widowControl w:val="0"/>
                    <w:kinsoku/>
                    <w:wordWrap/>
                    <w:overflowPunct/>
                    <w:topLinePunct w:val="0"/>
                    <w:autoSpaceDE/>
                    <w:autoSpaceDN/>
                    <w:bidi w:val="0"/>
                    <w:spacing w:beforeLines="0" w:afterLines="0"/>
                    <w:ind w:left="0" w:leftChars="0" w:firstLine="0" w:firstLineChars="0"/>
                    <w:jc w:val="left"/>
                    <w:textAlignment w:val="auto"/>
                    <w:rPr>
                      <w:rFonts w:hint="default" w:cs="Times New Roman"/>
                      <w:b w:val="0"/>
                      <w:bCs w:val="0"/>
                      <w:color w:val="auto"/>
                      <w:szCs w:val="21"/>
                      <w:highlight w:val="none"/>
                      <w:lang w:val="en-US" w:eastAsia="zh-CN"/>
                    </w:rPr>
                  </w:pPr>
                  <w:r>
                    <w:rPr>
                      <w:rFonts w:hint="default" w:cs="Times New Roman"/>
                      <w:b w:val="0"/>
                      <w:bCs w:val="0"/>
                      <w:color w:val="auto"/>
                      <w:szCs w:val="21"/>
                      <w:highlight w:val="none"/>
                      <w:lang w:val="en-US" w:eastAsia="zh-CN"/>
                    </w:rPr>
                    <w:t>〔A2.1-1〕新、改、扩建重点行业建设项目应符合“三线一单”、产业政策、区域环评、规划环评和行业环境准入管控要求。重点区域的新、改、扩建重点行业建设项目应遵循重点重金属污染物排放“减量替代”原则。</w:t>
                  </w:r>
                </w:p>
                <w:p w14:paraId="63241729">
                  <w:pPr>
                    <w:pStyle w:val="39"/>
                    <w:keepNext w:val="0"/>
                    <w:keepLines w:val="0"/>
                    <w:pageBreakBefore w:val="0"/>
                    <w:widowControl w:val="0"/>
                    <w:kinsoku/>
                    <w:wordWrap/>
                    <w:overflowPunct/>
                    <w:topLinePunct w:val="0"/>
                    <w:autoSpaceDE/>
                    <w:autoSpaceDN/>
                    <w:bidi w:val="0"/>
                    <w:spacing w:beforeLines="0" w:afterLines="0"/>
                    <w:ind w:left="0" w:leftChars="0" w:firstLine="0" w:firstLineChars="0"/>
                    <w:jc w:val="left"/>
                    <w:textAlignment w:val="auto"/>
                    <w:rPr>
                      <w:rFonts w:hint="default" w:cs="Times New Roman"/>
                      <w:b w:val="0"/>
                      <w:bCs w:val="0"/>
                      <w:color w:val="auto"/>
                      <w:szCs w:val="21"/>
                      <w:highlight w:val="none"/>
                      <w:lang w:val="en-US" w:eastAsia="zh-CN"/>
                    </w:rPr>
                  </w:pPr>
                  <w:r>
                    <w:rPr>
                      <w:rFonts w:hint="default" w:cs="Times New Roman"/>
                      <w:b w:val="0"/>
                      <w:bCs w:val="0"/>
                      <w:color w:val="auto"/>
                      <w:szCs w:val="21"/>
                      <w:highlight w:val="none"/>
                      <w:lang w:val="en-US" w:eastAsia="zh-CN"/>
                    </w:rPr>
                    <w:t>〔A2.1-2〕以石化、化工、涂装、医药、包装印刷、油品储运销等行业领域为重点，安全高效推进挥发性有机物综合治理，实施原辅材料和产品源头替代工程。</w:t>
                  </w:r>
                </w:p>
                <w:p w14:paraId="7BE7288B">
                  <w:pPr>
                    <w:pStyle w:val="39"/>
                    <w:keepNext w:val="0"/>
                    <w:keepLines w:val="0"/>
                    <w:pageBreakBefore w:val="0"/>
                    <w:widowControl w:val="0"/>
                    <w:kinsoku/>
                    <w:wordWrap/>
                    <w:overflowPunct/>
                    <w:topLinePunct w:val="0"/>
                    <w:autoSpaceDE/>
                    <w:autoSpaceDN/>
                    <w:bidi w:val="0"/>
                    <w:spacing w:beforeLines="0" w:afterLines="0"/>
                    <w:ind w:left="0" w:leftChars="0" w:firstLine="0" w:firstLineChars="0"/>
                    <w:jc w:val="left"/>
                    <w:textAlignment w:val="auto"/>
                    <w:rPr>
                      <w:rFonts w:hint="eastAsia" w:cs="Times New Roman"/>
                      <w:b w:val="0"/>
                      <w:bCs w:val="0"/>
                      <w:color w:val="auto"/>
                      <w:szCs w:val="21"/>
                      <w:highlight w:val="none"/>
                      <w:lang w:val="en-US" w:eastAsia="zh-CN"/>
                    </w:rPr>
                  </w:pPr>
                  <w:r>
                    <w:rPr>
                      <w:rFonts w:hint="default" w:cs="Times New Roman"/>
                      <w:b w:val="0"/>
                      <w:bCs w:val="0"/>
                      <w:color w:val="auto"/>
                      <w:szCs w:val="21"/>
                      <w:highlight w:val="none"/>
                      <w:lang w:val="en-US" w:eastAsia="zh-CN"/>
                    </w:rPr>
                    <w:t>〔A2.1-4〕严控建材、铸造、冶炼等行业无组织排放，推进石化、化工、涂装、医药、包装印刷、油品储运销等行业项目挥发性有机物(V0Cs)防治。严格有色金属冶炼、石油加工、化工、焦化等行业项目的土壤、地下水污染防治措施要求。推进工业园区和企业集群建设涉 V0Cs“绿岛”项目，统筹规划建设一批集中涂装中心、活性炭集中处理中心、溶剂回收中心等，实现V0Cs集中高效处理</w:t>
                  </w:r>
                  <w:r>
                    <w:rPr>
                      <w:rFonts w:hint="eastAsia" w:cs="Times New Roman"/>
                      <w:b w:val="0"/>
                      <w:bCs w:val="0"/>
                      <w:color w:val="auto"/>
                      <w:szCs w:val="21"/>
                      <w:highlight w:val="none"/>
                      <w:lang w:val="en-US" w:eastAsia="zh-CN"/>
                    </w:rPr>
                    <w:t>。</w:t>
                  </w:r>
                </w:p>
                <w:p w14:paraId="2EA70426">
                  <w:pPr>
                    <w:pStyle w:val="39"/>
                    <w:keepNext w:val="0"/>
                    <w:keepLines w:val="0"/>
                    <w:pageBreakBefore w:val="0"/>
                    <w:widowControl w:val="0"/>
                    <w:kinsoku/>
                    <w:wordWrap/>
                    <w:overflowPunct/>
                    <w:topLinePunct w:val="0"/>
                    <w:autoSpaceDE/>
                    <w:autoSpaceDN/>
                    <w:bidi w:val="0"/>
                    <w:spacing w:beforeLines="0" w:afterLines="0"/>
                    <w:ind w:left="0" w:leftChars="0" w:firstLine="0" w:firstLineChars="0"/>
                    <w:jc w:val="left"/>
                    <w:textAlignment w:val="auto"/>
                    <w:rPr>
                      <w:rFonts w:hint="default" w:cs="Times New Roman"/>
                      <w:b w:val="0"/>
                      <w:bCs w:val="0"/>
                      <w:color w:val="auto"/>
                      <w:szCs w:val="21"/>
                      <w:highlight w:val="none"/>
                      <w:lang w:val="en-US" w:eastAsia="zh-CN"/>
                    </w:rPr>
                  </w:pPr>
                  <w:r>
                    <w:rPr>
                      <w:rFonts w:hint="default" w:cs="Times New Roman"/>
                      <w:b w:val="0"/>
                      <w:bCs w:val="0"/>
                      <w:color w:val="auto"/>
                      <w:szCs w:val="21"/>
                      <w:highlight w:val="none"/>
                      <w:lang w:val="en-US" w:eastAsia="zh-CN"/>
                    </w:rPr>
                    <w:t>[A2.2-7〕强化重点区域地下水环境风险管控，对化学品生产企业工业集聚区、尾矿库、矿山开采区、危险废物处置场、垃圾填埋场等地下水污染源及周边区域，逐步开展地下水环境状况调查评估，加强风险管控。</w:t>
                  </w:r>
                </w:p>
              </w:tc>
              <w:tc>
                <w:tcPr>
                  <w:tcW w:w="2010" w:type="pct"/>
                  <w:tcBorders>
                    <w:tl2br w:val="nil"/>
                    <w:tr2bl w:val="nil"/>
                  </w:tcBorders>
                  <w:vAlign w:val="center"/>
                </w:tcPr>
                <w:p w14:paraId="720E2B3D">
                  <w:pPr>
                    <w:pStyle w:val="39"/>
                    <w:keepNext w:val="0"/>
                    <w:keepLines w:val="0"/>
                    <w:pageBreakBefore w:val="0"/>
                    <w:widowControl w:val="0"/>
                    <w:kinsoku/>
                    <w:wordWrap/>
                    <w:overflowPunct/>
                    <w:topLinePunct w:val="0"/>
                    <w:autoSpaceDE/>
                    <w:autoSpaceDN/>
                    <w:bidi w:val="0"/>
                    <w:spacing w:beforeLines="0" w:afterLines="0"/>
                    <w:ind w:left="0" w:leftChars="0" w:firstLine="0" w:firstLineChars="0"/>
                    <w:jc w:val="left"/>
                    <w:textAlignment w:val="auto"/>
                    <w:rPr>
                      <w:rFonts w:hint="default" w:cs="Times New Roman"/>
                      <w:b w:val="0"/>
                      <w:bCs w:val="0"/>
                      <w:color w:val="auto"/>
                      <w:highlight w:val="none"/>
                      <w:lang w:val="en-US" w:eastAsia="zh-CN"/>
                    </w:rPr>
                  </w:pPr>
                  <w:r>
                    <w:rPr>
                      <w:rFonts w:hint="eastAsia" w:cs="Times New Roman"/>
                      <w:b w:val="0"/>
                      <w:bCs w:val="0"/>
                      <w:color w:val="auto"/>
                      <w:szCs w:val="21"/>
                      <w:highlight w:val="none"/>
                      <w:lang w:val="en-US" w:eastAsia="zh-CN"/>
                    </w:rPr>
                    <w:t>本项目</w:t>
                  </w:r>
                  <w:r>
                    <w:rPr>
                      <w:rFonts w:hint="default" w:cs="Times New Roman"/>
                      <w:b w:val="0"/>
                      <w:bCs w:val="0"/>
                      <w:color w:val="auto"/>
                      <w:szCs w:val="21"/>
                      <w:highlight w:val="none"/>
                      <w:lang w:val="en-US" w:eastAsia="zh-CN"/>
                    </w:rPr>
                    <w:t>符合</w:t>
                  </w:r>
                  <w:r>
                    <w:rPr>
                      <w:rFonts w:hint="eastAsia" w:cs="Times New Roman"/>
                      <w:b w:val="0"/>
                      <w:bCs w:val="0"/>
                      <w:color w:val="auto"/>
                      <w:szCs w:val="21"/>
                      <w:highlight w:val="none"/>
                      <w:lang w:val="en-US" w:eastAsia="zh-CN"/>
                    </w:rPr>
                    <w:t>昌吉州</w:t>
                  </w:r>
                  <w:r>
                    <w:rPr>
                      <w:rFonts w:hint="default" w:cs="Times New Roman"/>
                      <w:b w:val="0"/>
                      <w:bCs w:val="0"/>
                      <w:color w:val="auto"/>
                      <w:szCs w:val="21"/>
                      <w:highlight w:val="none"/>
                      <w:lang w:val="en-US" w:eastAsia="zh-CN"/>
                    </w:rPr>
                    <w:t>“三线一单”</w:t>
                  </w:r>
                  <w:r>
                    <w:rPr>
                      <w:rFonts w:hint="eastAsia" w:cs="Times New Roman"/>
                      <w:b w:val="0"/>
                      <w:bCs w:val="0"/>
                      <w:color w:val="auto"/>
                      <w:szCs w:val="21"/>
                      <w:highlight w:val="none"/>
                      <w:lang w:val="en-US" w:eastAsia="zh-CN"/>
                    </w:rPr>
                    <w:t>，无重点</w:t>
                  </w:r>
                  <w:r>
                    <w:rPr>
                      <w:rFonts w:hint="default" w:cs="Times New Roman"/>
                      <w:b w:val="0"/>
                      <w:bCs w:val="0"/>
                      <w:color w:val="auto"/>
                      <w:szCs w:val="21"/>
                      <w:highlight w:val="none"/>
                      <w:lang w:val="en-US" w:eastAsia="zh-CN"/>
                    </w:rPr>
                    <w:t>重金属污染物</w:t>
                  </w:r>
                  <w:r>
                    <w:rPr>
                      <w:rFonts w:hint="eastAsia" w:cs="Times New Roman"/>
                      <w:b w:val="0"/>
                      <w:bCs w:val="0"/>
                      <w:color w:val="auto"/>
                      <w:szCs w:val="21"/>
                      <w:highlight w:val="none"/>
                      <w:lang w:val="en-US" w:eastAsia="zh-CN"/>
                    </w:rPr>
                    <w:t>产生。本项目烘干产生的挥发性有机物经活性炭吸附+催化燃烧处理后经15m高排气筒排放，对环境影响很小。本项目废活性炭收集于危废暂存间，由有资质的单位定期拉运处理。</w:t>
                  </w:r>
                </w:p>
                <w:p w14:paraId="1E1ACC86">
                  <w:pPr>
                    <w:pStyle w:val="39"/>
                    <w:keepNext w:val="0"/>
                    <w:keepLines w:val="0"/>
                    <w:pageBreakBefore w:val="0"/>
                    <w:widowControl w:val="0"/>
                    <w:kinsoku/>
                    <w:wordWrap/>
                    <w:overflowPunct/>
                    <w:topLinePunct w:val="0"/>
                    <w:autoSpaceDE/>
                    <w:autoSpaceDN/>
                    <w:bidi w:val="0"/>
                    <w:spacing w:beforeLines="0" w:afterLines="0"/>
                    <w:ind w:left="0" w:firstLine="0"/>
                    <w:jc w:val="left"/>
                    <w:textAlignment w:val="auto"/>
                    <w:rPr>
                      <w:rFonts w:hint="default" w:ascii="Times New Roman" w:hAnsi="Times New Roman" w:eastAsia="宋体" w:cs="Times New Roman"/>
                      <w:b w:val="0"/>
                      <w:bCs w:val="0"/>
                      <w:color w:val="auto"/>
                      <w:sz w:val="21"/>
                      <w:szCs w:val="21"/>
                      <w:highlight w:val="none"/>
                    </w:rPr>
                  </w:pPr>
                </w:p>
              </w:tc>
            </w:tr>
            <w:tr w14:paraId="216E579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63" w:type="pct"/>
                  <w:tcBorders>
                    <w:tl2br w:val="nil"/>
                    <w:tr2bl w:val="nil"/>
                  </w:tcBorders>
                  <w:vAlign w:val="center"/>
                </w:tcPr>
                <w:p w14:paraId="3DDC75E0">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环境风险防控</w:t>
                  </w:r>
                </w:p>
              </w:tc>
              <w:tc>
                <w:tcPr>
                  <w:tcW w:w="2626" w:type="pct"/>
                  <w:tcBorders>
                    <w:tl2br w:val="nil"/>
                    <w:tr2bl w:val="nil"/>
                  </w:tcBorders>
                  <w:vAlign w:val="center"/>
                </w:tcPr>
                <w:p w14:paraId="7D16B67D">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A3.2-3〕加强新污染物多环境介质协同治理。排放重点管控新污染物的企事业单位应采取污染控制措施，达到相关污染物排放标准及环境质量目标要求;按照排污许可管理有关要求，依法申领排污许可证或填写排污登记表，并在其中载明执行的污染控制标准要求及采取的污染控制措施。排放重点管控新污染物的企事业单位和其他生产经营者应按照相关法律法规要求，对排放(污)口及其周边环境定期开展环境监测，评估环境风险，排查整治环境安全隐患，依法公开新污染物信息，采取措施防范环境风险。土壤污染重点监管单位应严格控制有毒有害物质排放，建立土壤污染隐患排查制度防止有毒有害物质渗漏、流失、扬散。</w:t>
                  </w:r>
                </w:p>
                <w:p w14:paraId="507BC6E9">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A3.2-5〕强化生态环境应急管理。实施企业突发生态环境应急预案电子化备案，完成县级以上政府突发环境事件应急预案修编。完善区域和企业应急处置物资储备系统，结合新疆各地特征污染物的特性，加强应急物资储备及应急物资信息化建设，掌握社会应急物资储备动态信息，妥善应对各类突发生态环境事件。加强应急监测装备配置，定期开展应急演练，增强实战能力。</w:t>
                  </w:r>
                </w:p>
              </w:tc>
              <w:tc>
                <w:tcPr>
                  <w:tcW w:w="2010" w:type="pct"/>
                  <w:tcBorders>
                    <w:tl2br w:val="nil"/>
                    <w:tr2bl w:val="nil"/>
                  </w:tcBorders>
                  <w:vAlign w:val="center"/>
                </w:tcPr>
                <w:p w14:paraId="2F8B0B25">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本项目要求应依法编写环境事件应急预案、排污许可申报、进行竣工环境保护验收，将于项目建设完成后启动。</w:t>
                  </w:r>
                </w:p>
                <w:p w14:paraId="33C8116D">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rFonts w:hint="default" w:ascii="Times New Roman" w:hAnsi="Times New Roman" w:cs="Times New Roman"/>
                      <w:color w:val="auto"/>
                      <w:sz w:val="21"/>
                      <w:szCs w:val="21"/>
                      <w:highlight w:val="none"/>
                      <w:lang w:val="en-US" w:eastAsia="zh-CN"/>
                    </w:rPr>
                  </w:pPr>
                </w:p>
              </w:tc>
            </w:tr>
            <w:tr w14:paraId="514F401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63" w:type="pct"/>
                  <w:tcBorders>
                    <w:tl2br w:val="nil"/>
                    <w:tr2bl w:val="nil"/>
                  </w:tcBorders>
                  <w:vAlign w:val="center"/>
                </w:tcPr>
                <w:p w14:paraId="0F9FC530">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资源开发效率要求</w:t>
                  </w:r>
                </w:p>
              </w:tc>
              <w:tc>
                <w:tcPr>
                  <w:tcW w:w="2626" w:type="pct"/>
                  <w:tcBorders>
                    <w:tl2br w:val="nil"/>
                    <w:tr2bl w:val="nil"/>
                  </w:tcBorders>
                  <w:vAlign w:val="center"/>
                </w:tcPr>
                <w:p w14:paraId="71801B99">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[A4.1-4]地下水资源利用实行总量控制和水位控制。取用地下水资源，应当按照国家和自治区有关规定申请取水许可。地下水利用应当以浅层地下水为主。</w:t>
                  </w:r>
                </w:p>
                <w:p w14:paraId="61502A80">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〔A4.2-1〕土地资源上线指标控制在最终批复的国土空间规划控制指标内。</w:t>
                  </w:r>
                </w:p>
                <w:p w14:paraId="5D2ABE1C">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rFonts w:hint="eastAsia"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〔A4.4-1〕在禁燃区内，禁止销售、燃用高污染燃料;禁止新建、扩建燃用高污染燃料的设施。已建成的，应当在规定期限内改用清洁能源</w:t>
                  </w:r>
                  <w:r>
                    <w:rPr>
                      <w:rFonts w:hint="eastAsia" w:ascii="Times New Roman" w:hAnsi="Times New Roman" w:cs="Times New Roman"/>
                      <w:color w:val="auto"/>
                      <w:sz w:val="21"/>
                      <w:szCs w:val="21"/>
                      <w:highlight w:val="none"/>
                      <w:lang w:eastAsia="zh-CN"/>
                    </w:rPr>
                    <w:t>。</w:t>
                  </w:r>
                </w:p>
                <w:p w14:paraId="358A4311">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A4.5-1〕加强固体废物源头减量、资源化利用和无害化处置，最大限度减少填埋量。推进工业固体废物精细化、名录化环境管理促进大宗工业固废综合利用、主要农业废弃物全量利用。加快构建岁废旧物资回收和循环利用体系，健全强制报废制度和废旧家电、费电子等耐用消费品回收处理体系，推行生产企业“逆向回收”模式。以尾矿和共伴生矿、煤矸石、炉渣、粉煤灰、脱硫石膏、冶炼渣、建筑垃圾等为重点，持续推进固体废物综合利用和环境整治不断提高大宗固体废物资源化利用水平。推行生活垃圾分类，加快建设县(市)生活垃圾处理设施，到2025年，全疆城市生活垃圾无害化处理率达到99%以上。</w:t>
                  </w:r>
                </w:p>
              </w:tc>
              <w:tc>
                <w:tcPr>
                  <w:tcW w:w="2010" w:type="pct"/>
                  <w:tcBorders>
                    <w:tl2br w:val="nil"/>
                    <w:tr2bl w:val="nil"/>
                  </w:tcBorders>
                  <w:vAlign w:val="center"/>
                </w:tcPr>
                <w:p w14:paraId="09DEF03C">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本项目产品检验用水不产生污染物，循环使用不外排。本项目周围无敏感水源，项目不产生工业废水，生活污水经污水管网排入昌吉市城北污水处理厂，对地表水、地下水均不产生影响。本项目危废暂存于危废暂存间，定期委托有资质的单位处理。</w:t>
                  </w:r>
                </w:p>
              </w:tc>
            </w:tr>
          </w:tbl>
          <w:p w14:paraId="2802FF5C">
            <w:pPr>
              <w:pStyle w:val="37"/>
              <w:pageBreakBefore w:val="0"/>
              <w:kinsoku/>
              <w:wordWrap/>
              <w:overflowPunct/>
              <w:topLinePunct w:val="0"/>
              <w:autoSpaceDE/>
              <w:autoSpaceDN/>
              <w:bidi w:val="0"/>
              <w:adjustRightInd/>
              <w:snapToGrid/>
              <w:spacing w:line="240" w:lineRule="auto"/>
              <w:ind w:left="0" w:leftChars="0" w:right="0" w:firstLine="0" w:firstLineChars="0"/>
              <w:jc w:val="both"/>
              <w:textAlignment w:val="auto"/>
              <w:rPr>
                <w:rFonts w:hint="default" w:ascii="Times New Roman" w:hAnsi="Times New Roman" w:eastAsia="宋体" w:cs="Times New Roman"/>
                <w:color w:val="auto"/>
                <w:sz w:val="24"/>
                <w:szCs w:val="24"/>
                <w:highlight w:val="none"/>
              </w:rPr>
            </w:pPr>
          </w:p>
          <w:p w14:paraId="0D9FDFDD">
            <w:pPr>
              <w:pStyle w:val="12"/>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w:t>
            </w:r>
            <w:r>
              <w:rPr>
                <w:rFonts w:hint="eastAsia"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val="en-US" w:eastAsia="zh-CN"/>
              </w:rPr>
              <w:t>与《新疆维吾尔自治区七大片区“三线一单”生态环境分区管控要求》（新环环评发[2021]162号）符合性分析</w:t>
            </w:r>
          </w:p>
          <w:p w14:paraId="7140F2B1">
            <w:pPr>
              <w:pStyle w:val="55"/>
              <w:spacing w:line="360" w:lineRule="auto"/>
              <w:ind w:firstLine="480" w:firstLineChars="200"/>
              <w:jc w:val="both"/>
              <w:rPr>
                <w:rFonts w:eastAsia="宋体"/>
                <w:color w:val="auto"/>
                <w:sz w:val="24"/>
                <w:szCs w:val="24"/>
                <w:highlight w:val="none"/>
              </w:rPr>
            </w:pPr>
            <w:r>
              <w:rPr>
                <w:rFonts w:eastAsia="宋体"/>
                <w:snapToGrid/>
                <w:color w:val="auto"/>
                <w:sz w:val="24"/>
                <w:szCs w:val="24"/>
                <w:highlight w:val="none"/>
              </w:rPr>
              <w:t>据《新疆维吾尔自治区七大片区“三线一单”生态环境分区管控要求》文件要求：“除国家规划项目外</w:t>
            </w:r>
            <w:r>
              <w:rPr>
                <w:rFonts w:hint="eastAsia" w:eastAsia="宋体"/>
                <w:snapToGrid/>
                <w:color w:val="auto"/>
                <w:sz w:val="24"/>
                <w:szCs w:val="24"/>
                <w:highlight w:val="none"/>
                <w:lang w:eastAsia="zh-CN"/>
              </w:rPr>
              <w:t>，</w:t>
            </w:r>
            <w:r>
              <w:rPr>
                <w:rFonts w:eastAsia="宋体"/>
                <w:snapToGrid/>
                <w:color w:val="auto"/>
                <w:sz w:val="24"/>
                <w:szCs w:val="24"/>
                <w:highlight w:val="none"/>
              </w:rPr>
              <w:t>乌鲁木齐市七区一县、昌吉市、阜康市玛纳斯县、呼图壁县、沙湾市建成区及周边敏感区域内不再布局建设煤化工、电解铝、燃煤纯发电机组、金属硅、碳化硅、聚氯乙烯（电石法</w:t>
            </w:r>
            <w:r>
              <w:rPr>
                <w:rFonts w:hint="eastAsia" w:eastAsia="宋体"/>
                <w:snapToGrid/>
                <w:color w:val="auto"/>
                <w:sz w:val="24"/>
                <w:szCs w:val="24"/>
                <w:highlight w:val="none"/>
                <w:lang w:eastAsia="zh-CN"/>
              </w:rPr>
              <w:t>）</w:t>
            </w:r>
            <w:r>
              <w:rPr>
                <w:rFonts w:eastAsia="宋体"/>
                <w:snapToGrid/>
                <w:color w:val="auto"/>
                <w:sz w:val="24"/>
                <w:szCs w:val="24"/>
                <w:highlight w:val="none"/>
              </w:rPr>
              <w:t>、焦炭</w:t>
            </w:r>
            <w:r>
              <w:rPr>
                <w:rFonts w:hint="eastAsia" w:eastAsia="宋体"/>
                <w:snapToGrid/>
                <w:color w:val="auto"/>
                <w:sz w:val="24"/>
                <w:szCs w:val="24"/>
                <w:highlight w:val="none"/>
                <w:lang w:eastAsia="zh-CN"/>
              </w:rPr>
              <w:t>（</w:t>
            </w:r>
            <w:r>
              <w:rPr>
                <w:rFonts w:eastAsia="宋体"/>
                <w:snapToGrid/>
                <w:color w:val="auto"/>
                <w:sz w:val="24"/>
                <w:szCs w:val="24"/>
                <w:highlight w:val="none"/>
              </w:rPr>
              <w:t>含半焦）等新增产能项目。具备风光电清洁供暖建设条件的区域原则上不新批热电联产项目。坚持属地负责与区域大气污染联防联控相结合</w:t>
            </w:r>
            <w:r>
              <w:rPr>
                <w:rFonts w:hint="eastAsia" w:eastAsia="宋体"/>
                <w:snapToGrid/>
                <w:color w:val="auto"/>
                <w:sz w:val="24"/>
                <w:szCs w:val="24"/>
                <w:highlight w:val="none"/>
                <w:lang w:eastAsia="zh-CN"/>
              </w:rPr>
              <w:t>，</w:t>
            </w:r>
            <w:r>
              <w:rPr>
                <w:rFonts w:eastAsia="宋体"/>
                <w:snapToGrid/>
                <w:color w:val="auto"/>
                <w:sz w:val="24"/>
                <w:szCs w:val="24"/>
                <w:highlight w:val="none"/>
              </w:rPr>
              <w:t>以明显降低细颗粒物浓度为重点</w:t>
            </w:r>
            <w:r>
              <w:rPr>
                <w:rFonts w:hint="eastAsia" w:eastAsia="宋体"/>
                <w:snapToGrid/>
                <w:color w:val="auto"/>
                <w:sz w:val="24"/>
                <w:szCs w:val="24"/>
                <w:highlight w:val="none"/>
                <w:lang w:eastAsia="zh-CN"/>
              </w:rPr>
              <w:t>，</w:t>
            </w:r>
            <w:r>
              <w:rPr>
                <w:rFonts w:eastAsia="宋体"/>
                <w:snapToGrid/>
                <w:color w:val="auto"/>
                <w:sz w:val="24"/>
                <w:szCs w:val="24"/>
                <w:highlight w:val="none"/>
              </w:rPr>
              <w:t>协同推进“乌-昌-石”同防同治区域大气环境治理。所有新建、改建、扩建工业项目执行最严格的大气污染物排放标准</w:t>
            </w:r>
            <w:r>
              <w:rPr>
                <w:rFonts w:hint="eastAsia" w:eastAsia="宋体"/>
                <w:snapToGrid/>
                <w:color w:val="auto"/>
                <w:sz w:val="24"/>
                <w:szCs w:val="24"/>
                <w:highlight w:val="none"/>
                <w:lang w:eastAsia="zh-CN"/>
              </w:rPr>
              <w:t>，</w:t>
            </w:r>
            <w:r>
              <w:rPr>
                <w:rFonts w:eastAsia="宋体"/>
                <w:snapToGrid/>
                <w:color w:val="auto"/>
                <w:sz w:val="24"/>
                <w:szCs w:val="24"/>
                <w:highlight w:val="none"/>
              </w:rPr>
              <w:t>强化氮氧化物深度治理</w:t>
            </w:r>
            <w:r>
              <w:rPr>
                <w:rFonts w:hint="eastAsia" w:eastAsia="宋体"/>
                <w:snapToGrid/>
                <w:color w:val="auto"/>
                <w:sz w:val="24"/>
                <w:szCs w:val="24"/>
                <w:highlight w:val="none"/>
                <w:lang w:eastAsia="zh-CN"/>
              </w:rPr>
              <w:t>，</w:t>
            </w:r>
            <w:r>
              <w:rPr>
                <w:rFonts w:eastAsia="宋体"/>
                <w:snapToGrid/>
                <w:color w:val="auto"/>
                <w:sz w:val="24"/>
                <w:szCs w:val="24"/>
                <w:highlight w:val="none"/>
              </w:rPr>
              <w:t>确保区域环境空气质量持续改善。”</w:t>
            </w:r>
          </w:p>
          <w:p w14:paraId="77A18C3C">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Times New Roman" w:eastAsia="宋体" w:cs="Times New Roman"/>
                <w:b/>
                <w:bCs/>
                <w:color w:val="auto"/>
                <w:kern w:val="0"/>
                <w:sz w:val="24"/>
                <w:szCs w:val="24"/>
                <w:highlight w:val="none"/>
                <w:lang w:val="en-US" w:eastAsia="zh-CN"/>
              </w:rPr>
            </w:pPr>
            <w:r>
              <w:rPr>
                <w:color w:val="auto"/>
                <w:kern w:val="0"/>
                <w:sz w:val="24"/>
                <w:highlight w:val="none"/>
              </w:rPr>
              <w:t>本项目属于</w:t>
            </w:r>
            <w:r>
              <w:rPr>
                <w:rFonts w:hint="eastAsia" w:ascii="Times New Roman" w:hAnsi="Times New Roman" w:cs="Times New Roman"/>
                <w:color w:val="auto"/>
                <w:sz w:val="24"/>
                <w:szCs w:val="24"/>
                <w:highlight w:val="none"/>
                <w:lang w:val="en-US" w:eastAsia="zh-CN"/>
              </w:rPr>
              <w:t>机械化农业及园艺机具制造</w:t>
            </w:r>
            <w:r>
              <w:rPr>
                <w:rFonts w:hint="eastAsia"/>
                <w:color w:val="auto"/>
                <w:kern w:val="0"/>
                <w:sz w:val="24"/>
                <w:highlight w:val="none"/>
                <w:lang w:val="en-US" w:eastAsia="zh-CN"/>
              </w:rPr>
              <w:t>，不属于</w:t>
            </w:r>
            <w:r>
              <w:rPr>
                <w:rFonts w:eastAsia="宋体"/>
                <w:snapToGrid/>
                <w:color w:val="auto"/>
                <w:sz w:val="24"/>
                <w:szCs w:val="24"/>
                <w:highlight w:val="none"/>
              </w:rPr>
              <w:t>煤化工、电解铝、燃煤纯发电机组、金属硅、碳化硅、聚氯乙烯（电石法</w:t>
            </w:r>
            <w:r>
              <w:rPr>
                <w:rFonts w:hint="eastAsia" w:eastAsia="宋体"/>
                <w:snapToGrid/>
                <w:color w:val="auto"/>
                <w:sz w:val="24"/>
                <w:szCs w:val="24"/>
                <w:highlight w:val="none"/>
                <w:lang w:eastAsia="zh-CN"/>
              </w:rPr>
              <w:t>）</w:t>
            </w:r>
            <w:r>
              <w:rPr>
                <w:rFonts w:eastAsia="宋体"/>
                <w:snapToGrid/>
                <w:color w:val="auto"/>
                <w:sz w:val="24"/>
                <w:szCs w:val="24"/>
                <w:highlight w:val="none"/>
              </w:rPr>
              <w:t>、焦炭</w:t>
            </w:r>
            <w:r>
              <w:rPr>
                <w:rFonts w:hint="eastAsia" w:eastAsia="宋体"/>
                <w:snapToGrid/>
                <w:color w:val="auto"/>
                <w:sz w:val="24"/>
                <w:szCs w:val="24"/>
                <w:highlight w:val="none"/>
                <w:lang w:eastAsia="zh-CN"/>
              </w:rPr>
              <w:t>（</w:t>
            </w:r>
            <w:r>
              <w:rPr>
                <w:rFonts w:eastAsia="宋体"/>
                <w:snapToGrid/>
                <w:color w:val="auto"/>
                <w:sz w:val="24"/>
                <w:szCs w:val="24"/>
                <w:highlight w:val="none"/>
              </w:rPr>
              <w:t>含半焦）等新增产能项目</w:t>
            </w:r>
            <w:r>
              <w:rPr>
                <w:rFonts w:hint="eastAsia"/>
                <w:snapToGrid/>
                <w:color w:val="auto"/>
                <w:sz w:val="24"/>
                <w:szCs w:val="24"/>
                <w:highlight w:val="none"/>
                <w:lang w:eastAsia="zh-CN"/>
              </w:rPr>
              <w:t>，</w:t>
            </w:r>
            <w:r>
              <w:rPr>
                <w:rFonts w:hint="eastAsia"/>
                <w:snapToGrid/>
                <w:color w:val="auto"/>
                <w:sz w:val="24"/>
                <w:szCs w:val="24"/>
                <w:highlight w:val="none"/>
                <w:lang w:val="en-US" w:eastAsia="zh-CN"/>
              </w:rPr>
              <w:t>本项目主要污染物为下料切割、焊接、抛丸打磨、喷塑时产生的粉尘颗粒物、喷塑后烘干产生的非甲烷总烃</w:t>
            </w:r>
            <w:r>
              <w:rPr>
                <w:rFonts w:hint="eastAsia"/>
                <w:color w:val="auto"/>
                <w:kern w:val="0"/>
                <w:sz w:val="24"/>
                <w:highlight w:val="none"/>
                <w:lang w:val="en-US" w:eastAsia="zh-CN"/>
              </w:rPr>
              <w:t>，下料切割时产生的粉尘颗粒物通过“袋式除尘器+15m高排气筒”处理；焊接产生的颗粒物经移动烟尘净化器处理；抛丸打磨时产生的粉尘颗粒物通过“袋式除尘器+15m高排气筒”处理；喷塑时产生的粉尘颗粒物经袋式除尘器处理后排放，收集尘回用于喷塑，喷塑后烘干产生的非甲烷总烃经过活性炭吸附-催化燃烧设备处理后排放，喷塑产生的颗粒物与烘干产生的非甲烷总烃通过同一根15m高排气筒排放。不会对区域环境空气</w:t>
            </w:r>
            <w:r>
              <w:rPr>
                <w:rFonts w:hint="eastAsia"/>
                <w:snapToGrid/>
                <w:color w:val="auto"/>
                <w:sz w:val="24"/>
                <w:szCs w:val="24"/>
                <w:highlight w:val="none"/>
                <w:lang w:val="en-US" w:eastAsia="zh-CN"/>
              </w:rPr>
              <w:t>质量产生影响。</w:t>
            </w:r>
            <w:r>
              <w:rPr>
                <w:color w:val="auto"/>
                <w:kern w:val="0"/>
                <w:sz w:val="24"/>
                <w:highlight w:val="none"/>
              </w:rPr>
              <w:t>因此，符合《新疆维吾尔自治区七大片区“三线一单”生态环境分区管控要求》相关要求。</w:t>
            </w:r>
          </w:p>
          <w:p w14:paraId="337D4E4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jc w:val="both"/>
              <w:textAlignment w:val="auto"/>
              <w:rPr>
                <w:rFonts w:hint="default" w:ascii="Times New Roman" w:hAnsi="Times New Roman" w:eastAsia="宋体" w:cs="Times New Roman"/>
                <w:b/>
                <w:bCs/>
                <w:color w:val="auto"/>
                <w:kern w:val="0"/>
                <w:sz w:val="24"/>
                <w:szCs w:val="24"/>
                <w:highlight w:val="none"/>
                <w:lang w:val="en-US" w:eastAsia="zh-CN"/>
              </w:rPr>
            </w:pPr>
            <w:r>
              <w:rPr>
                <w:rFonts w:hint="eastAsia" w:ascii="Times New Roman" w:hAnsi="Times New Roman" w:eastAsia="宋体" w:cs="Times New Roman"/>
                <w:b/>
                <w:bCs/>
                <w:color w:val="auto"/>
                <w:kern w:val="0"/>
                <w:sz w:val="24"/>
                <w:szCs w:val="24"/>
                <w:highlight w:val="none"/>
                <w:lang w:val="en-US" w:eastAsia="zh-CN"/>
              </w:rPr>
              <w:t>3.</w:t>
            </w:r>
            <w:r>
              <w:rPr>
                <w:rFonts w:hint="eastAsia" w:cs="Times New Roman"/>
                <w:b/>
                <w:bCs/>
                <w:color w:val="auto"/>
                <w:kern w:val="0"/>
                <w:sz w:val="24"/>
                <w:szCs w:val="24"/>
                <w:highlight w:val="none"/>
                <w:lang w:val="en-US" w:eastAsia="zh-CN"/>
              </w:rPr>
              <w:t>3</w:t>
            </w:r>
            <w:r>
              <w:rPr>
                <w:rFonts w:hint="default" w:ascii="Times New Roman" w:hAnsi="Times New Roman" w:eastAsia="宋体" w:cs="Times New Roman"/>
                <w:b/>
                <w:bCs/>
                <w:color w:val="auto"/>
                <w:kern w:val="0"/>
                <w:sz w:val="24"/>
                <w:szCs w:val="24"/>
                <w:highlight w:val="none"/>
                <w:lang w:val="en-US" w:eastAsia="zh-CN"/>
              </w:rPr>
              <w:t>与《昌吉回族自治州区域空间生态环境评价暨“三线一单” 生态环境准入清单动态更新成果》的符合性分析</w:t>
            </w:r>
          </w:p>
          <w:p w14:paraId="0FA5365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32"/>
                <w:highlight w:val="none"/>
                <w:lang w:val="en-US" w:eastAsia="zh-CN"/>
              </w:rPr>
            </w:pPr>
            <w:r>
              <w:rPr>
                <w:rFonts w:hint="default" w:ascii="Times New Roman" w:hAnsi="Times New Roman" w:eastAsia="宋体" w:cs="Times New Roman"/>
                <w:color w:val="auto"/>
                <w:sz w:val="24"/>
                <w:szCs w:val="32"/>
                <w:highlight w:val="none"/>
                <w:lang w:val="en-US" w:eastAsia="zh-CN"/>
              </w:rPr>
              <w:t>本项目位于</w:t>
            </w:r>
            <w:r>
              <w:rPr>
                <w:rFonts w:hint="eastAsia" w:cs="Times New Roman"/>
                <w:color w:val="auto"/>
                <w:sz w:val="24"/>
                <w:szCs w:val="32"/>
                <w:highlight w:val="none"/>
                <w:lang w:val="en-US" w:eastAsia="zh-CN"/>
              </w:rPr>
              <w:t>昌吉市大西渠镇</w:t>
            </w:r>
            <w:r>
              <w:rPr>
                <w:rFonts w:hint="default" w:ascii="Times New Roman" w:hAnsi="Times New Roman" w:eastAsia="宋体" w:cs="Times New Roman"/>
                <w:color w:val="auto"/>
                <w:sz w:val="24"/>
                <w:szCs w:val="32"/>
                <w:highlight w:val="none"/>
                <w:lang w:val="en-US" w:eastAsia="zh-CN"/>
              </w:rPr>
              <w:t>，根据《昌吉回族自治州“三线一单”生态环境分区管控方案及生态环境准入清单》划分，本项目属于ZH65230120001环境管控单元编码区，属于</w:t>
            </w:r>
            <w:r>
              <w:rPr>
                <w:rFonts w:hint="eastAsia" w:cs="Times New Roman"/>
                <w:color w:val="auto"/>
                <w:sz w:val="24"/>
                <w:szCs w:val="32"/>
                <w:highlight w:val="none"/>
                <w:lang w:val="en-US" w:eastAsia="zh-CN"/>
              </w:rPr>
              <w:t>昌吉</w:t>
            </w:r>
            <w:r>
              <w:rPr>
                <w:rFonts w:hint="default" w:ascii="Times New Roman" w:hAnsi="Times New Roman" w:eastAsia="宋体" w:cs="Times New Roman"/>
                <w:color w:val="auto"/>
                <w:sz w:val="24"/>
                <w:szCs w:val="32"/>
                <w:highlight w:val="none"/>
                <w:lang w:val="en-US" w:eastAsia="zh-CN"/>
              </w:rPr>
              <w:t>市</w:t>
            </w:r>
            <w:r>
              <w:rPr>
                <w:rFonts w:hint="eastAsia" w:cs="Times New Roman"/>
                <w:color w:val="auto"/>
                <w:sz w:val="24"/>
                <w:szCs w:val="32"/>
                <w:highlight w:val="none"/>
                <w:lang w:val="en-US" w:eastAsia="zh-CN"/>
              </w:rPr>
              <w:t>建成区</w:t>
            </w:r>
            <w:r>
              <w:rPr>
                <w:rFonts w:hint="default" w:ascii="Times New Roman" w:hAnsi="Times New Roman" w:eastAsia="宋体" w:cs="Times New Roman"/>
                <w:color w:val="auto"/>
                <w:sz w:val="24"/>
                <w:szCs w:val="32"/>
                <w:highlight w:val="none"/>
                <w:lang w:val="en-US" w:eastAsia="zh-CN"/>
              </w:rPr>
              <w:t>，本项目与</w:t>
            </w:r>
            <w:r>
              <w:rPr>
                <w:rFonts w:hint="eastAsia" w:cs="Times New Roman"/>
                <w:color w:val="auto"/>
                <w:sz w:val="24"/>
                <w:szCs w:val="32"/>
                <w:highlight w:val="none"/>
                <w:lang w:val="en-US" w:eastAsia="zh-CN"/>
              </w:rPr>
              <w:t>昌吉</w:t>
            </w:r>
            <w:r>
              <w:rPr>
                <w:rFonts w:hint="default" w:ascii="Times New Roman" w:hAnsi="Times New Roman" w:eastAsia="宋体" w:cs="Times New Roman"/>
                <w:color w:val="auto"/>
                <w:sz w:val="24"/>
                <w:szCs w:val="32"/>
                <w:highlight w:val="none"/>
                <w:lang w:val="en-US" w:eastAsia="zh-CN"/>
              </w:rPr>
              <w:t>市环境管控单元生态环境准入清单符合性分析见表</w:t>
            </w:r>
            <w:r>
              <w:rPr>
                <w:rFonts w:hint="eastAsia" w:ascii="Times New Roman" w:hAnsi="Times New Roman" w:eastAsia="宋体" w:cs="Times New Roman"/>
                <w:color w:val="auto"/>
                <w:sz w:val="24"/>
                <w:szCs w:val="32"/>
                <w:highlight w:val="none"/>
                <w:lang w:val="en-US" w:eastAsia="zh-CN"/>
              </w:rPr>
              <w:t>1-2</w:t>
            </w:r>
            <w:r>
              <w:rPr>
                <w:rFonts w:hint="default" w:ascii="Times New Roman" w:hAnsi="Times New Roman" w:eastAsia="宋体" w:cs="Times New Roman"/>
                <w:color w:val="auto"/>
                <w:sz w:val="24"/>
                <w:szCs w:val="32"/>
                <w:highlight w:val="none"/>
                <w:lang w:val="en-US" w:eastAsia="zh-CN"/>
              </w:rPr>
              <w:t>。</w:t>
            </w:r>
          </w:p>
          <w:p w14:paraId="4D87BFC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32"/>
                <w:highlight w:val="none"/>
                <w:lang w:val="en-US" w:eastAsia="zh-CN"/>
              </w:rPr>
            </w:pPr>
            <w:r>
              <w:rPr>
                <w:rFonts w:hint="default" w:ascii="Times New Roman" w:hAnsi="Times New Roman" w:eastAsia="宋体" w:cs="Times New Roman"/>
                <w:color w:val="auto"/>
                <w:sz w:val="24"/>
                <w:szCs w:val="32"/>
                <w:highlight w:val="none"/>
                <w:lang w:val="en-US" w:eastAsia="zh-CN"/>
              </w:rPr>
              <w:t>项目选址不涉及生态保护红线，项目所在区域不存在自然保护区、风景名胜区、饮用水水源保护区等需要特别保护的区域，不属于禁止建设开发区和限制建设开发区，符合生态保护红线的要求，不会影响所在区域内生态功能和性质。符合生态保护红线相关要求。</w:t>
            </w:r>
          </w:p>
          <w:p w14:paraId="64073E04">
            <w:pPr>
              <w:pStyle w:val="41"/>
              <w:keepNext w:val="0"/>
              <w:keepLines w:val="0"/>
              <w:pageBreakBefore w:val="0"/>
              <w:widowControl w:val="0"/>
              <w:tabs>
                <w:tab w:val="left" w:pos="360"/>
                <w:tab w:val="left" w:pos="1620"/>
              </w:tabs>
              <w:kinsoku/>
              <w:wordWrap/>
              <w:overflowPunct/>
              <w:topLinePunct w:val="0"/>
              <w:autoSpaceDE/>
              <w:autoSpaceDN/>
              <w:bidi w:val="0"/>
              <w:adjustRightInd w:val="0"/>
              <w:snapToGrid w:val="0"/>
              <w:spacing w:before="0" w:beforeLines="0" w:line="240" w:lineRule="auto"/>
              <w:ind w:left="0" w:leftChars="0" w:firstLine="0" w:firstLineChars="0"/>
              <w:jc w:val="center"/>
              <w:textAlignment w:val="auto"/>
              <w:rPr>
                <w:rFonts w:hint="default" w:ascii="Times New Roman" w:hAnsi="Times New Roman" w:eastAsia="宋体" w:cs="宋体"/>
                <w:color w:val="auto"/>
                <w:highlight w:val="none"/>
                <w:lang w:val="en-US" w:eastAsia="zh-CN"/>
              </w:rPr>
            </w:pPr>
            <w:r>
              <w:rPr>
                <w:rFonts w:hint="default" w:ascii="Times New Roman" w:hAnsi="Times New Roman" w:cs="Times New Roman"/>
                <w:b/>
                <w:bCs w:val="0"/>
                <w:color w:val="auto"/>
                <w:sz w:val="21"/>
                <w:szCs w:val="21"/>
                <w:highlight w:val="none"/>
              </w:rPr>
              <w:t>表</w:t>
            </w:r>
            <w:r>
              <w:rPr>
                <w:rFonts w:hint="eastAsia" w:ascii="Times New Roman" w:hAnsi="Times New Roman" w:cs="Times New Roman"/>
                <w:b/>
                <w:bCs w:val="0"/>
                <w:color w:val="auto"/>
                <w:sz w:val="21"/>
                <w:szCs w:val="21"/>
                <w:highlight w:val="none"/>
                <w:lang w:val="en-US" w:eastAsia="zh-CN"/>
              </w:rPr>
              <w:t xml:space="preserve">1-2    </w:t>
            </w:r>
            <w:r>
              <w:rPr>
                <w:rFonts w:hint="eastAsia" w:ascii="Times New Roman" w:hAnsi="Times New Roman" w:eastAsia="宋体" w:cs="Times New Roman"/>
                <w:b/>
                <w:bCs w:val="0"/>
                <w:color w:val="auto"/>
                <w:sz w:val="24"/>
                <w:szCs w:val="24"/>
                <w:highlight w:val="none"/>
                <w:lang w:eastAsia="zh-CN"/>
              </w:rPr>
              <w:t>“</w:t>
            </w:r>
            <w:r>
              <w:rPr>
                <w:rFonts w:hint="eastAsia" w:cs="宋体"/>
                <w:color w:val="auto"/>
                <w:highlight w:val="none"/>
                <w:lang w:val="en-US" w:eastAsia="zh-CN"/>
              </w:rPr>
              <w:t>昌吉</w:t>
            </w:r>
            <w:r>
              <w:rPr>
                <w:rFonts w:hint="eastAsia" w:ascii="Times New Roman" w:hAnsi="Times New Roman" w:eastAsia="宋体" w:cs="宋体"/>
                <w:color w:val="auto"/>
                <w:highlight w:val="none"/>
                <w:lang w:val="en-US" w:eastAsia="zh-CN"/>
              </w:rPr>
              <w:t>市环境管控单元生态环境准入清单”</w:t>
            </w:r>
            <w:r>
              <w:rPr>
                <w:rFonts w:hint="default" w:ascii="Times New Roman" w:hAnsi="Times New Roman" w:eastAsia="宋体" w:cs="宋体"/>
                <w:color w:val="auto"/>
                <w:highlight w:val="none"/>
                <w:lang w:val="en-US" w:eastAsia="zh-CN"/>
              </w:rPr>
              <w:t>符合性分析</w:t>
            </w:r>
          </w:p>
          <w:tbl>
            <w:tblPr>
              <w:tblStyle w:val="26"/>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440"/>
              <w:gridCol w:w="588"/>
              <w:gridCol w:w="646"/>
              <w:gridCol w:w="3207"/>
              <w:gridCol w:w="1377"/>
              <w:gridCol w:w="445"/>
            </w:tblGrid>
            <w:tr w14:paraId="38B4DB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3" w:hRule="atLeast"/>
                <w:jc w:val="center"/>
              </w:trPr>
              <w:tc>
                <w:tcPr>
                  <w:tcW w:w="556" w:type="pct"/>
                  <w:tcBorders>
                    <w:tl2br w:val="nil"/>
                    <w:tr2bl w:val="nil"/>
                  </w:tcBorders>
                  <w:noWrap w:val="0"/>
                  <w:vAlign w:val="center"/>
                </w:tcPr>
                <w:p w14:paraId="2DA48C1F">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highlight w:val="none"/>
                      <w:lang w:val="en-US" w:eastAsia="zh-CN"/>
                    </w:rPr>
                  </w:pPr>
                  <w:r>
                    <w:rPr>
                      <w:rFonts w:hint="eastAsia"/>
                      <w:color w:val="auto"/>
                      <w:highlight w:val="none"/>
                      <w:lang w:val="en-US" w:eastAsia="zh-CN"/>
                    </w:rPr>
                    <w:t>环境</w:t>
                  </w:r>
                  <w:r>
                    <w:rPr>
                      <w:rFonts w:hint="default"/>
                      <w:color w:val="auto"/>
                      <w:highlight w:val="none"/>
                      <w:lang w:val="en-US" w:eastAsia="zh-CN"/>
                    </w:rPr>
                    <w:t>管控单元</w:t>
                  </w:r>
                  <w:r>
                    <w:rPr>
                      <w:rFonts w:hint="eastAsia"/>
                      <w:color w:val="auto"/>
                      <w:highlight w:val="none"/>
                      <w:lang w:val="en-US" w:eastAsia="zh-CN"/>
                    </w:rPr>
                    <w:t>编码</w:t>
                  </w:r>
                </w:p>
              </w:tc>
              <w:tc>
                <w:tcPr>
                  <w:tcW w:w="457" w:type="pct"/>
                  <w:tcBorders>
                    <w:tl2br w:val="nil"/>
                    <w:tr2bl w:val="nil"/>
                  </w:tcBorders>
                  <w:noWrap w:val="0"/>
                  <w:vAlign w:val="center"/>
                </w:tcPr>
                <w:p w14:paraId="09B61E38">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highlight w:val="none"/>
                      <w:lang w:val="en-US" w:eastAsia="zh-CN"/>
                    </w:rPr>
                  </w:pPr>
                  <w:r>
                    <w:rPr>
                      <w:rFonts w:hint="default"/>
                      <w:color w:val="auto"/>
                      <w:highlight w:val="none"/>
                      <w:lang w:val="en-US" w:eastAsia="zh-CN"/>
                    </w:rPr>
                    <w:t>管控单元名称</w:t>
                  </w:r>
                </w:p>
              </w:tc>
              <w:tc>
                <w:tcPr>
                  <w:tcW w:w="2651" w:type="pct"/>
                  <w:gridSpan w:val="2"/>
                  <w:tcBorders>
                    <w:tl2br w:val="nil"/>
                    <w:tr2bl w:val="nil"/>
                  </w:tcBorders>
                  <w:noWrap w:val="0"/>
                  <w:vAlign w:val="center"/>
                </w:tcPr>
                <w:p w14:paraId="2BC62FDB">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highlight w:val="none"/>
                      <w:lang w:val="en-US" w:eastAsia="zh-CN"/>
                    </w:rPr>
                  </w:pPr>
                  <w:r>
                    <w:rPr>
                      <w:rFonts w:hint="default"/>
                      <w:color w:val="auto"/>
                      <w:highlight w:val="none"/>
                      <w:lang w:val="en-US" w:eastAsia="zh-CN"/>
                    </w:rPr>
                    <w:t>管控要求</w:t>
                  </w:r>
                </w:p>
              </w:tc>
              <w:tc>
                <w:tcPr>
                  <w:tcW w:w="969" w:type="pct"/>
                  <w:tcBorders>
                    <w:tl2br w:val="nil"/>
                    <w:tr2bl w:val="nil"/>
                  </w:tcBorders>
                  <w:noWrap w:val="0"/>
                  <w:vAlign w:val="center"/>
                </w:tcPr>
                <w:p w14:paraId="36775C29">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highlight w:val="none"/>
                      <w:lang w:val="en-US" w:eastAsia="zh-CN"/>
                    </w:rPr>
                  </w:pPr>
                  <w:r>
                    <w:rPr>
                      <w:rFonts w:hint="default"/>
                      <w:color w:val="auto"/>
                      <w:highlight w:val="none"/>
                      <w:lang w:val="en-US" w:eastAsia="zh-CN"/>
                    </w:rPr>
                    <w:t>项目情况</w:t>
                  </w:r>
                </w:p>
              </w:tc>
              <w:tc>
                <w:tcPr>
                  <w:tcW w:w="364" w:type="pct"/>
                  <w:tcBorders>
                    <w:tl2br w:val="nil"/>
                    <w:tr2bl w:val="nil"/>
                  </w:tcBorders>
                  <w:noWrap w:val="0"/>
                  <w:vAlign w:val="center"/>
                </w:tcPr>
                <w:p w14:paraId="702C0D42">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highlight w:val="none"/>
                      <w:lang w:val="en-US" w:eastAsia="zh-CN"/>
                    </w:rPr>
                  </w:pPr>
                  <w:r>
                    <w:rPr>
                      <w:rFonts w:hint="default"/>
                      <w:color w:val="auto"/>
                      <w:highlight w:val="none"/>
                      <w:lang w:val="en-US" w:eastAsia="zh-CN"/>
                    </w:rPr>
                    <w:t>符合性</w:t>
                  </w:r>
                </w:p>
              </w:tc>
            </w:tr>
            <w:tr w14:paraId="4B86CE1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3" w:hRule="atLeast"/>
                <w:jc w:val="center"/>
              </w:trPr>
              <w:tc>
                <w:tcPr>
                  <w:tcW w:w="556" w:type="pct"/>
                  <w:vMerge w:val="restart"/>
                  <w:tcBorders>
                    <w:tl2br w:val="nil"/>
                    <w:tr2bl w:val="nil"/>
                  </w:tcBorders>
                  <w:noWrap w:val="0"/>
                  <w:vAlign w:val="center"/>
                </w:tcPr>
                <w:p w14:paraId="597936FE">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r>
                    <w:rPr>
                      <w:rFonts w:hint="default" w:eastAsia="宋体"/>
                      <w:color w:val="auto"/>
                      <w:highlight w:val="none"/>
                      <w:lang w:val="en-US" w:eastAsia="zh-CN"/>
                    </w:rPr>
                    <w:t>ZH65230120001</w:t>
                  </w:r>
                </w:p>
              </w:tc>
              <w:tc>
                <w:tcPr>
                  <w:tcW w:w="457" w:type="pct"/>
                  <w:vMerge w:val="restart"/>
                  <w:tcBorders>
                    <w:tl2br w:val="nil"/>
                    <w:tr2bl w:val="nil"/>
                  </w:tcBorders>
                  <w:noWrap w:val="0"/>
                  <w:vAlign w:val="center"/>
                </w:tcPr>
                <w:p w14:paraId="3C41145D">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r>
                    <w:rPr>
                      <w:rFonts w:hint="eastAsia"/>
                      <w:color w:val="auto"/>
                      <w:highlight w:val="none"/>
                      <w:lang w:val="en-US" w:eastAsia="zh-CN"/>
                    </w:rPr>
                    <w:t>昌吉市建成区</w:t>
                  </w:r>
                </w:p>
              </w:tc>
              <w:tc>
                <w:tcPr>
                  <w:tcW w:w="495" w:type="pct"/>
                  <w:tcBorders>
                    <w:tl2br w:val="nil"/>
                    <w:tr2bl w:val="nil"/>
                  </w:tcBorders>
                  <w:noWrap w:val="0"/>
                  <w:vAlign w:val="center"/>
                </w:tcPr>
                <w:p w14:paraId="612C240F">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highlight w:val="none"/>
                      <w:lang w:val="en-US" w:eastAsia="zh-CN"/>
                    </w:rPr>
                  </w:pPr>
                  <w:r>
                    <w:rPr>
                      <w:rFonts w:hint="default"/>
                      <w:color w:val="auto"/>
                      <w:highlight w:val="none"/>
                    </w:rPr>
                    <w:t>空间布局约束</w:t>
                  </w:r>
                </w:p>
              </w:tc>
              <w:tc>
                <w:tcPr>
                  <w:tcW w:w="2155" w:type="pct"/>
                  <w:tcBorders>
                    <w:tl2br w:val="nil"/>
                    <w:tr2bl w:val="nil"/>
                  </w:tcBorders>
                  <w:noWrap w:val="0"/>
                  <w:vAlign w:val="center"/>
                </w:tcPr>
                <w:p w14:paraId="32FD0260">
                  <w:pPr>
                    <w:pStyle w:val="48"/>
                    <w:keepNext w:val="0"/>
                    <w:keepLines w:val="0"/>
                    <w:pageBreakBefore w:val="0"/>
                    <w:widowControl/>
                    <w:kinsoku/>
                    <w:wordWrap/>
                    <w:overflowPunct/>
                    <w:topLinePunct w:val="0"/>
                    <w:autoSpaceDE/>
                    <w:autoSpaceDN/>
                    <w:bidi w:val="0"/>
                    <w:adjustRightInd w:val="0"/>
                    <w:snapToGrid w:val="0"/>
                    <w:jc w:val="left"/>
                    <w:textAlignment w:val="auto"/>
                    <w:rPr>
                      <w:rFonts w:hint="default" w:eastAsia="宋体"/>
                      <w:color w:val="auto"/>
                      <w:highlight w:val="none"/>
                      <w:lang w:val="en-US" w:eastAsia="zh-CN"/>
                    </w:rPr>
                  </w:pPr>
                  <w:r>
                    <w:rPr>
                      <w:rFonts w:hint="default" w:eastAsia="宋体"/>
                      <w:color w:val="auto"/>
                      <w:highlight w:val="none"/>
                      <w:lang w:val="en-US" w:eastAsia="zh-CN"/>
                    </w:rPr>
                    <w:t>1、城市建成区内不得建设高污染的火电、化工、冶金、造纸、钢铁、建材等工业项目；已经建成的，应当逐步搬迁。</w:t>
                  </w:r>
                </w:p>
                <w:p w14:paraId="385FD741">
                  <w:pPr>
                    <w:pStyle w:val="48"/>
                    <w:keepNext w:val="0"/>
                    <w:keepLines w:val="0"/>
                    <w:pageBreakBefore w:val="0"/>
                    <w:widowControl/>
                    <w:kinsoku/>
                    <w:wordWrap/>
                    <w:overflowPunct/>
                    <w:topLinePunct w:val="0"/>
                    <w:autoSpaceDE/>
                    <w:autoSpaceDN/>
                    <w:bidi w:val="0"/>
                    <w:adjustRightInd w:val="0"/>
                    <w:snapToGrid w:val="0"/>
                    <w:jc w:val="left"/>
                    <w:textAlignment w:val="auto"/>
                    <w:rPr>
                      <w:rFonts w:hint="default" w:eastAsia="宋体"/>
                      <w:color w:val="auto"/>
                      <w:highlight w:val="none"/>
                      <w:lang w:val="en-US" w:eastAsia="zh-CN"/>
                    </w:rPr>
                  </w:pPr>
                  <w:r>
                    <w:rPr>
                      <w:rFonts w:hint="default" w:eastAsia="宋体"/>
                      <w:color w:val="auto"/>
                      <w:highlight w:val="none"/>
                      <w:lang w:val="en-US" w:eastAsia="zh-CN"/>
                    </w:rPr>
                    <w:t>2、推进燃气锅炉低氮燃烧改造和65 蒸吨/小时及以上燃煤锅炉超低排放改造，到2024年县级及以上城市建成区基本淘汰35蒸吨/小时及以下的燃煤锅炉，“乌-昌-石”区域基本淘汰65蒸吨/小时以下燃煤锅炉。</w:t>
                  </w:r>
                </w:p>
                <w:p w14:paraId="2CCDD3A4">
                  <w:pPr>
                    <w:pStyle w:val="48"/>
                    <w:keepNext w:val="0"/>
                    <w:keepLines w:val="0"/>
                    <w:pageBreakBefore w:val="0"/>
                    <w:widowControl/>
                    <w:kinsoku/>
                    <w:wordWrap/>
                    <w:overflowPunct/>
                    <w:topLinePunct w:val="0"/>
                    <w:autoSpaceDE/>
                    <w:autoSpaceDN/>
                    <w:bidi w:val="0"/>
                    <w:adjustRightInd w:val="0"/>
                    <w:snapToGrid w:val="0"/>
                    <w:jc w:val="left"/>
                    <w:textAlignment w:val="auto"/>
                    <w:rPr>
                      <w:rFonts w:hint="default" w:eastAsia="宋体"/>
                      <w:color w:val="auto"/>
                      <w:highlight w:val="none"/>
                      <w:lang w:val="en-US" w:eastAsia="zh-CN"/>
                    </w:rPr>
                  </w:pPr>
                  <w:r>
                    <w:rPr>
                      <w:rFonts w:hint="default" w:eastAsia="宋体"/>
                      <w:color w:val="auto"/>
                      <w:highlight w:val="none"/>
                      <w:lang w:val="en-US" w:eastAsia="zh-CN"/>
                    </w:rPr>
                    <w:t>3、禁止在集中供热管网覆盖地区，新建、扩建分散燃煤供热锅炉。</w:t>
                  </w:r>
                </w:p>
                <w:p w14:paraId="0FB1CF35">
                  <w:pPr>
                    <w:pStyle w:val="48"/>
                    <w:keepNext w:val="0"/>
                    <w:keepLines w:val="0"/>
                    <w:pageBreakBefore w:val="0"/>
                    <w:widowControl/>
                    <w:kinsoku/>
                    <w:wordWrap/>
                    <w:overflowPunct/>
                    <w:topLinePunct w:val="0"/>
                    <w:autoSpaceDE/>
                    <w:autoSpaceDN/>
                    <w:bidi w:val="0"/>
                    <w:adjustRightInd w:val="0"/>
                    <w:snapToGrid w:val="0"/>
                    <w:jc w:val="left"/>
                    <w:textAlignment w:val="auto"/>
                    <w:rPr>
                      <w:rFonts w:hint="default" w:eastAsia="宋体"/>
                      <w:color w:val="auto"/>
                      <w:highlight w:val="none"/>
                      <w:lang w:val="en-US" w:eastAsia="zh-CN"/>
                    </w:rPr>
                  </w:pPr>
                  <w:r>
                    <w:rPr>
                      <w:rFonts w:hint="default" w:eastAsia="宋体"/>
                      <w:color w:val="auto"/>
                      <w:highlight w:val="none"/>
                      <w:lang w:val="en-US" w:eastAsia="zh-CN"/>
                    </w:rPr>
                    <w:t>4、在居民住宅区等人口密集区域和机关、医院、学校、幼儿园、养老院等其他需要特殊保护的区域及其周边，不得新建和扩建易产生恶臭气体的生产项目，或者从事其他产生恶臭气体的生产经营活动。已建成的，应当逐步搬迁或者升级改造。</w:t>
                  </w:r>
                </w:p>
              </w:tc>
              <w:tc>
                <w:tcPr>
                  <w:tcW w:w="969" w:type="pct"/>
                  <w:tcBorders>
                    <w:tl2br w:val="nil"/>
                    <w:tr2bl w:val="nil"/>
                  </w:tcBorders>
                  <w:noWrap w:val="0"/>
                  <w:vAlign w:val="center"/>
                </w:tcPr>
                <w:p w14:paraId="7A437202">
                  <w:pPr>
                    <w:pStyle w:val="48"/>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w:t>
                  </w:r>
                  <w:r>
                    <w:rPr>
                      <w:rFonts w:hint="eastAsia" w:cs="Times New Roman"/>
                      <w:color w:val="auto"/>
                      <w:sz w:val="21"/>
                      <w:szCs w:val="21"/>
                      <w:highlight w:val="none"/>
                      <w:lang w:val="en-US" w:eastAsia="zh-CN"/>
                    </w:rPr>
                    <w:t>本项目</w:t>
                  </w:r>
                  <w:r>
                    <w:rPr>
                      <w:rFonts w:hint="default" w:ascii="Times New Roman" w:hAnsi="Times New Roman" w:eastAsia="宋体" w:cs="Times New Roman"/>
                      <w:color w:val="auto"/>
                      <w:sz w:val="21"/>
                      <w:szCs w:val="21"/>
                      <w:highlight w:val="none"/>
                    </w:rPr>
                    <w:t>不</w:t>
                  </w:r>
                  <w:r>
                    <w:rPr>
                      <w:rFonts w:hint="eastAsia" w:ascii="Times New Roman" w:hAnsi="Times New Roman" w:cs="Times New Roman"/>
                      <w:color w:val="auto"/>
                      <w:sz w:val="21"/>
                      <w:szCs w:val="21"/>
                      <w:highlight w:val="none"/>
                      <w:lang w:val="en-US" w:eastAsia="zh-CN"/>
                    </w:rPr>
                    <w:t>属于</w:t>
                  </w:r>
                  <w:r>
                    <w:rPr>
                      <w:rFonts w:hint="default" w:ascii="Times New Roman" w:hAnsi="Times New Roman" w:eastAsia="宋体" w:cs="Times New Roman"/>
                      <w:color w:val="auto"/>
                      <w:sz w:val="21"/>
                      <w:szCs w:val="21"/>
                      <w:highlight w:val="none"/>
                    </w:rPr>
                    <w:t>火电、化工、冶金、造纸、钢铁、建材等工业项目。</w:t>
                  </w:r>
                </w:p>
                <w:p w14:paraId="5A019FC2">
                  <w:pPr>
                    <w:pStyle w:val="48"/>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2、本项目无燃煤锅炉。</w:t>
                  </w:r>
                </w:p>
                <w:p w14:paraId="0FB765A4">
                  <w:pPr>
                    <w:pStyle w:val="48"/>
                    <w:keepNext w:val="0"/>
                    <w:keepLines w:val="0"/>
                    <w:pageBreakBefore w:val="0"/>
                    <w:widowControl/>
                    <w:kinsoku/>
                    <w:wordWrap/>
                    <w:overflowPunct/>
                    <w:topLinePunct w:val="0"/>
                    <w:autoSpaceDE/>
                    <w:autoSpaceDN/>
                    <w:bidi w:val="0"/>
                    <w:adjustRightInd w:val="0"/>
                    <w:snapToGrid w:val="0"/>
                    <w:jc w:val="left"/>
                    <w:textAlignment w:val="auto"/>
                    <w:rPr>
                      <w:rFonts w:hint="default"/>
                      <w:color w:val="auto"/>
                      <w:highlight w:val="none"/>
                      <w:lang w:val="en-US" w:eastAsia="zh-CN"/>
                    </w:rPr>
                  </w:pPr>
                  <w:r>
                    <w:rPr>
                      <w:rFonts w:hint="eastAsia" w:cs="Times New Roman"/>
                      <w:color w:val="auto"/>
                      <w:sz w:val="21"/>
                      <w:szCs w:val="21"/>
                      <w:highlight w:val="none"/>
                      <w:lang w:val="en-US" w:eastAsia="zh-CN"/>
                    </w:rPr>
                    <w:t>3</w:t>
                  </w:r>
                  <w:r>
                    <w:rPr>
                      <w:rFonts w:hint="eastAsia" w:ascii="Times New Roman" w:hAnsi="Times New Roman" w:cs="Times New Roman"/>
                      <w:color w:val="auto"/>
                      <w:sz w:val="21"/>
                      <w:szCs w:val="21"/>
                      <w:highlight w:val="none"/>
                      <w:lang w:val="en-US" w:eastAsia="zh-CN"/>
                    </w:rPr>
                    <w:t>、附近无</w:t>
                  </w:r>
                  <w:r>
                    <w:rPr>
                      <w:rFonts w:hint="default" w:ascii="Times New Roman" w:hAnsi="Times New Roman" w:eastAsia="宋体" w:cs="Times New Roman"/>
                      <w:color w:val="auto"/>
                      <w:sz w:val="21"/>
                      <w:szCs w:val="21"/>
                      <w:highlight w:val="none"/>
                    </w:rPr>
                    <w:t>居民住宅区等人口密集区域和机关、医院、学校、幼儿园、养老院等其他需要特殊保护的区域</w:t>
                  </w:r>
                  <w:r>
                    <w:rPr>
                      <w:rFonts w:hint="eastAsia" w:ascii="Times New Roman" w:hAnsi="Times New Roman" w:cs="Times New Roman"/>
                      <w:color w:val="auto"/>
                      <w:sz w:val="21"/>
                      <w:szCs w:val="21"/>
                      <w:highlight w:val="none"/>
                      <w:lang w:eastAsia="zh-CN"/>
                    </w:rPr>
                    <w:t>。</w:t>
                  </w:r>
                </w:p>
              </w:tc>
              <w:tc>
                <w:tcPr>
                  <w:tcW w:w="364" w:type="pct"/>
                  <w:tcBorders>
                    <w:tl2br w:val="nil"/>
                    <w:tr2bl w:val="nil"/>
                  </w:tcBorders>
                  <w:noWrap w:val="0"/>
                  <w:vAlign w:val="center"/>
                </w:tcPr>
                <w:p w14:paraId="04B76C29">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highlight w:val="none"/>
                      <w:lang w:val="en-US" w:eastAsia="zh-CN"/>
                    </w:rPr>
                  </w:pPr>
                  <w:r>
                    <w:rPr>
                      <w:rFonts w:hint="default"/>
                      <w:color w:val="auto"/>
                      <w:highlight w:val="none"/>
                      <w:lang w:val="en-US" w:eastAsia="zh-CN"/>
                    </w:rPr>
                    <w:t>符合</w:t>
                  </w:r>
                </w:p>
              </w:tc>
            </w:tr>
            <w:tr w14:paraId="6771F8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3" w:hRule="atLeast"/>
                <w:jc w:val="center"/>
              </w:trPr>
              <w:tc>
                <w:tcPr>
                  <w:tcW w:w="556" w:type="pct"/>
                  <w:vMerge w:val="continue"/>
                  <w:tcBorders>
                    <w:tl2br w:val="nil"/>
                    <w:tr2bl w:val="nil"/>
                  </w:tcBorders>
                  <w:noWrap w:val="0"/>
                  <w:vAlign w:val="center"/>
                </w:tcPr>
                <w:p w14:paraId="4520BACD">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highlight w:val="none"/>
                      <w:lang w:val="en-US" w:eastAsia="zh-CN"/>
                    </w:rPr>
                  </w:pPr>
                </w:p>
              </w:tc>
              <w:tc>
                <w:tcPr>
                  <w:tcW w:w="457" w:type="pct"/>
                  <w:vMerge w:val="continue"/>
                  <w:tcBorders>
                    <w:tl2br w:val="nil"/>
                    <w:tr2bl w:val="nil"/>
                  </w:tcBorders>
                  <w:noWrap w:val="0"/>
                  <w:vAlign w:val="center"/>
                </w:tcPr>
                <w:p w14:paraId="361A1305">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highlight w:val="none"/>
                      <w:lang w:val="en-US" w:eastAsia="zh-CN"/>
                    </w:rPr>
                  </w:pPr>
                </w:p>
              </w:tc>
              <w:tc>
                <w:tcPr>
                  <w:tcW w:w="495" w:type="pct"/>
                  <w:tcBorders>
                    <w:tl2br w:val="nil"/>
                    <w:tr2bl w:val="nil"/>
                  </w:tcBorders>
                  <w:noWrap w:val="0"/>
                  <w:vAlign w:val="center"/>
                </w:tcPr>
                <w:p w14:paraId="3D6F58F5">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highlight w:val="none"/>
                      <w:lang w:val="en-US" w:eastAsia="zh-CN"/>
                    </w:rPr>
                  </w:pPr>
                  <w:r>
                    <w:rPr>
                      <w:rFonts w:hint="default"/>
                      <w:color w:val="auto"/>
                      <w:highlight w:val="none"/>
                    </w:rPr>
                    <w:t>污染物排放管控</w:t>
                  </w:r>
                </w:p>
              </w:tc>
              <w:tc>
                <w:tcPr>
                  <w:tcW w:w="2155" w:type="pct"/>
                  <w:tcBorders>
                    <w:tl2br w:val="nil"/>
                    <w:tr2bl w:val="nil"/>
                  </w:tcBorders>
                  <w:noWrap w:val="0"/>
                  <w:vAlign w:val="center"/>
                </w:tcPr>
                <w:p w14:paraId="0A796CF4">
                  <w:pPr>
                    <w:pStyle w:val="48"/>
                    <w:keepNext w:val="0"/>
                    <w:keepLines w:val="0"/>
                    <w:pageBreakBefore w:val="0"/>
                    <w:widowControl/>
                    <w:numPr>
                      <w:ilvl w:val="0"/>
                      <w:numId w:val="0"/>
                    </w:numPr>
                    <w:kinsoku/>
                    <w:wordWrap/>
                    <w:overflowPunct/>
                    <w:topLinePunct w:val="0"/>
                    <w:autoSpaceDE/>
                    <w:autoSpaceDN/>
                    <w:bidi w:val="0"/>
                    <w:adjustRightInd w:val="0"/>
                    <w:snapToGrid w:val="0"/>
                    <w:ind w:firstLine="0" w:firstLineChars="0"/>
                    <w:jc w:val="left"/>
                    <w:textAlignment w:val="auto"/>
                    <w:rPr>
                      <w:rFonts w:hint="eastAsia"/>
                      <w:color w:val="auto"/>
                      <w:highlight w:val="none"/>
                      <w:lang w:val="en-US" w:eastAsia="zh-CN"/>
                    </w:rPr>
                  </w:pPr>
                  <w:r>
                    <w:rPr>
                      <w:rFonts w:hint="eastAsia" w:ascii="Times New Roman" w:hAnsi="Times New Roman" w:eastAsia="宋体" w:cs="Times New Roman"/>
                      <w:color w:val="auto"/>
                      <w:kern w:val="0"/>
                      <w:sz w:val="21"/>
                      <w:szCs w:val="21"/>
                      <w:highlight w:val="none"/>
                      <w:lang w:val="en-US" w:eastAsia="zh-CN" w:bidi="en-US"/>
                    </w:rPr>
                    <w:t>1、</w:t>
                  </w:r>
                  <w:r>
                    <w:rPr>
                      <w:rFonts w:hint="eastAsia"/>
                      <w:color w:val="auto"/>
                      <w:highlight w:val="none"/>
                      <w:lang w:val="en-US" w:eastAsia="zh-CN"/>
                    </w:rPr>
                    <w:t>新(改、扩)建项目应执行最严格的大气污染物排放标准。</w:t>
                  </w:r>
                </w:p>
                <w:p w14:paraId="0C538C33">
                  <w:pPr>
                    <w:pStyle w:val="48"/>
                    <w:keepNext w:val="0"/>
                    <w:keepLines w:val="0"/>
                    <w:pageBreakBefore w:val="0"/>
                    <w:widowControl/>
                    <w:numPr>
                      <w:ilvl w:val="0"/>
                      <w:numId w:val="0"/>
                    </w:numPr>
                    <w:kinsoku/>
                    <w:wordWrap/>
                    <w:overflowPunct/>
                    <w:topLinePunct w:val="0"/>
                    <w:autoSpaceDE/>
                    <w:autoSpaceDN/>
                    <w:bidi w:val="0"/>
                    <w:adjustRightInd w:val="0"/>
                    <w:snapToGrid w:val="0"/>
                    <w:ind w:firstLine="0" w:firstLineChars="0"/>
                    <w:jc w:val="left"/>
                    <w:textAlignment w:val="auto"/>
                    <w:rPr>
                      <w:rFonts w:hint="eastAsia"/>
                      <w:color w:val="auto"/>
                      <w:highlight w:val="none"/>
                      <w:lang w:val="en-US" w:eastAsia="zh-CN"/>
                    </w:rPr>
                  </w:pPr>
                  <w:r>
                    <w:rPr>
                      <w:rFonts w:hint="eastAsia"/>
                      <w:color w:val="auto"/>
                      <w:highlight w:val="none"/>
                      <w:lang w:val="en-US" w:eastAsia="zh-CN"/>
                    </w:rPr>
                    <w:t>2、向城镇污水集中处理设施排放水污染物应当达到《污水综合排放标准》(GB8978-1996)要求。排污许可中另有要求的执行许可的标准限值。</w:t>
                  </w:r>
                </w:p>
                <w:p w14:paraId="5853C979">
                  <w:pPr>
                    <w:pStyle w:val="48"/>
                    <w:keepNext w:val="0"/>
                    <w:keepLines w:val="0"/>
                    <w:pageBreakBefore w:val="0"/>
                    <w:widowControl/>
                    <w:numPr>
                      <w:ilvl w:val="0"/>
                      <w:numId w:val="0"/>
                    </w:numPr>
                    <w:kinsoku/>
                    <w:wordWrap/>
                    <w:overflowPunct/>
                    <w:topLinePunct w:val="0"/>
                    <w:autoSpaceDE/>
                    <w:autoSpaceDN/>
                    <w:bidi w:val="0"/>
                    <w:adjustRightInd w:val="0"/>
                    <w:snapToGrid w:val="0"/>
                    <w:ind w:firstLine="0" w:firstLineChars="0"/>
                    <w:jc w:val="left"/>
                    <w:textAlignment w:val="auto"/>
                    <w:rPr>
                      <w:rFonts w:hint="eastAsia"/>
                      <w:color w:val="auto"/>
                      <w:highlight w:val="none"/>
                      <w:lang w:val="en-US" w:eastAsia="zh-CN"/>
                    </w:rPr>
                  </w:pPr>
                  <w:r>
                    <w:rPr>
                      <w:rFonts w:hint="eastAsia"/>
                      <w:color w:val="auto"/>
                      <w:highlight w:val="none"/>
                      <w:lang w:val="en-US" w:eastAsia="zh-CN"/>
                    </w:rPr>
                    <w:t>3、“乌-昌-石”区域内，已实施超低排放的涉气排污单位，其实施超低排放改造的污染因子执行超低排放限值，其他污染因子执行特别排放限值和特别控制要求。</w:t>
                  </w:r>
                </w:p>
                <w:p w14:paraId="6D5D717F">
                  <w:pPr>
                    <w:pStyle w:val="48"/>
                    <w:keepNext w:val="0"/>
                    <w:keepLines w:val="0"/>
                    <w:pageBreakBefore w:val="0"/>
                    <w:widowControl/>
                    <w:numPr>
                      <w:ilvl w:val="0"/>
                      <w:numId w:val="0"/>
                    </w:numPr>
                    <w:kinsoku/>
                    <w:wordWrap/>
                    <w:overflowPunct/>
                    <w:topLinePunct w:val="0"/>
                    <w:autoSpaceDE/>
                    <w:autoSpaceDN/>
                    <w:bidi w:val="0"/>
                    <w:adjustRightInd w:val="0"/>
                    <w:snapToGrid w:val="0"/>
                    <w:ind w:firstLine="0" w:firstLineChars="0"/>
                    <w:jc w:val="left"/>
                    <w:textAlignment w:val="auto"/>
                    <w:rPr>
                      <w:rFonts w:hint="default"/>
                      <w:color w:val="auto"/>
                      <w:highlight w:val="none"/>
                      <w:lang w:val="en-US" w:eastAsia="zh-CN"/>
                    </w:rPr>
                  </w:pPr>
                  <w:r>
                    <w:rPr>
                      <w:rFonts w:hint="eastAsia"/>
                      <w:color w:val="auto"/>
                      <w:highlight w:val="none"/>
                      <w:lang w:val="en-US" w:eastAsia="zh-CN"/>
                    </w:rPr>
                    <w:t>4、施工工地全面落实“六个百分之百”(施工工地周边围挡、物料堆放覆盖、出入车辆冲洗、施工现场地面硬化、拆迁工地湿法作业、渣土车辆密闭运输)。</w:t>
                  </w:r>
                </w:p>
              </w:tc>
              <w:tc>
                <w:tcPr>
                  <w:tcW w:w="969" w:type="pct"/>
                  <w:tcBorders>
                    <w:tl2br w:val="nil"/>
                    <w:tr2bl w:val="nil"/>
                  </w:tcBorders>
                  <w:noWrap w:val="0"/>
                  <w:vAlign w:val="center"/>
                </w:tcPr>
                <w:p w14:paraId="59D6BC27">
                  <w:pPr>
                    <w:pStyle w:val="48"/>
                    <w:keepNext w:val="0"/>
                    <w:keepLines w:val="0"/>
                    <w:pageBreakBefore w:val="0"/>
                    <w:widowControl/>
                    <w:kinsoku/>
                    <w:wordWrap/>
                    <w:overflowPunct/>
                    <w:topLinePunct w:val="0"/>
                    <w:autoSpaceDE/>
                    <w:autoSpaceDN/>
                    <w:bidi w:val="0"/>
                    <w:adjustRightInd w:val="0"/>
                    <w:snapToGrid w:val="0"/>
                    <w:jc w:val="left"/>
                    <w:textAlignment w:val="auto"/>
                    <w:rPr>
                      <w:rFonts w:hint="default"/>
                      <w:color w:val="auto"/>
                      <w:highlight w:val="none"/>
                    </w:rPr>
                  </w:pPr>
                  <w:r>
                    <w:rPr>
                      <w:rFonts w:hint="eastAsia"/>
                      <w:color w:val="auto"/>
                      <w:highlight w:val="none"/>
                      <w:lang w:val="en-US" w:eastAsia="zh-CN"/>
                    </w:rPr>
                    <w:t>1</w:t>
                  </w:r>
                  <w:r>
                    <w:rPr>
                      <w:rFonts w:hint="default"/>
                      <w:color w:val="auto"/>
                      <w:highlight w:val="none"/>
                      <w:lang w:val="en-US" w:eastAsia="zh-CN"/>
                    </w:rPr>
                    <w:t>、</w:t>
                  </w:r>
                  <w:r>
                    <w:rPr>
                      <w:rFonts w:hint="eastAsia"/>
                      <w:color w:val="auto"/>
                      <w:highlight w:val="none"/>
                      <w:lang w:val="en-US" w:eastAsia="zh-CN"/>
                    </w:rPr>
                    <w:t>本项目已执行最严格的</w:t>
                  </w:r>
                  <w:r>
                    <w:rPr>
                      <w:rFonts w:hint="default"/>
                      <w:color w:val="auto"/>
                      <w:highlight w:val="none"/>
                    </w:rPr>
                    <w:t>大气污染物排放标准。</w:t>
                  </w:r>
                </w:p>
                <w:p w14:paraId="0AF58A57">
                  <w:pPr>
                    <w:pStyle w:val="48"/>
                    <w:keepNext w:val="0"/>
                    <w:keepLines w:val="0"/>
                    <w:pageBreakBefore w:val="0"/>
                    <w:widowControl/>
                    <w:kinsoku/>
                    <w:wordWrap/>
                    <w:overflowPunct/>
                    <w:topLinePunct w:val="0"/>
                    <w:autoSpaceDE/>
                    <w:autoSpaceDN/>
                    <w:bidi w:val="0"/>
                    <w:adjustRightInd w:val="0"/>
                    <w:snapToGrid w:val="0"/>
                    <w:jc w:val="left"/>
                    <w:textAlignment w:val="auto"/>
                    <w:rPr>
                      <w:rFonts w:hint="default"/>
                      <w:color w:val="auto"/>
                      <w:highlight w:val="none"/>
                    </w:rPr>
                  </w:pPr>
                  <w:r>
                    <w:rPr>
                      <w:rFonts w:hint="eastAsia"/>
                      <w:color w:val="auto"/>
                      <w:highlight w:val="none"/>
                      <w:lang w:val="en-US" w:eastAsia="zh-CN"/>
                    </w:rPr>
                    <w:t>2、本项目</w:t>
                  </w:r>
                  <w:r>
                    <w:rPr>
                      <w:rFonts w:hint="default"/>
                      <w:color w:val="auto"/>
                      <w:highlight w:val="none"/>
                    </w:rPr>
                    <w:t>其他污染因子</w:t>
                  </w:r>
                  <w:r>
                    <w:rPr>
                      <w:rFonts w:hint="eastAsia"/>
                      <w:color w:val="auto"/>
                      <w:highlight w:val="none"/>
                      <w:lang w:val="en-US" w:eastAsia="zh-CN"/>
                    </w:rPr>
                    <w:t>已</w:t>
                  </w:r>
                  <w:r>
                    <w:rPr>
                      <w:rFonts w:hint="default"/>
                      <w:color w:val="auto"/>
                      <w:highlight w:val="none"/>
                    </w:rPr>
                    <w:t>执行特别排放限值和特别控制要求。</w:t>
                  </w:r>
                </w:p>
                <w:p w14:paraId="3F4F0455">
                  <w:pPr>
                    <w:pStyle w:val="48"/>
                    <w:keepNext w:val="0"/>
                    <w:keepLines w:val="0"/>
                    <w:pageBreakBefore w:val="0"/>
                    <w:widowControl/>
                    <w:kinsoku/>
                    <w:wordWrap/>
                    <w:overflowPunct/>
                    <w:topLinePunct w:val="0"/>
                    <w:autoSpaceDE/>
                    <w:autoSpaceDN/>
                    <w:bidi w:val="0"/>
                    <w:adjustRightInd w:val="0"/>
                    <w:snapToGrid w:val="0"/>
                    <w:jc w:val="left"/>
                    <w:textAlignment w:val="auto"/>
                    <w:rPr>
                      <w:rFonts w:hint="default" w:eastAsia="宋体"/>
                      <w:color w:val="auto"/>
                      <w:highlight w:val="none"/>
                      <w:lang w:val="en-US" w:eastAsia="zh-CN"/>
                    </w:rPr>
                  </w:pPr>
                  <w:r>
                    <w:rPr>
                      <w:rFonts w:hint="eastAsia"/>
                      <w:color w:val="auto"/>
                      <w:highlight w:val="none"/>
                      <w:lang w:val="en-US" w:eastAsia="zh-CN"/>
                    </w:rPr>
                    <w:t>3、本项目施工期严格落实“六个百分之百”</w:t>
                  </w:r>
                </w:p>
              </w:tc>
              <w:tc>
                <w:tcPr>
                  <w:tcW w:w="364" w:type="pct"/>
                  <w:tcBorders>
                    <w:tl2br w:val="nil"/>
                    <w:tr2bl w:val="nil"/>
                  </w:tcBorders>
                  <w:noWrap w:val="0"/>
                  <w:vAlign w:val="center"/>
                </w:tcPr>
                <w:p w14:paraId="6FA51E93">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highlight w:val="none"/>
                      <w:lang w:val="en-US" w:eastAsia="zh-CN"/>
                    </w:rPr>
                  </w:pPr>
                  <w:r>
                    <w:rPr>
                      <w:rFonts w:hint="eastAsia"/>
                      <w:color w:val="auto"/>
                      <w:highlight w:val="none"/>
                      <w:lang w:val="en-US" w:eastAsia="zh-CN"/>
                    </w:rPr>
                    <w:t>符合</w:t>
                  </w:r>
                </w:p>
              </w:tc>
            </w:tr>
            <w:tr w14:paraId="4835ED1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3" w:hRule="atLeast"/>
                <w:jc w:val="center"/>
              </w:trPr>
              <w:tc>
                <w:tcPr>
                  <w:tcW w:w="556" w:type="pct"/>
                  <w:vMerge w:val="continue"/>
                  <w:tcBorders>
                    <w:tl2br w:val="nil"/>
                    <w:tr2bl w:val="nil"/>
                  </w:tcBorders>
                  <w:noWrap w:val="0"/>
                  <w:vAlign w:val="center"/>
                </w:tcPr>
                <w:p w14:paraId="38864BE1">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highlight w:val="none"/>
                      <w:lang w:val="en-US" w:eastAsia="zh-CN"/>
                    </w:rPr>
                  </w:pPr>
                </w:p>
              </w:tc>
              <w:tc>
                <w:tcPr>
                  <w:tcW w:w="457" w:type="pct"/>
                  <w:vMerge w:val="continue"/>
                  <w:tcBorders>
                    <w:tl2br w:val="nil"/>
                    <w:tr2bl w:val="nil"/>
                  </w:tcBorders>
                  <w:noWrap w:val="0"/>
                  <w:vAlign w:val="center"/>
                </w:tcPr>
                <w:p w14:paraId="0F655683">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highlight w:val="none"/>
                      <w:lang w:val="en-US" w:eastAsia="zh-CN"/>
                    </w:rPr>
                  </w:pPr>
                </w:p>
              </w:tc>
              <w:tc>
                <w:tcPr>
                  <w:tcW w:w="495" w:type="pct"/>
                  <w:tcBorders>
                    <w:tl2br w:val="nil"/>
                    <w:tr2bl w:val="nil"/>
                  </w:tcBorders>
                  <w:noWrap w:val="0"/>
                  <w:vAlign w:val="center"/>
                </w:tcPr>
                <w:p w14:paraId="0D4B63B3">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highlight w:val="none"/>
                      <w:lang w:val="en-US" w:eastAsia="zh-CN"/>
                    </w:rPr>
                  </w:pPr>
                  <w:r>
                    <w:rPr>
                      <w:rFonts w:hint="default"/>
                      <w:color w:val="auto"/>
                      <w:highlight w:val="none"/>
                    </w:rPr>
                    <w:t>环境风险防控</w:t>
                  </w:r>
                </w:p>
              </w:tc>
              <w:tc>
                <w:tcPr>
                  <w:tcW w:w="2155" w:type="pct"/>
                  <w:tcBorders>
                    <w:tl2br w:val="nil"/>
                    <w:tr2bl w:val="nil"/>
                  </w:tcBorders>
                  <w:noWrap w:val="0"/>
                  <w:vAlign w:val="center"/>
                </w:tcPr>
                <w:p w14:paraId="7B851D80">
                  <w:pPr>
                    <w:pStyle w:val="48"/>
                    <w:keepNext w:val="0"/>
                    <w:keepLines w:val="0"/>
                    <w:pageBreakBefore w:val="0"/>
                    <w:widowControl/>
                    <w:kinsoku/>
                    <w:wordWrap/>
                    <w:overflowPunct/>
                    <w:topLinePunct w:val="0"/>
                    <w:autoSpaceDE/>
                    <w:autoSpaceDN/>
                    <w:bidi w:val="0"/>
                    <w:adjustRightInd w:val="0"/>
                    <w:snapToGrid w:val="0"/>
                    <w:jc w:val="left"/>
                    <w:textAlignment w:val="auto"/>
                    <w:rPr>
                      <w:rFonts w:hint="default"/>
                      <w:color w:val="auto"/>
                      <w:highlight w:val="none"/>
                    </w:rPr>
                  </w:pPr>
                  <w:r>
                    <w:rPr>
                      <w:rFonts w:hint="default"/>
                      <w:color w:val="auto"/>
                      <w:highlight w:val="none"/>
                    </w:rPr>
                    <w:t>1、严格危险化学品废弃处置。对城镇人口密集区现有不符合安全和卫生防护距离要求的危险化学品生产企业，进行定量风险评估，就地改造达标、搬迁进入规范化工园区或关闭退出。</w:t>
                  </w:r>
                </w:p>
                <w:p w14:paraId="637B0D16">
                  <w:pPr>
                    <w:pStyle w:val="48"/>
                    <w:keepNext w:val="0"/>
                    <w:keepLines w:val="0"/>
                    <w:pageBreakBefore w:val="0"/>
                    <w:widowControl/>
                    <w:kinsoku/>
                    <w:wordWrap/>
                    <w:overflowPunct/>
                    <w:topLinePunct w:val="0"/>
                    <w:autoSpaceDE/>
                    <w:autoSpaceDN/>
                    <w:bidi w:val="0"/>
                    <w:adjustRightInd w:val="0"/>
                    <w:snapToGrid w:val="0"/>
                    <w:jc w:val="left"/>
                    <w:textAlignment w:val="auto"/>
                    <w:rPr>
                      <w:rFonts w:hint="default"/>
                      <w:color w:val="auto"/>
                      <w:highlight w:val="none"/>
                      <w:lang w:val="en-US" w:eastAsia="zh-CN"/>
                    </w:rPr>
                  </w:pPr>
                  <w:r>
                    <w:rPr>
                      <w:rFonts w:hint="default"/>
                      <w:color w:val="auto"/>
                      <w:highlight w:val="none"/>
                    </w:rPr>
                    <w:t>2、提升饮用水安全保障水平。以县级及以上集中式饮用水水源地为重点，推进饮用水水源保护区规范化建设，统筹推进备用水源或应急水源建设。强化饮用水水源保护区环境应急管理，完善重大突发环境事件的物资和技术储备。针对汇水区、补给区存在兵地跨界的，建立统一的饮用水水源应急和执法机制，共享应急物资。。</w:t>
                  </w:r>
                </w:p>
              </w:tc>
              <w:tc>
                <w:tcPr>
                  <w:tcW w:w="969" w:type="pct"/>
                  <w:tcBorders>
                    <w:tl2br w:val="nil"/>
                    <w:tr2bl w:val="nil"/>
                  </w:tcBorders>
                  <w:noWrap w:val="0"/>
                  <w:vAlign w:val="center"/>
                </w:tcPr>
                <w:p w14:paraId="29E04177">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1、本项目危废暂存于危废暂存间，定期委托有资质的单位处理。不位于城镇人口密集区。</w:t>
                  </w:r>
                </w:p>
                <w:p w14:paraId="59E618AE">
                  <w:pPr>
                    <w:pStyle w:val="48"/>
                    <w:keepNext w:val="0"/>
                    <w:keepLines w:val="0"/>
                    <w:pageBreakBefore w:val="0"/>
                    <w:widowControl/>
                    <w:kinsoku/>
                    <w:wordWrap/>
                    <w:overflowPunct/>
                    <w:topLinePunct w:val="0"/>
                    <w:autoSpaceDE/>
                    <w:autoSpaceDN/>
                    <w:bidi w:val="0"/>
                    <w:adjustRightInd w:val="0"/>
                    <w:snapToGrid w:val="0"/>
                    <w:jc w:val="left"/>
                    <w:textAlignment w:val="auto"/>
                    <w:rPr>
                      <w:rFonts w:hint="eastAsia" w:eastAsia="宋体"/>
                      <w:color w:val="auto"/>
                      <w:highlight w:val="none"/>
                      <w:lang w:val="en-US" w:eastAsia="zh-CN"/>
                    </w:rPr>
                  </w:pPr>
                  <w:r>
                    <w:rPr>
                      <w:rFonts w:hint="eastAsia" w:ascii="Times New Roman" w:hAnsi="Times New Roman" w:cs="Times New Roman"/>
                      <w:color w:val="auto"/>
                      <w:sz w:val="21"/>
                      <w:szCs w:val="21"/>
                      <w:highlight w:val="none"/>
                      <w:lang w:val="en-US" w:eastAsia="zh-CN"/>
                    </w:rPr>
                    <w:t>2、本项目周围无敏感水源，项目不产生工业废水，生活污水经污水管网排入昌吉市城北污水处理厂，对地表水、地下水均不产生影响。</w:t>
                  </w:r>
                </w:p>
              </w:tc>
              <w:tc>
                <w:tcPr>
                  <w:tcW w:w="364" w:type="pct"/>
                  <w:tcBorders>
                    <w:tl2br w:val="nil"/>
                    <w:tr2bl w:val="nil"/>
                  </w:tcBorders>
                  <w:noWrap w:val="0"/>
                  <w:vAlign w:val="center"/>
                </w:tcPr>
                <w:p w14:paraId="4EAFB000">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highlight w:val="none"/>
                      <w:lang w:val="en-US" w:eastAsia="zh-CN"/>
                    </w:rPr>
                  </w:pPr>
                  <w:r>
                    <w:rPr>
                      <w:rFonts w:hint="eastAsia"/>
                      <w:color w:val="auto"/>
                      <w:highlight w:val="none"/>
                      <w:lang w:val="en-US" w:eastAsia="zh-CN"/>
                    </w:rPr>
                    <w:t>符合</w:t>
                  </w:r>
                </w:p>
              </w:tc>
            </w:tr>
            <w:tr w14:paraId="7FDBF9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3" w:hRule="atLeast"/>
                <w:jc w:val="center"/>
              </w:trPr>
              <w:tc>
                <w:tcPr>
                  <w:tcW w:w="556" w:type="pct"/>
                  <w:vMerge w:val="continue"/>
                  <w:tcBorders>
                    <w:tl2br w:val="nil"/>
                    <w:tr2bl w:val="nil"/>
                  </w:tcBorders>
                  <w:noWrap w:val="0"/>
                  <w:vAlign w:val="center"/>
                </w:tcPr>
                <w:p w14:paraId="298922B6">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highlight w:val="none"/>
                      <w:lang w:val="en-US" w:eastAsia="zh-CN"/>
                    </w:rPr>
                  </w:pPr>
                </w:p>
              </w:tc>
              <w:tc>
                <w:tcPr>
                  <w:tcW w:w="457" w:type="pct"/>
                  <w:vMerge w:val="continue"/>
                  <w:tcBorders>
                    <w:tl2br w:val="nil"/>
                    <w:tr2bl w:val="nil"/>
                  </w:tcBorders>
                  <w:noWrap w:val="0"/>
                  <w:vAlign w:val="center"/>
                </w:tcPr>
                <w:p w14:paraId="4B714C0E">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highlight w:val="none"/>
                      <w:lang w:val="en-US" w:eastAsia="zh-CN"/>
                    </w:rPr>
                  </w:pPr>
                </w:p>
              </w:tc>
              <w:tc>
                <w:tcPr>
                  <w:tcW w:w="495" w:type="pct"/>
                  <w:tcBorders>
                    <w:tl2br w:val="nil"/>
                    <w:tr2bl w:val="nil"/>
                  </w:tcBorders>
                  <w:noWrap w:val="0"/>
                  <w:vAlign w:val="center"/>
                </w:tcPr>
                <w:p w14:paraId="48CBC0D4">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highlight w:val="none"/>
                      <w:lang w:val="en-US" w:eastAsia="zh-CN"/>
                    </w:rPr>
                  </w:pPr>
                  <w:r>
                    <w:rPr>
                      <w:rFonts w:hint="default"/>
                      <w:color w:val="auto"/>
                      <w:highlight w:val="none"/>
                    </w:rPr>
                    <w:t>资源利用效率</w:t>
                  </w:r>
                </w:p>
              </w:tc>
              <w:tc>
                <w:tcPr>
                  <w:tcW w:w="2155" w:type="pct"/>
                  <w:tcBorders>
                    <w:tl2br w:val="nil"/>
                    <w:tr2bl w:val="nil"/>
                  </w:tcBorders>
                  <w:noWrap w:val="0"/>
                  <w:vAlign w:val="center"/>
                </w:tcPr>
                <w:p w14:paraId="0CC58082">
                  <w:pPr>
                    <w:pStyle w:val="48"/>
                    <w:keepNext w:val="0"/>
                    <w:keepLines w:val="0"/>
                    <w:pageBreakBefore w:val="0"/>
                    <w:widowControl/>
                    <w:kinsoku/>
                    <w:wordWrap/>
                    <w:overflowPunct/>
                    <w:topLinePunct w:val="0"/>
                    <w:autoSpaceDE/>
                    <w:autoSpaceDN/>
                    <w:bidi w:val="0"/>
                    <w:adjustRightInd w:val="0"/>
                    <w:snapToGrid w:val="0"/>
                    <w:jc w:val="left"/>
                    <w:textAlignment w:val="auto"/>
                    <w:rPr>
                      <w:rFonts w:hint="default"/>
                      <w:color w:val="auto"/>
                      <w:highlight w:val="none"/>
                      <w:lang w:val="en-US" w:eastAsia="zh-CN"/>
                    </w:rPr>
                  </w:pPr>
                  <w:r>
                    <w:rPr>
                      <w:rFonts w:hint="default"/>
                      <w:color w:val="auto"/>
                      <w:highlight w:val="none"/>
                    </w:rPr>
                    <w:t>1、除国家规定新增原料用能不纳入能源消费总量控制的项目和列入国家规划的项目外，“</w:t>
                  </w:r>
                  <w:r>
                    <w:rPr>
                      <w:rFonts w:hint="eastAsia"/>
                      <w:color w:val="auto"/>
                      <w:highlight w:val="none"/>
                      <w:lang w:val="en-US" w:eastAsia="zh-CN"/>
                    </w:rPr>
                    <w:t>乌</w:t>
                  </w:r>
                  <w:r>
                    <w:rPr>
                      <w:rFonts w:hint="default"/>
                      <w:color w:val="auto"/>
                      <w:highlight w:val="none"/>
                    </w:rPr>
                    <w:t>-昌-石”等重点区域不再新建、扩建使用煤炭项目。2、禁燃区内禁止销售、燃用原煤、粉煤、各种可燃废物等高污染燃料</w:t>
                  </w:r>
                  <w:r>
                    <w:rPr>
                      <w:rFonts w:hint="eastAsia"/>
                      <w:color w:val="auto"/>
                      <w:highlight w:val="none"/>
                      <w:lang w:eastAsia="zh-CN"/>
                    </w:rPr>
                    <w:t>；</w:t>
                  </w:r>
                  <w:r>
                    <w:rPr>
                      <w:rFonts w:hint="default"/>
                      <w:color w:val="auto"/>
                      <w:highlight w:val="none"/>
                    </w:rPr>
                    <w:t>禁止新建、扩建燃用高污染燃料的设施，已建设成的，应当在规定的期限内改用清洁能源</w:t>
                  </w:r>
                  <w:r>
                    <w:rPr>
                      <w:rFonts w:hint="eastAsia"/>
                      <w:color w:val="auto"/>
                      <w:highlight w:val="none"/>
                      <w:lang w:eastAsia="zh-CN"/>
                    </w:rPr>
                    <w:t>；</w:t>
                  </w:r>
                  <w:r>
                    <w:rPr>
                      <w:rFonts w:hint="default"/>
                      <w:color w:val="auto"/>
                      <w:highlight w:val="none"/>
                    </w:rPr>
                    <w:t>严格控制引进高载能项目，禁止建设不符合国家和自治区环境保护标准的项目。</w:t>
                  </w:r>
                </w:p>
              </w:tc>
              <w:tc>
                <w:tcPr>
                  <w:tcW w:w="969" w:type="pct"/>
                  <w:tcBorders>
                    <w:tl2br w:val="nil"/>
                    <w:tr2bl w:val="nil"/>
                  </w:tcBorders>
                  <w:noWrap w:val="0"/>
                  <w:vAlign w:val="center"/>
                </w:tcPr>
                <w:p w14:paraId="4AAE6EFD">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1、本项目不使用</w:t>
                  </w:r>
                  <w:r>
                    <w:rPr>
                      <w:rFonts w:hint="default" w:ascii="Times New Roman" w:hAnsi="Times New Roman" w:eastAsia="宋体" w:cs="Times New Roman"/>
                      <w:color w:val="auto"/>
                      <w:sz w:val="21"/>
                      <w:szCs w:val="21"/>
                      <w:highlight w:val="none"/>
                    </w:rPr>
                    <w:t>原煤、粉煤、各种可燃废物等高污染燃料</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不新建</w:t>
                  </w:r>
                  <w:r>
                    <w:rPr>
                      <w:rFonts w:hint="default" w:ascii="Times New Roman" w:hAnsi="Times New Roman" w:eastAsia="宋体" w:cs="Times New Roman"/>
                      <w:color w:val="auto"/>
                      <w:sz w:val="21"/>
                      <w:szCs w:val="21"/>
                      <w:highlight w:val="none"/>
                    </w:rPr>
                    <w:t>燃用高污染燃料的设施</w:t>
                  </w:r>
                  <w:r>
                    <w:rPr>
                      <w:rFonts w:hint="eastAsia" w:ascii="Times New Roman" w:hAnsi="Times New Roman" w:cs="Times New Roman"/>
                      <w:color w:val="auto"/>
                      <w:sz w:val="21"/>
                      <w:szCs w:val="21"/>
                      <w:highlight w:val="none"/>
                      <w:lang w:eastAsia="zh-CN"/>
                    </w:rPr>
                    <w:t>。</w:t>
                  </w:r>
                </w:p>
                <w:p w14:paraId="57F475FD">
                  <w:pPr>
                    <w:pStyle w:val="48"/>
                    <w:keepNext w:val="0"/>
                    <w:keepLines w:val="0"/>
                    <w:pageBreakBefore w:val="0"/>
                    <w:widowControl/>
                    <w:kinsoku/>
                    <w:wordWrap/>
                    <w:overflowPunct/>
                    <w:topLinePunct w:val="0"/>
                    <w:autoSpaceDE/>
                    <w:autoSpaceDN/>
                    <w:bidi w:val="0"/>
                    <w:adjustRightInd w:val="0"/>
                    <w:snapToGrid w:val="0"/>
                    <w:jc w:val="left"/>
                    <w:textAlignment w:val="auto"/>
                    <w:rPr>
                      <w:rFonts w:hint="default"/>
                      <w:color w:val="auto"/>
                      <w:highlight w:val="none"/>
                      <w:lang w:val="en-US" w:eastAsia="zh-CN"/>
                    </w:rPr>
                  </w:pPr>
                </w:p>
              </w:tc>
              <w:tc>
                <w:tcPr>
                  <w:tcW w:w="364" w:type="pct"/>
                  <w:tcBorders>
                    <w:tl2br w:val="nil"/>
                    <w:tr2bl w:val="nil"/>
                  </w:tcBorders>
                  <w:noWrap w:val="0"/>
                  <w:vAlign w:val="center"/>
                </w:tcPr>
                <w:p w14:paraId="40F49597">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highlight w:val="none"/>
                      <w:lang w:val="en-US" w:eastAsia="zh-CN"/>
                    </w:rPr>
                  </w:pPr>
                  <w:r>
                    <w:rPr>
                      <w:rFonts w:hint="eastAsia"/>
                      <w:color w:val="auto"/>
                      <w:highlight w:val="none"/>
                      <w:lang w:val="en-US" w:eastAsia="zh-CN"/>
                    </w:rPr>
                    <w:t>符合</w:t>
                  </w:r>
                </w:p>
              </w:tc>
            </w:tr>
          </w:tbl>
          <w:p w14:paraId="573D52A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color w:val="auto"/>
                <w:sz w:val="24"/>
                <w:szCs w:val="24"/>
                <w:highlight w:val="none"/>
                <w:lang w:val="en-US" w:eastAsia="zh-CN"/>
              </w:rPr>
            </w:pPr>
            <w:r>
              <w:rPr>
                <w:rFonts w:hint="eastAsia"/>
                <w:b w:val="0"/>
                <w:bCs w:val="0"/>
                <w:color w:val="auto"/>
                <w:sz w:val="24"/>
                <w:szCs w:val="24"/>
                <w:highlight w:val="none"/>
                <w:lang w:val="en-US" w:eastAsia="zh-CN"/>
              </w:rPr>
              <w:t>综上所述，本项目符合</w:t>
            </w:r>
            <w:r>
              <w:rPr>
                <w:rFonts w:hint="eastAsia" w:ascii="宋体" w:hAnsi="宋体" w:eastAsia="宋体" w:cs="宋体"/>
                <w:b w:val="0"/>
                <w:bCs w:val="0"/>
                <w:color w:val="auto"/>
                <w:kern w:val="0"/>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昌吉回族自治州“三线一单”生态环境分区管控方案》</w:t>
            </w:r>
            <w:r>
              <w:rPr>
                <w:rFonts w:hint="eastAsia"/>
                <w:color w:val="auto"/>
                <w:sz w:val="24"/>
                <w:szCs w:val="24"/>
                <w:highlight w:val="none"/>
                <w:lang w:val="en-US" w:eastAsia="zh-CN"/>
              </w:rPr>
              <w:t>相关要求.</w:t>
            </w:r>
          </w:p>
          <w:p w14:paraId="5C95A0CD">
            <w:pPr>
              <w:pStyle w:val="6"/>
              <w:pageBreakBefore w:val="0"/>
              <w:widowControl w:val="0"/>
              <w:numPr>
                <w:ilvl w:val="0"/>
                <w:numId w:val="0"/>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4.《新疆维吾尔自治区2025年空气质量持续改善行动实施方案》（新政办发[2024]58号）的符合性分析</w:t>
            </w:r>
          </w:p>
          <w:p w14:paraId="4CF69D4E">
            <w:pPr>
              <w:pStyle w:val="6"/>
              <w:pageBreakBefore w:val="0"/>
              <w:widowControl w:val="0"/>
              <w:numPr>
                <w:ilvl w:val="0"/>
                <w:numId w:val="0"/>
              </w:numPr>
              <w:kinsoku/>
              <w:wordWrap/>
              <w:overflowPunct/>
              <w:topLinePunct w:val="0"/>
              <w:autoSpaceDE/>
              <w:autoSpaceDN/>
              <w:bidi w:val="0"/>
              <w:adjustRightInd/>
              <w:snapToGrid/>
              <w:spacing w:beforeLines="0" w:afterLines="0"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cs="Times New Roman"/>
                <w:b w:val="0"/>
                <w:bCs w:val="0"/>
                <w:color w:val="auto"/>
                <w:sz w:val="24"/>
                <w:szCs w:val="24"/>
                <w:highlight w:val="none"/>
                <w:lang w:val="en-US" w:eastAsia="zh-CN"/>
              </w:rPr>
              <w:t>《新疆维吾尔自治区2025年空气质量持续改善行动实施方案》（</w:t>
            </w:r>
            <w:r>
              <w:rPr>
                <w:rFonts w:hint="default" w:ascii="Times New Roman" w:hAnsi="Times New Roman" w:eastAsia="宋体" w:cs="Times New Roman"/>
                <w:color w:val="auto"/>
                <w:sz w:val="24"/>
                <w:szCs w:val="24"/>
                <w:highlight w:val="none"/>
                <w:lang w:val="en-US" w:eastAsia="zh-CN"/>
              </w:rPr>
              <w:t>新政办发[202</w:t>
            </w:r>
            <w:r>
              <w:rPr>
                <w:rFonts w:hint="eastAsia"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58</w:t>
            </w:r>
            <w:r>
              <w:rPr>
                <w:rFonts w:hint="default" w:ascii="Times New Roman" w:hAnsi="Times New Roman" w:eastAsia="宋体" w:cs="Times New Roman"/>
                <w:color w:val="auto"/>
                <w:sz w:val="24"/>
                <w:szCs w:val="24"/>
                <w:highlight w:val="none"/>
                <w:lang w:val="en-US" w:eastAsia="zh-CN"/>
              </w:rPr>
              <w:t>号</w:t>
            </w:r>
            <w:r>
              <w:rPr>
                <w:rFonts w:hint="eastAsia" w:cs="Times New Roman"/>
                <w:b w:val="0"/>
                <w:bCs w:val="0"/>
                <w:color w:val="auto"/>
                <w:sz w:val="24"/>
                <w:szCs w:val="24"/>
                <w:highlight w:val="none"/>
                <w:lang w:val="en-US" w:eastAsia="zh-CN"/>
              </w:rPr>
              <w:t>）中提出：“新改扩建项目严格落实国家和自治区产业规划、产业政策、生态环境分区管控方案、规划环评、项目环评、节能审查、产能置换、重点污染物总量控制、污染物排放区域削减、碳排放达峰目标等相关要求，原则上采用清洁运输方式，达到能效标杆水平、环保绩效A级水平。”“严格执行《产业结构调整指导目录》，依法依规淘汰落后产能。联防联控区进一步提高落后产能能耗、环保、质量、安全、技术等要求，逐步退出限制类涉气行业工艺和装备。”“严格合理控制煤炭消费总量。在保障能源安全供应前提下，联防联控区合理控制新改扩建用煤项目。”“强化挥发性有机物和氮氧化物综合治理。优化含VOCs原辅材料和产品结构，加快推进含VOCs原辅材料源头替代，推广使用低（无）VOCs含量涂料，严格执行VOCs含量限值标准。实施石化、化工、工业涂装、包装印刷等重点行业及油品储运</w:t>
            </w:r>
            <w:r>
              <w:rPr>
                <w:rFonts w:hint="eastAsia" w:ascii="Times New Roman" w:hAnsi="Times New Roman" w:eastAsia="宋体" w:cs="Times New Roman"/>
                <w:color w:val="auto"/>
                <w:kern w:val="2"/>
                <w:sz w:val="24"/>
                <w:szCs w:val="24"/>
                <w:highlight w:val="none"/>
                <w:lang w:val="en-US" w:eastAsia="zh-CN" w:bidi="ar-SA"/>
              </w:rPr>
              <w:t>销（储罐）VOCs深度治理。”</w:t>
            </w:r>
          </w:p>
          <w:p w14:paraId="59251DA3">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本项目</w:t>
            </w:r>
            <w:r>
              <w:rPr>
                <w:rFonts w:hint="default" w:ascii="Times New Roman" w:hAnsi="Times New Roman" w:eastAsia="宋体" w:cs="Times New Roman"/>
                <w:color w:val="auto"/>
                <w:sz w:val="24"/>
                <w:szCs w:val="24"/>
                <w:highlight w:val="none"/>
              </w:rPr>
              <w:t>属于</w:t>
            </w:r>
            <w:r>
              <w:rPr>
                <w:rFonts w:hint="eastAsia" w:cs="Times New Roman"/>
                <w:color w:val="auto"/>
                <w:sz w:val="24"/>
                <w:szCs w:val="24"/>
                <w:highlight w:val="none"/>
                <w:lang w:eastAsia="zh-CN"/>
              </w:rPr>
              <w:t>机械化农业及园艺机具制造</w:t>
            </w:r>
            <w:r>
              <w:rPr>
                <w:color w:val="auto"/>
                <w:kern w:val="0"/>
                <w:sz w:val="24"/>
                <w:highlight w:val="none"/>
              </w:rPr>
              <w:t>，</w:t>
            </w:r>
            <w:r>
              <w:rPr>
                <w:rFonts w:hint="eastAsia" w:ascii="Times New Roman" w:hAnsi="Times New Roman" w:eastAsia="宋体" w:cs="Times New Roman"/>
                <w:color w:val="auto"/>
                <w:kern w:val="2"/>
                <w:sz w:val="24"/>
                <w:szCs w:val="24"/>
                <w:highlight w:val="none"/>
                <w:lang w:val="en-US" w:eastAsia="zh-CN" w:bidi="ar-SA"/>
              </w:rPr>
              <w:t>不属于</w:t>
            </w:r>
            <w:r>
              <w:rPr>
                <w:rFonts w:hint="eastAsia" w:cs="Times New Roman"/>
                <w:b w:val="0"/>
                <w:bCs w:val="0"/>
                <w:color w:val="auto"/>
                <w:sz w:val="24"/>
                <w:szCs w:val="24"/>
                <w:highlight w:val="none"/>
                <w:lang w:val="en-US" w:eastAsia="zh-CN"/>
              </w:rPr>
              <w:t>高耗能、高排放、低水平项目，并非《产业结构调整指导目录》（2024）中的限制类、淘汰类项目。本项目工艺流程不使用煤炭，供热接入市政供热管网，因此非用煤项目。本项目使用塑粉进行喷塑工艺，VOCs相比油漆大大减少，喷塑时不产生VOCs，仅喷塑烘干时会产生少量VOCs，产生的VOCs经收集后通过</w:t>
            </w:r>
            <w:r>
              <w:rPr>
                <w:rFonts w:hint="eastAsia"/>
                <w:color w:val="auto"/>
                <w:kern w:val="0"/>
                <w:sz w:val="24"/>
                <w:highlight w:val="none"/>
                <w:lang w:val="en-US" w:eastAsia="zh-CN"/>
              </w:rPr>
              <w:t>活性炭吸附-催化燃烧设备处理后排放，对环境影响较小。综上，本项目符合《新疆维吾尔自治区2025年空气质量持续改善行动实施方案》</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新政办发[202</w:t>
            </w:r>
            <w:r>
              <w:rPr>
                <w:rFonts w:hint="eastAsia"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58</w:t>
            </w:r>
            <w:r>
              <w:rPr>
                <w:rFonts w:hint="default" w:ascii="Times New Roman" w:hAnsi="Times New Roman" w:eastAsia="宋体" w:cs="Times New Roman"/>
                <w:color w:val="auto"/>
                <w:sz w:val="24"/>
                <w:szCs w:val="24"/>
                <w:highlight w:val="none"/>
                <w:lang w:val="en-US" w:eastAsia="zh-CN"/>
              </w:rPr>
              <w:t>号</w:t>
            </w:r>
            <w:r>
              <w:rPr>
                <w:rFonts w:hint="eastAsia" w:cs="Times New Roman"/>
                <w:b w:val="0"/>
                <w:bCs w:val="0"/>
                <w:color w:val="auto"/>
                <w:sz w:val="24"/>
                <w:szCs w:val="24"/>
                <w:highlight w:val="none"/>
                <w:lang w:val="en-US" w:eastAsia="zh-CN"/>
              </w:rPr>
              <w:t>）。</w:t>
            </w:r>
          </w:p>
          <w:p w14:paraId="53CD02F4">
            <w:pPr>
              <w:pStyle w:val="6"/>
              <w:pageBreakBefore w:val="0"/>
              <w:widowControl w:val="0"/>
              <w:numPr>
                <w:ilvl w:val="0"/>
                <w:numId w:val="0"/>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5.与《重污染天气重点行业应急减排技术指南(2020修订版)》中工业涂装A级指标的符合性分析</w:t>
            </w:r>
          </w:p>
          <w:p w14:paraId="6F10EA24">
            <w:pPr>
              <w:pStyle w:val="6"/>
              <w:keepNext/>
              <w:keepLines/>
              <w:pageBreakBefore w:val="0"/>
              <w:widowControl w:val="0"/>
              <w:numPr>
                <w:ilvl w:val="0"/>
                <w:numId w:val="0"/>
              </w:numPr>
              <w:kinsoku/>
              <w:wordWrap/>
              <w:overflowPunct/>
              <w:topLinePunct w:val="0"/>
              <w:autoSpaceDE/>
              <w:autoSpaceDN/>
              <w:bidi w:val="0"/>
              <w:adjustRightInd/>
              <w:snapToGrid/>
              <w:spacing w:beforeLines="0" w:afterLines="0" w:line="360" w:lineRule="auto"/>
              <w:ind w:firstLine="480" w:firstLineChars="200"/>
              <w:textAlignment w:val="auto"/>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本项目生产过程使用塑粉进行喷涂，属于工业涂装，喷塑后烘干过程产生的VOCs参考《重污染天气重点行业应急减排技术指南(2020修订版)》中工业涂装A级指标。</w:t>
            </w:r>
          </w:p>
          <w:p w14:paraId="0D5FF768">
            <w:pPr>
              <w:jc w:val="center"/>
              <w:rPr>
                <w:rFonts w:hint="eastAsia"/>
                <w:b/>
                <w:bCs/>
                <w:color w:val="auto"/>
                <w:lang w:val="en-US" w:eastAsia="zh-CN"/>
              </w:rPr>
            </w:pPr>
            <w:r>
              <w:rPr>
                <w:rFonts w:hint="eastAsia"/>
                <w:b/>
                <w:bCs/>
                <w:color w:val="auto"/>
                <w:lang w:val="en-US" w:eastAsia="zh-CN"/>
              </w:rPr>
              <w:t>表1-3   工业涂装A级指标的符合性分析</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3442"/>
              <w:gridCol w:w="2413"/>
              <w:gridCol w:w="891"/>
            </w:tblGrid>
            <w:tr w14:paraId="3BF03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pct"/>
                  <w:vAlign w:val="center"/>
                </w:tcPr>
                <w:p w14:paraId="1FF9A55A">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r>
                    <w:rPr>
                      <w:rFonts w:hint="eastAsia" w:eastAsia="宋体"/>
                      <w:color w:val="auto"/>
                      <w:highlight w:val="none"/>
                      <w:lang w:val="en-US" w:eastAsia="zh-CN"/>
                    </w:rPr>
                    <w:t>差异化指标</w:t>
                  </w:r>
                </w:p>
              </w:tc>
              <w:tc>
                <w:tcPr>
                  <w:tcW w:w="2235" w:type="pct"/>
                  <w:vAlign w:val="center"/>
                </w:tcPr>
                <w:p w14:paraId="0E36AEEE">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r>
                    <w:rPr>
                      <w:rFonts w:hint="eastAsia"/>
                      <w:color w:val="auto"/>
                      <w:highlight w:val="none"/>
                      <w:lang w:val="en-US" w:eastAsia="zh-CN"/>
                    </w:rPr>
                    <w:t>A级企业</w:t>
                  </w:r>
                </w:p>
              </w:tc>
              <w:tc>
                <w:tcPr>
                  <w:tcW w:w="1567" w:type="pct"/>
                  <w:vAlign w:val="center"/>
                </w:tcPr>
                <w:p w14:paraId="71C63A60">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r>
                    <w:rPr>
                      <w:rFonts w:hint="eastAsia"/>
                      <w:color w:val="auto"/>
                      <w:highlight w:val="none"/>
                      <w:lang w:val="en-US" w:eastAsia="zh-CN"/>
                    </w:rPr>
                    <w:t>项目情况</w:t>
                  </w:r>
                </w:p>
              </w:tc>
              <w:tc>
                <w:tcPr>
                  <w:tcW w:w="578" w:type="pct"/>
                  <w:vAlign w:val="center"/>
                </w:tcPr>
                <w:p w14:paraId="704B2516">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r>
                    <w:rPr>
                      <w:rFonts w:hint="eastAsia"/>
                      <w:color w:val="auto"/>
                      <w:highlight w:val="none"/>
                      <w:lang w:val="en-US" w:eastAsia="zh-CN"/>
                    </w:rPr>
                    <w:t>符合性</w:t>
                  </w:r>
                </w:p>
              </w:tc>
            </w:tr>
            <w:tr w14:paraId="3E962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pct"/>
                  <w:vAlign w:val="center"/>
                </w:tcPr>
                <w:p w14:paraId="5BD60847">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r>
                    <w:rPr>
                      <w:rFonts w:hint="eastAsia"/>
                      <w:color w:val="auto"/>
                      <w:highlight w:val="none"/>
                      <w:lang w:val="en-US" w:eastAsia="zh-CN"/>
                    </w:rPr>
                    <w:t>原辅材料</w:t>
                  </w:r>
                </w:p>
              </w:tc>
              <w:tc>
                <w:tcPr>
                  <w:tcW w:w="2235" w:type="pct"/>
                  <w:vAlign w:val="center"/>
                </w:tcPr>
                <w:p w14:paraId="76FFECDF">
                  <w:pPr>
                    <w:pStyle w:val="48"/>
                    <w:keepNext w:val="0"/>
                    <w:keepLines w:val="0"/>
                    <w:pageBreakBefore w:val="0"/>
                    <w:widowControl/>
                    <w:numPr>
                      <w:ilvl w:val="0"/>
                      <w:numId w:val="0"/>
                    </w:numPr>
                    <w:kinsoku/>
                    <w:wordWrap/>
                    <w:overflowPunct/>
                    <w:topLinePunct w:val="0"/>
                    <w:autoSpaceDE/>
                    <w:autoSpaceDN/>
                    <w:bidi w:val="0"/>
                    <w:adjustRightInd w:val="0"/>
                    <w:snapToGrid w:val="0"/>
                    <w:ind w:firstLine="0" w:firstLineChars="0"/>
                    <w:jc w:val="both"/>
                    <w:textAlignment w:val="auto"/>
                    <w:rPr>
                      <w:rFonts w:hint="default" w:eastAsia="宋体"/>
                      <w:color w:val="auto"/>
                      <w:highlight w:val="none"/>
                      <w:lang w:val="en-US" w:eastAsia="zh-CN"/>
                    </w:rPr>
                  </w:pPr>
                  <w:r>
                    <w:rPr>
                      <w:rFonts w:hint="default" w:ascii="Times New Roman" w:hAnsi="Times New Roman" w:eastAsia="宋体" w:cs="Times New Roman"/>
                      <w:color w:val="auto"/>
                      <w:kern w:val="0"/>
                      <w:sz w:val="21"/>
                      <w:szCs w:val="21"/>
                      <w:lang w:val="en-US" w:eastAsia="zh-CN" w:bidi="en-US"/>
                    </w:rPr>
                    <w:t>1、</w:t>
                  </w:r>
                  <w:r>
                    <w:rPr>
                      <w:rFonts w:hint="default" w:eastAsia="宋体"/>
                      <w:color w:val="auto"/>
                      <w:highlight w:val="none"/>
                      <w:lang w:val="en-US" w:eastAsia="zh-CN"/>
                    </w:rPr>
                    <w:t>使用粉末涂料</w:t>
                  </w:r>
                  <w:r>
                    <w:rPr>
                      <w:rFonts w:hint="eastAsia"/>
                      <w:color w:val="auto"/>
                      <w:highlight w:val="none"/>
                      <w:lang w:val="en-US" w:eastAsia="zh-CN"/>
                    </w:rPr>
                    <w:t>；</w:t>
                  </w:r>
                </w:p>
                <w:p w14:paraId="0B31A3D9">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r>
                    <w:rPr>
                      <w:rFonts w:hint="default" w:eastAsia="宋体"/>
                      <w:color w:val="auto"/>
                      <w:highlight w:val="none"/>
                      <w:lang w:val="en-US" w:eastAsia="zh-CN"/>
                    </w:rPr>
                    <w:t>2、使用符合《低挥发性有机化合物含量涂料产品技术要求》(GB/T38597-2020)规定的低VOCs含量涂料产品</w:t>
                  </w:r>
                </w:p>
              </w:tc>
              <w:tc>
                <w:tcPr>
                  <w:tcW w:w="1567" w:type="pct"/>
                  <w:vAlign w:val="center"/>
                </w:tcPr>
                <w:p w14:paraId="6756D3AD">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eastAsia"/>
                      <w:color w:val="auto"/>
                      <w:highlight w:val="none"/>
                      <w:lang w:val="en-US" w:eastAsia="zh-CN"/>
                    </w:rPr>
                  </w:pPr>
                  <w:r>
                    <w:rPr>
                      <w:rFonts w:hint="eastAsia"/>
                      <w:color w:val="auto"/>
                      <w:highlight w:val="none"/>
                      <w:lang w:val="en-US" w:eastAsia="zh-CN"/>
                    </w:rPr>
                    <w:t>1、本项目使用塑粉，为粉末涂料。</w:t>
                  </w:r>
                </w:p>
                <w:p w14:paraId="029191B7">
                  <w:pPr>
                    <w:keepNext w:val="0"/>
                    <w:keepLines w:val="0"/>
                    <w:widowControl/>
                    <w:suppressLineNumbers w:val="0"/>
                    <w:jc w:val="left"/>
                    <w:rPr>
                      <w:rFonts w:hint="default"/>
                      <w:color w:val="auto"/>
                      <w:highlight w:val="none"/>
                      <w:lang w:val="en-US" w:eastAsia="zh-CN"/>
                    </w:rPr>
                  </w:pPr>
                  <w:r>
                    <w:rPr>
                      <w:rFonts w:hint="eastAsia"/>
                      <w:color w:val="auto"/>
                      <w:highlight w:val="none"/>
                      <w:lang w:val="en-US" w:eastAsia="zh-CN"/>
                    </w:rPr>
                    <w:t>2、本项目塑粉中VOCs含量小于60g/L，</w:t>
                  </w:r>
                  <w:r>
                    <w:rPr>
                      <w:rFonts w:hint="default" w:eastAsia="宋体"/>
                      <w:color w:val="auto"/>
                      <w:highlight w:val="none"/>
                      <w:lang w:val="en-US" w:eastAsia="zh-CN"/>
                    </w:rPr>
                    <w:t>符合《低挥发性有机化合物含量涂料产品技术要求》</w:t>
                  </w:r>
                  <w:r>
                    <w:rPr>
                      <w:rFonts w:hint="eastAsia"/>
                      <w:color w:val="auto"/>
                      <w:highlight w:val="none"/>
                      <w:lang w:val="en-US" w:eastAsia="zh-CN"/>
                    </w:rPr>
                    <w:t>中表3</w:t>
                  </w:r>
                  <w:r>
                    <w:rPr>
                      <w:rFonts w:hint="eastAsia" w:ascii="宋体" w:hAnsi="宋体" w:eastAsia="宋体" w:cs="宋体"/>
                      <w:color w:val="auto"/>
                      <w:kern w:val="0"/>
                      <w:sz w:val="22"/>
                      <w:szCs w:val="22"/>
                      <w:lang w:val="en-US" w:eastAsia="zh-CN" w:bidi="ar"/>
                    </w:rPr>
                    <w:t>无溶剂涂料中</w:t>
                  </w:r>
                  <w:r>
                    <w:rPr>
                      <w:rFonts w:hint="default" w:ascii="Times New Roman" w:hAnsi="Times New Roman" w:eastAsia="宋体" w:cs="Times New Roman"/>
                      <w:color w:val="auto"/>
                      <w:kern w:val="0"/>
                      <w:sz w:val="22"/>
                      <w:szCs w:val="22"/>
                      <w:lang w:val="en-US" w:eastAsia="zh-CN" w:bidi="ar"/>
                    </w:rPr>
                    <w:t>VOC</w:t>
                  </w:r>
                  <w:r>
                    <w:rPr>
                      <w:rFonts w:hint="eastAsia" w:ascii="Times New Roman" w:hAnsi="Times New Roman" w:cs="Times New Roman"/>
                      <w:color w:val="auto"/>
                      <w:kern w:val="0"/>
                      <w:sz w:val="22"/>
                      <w:szCs w:val="22"/>
                      <w:lang w:val="en-US" w:eastAsia="zh-CN" w:bidi="ar"/>
                    </w:rPr>
                    <w:t>s</w:t>
                  </w:r>
                  <w:r>
                    <w:rPr>
                      <w:rFonts w:hint="eastAsia" w:ascii="宋体" w:hAnsi="宋体" w:eastAsia="宋体" w:cs="宋体"/>
                      <w:color w:val="auto"/>
                      <w:kern w:val="0"/>
                      <w:sz w:val="22"/>
                      <w:szCs w:val="22"/>
                      <w:lang w:val="en-US" w:eastAsia="zh-CN" w:bidi="ar"/>
                    </w:rPr>
                    <w:t>含量的要求.</w:t>
                  </w:r>
                </w:p>
              </w:tc>
              <w:tc>
                <w:tcPr>
                  <w:tcW w:w="578" w:type="pct"/>
                  <w:vAlign w:val="center"/>
                </w:tcPr>
                <w:p w14:paraId="031BDED0">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p>
              </w:tc>
            </w:tr>
            <w:tr w14:paraId="4B371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pct"/>
                  <w:vAlign w:val="center"/>
                </w:tcPr>
                <w:p w14:paraId="61677FC8">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r>
                    <w:rPr>
                      <w:rFonts w:hint="eastAsia"/>
                      <w:color w:val="auto"/>
                      <w:highlight w:val="none"/>
                      <w:lang w:val="en-US" w:eastAsia="zh-CN"/>
                    </w:rPr>
                    <w:t>无组织排放</w:t>
                  </w:r>
                </w:p>
              </w:tc>
              <w:tc>
                <w:tcPr>
                  <w:tcW w:w="2235" w:type="pct"/>
                  <w:vAlign w:val="center"/>
                </w:tcPr>
                <w:p w14:paraId="5D462F9F">
                  <w:pPr>
                    <w:pStyle w:val="48"/>
                    <w:keepNext w:val="0"/>
                    <w:keepLines w:val="0"/>
                    <w:pageBreakBefore w:val="0"/>
                    <w:widowControl/>
                    <w:numPr>
                      <w:ilvl w:val="0"/>
                      <w:numId w:val="0"/>
                    </w:numPr>
                    <w:kinsoku/>
                    <w:wordWrap/>
                    <w:overflowPunct/>
                    <w:topLinePunct w:val="0"/>
                    <w:autoSpaceDE/>
                    <w:autoSpaceDN/>
                    <w:bidi w:val="0"/>
                    <w:adjustRightInd w:val="0"/>
                    <w:snapToGrid w:val="0"/>
                    <w:ind w:firstLine="0" w:firstLineChars="0"/>
                    <w:jc w:val="center"/>
                    <w:textAlignment w:val="auto"/>
                    <w:rPr>
                      <w:rFonts w:hint="eastAsia"/>
                      <w:color w:val="auto"/>
                      <w:highlight w:val="none"/>
                      <w:lang w:val="en-US" w:eastAsia="zh-CN"/>
                    </w:rPr>
                  </w:pPr>
                  <w:r>
                    <w:rPr>
                      <w:rFonts w:hint="eastAsia" w:ascii="Times New Roman" w:hAnsi="Times New Roman" w:eastAsia="宋体" w:cs="Times New Roman"/>
                      <w:color w:val="auto"/>
                      <w:kern w:val="0"/>
                      <w:sz w:val="21"/>
                      <w:szCs w:val="21"/>
                      <w:lang w:val="en-US" w:eastAsia="zh-CN" w:bidi="en-US"/>
                    </w:rPr>
                    <w:t>1、</w:t>
                  </w:r>
                  <w:r>
                    <w:rPr>
                      <w:rFonts w:hint="default" w:eastAsia="宋体"/>
                      <w:color w:val="auto"/>
                      <w:highlight w:val="none"/>
                      <w:lang w:val="en-US" w:eastAsia="zh-CN"/>
                    </w:rPr>
                    <w:t>满足《挥发性有机物无组织排放控制标准》(GB37822-2019)特别控制要求</w:t>
                  </w:r>
                  <w:r>
                    <w:rPr>
                      <w:rFonts w:hint="eastAsia"/>
                      <w:color w:val="auto"/>
                      <w:highlight w:val="none"/>
                      <w:lang w:val="en-US" w:eastAsia="zh-CN"/>
                    </w:rPr>
                    <w:t>；</w:t>
                  </w:r>
                </w:p>
                <w:p w14:paraId="52B7DDD4">
                  <w:pPr>
                    <w:pStyle w:val="48"/>
                    <w:keepNext w:val="0"/>
                    <w:keepLines w:val="0"/>
                    <w:pageBreakBefore w:val="0"/>
                    <w:widowControl/>
                    <w:numPr>
                      <w:ilvl w:val="0"/>
                      <w:numId w:val="0"/>
                    </w:numPr>
                    <w:kinsoku/>
                    <w:wordWrap/>
                    <w:overflowPunct/>
                    <w:topLinePunct w:val="0"/>
                    <w:autoSpaceDE/>
                    <w:autoSpaceDN/>
                    <w:bidi w:val="0"/>
                    <w:adjustRightInd w:val="0"/>
                    <w:snapToGrid w:val="0"/>
                    <w:ind w:firstLine="0" w:firstLineChars="0"/>
                    <w:jc w:val="center"/>
                    <w:textAlignment w:val="auto"/>
                    <w:rPr>
                      <w:rFonts w:hint="default" w:eastAsia="宋体"/>
                      <w:color w:val="auto"/>
                      <w:highlight w:val="none"/>
                      <w:lang w:val="en-US" w:eastAsia="zh-CN"/>
                    </w:rPr>
                  </w:pPr>
                  <w:r>
                    <w:rPr>
                      <w:rFonts w:hint="default" w:eastAsia="宋体"/>
                      <w:color w:val="auto"/>
                      <w:highlight w:val="none"/>
                      <w:lang w:val="en-US" w:eastAsia="zh-CN"/>
                    </w:rPr>
                    <w:t>2、VOCs物料存储于密闭容器或包装袋中，盛装VOCs物料的容器或包装袋存放于密闭负压的储库、料仓内</w:t>
                  </w:r>
                  <w:r>
                    <w:rPr>
                      <w:rFonts w:hint="eastAsia"/>
                      <w:color w:val="auto"/>
                      <w:highlight w:val="none"/>
                      <w:lang w:val="en-US" w:eastAsia="zh-CN"/>
                    </w:rPr>
                    <w:t>；</w:t>
                  </w:r>
                </w:p>
                <w:p w14:paraId="52078E7A">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r>
                    <w:rPr>
                      <w:rFonts w:hint="default" w:eastAsia="宋体"/>
                      <w:color w:val="auto"/>
                      <w:highlight w:val="none"/>
                      <w:lang w:val="en-US" w:eastAsia="zh-CN"/>
                    </w:rPr>
                    <w:t>3、除大型工件特殊作业(例如，船舶制造行业的分段总组、船台、船坞、造船码头等涂装工序)外，调漆、喷漆、流平、烘干、清洗等工序在密闭设备或密闭负压空间内操作</w:t>
                  </w:r>
                  <w:r>
                    <w:rPr>
                      <w:rFonts w:hint="eastAsia"/>
                      <w:color w:val="auto"/>
                      <w:highlight w:val="none"/>
                      <w:lang w:val="en-US" w:eastAsia="zh-CN"/>
                    </w:rPr>
                    <w:t>；</w:t>
                  </w:r>
                </w:p>
                <w:p w14:paraId="486C39A7">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r>
                    <w:rPr>
                      <w:rFonts w:hint="default" w:eastAsia="宋体"/>
                      <w:color w:val="auto"/>
                      <w:highlight w:val="none"/>
                      <w:lang w:val="en-US" w:eastAsia="zh-CN"/>
                    </w:rPr>
                    <w:t>4、密闭回收废清洗剂</w:t>
                  </w:r>
                  <w:r>
                    <w:rPr>
                      <w:rFonts w:hint="eastAsia"/>
                      <w:color w:val="auto"/>
                      <w:highlight w:val="none"/>
                      <w:lang w:val="en-US" w:eastAsia="zh-CN"/>
                    </w:rPr>
                    <w:t>；</w:t>
                  </w:r>
                </w:p>
                <w:p w14:paraId="2347FFCD">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r>
                    <w:rPr>
                      <w:rFonts w:hint="default" w:eastAsia="宋体"/>
                      <w:color w:val="auto"/>
                      <w:highlight w:val="none"/>
                      <w:lang w:val="en-US" w:eastAsia="zh-CN"/>
                    </w:rPr>
                    <w:t>5、建设干式喷漆房:使用湿式喷漆房时，循环水泵间和刮渣间应密闭，安装废气收集设施</w:t>
                  </w:r>
                  <w:r>
                    <w:rPr>
                      <w:rFonts w:hint="eastAsia"/>
                      <w:color w:val="auto"/>
                      <w:highlight w:val="none"/>
                      <w:lang w:val="en-US" w:eastAsia="zh-CN"/>
                    </w:rPr>
                    <w:t>；</w:t>
                  </w:r>
                </w:p>
                <w:p w14:paraId="68AFD4AF">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r>
                    <w:rPr>
                      <w:rFonts w:hint="default" w:eastAsia="宋体"/>
                      <w:color w:val="auto"/>
                      <w:highlight w:val="none"/>
                      <w:lang w:val="en-US" w:eastAsia="zh-CN"/>
                    </w:rPr>
                    <w:t>6、采用静电喷涂、自动喷涂、高压无气喷涂或高流低压(HVLP)喷枪等高效涂装技术，不可使用手动空气喷涂技术</w:t>
                  </w:r>
                  <w:r>
                    <w:rPr>
                      <w:rFonts w:hint="eastAsia"/>
                      <w:color w:val="auto"/>
                      <w:highlight w:val="none"/>
                      <w:lang w:val="en-US" w:eastAsia="zh-CN"/>
                    </w:rPr>
                    <w:t>。</w:t>
                  </w:r>
                </w:p>
              </w:tc>
              <w:tc>
                <w:tcPr>
                  <w:tcW w:w="1567" w:type="pct"/>
                  <w:vAlign w:val="center"/>
                </w:tcPr>
                <w:p w14:paraId="4C13580A">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highlight w:val="none"/>
                      <w:lang w:val="en-US" w:eastAsia="zh-CN"/>
                    </w:rPr>
                  </w:pPr>
                  <w:r>
                    <w:rPr>
                      <w:rFonts w:hint="eastAsia"/>
                      <w:color w:val="auto"/>
                      <w:highlight w:val="none"/>
                      <w:lang w:val="en-US" w:eastAsia="zh-CN"/>
                    </w:rPr>
                    <w:t>1、本项目烘干时产生的未被收集到的VOCs</w:t>
                  </w:r>
                  <w:r>
                    <w:rPr>
                      <w:rFonts w:hint="default" w:eastAsia="宋体"/>
                      <w:color w:val="auto"/>
                      <w:highlight w:val="none"/>
                      <w:lang w:val="en-US" w:eastAsia="zh-CN"/>
                    </w:rPr>
                    <w:t>满足《挥发性有机物无组织排放控制标准》(GB37822-2019)特别控制要求</w:t>
                  </w:r>
                </w:p>
                <w:p w14:paraId="756F6DA6">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eastAsia"/>
                      <w:color w:val="auto"/>
                      <w:highlight w:val="none"/>
                      <w:lang w:val="en-US" w:eastAsia="zh-CN"/>
                    </w:rPr>
                  </w:pPr>
                  <w:r>
                    <w:rPr>
                      <w:rFonts w:hint="eastAsia"/>
                      <w:color w:val="auto"/>
                      <w:highlight w:val="none"/>
                      <w:lang w:val="en-US" w:eastAsia="zh-CN"/>
                    </w:rPr>
                    <w:t>2、本项目存放塑粉的容器密闭，且位于密闭负压的料仓。</w:t>
                  </w:r>
                </w:p>
                <w:p w14:paraId="775E7A18">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eastAsia"/>
                      <w:color w:val="auto"/>
                      <w:highlight w:val="none"/>
                      <w:lang w:val="en-US" w:eastAsia="zh-CN"/>
                    </w:rPr>
                  </w:pPr>
                  <w:r>
                    <w:rPr>
                      <w:rFonts w:hint="eastAsia"/>
                      <w:color w:val="auto"/>
                      <w:highlight w:val="none"/>
                      <w:lang w:val="en-US" w:eastAsia="zh-CN"/>
                    </w:rPr>
                    <w:t>3、本项目喷塑、烘干均位于密闭负压的喷塑房内。</w:t>
                  </w:r>
                </w:p>
                <w:p w14:paraId="1742265F">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eastAsia"/>
                      <w:color w:val="auto"/>
                      <w:highlight w:val="none"/>
                      <w:lang w:val="en-US" w:eastAsia="zh-CN"/>
                    </w:rPr>
                  </w:pPr>
                  <w:r>
                    <w:rPr>
                      <w:rFonts w:hint="eastAsia"/>
                      <w:color w:val="auto"/>
                      <w:highlight w:val="none"/>
                      <w:lang w:val="en-US" w:eastAsia="zh-CN"/>
                    </w:rPr>
                    <w:t>4、本项目不使用清洗剂。</w:t>
                  </w:r>
                </w:p>
                <w:p w14:paraId="5B4874A2">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eastAsia"/>
                      <w:color w:val="auto"/>
                      <w:highlight w:val="none"/>
                      <w:lang w:val="en-US" w:eastAsia="zh-CN"/>
                    </w:rPr>
                  </w:pPr>
                  <w:r>
                    <w:rPr>
                      <w:rFonts w:hint="eastAsia"/>
                      <w:color w:val="auto"/>
                      <w:highlight w:val="none"/>
                      <w:lang w:val="en-US" w:eastAsia="zh-CN"/>
                    </w:rPr>
                    <w:t>5、本项目为干式喷塑房。</w:t>
                  </w:r>
                </w:p>
                <w:p w14:paraId="1DBB4EF9">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highlight w:val="none"/>
                      <w:lang w:val="en-US" w:eastAsia="zh-CN"/>
                    </w:rPr>
                  </w:pPr>
                  <w:r>
                    <w:rPr>
                      <w:rFonts w:hint="eastAsia"/>
                      <w:color w:val="auto"/>
                      <w:highlight w:val="none"/>
                      <w:lang w:val="en-US" w:eastAsia="zh-CN"/>
                    </w:rPr>
                    <w:t>6、本项目采用静电喷涂，不使用手动喷涂技术。</w:t>
                  </w:r>
                </w:p>
              </w:tc>
              <w:tc>
                <w:tcPr>
                  <w:tcW w:w="578" w:type="pct"/>
                  <w:vAlign w:val="center"/>
                </w:tcPr>
                <w:p w14:paraId="30289FD4">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p>
              </w:tc>
            </w:tr>
            <w:tr w14:paraId="376E7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pct"/>
                  <w:vAlign w:val="center"/>
                </w:tcPr>
                <w:p w14:paraId="71F45B2F">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r>
                    <w:rPr>
                      <w:rFonts w:hint="default" w:eastAsia="宋体"/>
                      <w:color w:val="auto"/>
                      <w:highlight w:val="none"/>
                      <w:lang w:val="en-US" w:eastAsia="zh-CN"/>
                    </w:rPr>
                    <w:t>VOCs治污</w:t>
                  </w:r>
                </w:p>
                <w:p w14:paraId="3D34ADF8">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r>
                    <w:rPr>
                      <w:rFonts w:hint="default" w:eastAsia="宋体"/>
                      <w:color w:val="auto"/>
                      <w:highlight w:val="none"/>
                      <w:lang w:val="en-US" w:eastAsia="zh-CN"/>
                    </w:rPr>
                    <w:t>设施</w:t>
                  </w:r>
                </w:p>
              </w:tc>
              <w:tc>
                <w:tcPr>
                  <w:tcW w:w="2235" w:type="pct"/>
                  <w:vAlign w:val="center"/>
                </w:tcPr>
                <w:p w14:paraId="19DEF63F">
                  <w:pPr>
                    <w:pStyle w:val="48"/>
                    <w:keepNext w:val="0"/>
                    <w:keepLines w:val="0"/>
                    <w:pageBreakBefore w:val="0"/>
                    <w:widowControl/>
                    <w:numPr>
                      <w:ilvl w:val="0"/>
                      <w:numId w:val="0"/>
                    </w:numPr>
                    <w:kinsoku/>
                    <w:wordWrap/>
                    <w:overflowPunct/>
                    <w:topLinePunct w:val="0"/>
                    <w:autoSpaceDE/>
                    <w:autoSpaceDN/>
                    <w:bidi w:val="0"/>
                    <w:adjustRightInd w:val="0"/>
                    <w:snapToGrid w:val="0"/>
                    <w:ind w:firstLine="0" w:firstLineChars="0"/>
                    <w:jc w:val="center"/>
                    <w:textAlignment w:val="auto"/>
                    <w:rPr>
                      <w:rFonts w:hint="default" w:eastAsia="宋体"/>
                      <w:color w:val="auto"/>
                      <w:highlight w:val="none"/>
                      <w:lang w:val="en-US" w:eastAsia="zh-CN"/>
                    </w:rPr>
                  </w:pPr>
                  <w:r>
                    <w:rPr>
                      <w:rFonts w:hint="default" w:ascii="Times New Roman" w:hAnsi="Times New Roman" w:eastAsia="宋体" w:cs="Times New Roman"/>
                      <w:color w:val="auto"/>
                      <w:kern w:val="0"/>
                      <w:sz w:val="21"/>
                      <w:szCs w:val="21"/>
                      <w:lang w:val="en-US" w:eastAsia="zh-CN" w:bidi="en-US"/>
                    </w:rPr>
                    <w:t>1、</w:t>
                  </w:r>
                  <w:r>
                    <w:rPr>
                      <w:rFonts w:hint="default" w:eastAsia="宋体"/>
                      <w:color w:val="auto"/>
                      <w:highlight w:val="none"/>
                      <w:lang w:val="en-US" w:eastAsia="zh-CN"/>
                    </w:rPr>
                    <w:t>喷涂废气设置干式的石灰石、纸盒等高效漆雾处理装置</w:t>
                  </w:r>
                  <w:r>
                    <w:rPr>
                      <w:rFonts w:hint="eastAsia"/>
                      <w:color w:val="auto"/>
                      <w:highlight w:val="none"/>
                      <w:lang w:val="en-US" w:eastAsia="zh-CN"/>
                    </w:rPr>
                    <w:t>；</w:t>
                  </w:r>
                </w:p>
                <w:p w14:paraId="1AB94749">
                  <w:pPr>
                    <w:pStyle w:val="48"/>
                    <w:keepNext w:val="0"/>
                    <w:keepLines w:val="0"/>
                    <w:pageBreakBefore w:val="0"/>
                    <w:widowControl/>
                    <w:numPr>
                      <w:ilvl w:val="0"/>
                      <w:numId w:val="0"/>
                    </w:numPr>
                    <w:kinsoku/>
                    <w:wordWrap/>
                    <w:overflowPunct/>
                    <w:topLinePunct w:val="0"/>
                    <w:autoSpaceDE/>
                    <w:autoSpaceDN/>
                    <w:bidi w:val="0"/>
                    <w:adjustRightInd w:val="0"/>
                    <w:snapToGrid w:val="0"/>
                    <w:jc w:val="both"/>
                    <w:textAlignment w:val="auto"/>
                    <w:rPr>
                      <w:rFonts w:hint="eastAsia"/>
                      <w:color w:val="auto"/>
                      <w:highlight w:val="none"/>
                      <w:lang w:val="en-US" w:eastAsia="zh-CN"/>
                    </w:rPr>
                  </w:pPr>
                  <w:r>
                    <w:rPr>
                      <w:rFonts w:hint="default" w:eastAsia="宋体"/>
                      <w:color w:val="auto"/>
                      <w:highlight w:val="none"/>
                      <w:lang w:val="en-US" w:eastAsia="zh-CN"/>
                    </w:rPr>
                    <w:t>2、使用溶剂型涂料时，调漆、喷漆、流平、烘干、清洗等工序含VOCs废气采用吸附浓缩+燃烧、燃烧等治理技术，处理效率&gt;95%</w:t>
                  </w:r>
                  <w:r>
                    <w:rPr>
                      <w:rFonts w:hint="eastAsia"/>
                      <w:color w:val="auto"/>
                      <w:highlight w:val="none"/>
                      <w:lang w:val="en-US" w:eastAsia="zh-CN"/>
                    </w:rPr>
                    <w:t>；</w:t>
                  </w:r>
                </w:p>
                <w:p w14:paraId="08782FF7">
                  <w:pPr>
                    <w:pStyle w:val="48"/>
                    <w:keepNext w:val="0"/>
                    <w:keepLines w:val="0"/>
                    <w:pageBreakBefore w:val="0"/>
                    <w:widowControl/>
                    <w:numPr>
                      <w:ilvl w:val="0"/>
                      <w:numId w:val="0"/>
                    </w:numPr>
                    <w:kinsoku/>
                    <w:wordWrap/>
                    <w:overflowPunct/>
                    <w:topLinePunct w:val="0"/>
                    <w:autoSpaceDE/>
                    <w:autoSpaceDN/>
                    <w:bidi w:val="0"/>
                    <w:adjustRightInd w:val="0"/>
                    <w:snapToGrid w:val="0"/>
                    <w:jc w:val="both"/>
                    <w:textAlignment w:val="auto"/>
                    <w:rPr>
                      <w:rFonts w:hint="default" w:eastAsia="宋体"/>
                      <w:color w:val="auto"/>
                      <w:highlight w:val="none"/>
                      <w:lang w:val="en-US" w:eastAsia="zh-CN"/>
                    </w:rPr>
                  </w:pPr>
                  <w:r>
                    <w:rPr>
                      <w:rFonts w:hint="default" w:eastAsia="宋体"/>
                      <w:color w:val="auto"/>
                      <w:highlight w:val="none"/>
                      <w:lang w:val="en-US" w:eastAsia="zh-CN"/>
                    </w:rPr>
                    <w:t>3、使用水性涂料(含水性UV)时，当车间或生产设施排气中非甲烷总烃(NMHC)初始排放速率&gt;2kg/h时，建设末端治污设施</w:t>
                  </w:r>
                </w:p>
              </w:tc>
              <w:tc>
                <w:tcPr>
                  <w:tcW w:w="1567" w:type="pct"/>
                  <w:vAlign w:val="center"/>
                </w:tcPr>
                <w:p w14:paraId="236C4D13">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eastAsia"/>
                      <w:color w:val="auto"/>
                      <w:highlight w:val="none"/>
                      <w:lang w:val="en-US" w:eastAsia="zh-CN"/>
                    </w:rPr>
                  </w:pPr>
                  <w:r>
                    <w:rPr>
                      <w:rFonts w:hint="eastAsia"/>
                      <w:color w:val="auto"/>
                      <w:highlight w:val="none"/>
                      <w:lang w:val="en-US" w:eastAsia="zh-CN"/>
                    </w:rPr>
                    <w:t>1、本项目采用喷塑，不产生漆雾，</w:t>
                  </w:r>
                  <w:r>
                    <w:rPr>
                      <w:rFonts w:hint="default" w:eastAsia="宋体"/>
                      <w:color w:val="auto"/>
                      <w:highlight w:val="none"/>
                      <w:lang w:val="en-US" w:eastAsia="zh-CN"/>
                    </w:rPr>
                    <w:t>干式的石灰石、纸盒</w:t>
                  </w:r>
                  <w:r>
                    <w:rPr>
                      <w:rFonts w:hint="eastAsia"/>
                      <w:color w:val="auto"/>
                      <w:highlight w:val="none"/>
                      <w:lang w:val="en-US" w:eastAsia="zh-CN"/>
                    </w:rPr>
                    <w:t>为处理油漆喷雾设计，本项目无需采用。</w:t>
                  </w:r>
                </w:p>
                <w:p w14:paraId="2F55243D">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highlight w:val="none"/>
                      <w:lang w:val="en-US" w:eastAsia="zh-CN"/>
                    </w:rPr>
                  </w:pPr>
                  <w:r>
                    <w:rPr>
                      <w:rFonts w:hint="eastAsia"/>
                      <w:color w:val="auto"/>
                      <w:highlight w:val="none"/>
                      <w:lang w:val="en-US" w:eastAsia="zh-CN"/>
                    </w:rPr>
                    <w:t>2、本项目使用非溶剂型涂料</w:t>
                  </w:r>
                </w:p>
              </w:tc>
              <w:tc>
                <w:tcPr>
                  <w:tcW w:w="578" w:type="pct"/>
                  <w:vAlign w:val="center"/>
                </w:tcPr>
                <w:p w14:paraId="34556681">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p>
              </w:tc>
            </w:tr>
            <w:tr w14:paraId="19A89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pct"/>
                  <w:vAlign w:val="center"/>
                </w:tcPr>
                <w:p w14:paraId="01ABA067">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r>
                    <w:rPr>
                      <w:rFonts w:hint="eastAsia"/>
                      <w:color w:val="auto"/>
                      <w:highlight w:val="none"/>
                      <w:lang w:val="en-US" w:eastAsia="zh-CN"/>
                    </w:rPr>
                    <w:t>排放限值</w:t>
                  </w:r>
                </w:p>
              </w:tc>
              <w:tc>
                <w:tcPr>
                  <w:tcW w:w="2235" w:type="pct"/>
                  <w:vAlign w:val="center"/>
                </w:tcPr>
                <w:p w14:paraId="7876F863">
                  <w:pPr>
                    <w:pStyle w:val="48"/>
                    <w:keepNext w:val="0"/>
                    <w:keepLines w:val="0"/>
                    <w:pageBreakBefore w:val="0"/>
                    <w:widowControl/>
                    <w:numPr>
                      <w:ilvl w:val="0"/>
                      <w:numId w:val="0"/>
                    </w:numPr>
                    <w:kinsoku/>
                    <w:wordWrap/>
                    <w:overflowPunct/>
                    <w:topLinePunct w:val="0"/>
                    <w:autoSpaceDE/>
                    <w:autoSpaceDN/>
                    <w:bidi w:val="0"/>
                    <w:adjustRightInd w:val="0"/>
                    <w:snapToGrid w:val="0"/>
                    <w:ind w:firstLine="0" w:firstLineChars="0"/>
                    <w:jc w:val="center"/>
                    <w:textAlignment w:val="auto"/>
                    <w:rPr>
                      <w:rFonts w:hint="eastAsia"/>
                      <w:color w:val="auto"/>
                      <w:highlight w:val="none"/>
                      <w:lang w:val="en-US" w:eastAsia="zh-CN"/>
                    </w:rPr>
                  </w:pPr>
                  <w:r>
                    <w:rPr>
                      <w:rFonts w:hint="eastAsia" w:ascii="Times New Roman" w:hAnsi="Times New Roman" w:eastAsia="宋体" w:cs="Times New Roman"/>
                      <w:color w:val="auto"/>
                      <w:kern w:val="0"/>
                      <w:sz w:val="21"/>
                      <w:szCs w:val="21"/>
                      <w:lang w:val="en-US" w:eastAsia="zh-CN" w:bidi="en-US"/>
                    </w:rPr>
                    <w:t>1、</w:t>
                  </w:r>
                  <w:r>
                    <w:rPr>
                      <w:rFonts w:hint="default" w:eastAsia="宋体"/>
                      <w:color w:val="auto"/>
                      <w:highlight w:val="none"/>
                      <w:lang w:val="en-US" w:eastAsia="zh-CN"/>
                    </w:rPr>
                    <w:t>在连续一年的监测数据中，车间或生产设施排气简排放的NMHC为20-30mg/m</w:t>
                  </w:r>
                  <w:r>
                    <w:rPr>
                      <w:rFonts w:hint="eastAsia"/>
                      <w:color w:val="auto"/>
                      <w:highlight w:val="none"/>
                      <w:vertAlign w:val="superscript"/>
                      <w:lang w:val="en-US" w:eastAsia="zh-CN"/>
                    </w:rPr>
                    <w:t>3</w:t>
                  </w:r>
                  <w:r>
                    <w:rPr>
                      <w:rFonts w:hint="default" w:eastAsia="宋体"/>
                      <w:color w:val="auto"/>
                      <w:highlight w:val="none"/>
                      <w:lang w:val="en-US" w:eastAsia="zh-CN"/>
                    </w:rPr>
                    <w:t>、TVOC为40-50mg/m</w:t>
                  </w:r>
                  <w:r>
                    <w:rPr>
                      <w:rFonts w:hint="eastAsia"/>
                      <w:color w:val="auto"/>
                      <w:highlight w:val="none"/>
                      <w:vertAlign w:val="superscript"/>
                      <w:lang w:val="en-US" w:eastAsia="zh-CN"/>
                    </w:rPr>
                    <w:t>3</w:t>
                  </w:r>
                  <w:r>
                    <w:rPr>
                      <w:rFonts w:hint="eastAsia"/>
                      <w:color w:val="auto"/>
                      <w:highlight w:val="none"/>
                      <w:lang w:val="en-US" w:eastAsia="zh-CN"/>
                    </w:rPr>
                    <w:t>；</w:t>
                  </w:r>
                </w:p>
                <w:p w14:paraId="3DF013E9">
                  <w:pPr>
                    <w:pStyle w:val="48"/>
                    <w:keepNext w:val="0"/>
                    <w:keepLines w:val="0"/>
                    <w:pageBreakBefore w:val="0"/>
                    <w:widowControl/>
                    <w:numPr>
                      <w:ilvl w:val="0"/>
                      <w:numId w:val="0"/>
                    </w:numPr>
                    <w:kinsoku/>
                    <w:wordWrap/>
                    <w:overflowPunct/>
                    <w:topLinePunct w:val="0"/>
                    <w:autoSpaceDE/>
                    <w:autoSpaceDN/>
                    <w:bidi w:val="0"/>
                    <w:adjustRightInd w:val="0"/>
                    <w:snapToGrid w:val="0"/>
                    <w:ind w:firstLine="0" w:firstLineChars="0"/>
                    <w:jc w:val="center"/>
                    <w:textAlignment w:val="auto"/>
                    <w:rPr>
                      <w:rFonts w:hint="default" w:eastAsia="宋体"/>
                      <w:color w:val="auto"/>
                      <w:highlight w:val="none"/>
                      <w:lang w:val="en-US" w:eastAsia="zh-CN"/>
                    </w:rPr>
                  </w:pPr>
                  <w:r>
                    <w:rPr>
                      <w:rFonts w:hint="default" w:eastAsia="宋体"/>
                      <w:color w:val="auto"/>
                      <w:highlight w:val="none"/>
                      <w:lang w:val="en-US" w:eastAsia="zh-CN"/>
                    </w:rPr>
                    <w:t>2、厂区内无组织排放监控点NMHC的小时平均浓度值不超过6mg/m</w:t>
                  </w:r>
                  <w:r>
                    <w:rPr>
                      <w:rFonts w:hint="eastAsia"/>
                      <w:color w:val="auto"/>
                      <w:highlight w:val="none"/>
                      <w:vertAlign w:val="superscript"/>
                      <w:lang w:val="en-US" w:eastAsia="zh-CN"/>
                    </w:rPr>
                    <w:t>3</w:t>
                  </w:r>
                  <w:r>
                    <w:rPr>
                      <w:rFonts w:hint="default" w:eastAsia="宋体"/>
                      <w:color w:val="auto"/>
                      <w:highlight w:val="none"/>
                      <w:lang w:val="en-US" w:eastAsia="zh-CN"/>
                    </w:rPr>
                    <w:t>、任意一次浓度值不超过 20 mg/m</w:t>
                  </w:r>
                  <w:r>
                    <w:rPr>
                      <w:rFonts w:hint="eastAsia"/>
                      <w:color w:val="auto"/>
                      <w:highlight w:val="none"/>
                      <w:vertAlign w:val="superscript"/>
                      <w:lang w:val="en-US" w:eastAsia="zh-CN"/>
                    </w:rPr>
                    <w:t>3</w:t>
                  </w:r>
                  <w:r>
                    <w:rPr>
                      <w:rFonts w:hint="eastAsia"/>
                      <w:color w:val="auto"/>
                      <w:highlight w:val="none"/>
                      <w:lang w:val="en-US" w:eastAsia="zh-CN"/>
                    </w:rPr>
                    <w:t>；</w:t>
                  </w:r>
                  <w:r>
                    <w:rPr>
                      <w:rFonts w:hint="default" w:eastAsia="宋体"/>
                      <w:color w:val="auto"/>
                      <w:highlight w:val="none"/>
                      <w:lang w:val="en-US" w:eastAsia="zh-CN"/>
                    </w:rPr>
                    <w:t>3、其他各项污染物稳定达到现行排放控制要求，并从严地方要求</w:t>
                  </w:r>
                </w:p>
              </w:tc>
              <w:tc>
                <w:tcPr>
                  <w:tcW w:w="1567" w:type="pct"/>
                  <w:vAlign w:val="center"/>
                </w:tcPr>
                <w:p w14:paraId="5F888B8D">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r>
                    <w:rPr>
                      <w:rFonts w:hint="eastAsia"/>
                      <w:color w:val="auto"/>
                      <w:highlight w:val="none"/>
                      <w:lang w:val="en-US" w:eastAsia="zh-CN"/>
                    </w:rPr>
                    <w:t>已根据现行排放控制要求及地方要求对本项目从严要求</w:t>
                  </w:r>
                </w:p>
              </w:tc>
              <w:tc>
                <w:tcPr>
                  <w:tcW w:w="578" w:type="pct"/>
                  <w:vAlign w:val="center"/>
                </w:tcPr>
                <w:p w14:paraId="080ED9F4">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p>
              </w:tc>
            </w:tr>
            <w:tr w14:paraId="66A78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pct"/>
                  <w:vAlign w:val="center"/>
                </w:tcPr>
                <w:p w14:paraId="0DE3498E">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r>
                    <w:rPr>
                      <w:rFonts w:hint="eastAsia"/>
                      <w:color w:val="auto"/>
                      <w:highlight w:val="none"/>
                      <w:lang w:val="en-US" w:eastAsia="zh-CN"/>
                    </w:rPr>
                    <w:t>监测监控水平</w:t>
                  </w:r>
                </w:p>
              </w:tc>
              <w:tc>
                <w:tcPr>
                  <w:tcW w:w="2235" w:type="pct"/>
                  <w:vAlign w:val="center"/>
                </w:tcPr>
                <w:p w14:paraId="5FB18E4D">
                  <w:pPr>
                    <w:pStyle w:val="48"/>
                    <w:keepNext w:val="0"/>
                    <w:keepLines w:val="0"/>
                    <w:pageBreakBefore w:val="0"/>
                    <w:widowControl/>
                    <w:numPr>
                      <w:ilvl w:val="0"/>
                      <w:numId w:val="0"/>
                    </w:numPr>
                    <w:kinsoku/>
                    <w:wordWrap/>
                    <w:overflowPunct/>
                    <w:topLinePunct w:val="0"/>
                    <w:autoSpaceDE/>
                    <w:autoSpaceDN/>
                    <w:bidi w:val="0"/>
                    <w:adjustRightInd w:val="0"/>
                    <w:snapToGrid w:val="0"/>
                    <w:ind w:firstLine="0" w:firstLineChars="0"/>
                    <w:jc w:val="center"/>
                    <w:textAlignment w:val="auto"/>
                    <w:rPr>
                      <w:rFonts w:hint="eastAsia"/>
                      <w:color w:val="auto"/>
                      <w:highlight w:val="none"/>
                      <w:lang w:val="en-US" w:eastAsia="zh-CN"/>
                    </w:rPr>
                  </w:pPr>
                  <w:r>
                    <w:rPr>
                      <w:rFonts w:hint="eastAsia" w:ascii="Times New Roman" w:hAnsi="Times New Roman" w:eastAsia="宋体" w:cs="Times New Roman"/>
                      <w:color w:val="auto"/>
                      <w:kern w:val="0"/>
                      <w:sz w:val="21"/>
                      <w:szCs w:val="21"/>
                      <w:lang w:val="en-US" w:eastAsia="zh-CN" w:bidi="en-US"/>
                    </w:rPr>
                    <w:t>1、</w:t>
                  </w:r>
                  <w:r>
                    <w:rPr>
                      <w:rFonts w:hint="default" w:eastAsia="宋体"/>
                      <w:color w:val="auto"/>
                      <w:highlight w:val="none"/>
                      <w:lang w:val="en-US" w:eastAsia="zh-CN"/>
                    </w:rPr>
                    <w:t>严格执行《排污许可证申请与核发技术规范 总则》(HJ942-2018)以及相关行业排污许可证申请与核发技术规范规定的自行监测管理要求</w:t>
                  </w:r>
                  <w:r>
                    <w:rPr>
                      <w:rFonts w:hint="eastAsia"/>
                      <w:color w:val="auto"/>
                      <w:highlight w:val="none"/>
                      <w:lang w:val="en-US" w:eastAsia="zh-CN"/>
                    </w:rPr>
                    <w:t>；</w:t>
                  </w:r>
                </w:p>
                <w:p w14:paraId="65550FB5">
                  <w:pPr>
                    <w:pStyle w:val="48"/>
                    <w:keepNext w:val="0"/>
                    <w:keepLines w:val="0"/>
                    <w:pageBreakBefore w:val="0"/>
                    <w:widowControl/>
                    <w:numPr>
                      <w:ilvl w:val="0"/>
                      <w:numId w:val="0"/>
                    </w:numPr>
                    <w:kinsoku/>
                    <w:wordWrap/>
                    <w:overflowPunct/>
                    <w:topLinePunct w:val="0"/>
                    <w:autoSpaceDE/>
                    <w:autoSpaceDN/>
                    <w:bidi w:val="0"/>
                    <w:adjustRightInd w:val="0"/>
                    <w:snapToGrid w:val="0"/>
                    <w:jc w:val="both"/>
                    <w:textAlignment w:val="auto"/>
                    <w:rPr>
                      <w:rFonts w:hint="eastAsia"/>
                      <w:color w:val="auto"/>
                      <w:highlight w:val="none"/>
                      <w:lang w:val="en-US" w:eastAsia="zh-CN"/>
                    </w:rPr>
                  </w:pPr>
                  <w:r>
                    <w:rPr>
                      <w:rFonts w:hint="default" w:eastAsia="宋体"/>
                      <w:color w:val="auto"/>
                      <w:highlight w:val="none"/>
                      <w:lang w:val="en-US" w:eastAsia="zh-CN"/>
                    </w:rPr>
                    <w:t>2、重点排污企业风量大于10000m</w:t>
                  </w:r>
                  <w:r>
                    <w:rPr>
                      <w:rFonts w:hint="eastAsia"/>
                      <w:color w:val="auto"/>
                      <w:highlight w:val="none"/>
                      <w:vertAlign w:val="superscript"/>
                      <w:lang w:val="en-US" w:eastAsia="zh-CN"/>
                    </w:rPr>
                    <w:t>3</w:t>
                  </w:r>
                  <w:r>
                    <w:rPr>
                      <w:rFonts w:hint="default" w:eastAsia="宋体"/>
                      <w:color w:val="auto"/>
                      <w:highlight w:val="none"/>
                      <w:lang w:val="en-US" w:eastAsia="zh-CN"/>
                    </w:rPr>
                    <w:t>/h的主要排放口，有机废气排放口安装NMHC在线监测设施(FID检测器)，自动监控数据保存一年以上</w:t>
                  </w:r>
                  <w:r>
                    <w:rPr>
                      <w:rFonts w:hint="eastAsia"/>
                      <w:color w:val="auto"/>
                      <w:highlight w:val="none"/>
                      <w:lang w:val="en-US" w:eastAsia="zh-CN"/>
                    </w:rPr>
                    <w:t>；</w:t>
                  </w:r>
                </w:p>
                <w:p w14:paraId="52846C25">
                  <w:pPr>
                    <w:pStyle w:val="48"/>
                    <w:keepNext w:val="0"/>
                    <w:keepLines w:val="0"/>
                    <w:pageBreakBefore w:val="0"/>
                    <w:widowControl/>
                    <w:numPr>
                      <w:ilvl w:val="0"/>
                      <w:numId w:val="0"/>
                    </w:numPr>
                    <w:kinsoku/>
                    <w:wordWrap/>
                    <w:overflowPunct/>
                    <w:topLinePunct w:val="0"/>
                    <w:autoSpaceDE/>
                    <w:autoSpaceDN/>
                    <w:bidi w:val="0"/>
                    <w:adjustRightInd w:val="0"/>
                    <w:snapToGrid w:val="0"/>
                    <w:jc w:val="both"/>
                    <w:textAlignment w:val="auto"/>
                    <w:rPr>
                      <w:rFonts w:hint="default" w:eastAsia="宋体"/>
                      <w:color w:val="auto"/>
                      <w:highlight w:val="none"/>
                      <w:lang w:val="en-US" w:eastAsia="zh-CN"/>
                    </w:rPr>
                  </w:pPr>
                  <w:r>
                    <w:rPr>
                      <w:rFonts w:hint="default" w:eastAsia="宋体"/>
                      <w:color w:val="auto"/>
                      <w:highlight w:val="none"/>
                      <w:lang w:val="en-US" w:eastAsia="zh-CN"/>
                    </w:rPr>
                    <w:t>3、安装DCS系统、仪器仪表等装置，连续测量并记录治理设施控制指标温度、压力(压差)、时间和频率值。再生式活性炭连续自动测量并记录温度、再生时间和更换周期;更换式活性炭记录温度、更换周期及更换量;数据保存一年以上</w:t>
                  </w:r>
                </w:p>
              </w:tc>
              <w:tc>
                <w:tcPr>
                  <w:tcW w:w="1567" w:type="pct"/>
                  <w:vAlign w:val="center"/>
                </w:tcPr>
                <w:p w14:paraId="46BC317A">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r>
                    <w:rPr>
                      <w:rFonts w:hint="eastAsia"/>
                      <w:color w:val="auto"/>
                      <w:highlight w:val="none"/>
                      <w:lang w:val="en-US" w:eastAsia="zh-CN"/>
                    </w:rPr>
                    <w:t>1、本项目</w:t>
                  </w:r>
                  <w:r>
                    <w:rPr>
                      <w:rFonts w:hint="default" w:eastAsia="宋体"/>
                      <w:color w:val="auto"/>
                      <w:highlight w:val="none"/>
                      <w:lang w:val="en-US" w:eastAsia="zh-CN"/>
                    </w:rPr>
                    <w:t>严格执行《排污许可证申请与核发技术规范 总则》(HJ942-2018)以及相关行业排污许可证申请与核发技术规范规定的自行监测管理要求</w:t>
                  </w:r>
                </w:p>
                <w:p w14:paraId="7A15D12B">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r>
                    <w:rPr>
                      <w:rFonts w:hint="eastAsia"/>
                      <w:color w:val="auto"/>
                      <w:highlight w:val="none"/>
                      <w:lang w:val="en-US" w:eastAsia="zh-CN"/>
                    </w:rPr>
                    <w:t>2、企业排放口风量为8000</w:t>
                  </w:r>
                  <w:r>
                    <w:rPr>
                      <w:rFonts w:hint="default" w:eastAsia="宋体"/>
                      <w:color w:val="auto"/>
                      <w:highlight w:val="none"/>
                      <w:lang w:val="en-US" w:eastAsia="zh-CN"/>
                    </w:rPr>
                    <w:t>m</w:t>
                  </w:r>
                  <w:r>
                    <w:rPr>
                      <w:rFonts w:hint="eastAsia"/>
                      <w:color w:val="auto"/>
                      <w:highlight w:val="none"/>
                      <w:vertAlign w:val="superscript"/>
                      <w:lang w:val="en-US" w:eastAsia="zh-CN"/>
                    </w:rPr>
                    <w:t>3</w:t>
                  </w:r>
                  <w:r>
                    <w:rPr>
                      <w:rFonts w:hint="default" w:eastAsia="宋体"/>
                      <w:color w:val="auto"/>
                      <w:highlight w:val="none"/>
                      <w:lang w:val="en-US" w:eastAsia="zh-CN"/>
                    </w:rPr>
                    <w:t>/h</w:t>
                  </w:r>
                </w:p>
              </w:tc>
              <w:tc>
                <w:tcPr>
                  <w:tcW w:w="578" w:type="pct"/>
                  <w:vAlign w:val="center"/>
                </w:tcPr>
                <w:p w14:paraId="384A5571">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p>
              </w:tc>
            </w:tr>
            <w:tr w14:paraId="66C8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pct"/>
                  <w:vAlign w:val="center"/>
                </w:tcPr>
                <w:p w14:paraId="37315CCB">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r>
                    <w:rPr>
                      <w:rFonts w:hint="eastAsia"/>
                      <w:color w:val="auto"/>
                      <w:highlight w:val="none"/>
                      <w:lang w:val="en-US" w:eastAsia="zh-CN"/>
                    </w:rPr>
                    <w:t>环境管理水平</w:t>
                  </w:r>
                </w:p>
              </w:tc>
              <w:tc>
                <w:tcPr>
                  <w:tcW w:w="2235" w:type="pct"/>
                  <w:vAlign w:val="center"/>
                </w:tcPr>
                <w:p w14:paraId="65BF54CC">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eastAsia"/>
                      <w:color w:val="auto"/>
                      <w:highlight w:val="none"/>
                      <w:lang w:val="en-US" w:eastAsia="zh-CN"/>
                    </w:rPr>
                  </w:pPr>
                  <w:r>
                    <w:rPr>
                      <w:rFonts w:hint="default" w:eastAsia="宋体"/>
                      <w:color w:val="auto"/>
                      <w:highlight w:val="none"/>
                      <w:lang w:val="en-US" w:eastAsia="zh-CN"/>
                    </w:rPr>
                    <w:t>台账记录:1、生产设施运行管理信息(生产时间、运行负荷、产品产量等，必须具备近一年及以上所用涂料的密度、扣水后VOCs含量、含水率(水性涂料)等信息的检测报告)</w:t>
                  </w:r>
                  <w:r>
                    <w:rPr>
                      <w:rFonts w:hint="eastAsia"/>
                      <w:color w:val="auto"/>
                      <w:highlight w:val="none"/>
                      <w:lang w:val="en-US" w:eastAsia="zh-CN"/>
                    </w:rPr>
                    <w:t>；</w:t>
                  </w:r>
                </w:p>
                <w:p w14:paraId="3007E275">
                  <w:pPr>
                    <w:pStyle w:val="48"/>
                    <w:keepNext w:val="0"/>
                    <w:keepLines w:val="0"/>
                    <w:pageBreakBefore w:val="0"/>
                    <w:widowControl/>
                    <w:numPr>
                      <w:ilvl w:val="0"/>
                      <w:numId w:val="0"/>
                    </w:numPr>
                    <w:kinsoku/>
                    <w:wordWrap/>
                    <w:overflowPunct/>
                    <w:topLinePunct w:val="0"/>
                    <w:autoSpaceDE/>
                    <w:autoSpaceDN/>
                    <w:bidi w:val="0"/>
                    <w:adjustRightInd w:val="0"/>
                    <w:snapToGrid w:val="0"/>
                    <w:ind w:firstLine="0" w:firstLineChars="0"/>
                    <w:jc w:val="center"/>
                    <w:textAlignment w:val="auto"/>
                    <w:rPr>
                      <w:rFonts w:hint="eastAsia"/>
                      <w:color w:val="auto"/>
                      <w:highlight w:val="none"/>
                      <w:lang w:val="en-US" w:eastAsia="zh-CN"/>
                    </w:rPr>
                  </w:pPr>
                  <w:r>
                    <w:rPr>
                      <w:rFonts w:hint="eastAsia" w:ascii="Times New Roman" w:hAnsi="Times New Roman" w:eastAsia="宋体" w:cs="Times New Roman"/>
                      <w:color w:val="auto"/>
                      <w:kern w:val="0"/>
                      <w:sz w:val="21"/>
                      <w:szCs w:val="21"/>
                      <w:lang w:val="en-US" w:eastAsia="zh-CN" w:bidi="en-US"/>
                    </w:rPr>
                    <w:t>2、</w:t>
                  </w:r>
                  <w:r>
                    <w:rPr>
                      <w:rFonts w:hint="default" w:eastAsia="宋体"/>
                      <w:color w:val="auto"/>
                      <w:highlight w:val="none"/>
                      <w:lang w:val="en-US" w:eastAsia="zh-CN"/>
                    </w:rPr>
                    <w:t>废气污染治理设施运行管理信息(燃烧室温度、冷凝温度、过滤材料更换频次、吸附剂更换频次、催化剂更换频次)</w:t>
                  </w:r>
                  <w:r>
                    <w:rPr>
                      <w:rFonts w:hint="eastAsia"/>
                      <w:color w:val="auto"/>
                      <w:highlight w:val="none"/>
                      <w:lang w:val="en-US" w:eastAsia="zh-CN"/>
                    </w:rPr>
                    <w:t>；</w:t>
                  </w:r>
                </w:p>
                <w:p w14:paraId="0B68E2FF">
                  <w:pPr>
                    <w:pStyle w:val="48"/>
                    <w:keepNext w:val="0"/>
                    <w:keepLines w:val="0"/>
                    <w:pageBreakBefore w:val="0"/>
                    <w:widowControl/>
                    <w:numPr>
                      <w:ilvl w:val="0"/>
                      <w:numId w:val="0"/>
                    </w:numPr>
                    <w:kinsoku/>
                    <w:wordWrap/>
                    <w:overflowPunct/>
                    <w:topLinePunct w:val="0"/>
                    <w:autoSpaceDE/>
                    <w:autoSpaceDN/>
                    <w:bidi w:val="0"/>
                    <w:adjustRightInd w:val="0"/>
                    <w:snapToGrid w:val="0"/>
                    <w:ind w:firstLine="0" w:firstLineChars="0"/>
                    <w:jc w:val="center"/>
                    <w:textAlignment w:val="auto"/>
                    <w:rPr>
                      <w:rFonts w:hint="eastAsia"/>
                      <w:color w:val="auto"/>
                      <w:highlight w:val="none"/>
                      <w:lang w:val="en-US" w:eastAsia="zh-CN"/>
                    </w:rPr>
                  </w:pPr>
                  <w:r>
                    <w:rPr>
                      <w:rFonts w:hint="default" w:eastAsia="宋体"/>
                      <w:color w:val="auto"/>
                      <w:highlight w:val="none"/>
                      <w:lang w:val="en-US" w:eastAsia="zh-CN"/>
                    </w:rPr>
                    <w:t>3、监测记录信息(主要污染排放口废气排放记录(手工监测或在线监测)等)</w:t>
                  </w:r>
                  <w:r>
                    <w:rPr>
                      <w:rFonts w:hint="eastAsia"/>
                      <w:color w:val="auto"/>
                      <w:highlight w:val="none"/>
                      <w:lang w:val="en-US" w:eastAsia="zh-CN"/>
                    </w:rPr>
                    <w:t>；</w:t>
                  </w:r>
                </w:p>
                <w:p w14:paraId="0A2F702C">
                  <w:pPr>
                    <w:pStyle w:val="48"/>
                    <w:keepNext w:val="0"/>
                    <w:keepLines w:val="0"/>
                    <w:pageBreakBefore w:val="0"/>
                    <w:widowControl/>
                    <w:numPr>
                      <w:ilvl w:val="0"/>
                      <w:numId w:val="0"/>
                    </w:numPr>
                    <w:kinsoku/>
                    <w:wordWrap/>
                    <w:overflowPunct/>
                    <w:topLinePunct w:val="0"/>
                    <w:autoSpaceDE/>
                    <w:autoSpaceDN/>
                    <w:bidi w:val="0"/>
                    <w:adjustRightInd w:val="0"/>
                    <w:snapToGrid w:val="0"/>
                    <w:ind w:firstLine="0" w:firstLineChars="0"/>
                    <w:jc w:val="center"/>
                    <w:textAlignment w:val="auto"/>
                    <w:rPr>
                      <w:rFonts w:hint="default" w:eastAsia="宋体"/>
                      <w:color w:val="auto"/>
                      <w:highlight w:val="none"/>
                      <w:lang w:val="en-US" w:eastAsia="zh-CN"/>
                    </w:rPr>
                  </w:pPr>
                  <w:r>
                    <w:rPr>
                      <w:rFonts w:hint="default" w:eastAsia="宋体"/>
                      <w:color w:val="auto"/>
                      <w:highlight w:val="none"/>
                      <w:lang w:val="en-US" w:eastAsia="zh-CN"/>
                    </w:rPr>
                    <w:t>4、主要原辅材料消耗记录;5、燃料(天然气)消耗记录</w:t>
                  </w:r>
                </w:p>
              </w:tc>
              <w:tc>
                <w:tcPr>
                  <w:tcW w:w="1567" w:type="pct"/>
                  <w:vAlign w:val="center"/>
                </w:tcPr>
                <w:p w14:paraId="108B1BE5">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r>
                    <w:rPr>
                      <w:rFonts w:hint="eastAsia"/>
                      <w:color w:val="auto"/>
                      <w:highlight w:val="none"/>
                      <w:lang w:val="en-US" w:eastAsia="zh-CN"/>
                    </w:rPr>
                    <w:t>已对企业做出相关要求。</w:t>
                  </w:r>
                </w:p>
              </w:tc>
              <w:tc>
                <w:tcPr>
                  <w:tcW w:w="578" w:type="pct"/>
                  <w:vAlign w:val="center"/>
                </w:tcPr>
                <w:p w14:paraId="519542DB">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p>
              </w:tc>
            </w:tr>
            <w:tr w14:paraId="04E21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pct"/>
                  <w:vAlign w:val="center"/>
                </w:tcPr>
                <w:p w14:paraId="45F878B2">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r>
                    <w:rPr>
                      <w:rFonts w:hint="eastAsia"/>
                      <w:color w:val="auto"/>
                      <w:highlight w:val="none"/>
                      <w:lang w:val="en-US" w:eastAsia="zh-CN"/>
                    </w:rPr>
                    <w:t>运输方式</w:t>
                  </w:r>
                </w:p>
              </w:tc>
              <w:tc>
                <w:tcPr>
                  <w:tcW w:w="2235" w:type="pct"/>
                  <w:vAlign w:val="center"/>
                </w:tcPr>
                <w:p w14:paraId="3456F146">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r>
                    <w:rPr>
                      <w:rFonts w:hint="default" w:eastAsia="宋体"/>
                      <w:color w:val="auto"/>
                      <w:highlight w:val="none"/>
                      <w:lang w:val="en-US" w:eastAsia="zh-CN"/>
                    </w:rPr>
                    <w:t>1、物料公路运输全部使用达到国五及以上排放标准重型载货车辆(含燃气)或新能源车辆</w:t>
                  </w:r>
                  <w:r>
                    <w:rPr>
                      <w:rFonts w:hint="eastAsia"/>
                      <w:color w:val="auto"/>
                      <w:highlight w:val="none"/>
                      <w:lang w:val="en-US" w:eastAsia="zh-CN"/>
                    </w:rPr>
                    <w:t>；</w:t>
                  </w:r>
                </w:p>
                <w:p w14:paraId="40FF2218">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r>
                    <w:rPr>
                      <w:rFonts w:hint="default" w:eastAsia="宋体"/>
                      <w:color w:val="auto"/>
                      <w:highlight w:val="none"/>
                      <w:lang w:val="en-US" w:eastAsia="zh-CN"/>
                    </w:rPr>
                    <w:t>2、厂内运输车辆全部达到国五及以上排放标准(含燃气)或使用新能源车辆</w:t>
                  </w:r>
                  <w:r>
                    <w:rPr>
                      <w:rFonts w:hint="eastAsia"/>
                      <w:color w:val="auto"/>
                      <w:highlight w:val="none"/>
                      <w:lang w:val="en-US" w:eastAsia="zh-CN"/>
                    </w:rPr>
                    <w:t>；</w:t>
                  </w:r>
                </w:p>
                <w:p w14:paraId="51E704A4">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r>
                    <w:rPr>
                      <w:rFonts w:hint="default" w:eastAsia="宋体"/>
                      <w:color w:val="auto"/>
                      <w:highlight w:val="none"/>
                      <w:lang w:val="en-US" w:eastAsia="zh-CN"/>
                    </w:rPr>
                    <w:t>3、厂内非道路移动机械全部达到国三及以上排放标准或使用新能源机械</w:t>
                  </w:r>
                </w:p>
              </w:tc>
              <w:tc>
                <w:tcPr>
                  <w:tcW w:w="1567" w:type="pct"/>
                  <w:vAlign w:val="center"/>
                </w:tcPr>
                <w:p w14:paraId="31AEDF50">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eastAsia"/>
                      <w:color w:val="auto"/>
                      <w:highlight w:val="none"/>
                      <w:lang w:val="en-US" w:eastAsia="zh-CN"/>
                    </w:rPr>
                  </w:pPr>
                  <w:r>
                    <w:rPr>
                      <w:rFonts w:hint="eastAsia"/>
                      <w:color w:val="auto"/>
                      <w:highlight w:val="none"/>
                      <w:lang w:val="en-US" w:eastAsia="zh-CN"/>
                    </w:rPr>
                    <w:t>1、本项目</w:t>
                  </w:r>
                  <w:r>
                    <w:rPr>
                      <w:rFonts w:hint="default" w:eastAsia="宋体"/>
                      <w:color w:val="auto"/>
                      <w:highlight w:val="none"/>
                      <w:lang w:val="en-US" w:eastAsia="zh-CN"/>
                    </w:rPr>
                    <w:t>物料公路运输</w:t>
                  </w:r>
                  <w:r>
                    <w:rPr>
                      <w:rFonts w:hint="eastAsia"/>
                      <w:color w:val="auto"/>
                      <w:highlight w:val="none"/>
                      <w:lang w:val="en-US" w:eastAsia="zh-CN"/>
                    </w:rPr>
                    <w:t>及</w:t>
                  </w:r>
                  <w:r>
                    <w:rPr>
                      <w:rFonts w:hint="default" w:eastAsia="宋体"/>
                      <w:color w:val="auto"/>
                      <w:highlight w:val="none"/>
                      <w:lang w:val="en-US" w:eastAsia="zh-CN"/>
                    </w:rPr>
                    <w:t>厂内运输车辆</w:t>
                  </w:r>
                  <w:r>
                    <w:rPr>
                      <w:rFonts w:hint="eastAsia"/>
                      <w:color w:val="auto"/>
                      <w:highlight w:val="none"/>
                      <w:lang w:val="en-US" w:eastAsia="zh-CN"/>
                    </w:rPr>
                    <w:t>均满足国五标准。</w:t>
                  </w:r>
                </w:p>
                <w:p w14:paraId="27DC8817">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highlight w:val="none"/>
                      <w:lang w:val="en-US" w:eastAsia="zh-CN"/>
                    </w:rPr>
                  </w:pPr>
                  <w:r>
                    <w:rPr>
                      <w:rFonts w:hint="eastAsia"/>
                      <w:color w:val="auto"/>
                      <w:highlight w:val="none"/>
                      <w:lang w:val="en-US" w:eastAsia="zh-CN"/>
                    </w:rPr>
                    <w:t>2、厂内</w:t>
                  </w:r>
                  <w:r>
                    <w:rPr>
                      <w:rFonts w:hint="default" w:eastAsia="宋体"/>
                      <w:color w:val="auto"/>
                      <w:highlight w:val="none"/>
                      <w:lang w:val="en-US" w:eastAsia="zh-CN"/>
                    </w:rPr>
                    <w:t>非道路移动机械达到国三排放标准</w:t>
                  </w:r>
                  <w:r>
                    <w:rPr>
                      <w:rFonts w:hint="eastAsia"/>
                      <w:color w:val="auto"/>
                      <w:highlight w:val="none"/>
                      <w:lang w:val="en-US" w:eastAsia="zh-CN"/>
                    </w:rPr>
                    <w:t>。</w:t>
                  </w:r>
                </w:p>
              </w:tc>
              <w:tc>
                <w:tcPr>
                  <w:tcW w:w="578" w:type="pct"/>
                  <w:vAlign w:val="center"/>
                </w:tcPr>
                <w:p w14:paraId="080916E2">
                  <w:pPr>
                    <w:pStyle w:val="48"/>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highlight w:val="none"/>
                      <w:lang w:val="en-US" w:eastAsia="zh-CN"/>
                    </w:rPr>
                  </w:pPr>
                </w:p>
              </w:tc>
            </w:tr>
          </w:tbl>
          <w:p w14:paraId="083C810F">
            <w:pPr>
              <w:rPr>
                <w:rFonts w:hint="default"/>
                <w:color w:val="auto"/>
                <w:lang w:val="en-US" w:eastAsia="zh-CN"/>
              </w:rPr>
            </w:pPr>
          </w:p>
          <w:p w14:paraId="3D9C51D0">
            <w:pPr>
              <w:pStyle w:val="6"/>
              <w:pageBreakBefore w:val="0"/>
              <w:widowControl w:val="0"/>
              <w:numPr>
                <w:ilvl w:val="0"/>
                <w:numId w:val="0"/>
              </w:numPr>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综上所述，本项目符合《重污染天气重点行业应急减排技术指南(2020修订版)》中工业涂装A级指标。</w:t>
            </w:r>
          </w:p>
          <w:p w14:paraId="58B33A37">
            <w:pPr>
              <w:pStyle w:val="6"/>
              <w:pageBreakBefore w:val="0"/>
              <w:widowControl w:val="0"/>
              <w:numPr>
                <w:ilvl w:val="0"/>
                <w:numId w:val="0"/>
              </w:numPr>
              <w:kinsoku/>
              <w:wordWrap/>
              <w:overflowPunct/>
              <w:topLinePunct w:val="0"/>
              <w:autoSpaceDE/>
              <w:autoSpaceDN/>
              <w:bidi w:val="0"/>
              <w:adjustRightInd/>
              <w:snapToGrid/>
              <w:spacing w:beforeLines="0" w:afterLines="0" w:line="360" w:lineRule="auto"/>
              <w:textAlignment w:val="auto"/>
              <w:rPr>
                <w:rFonts w:hint="eastAsia"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6</w:t>
            </w:r>
            <w:r>
              <w:rPr>
                <w:rFonts w:hint="eastAsia" w:ascii="Times New Roman" w:hAnsi="Times New Roman" w:eastAsia="宋体" w:cs="Times New Roman"/>
                <w:b/>
                <w:bCs/>
                <w:color w:val="auto"/>
                <w:sz w:val="24"/>
                <w:szCs w:val="24"/>
                <w:highlight w:val="none"/>
                <w:lang w:val="en-US" w:eastAsia="zh-CN"/>
              </w:rPr>
              <w:t>.</w:t>
            </w:r>
            <w:r>
              <w:rPr>
                <w:rFonts w:hint="eastAsia" w:ascii="Times New Roman" w:hAnsi="Times New Roman" w:eastAsia="宋体" w:cs="宋体"/>
                <w:b/>
                <w:bCs/>
                <w:color w:val="auto"/>
                <w:kern w:val="2"/>
                <w:sz w:val="24"/>
                <w:szCs w:val="24"/>
                <w:highlight w:val="none"/>
                <w:lang w:val="en-US" w:eastAsia="zh-CN" w:bidi="ar-SA"/>
              </w:rPr>
              <w:t>《关于进一步加强乌鲁木齐、昌吉、石河子、五家渠区域大气同防同治的意见》(新政办发[2023]29号)</w:t>
            </w:r>
            <w:r>
              <w:rPr>
                <w:rFonts w:hint="default" w:ascii="Times New Roman" w:hAnsi="Times New Roman" w:eastAsia="宋体" w:cs="Times New Roman"/>
                <w:b/>
                <w:bCs/>
                <w:color w:val="auto"/>
                <w:sz w:val="24"/>
                <w:szCs w:val="24"/>
                <w:highlight w:val="none"/>
              </w:rPr>
              <w:t>的符合性分析</w:t>
            </w:r>
          </w:p>
          <w:p w14:paraId="399F0D40">
            <w:pPr>
              <w:pStyle w:val="22"/>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根据《关于进一步加强乌鲁木齐、昌吉、石河子、五家渠区域大气同防同治的意见》(新政办发[2023]29号)规定：严格执行国家产业、环境准入政策，防范过剩和落后产能跨地区转移。全面开展战略环评和行业、园区规划环评，将其作为项目环评审批的重要依据。重点区域内不再布局建设煤化工、电解铝、燃煤纯发电机组、金属硅、碳化硅、聚氯乙烯(电石法)、焦炭(含半焦)等行业的新增产能项目</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认真落实《重点区域大气污染物排放特别限值的公告》(环保厅2016第45号)的要求</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钢铁、石化、火电、水泥等行业和燃煤锅炉严格执行重点行业污染物特别排放限值要求。加大扬尘治理力度。严格落实建筑施工、道路、车辆运输、堆场等扬尘源点污染控制要求，扩大绿地和地面铺装硬化面积。</w:t>
            </w:r>
          </w:p>
          <w:p w14:paraId="416A2F67">
            <w:pPr>
              <w:pStyle w:val="22"/>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sz w:val="24"/>
                <w:szCs w:val="24"/>
                <w:highlight w:val="none"/>
                <w:lang w:val="en-US" w:eastAsia="zh-CN"/>
              </w:rPr>
              <w:t>本项目属于乌</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昌</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石同防同治区域图中的重点控制区，项目</w:t>
            </w:r>
            <w:r>
              <w:rPr>
                <w:rFonts w:hint="eastAsia" w:cs="Times New Roman"/>
                <w:color w:val="auto"/>
                <w:sz w:val="24"/>
                <w:szCs w:val="24"/>
                <w:highlight w:val="none"/>
                <w:lang w:val="en-US" w:eastAsia="zh-CN"/>
              </w:rPr>
              <w:t>不属于钢铁烧结(球团)工业、炼铁工业、炼钢工业</w:t>
            </w:r>
            <w:r>
              <w:rPr>
                <w:rFonts w:hint="default" w:ascii="Times New Roman" w:hAnsi="Times New Roman" w:eastAsia="宋体" w:cs="Times New Roman"/>
                <w:color w:val="auto"/>
                <w:sz w:val="24"/>
                <w:szCs w:val="24"/>
                <w:highlight w:val="none"/>
                <w:lang w:val="en-US" w:eastAsia="zh-CN"/>
              </w:rPr>
              <w:t>等行业</w:t>
            </w:r>
            <w:r>
              <w:rPr>
                <w:rFonts w:hint="eastAsia" w:cs="Times New Roman"/>
                <w:color w:val="auto"/>
                <w:sz w:val="24"/>
                <w:szCs w:val="24"/>
                <w:highlight w:val="none"/>
                <w:lang w:val="en-US" w:eastAsia="zh-CN"/>
              </w:rPr>
              <w:t>，结合《昌吉回族自治州区域空间生态环境评价暨“三线一单” 生态环境准入清单动态更新成果》，本项目</w:t>
            </w:r>
            <w:r>
              <w:rPr>
                <w:rFonts w:hint="eastAsia"/>
                <w:snapToGrid/>
                <w:color w:val="auto"/>
                <w:sz w:val="24"/>
                <w:szCs w:val="24"/>
                <w:highlight w:val="none"/>
                <w:lang w:val="en-US" w:eastAsia="zh-CN"/>
              </w:rPr>
              <w:t>下料切割、焊接、抛丸打磨、喷塑时产生的粉尘颗粒物和喷塑后烘干产生的有组织非甲烷总烃</w:t>
            </w:r>
            <w:r>
              <w:rPr>
                <w:rFonts w:hint="eastAsia" w:cs="Times New Roman"/>
                <w:color w:val="auto"/>
                <w:sz w:val="24"/>
                <w:szCs w:val="24"/>
                <w:highlight w:val="none"/>
                <w:lang w:val="en-US" w:eastAsia="zh-CN"/>
              </w:rPr>
              <w:t>无需执行污染物特别排放限值要求，</w:t>
            </w:r>
            <w:r>
              <w:rPr>
                <w:rFonts w:hint="eastAsia"/>
                <w:snapToGrid/>
                <w:color w:val="auto"/>
                <w:sz w:val="24"/>
                <w:szCs w:val="24"/>
                <w:highlight w:val="none"/>
                <w:lang w:val="en-US" w:eastAsia="zh-CN"/>
              </w:rPr>
              <w:t>喷塑后烘干产生的无组织非甲烷总烃</w:t>
            </w:r>
            <w:r>
              <w:rPr>
                <w:rFonts w:hint="eastAsia" w:cs="Times New Roman"/>
                <w:color w:val="auto"/>
                <w:sz w:val="24"/>
                <w:szCs w:val="24"/>
                <w:highlight w:val="none"/>
                <w:lang w:val="en-US" w:eastAsia="zh-CN"/>
              </w:rPr>
              <w:t>执行污染物特别排放限值要求。本项目</w:t>
            </w:r>
            <w:r>
              <w:rPr>
                <w:rFonts w:hint="eastAsia"/>
                <w:color w:val="auto"/>
                <w:kern w:val="0"/>
                <w:sz w:val="24"/>
                <w:highlight w:val="none"/>
                <w:lang w:val="en-US" w:eastAsia="zh-CN"/>
              </w:rPr>
              <w:t>下料切割时产生的粉尘颗粒物通过“袋式除尘器+15m高排气筒”处理；焊接产生的颗粒物经移动烟尘净化器处理；抛丸打磨时产生的粉尘颗粒物通过“袋式除尘器+15m高排气筒”处理；喷塑时产生的粉尘颗粒物经袋式除尘器处理后排放，收集尘回用于喷塑，喷塑后烘干产生的非甲烷总烃经过活性炭吸附-催化燃烧设备处理后排放，喷塑产生的颗粒物与烘干产生的非甲烷总烃通过同一根15m高排气筒排放。</w:t>
            </w:r>
            <w:r>
              <w:rPr>
                <w:rFonts w:hint="eastAsia" w:cs="Times New Roman"/>
                <w:color w:val="auto"/>
                <w:sz w:val="24"/>
                <w:szCs w:val="24"/>
                <w:highlight w:val="none"/>
                <w:lang w:val="en-US" w:eastAsia="zh-CN"/>
              </w:rPr>
              <w:t>满足《大气污染物综合排放标准》（GB16297-1996）中颗粒物120mg/m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vertAlign w:val="baseline"/>
                <w:lang w:val="en-US" w:eastAsia="zh-CN"/>
              </w:rPr>
              <w:t>、《重污染天气重点行业应急减排措施制定技术指南》表39-1 A级企业排放限值</w:t>
            </w:r>
            <w:r>
              <w:rPr>
                <w:rFonts w:hint="eastAsia" w:cs="Times New Roman"/>
                <w:color w:val="auto"/>
                <w:sz w:val="24"/>
                <w:szCs w:val="24"/>
                <w:highlight w:val="none"/>
                <w:lang w:val="en-US" w:eastAsia="zh-CN"/>
              </w:rPr>
              <w:t>非甲烷总烃30mg/m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lang w:val="en-US" w:eastAsia="zh-CN"/>
              </w:rPr>
              <w:t>的标准限值要求，除尘器未收集的颗粒物和非甲烷总烃无组织排放，采用车间增加通风量、洒水降尘的方式处理，无组织排放能满足《大气污染物综合排放标准》（GB16297-1996）中颗粒物1.0mg/m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vertAlign w:val="baseline"/>
                <w:lang w:val="en-US" w:eastAsia="zh-CN"/>
              </w:rPr>
              <w:t>、</w:t>
            </w:r>
            <w:r>
              <w:rPr>
                <w:rFonts w:hint="eastAsia" w:cs="Times New Roman"/>
                <w:color w:val="auto"/>
                <w:sz w:val="24"/>
                <w:szCs w:val="24"/>
                <w:highlight w:val="none"/>
                <w:lang w:val="en-US" w:eastAsia="zh-CN"/>
              </w:rPr>
              <w:t>非甲烷总烃4.0mg/m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lang w:val="en-US" w:eastAsia="zh-CN"/>
              </w:rPr>
              <w:t>的标准限值要求。项目所在厂房周边道路已进行硬化处理，车辆运输只会产生少量扬尘，对周围环境不造成影响。符合《关于进一步加强乌鲁木齐、昌吉、石河子、五家渠区域大气同防同治的意见》(新政办发[2023]29号)的相关要求。</w:t>
            </w:r>
          </w:p>
          <w:p w14:paraId="536CDF5B">
            <w:pPr>
              <w:pStyle w:val="6"/>
              <w:pageBreakBefore w:val="0"/>
              <w:widowControl w:val="0"/>
              <w:numPr>
                <w:ilvl w:val="0"/>
                <w:numId w:val="0"/>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7</w:t>
            </w:r>
            <w:r>
              <w:rPr>
                <w:rFonts w:hint="default" w:ascii="Times New Roman" w:hAnsi="Times New Roman" w:eastAsia="宋体" w:cs="Times New Roman"/>
                <w:b/>
                <w:bCs/>
                <w:color w:val="auto"/>
                <w:sz w:val="24"/>
                <w:szCs w:val="24"/>
                <w:highlight w:val="none"/>
                <w:lang w:val="en-US" w:eastAsia="zh-CN"/>
              </w:rPr>
              <w:t>.与《新疆维吾尔自治区</w:t>
            </w:r>
            <w:r>
              <w:rPr>
                <w:rFonts w:hint="default" w:ascii="Times New Roman" w:hAnsi="Times New Roman" w:eastAsia="宋体" w:cs="Times New Roman"/>
                <w:b/>
                <w:bCs/>
                <w:color w:val="auto"/>
                <w:sz w:val="24"/>
                <w:szCs w:val="24"/>
                <w:highlight w:val="none"/>
                <w:lang w:val="en-US" w:eastAsia="zh-CN"/>
              </w:rPr>
              <w:fldChar w:fldCharType="begin"/>
            </w:r>
            <w:r>
              <w:rPr>
                <w:rFonts w:hint="default" w:ascii="Times New Roman" w:hAnsi="Times New Roman" w:eastAsia="宋体" w:cs="Times New Roman"/>
                <w:b/>
                <w:bCs/>
                <w:color w:val="auto"/>
                <w:sz w:val="24"/>
                <w:szCs w:val="24"/>
                <w:highlight w:val="none"/>
                <w:lang w:val="en-US" w:eastAsia="zh-CN"/>
              </w:rPr>
              <w:instrText xml:space="preserve"> HYPERLINK "http://www.chndaqi.com/news/field?fid=47" \o "大气污染防治" \t "https://www.chndaqi.com/news/_blank" </w:instrText>
            </w:r>
            <w:r>
              <w:rPr>
                <w:rFonts w:hint="default" w:ascii="Times New Roman" w:hAnsi="Times New Roman" w:eastAsia="宋体" w:cs="Times New Roman"/>
                <w:b/>
                <w:bCs/>
                <w:color w:val="auto"/>
                <w:sz w:val="24"/>
                <w:szCs w:val="24"/>
                <w:highlight w:val="none"/>
                <w:lang w:val="en-US" w:eastAsia="zh-CN"/>
              </w:rPr>
              <w:fldChar w:fldCharType="separate"/>
            </w:r>
            <w:r>
              <w:rPr>
                <w:rFonts w:hint="default" w:ascii="Times New Roman" w:hAnsi="Times New Roman" w:eastAsia="宋体" w:cs="Times New Roman"/>
                <w:b/>
                <w:bCs/>
                <w:color w:val="auto"/>
                <w:sz w:val="24"/>
                <w:szCs w:val="24"/>
                <w:highlight w:val="none"/>
                <w:lang w:val="en-US" w:eastAsia="zh-CN"/>
              </w:rPr>
              <w:t>大气污染防治</w:t>
            </w:r>
            <w:r>
              <w:rPr>
                <w:rFonts w:hint="default" w:ascii="Times New Roman" w:hAnsi="Times New Roman" w:eastAsia="宋体" w:cs="Times New Roman"/>
                <w:b/>
                <w:bCs/>
                <w:color w:val="auto"/>
                <w:sz w:val="24"/>
                <w:szCs w:val="24"/>
                <w:highlight w:val="none"/>
                <w:lang w:val="en-US" w:eastAsia="zh-CN"/>
              </w:rPr>
              <w:fldChar w:fldCharType="end"/>
            </w:r>
            <w:r>
              <w:rPr>
                <w:rFonts w:hint="default" w:ascii="Times New Roman" w:hAnsi="Times New Roman" w:eastAsia="宋体" w:cs="Times New Roman"/>
                <w:b/>
                <w:bCs/>
                <w:color w:val="auto"/>
                <w:sz w:val="24"/>
                <w:szCs w:val="24"/>
                <w:highlight w:val="none"/>
                <w:lang w:val="en-US" w:eastAsia="zh-CN"/>
              </w:rPr>
              <w:t>条例》符合性分析</w:t>
            </w:r>
          </w:p>
          <w:p w14:paraId="300D7628">
            <w:pPr>
              <w:pStyle w:val="22"/>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新疆维吾尔自治区</w:t>
            </w:r>
            <w:r>
              <w:rPr>
                <w:rFonts w:hint="default" w:ascii="Times New Roman" w:hAnsi="Times New Roman" w:eastAsia="宋体" w:cs="Times New Roman"/>
                <w:color w:val="auto"/>
                <w:sz w:val="24"/>
                <w:szCs w:val="24"/>
                <w:highlight w:val="none"/>
                <w:lang w:val="en-US" w:eastAsia="zh-CN"/>
              </w:rPr>
              <w:fldChar w:fldCharType="begin"/>
            </w:r>
            <w:r>
              <w:rPr>
                <w:rFonts w:hint="default" w:ascii="Times New Roman" w:hAnsi="Times New Roman" w:eastAsia="宋体" w:cs="Times New Roman"/>
                <w:color w:val="auto"/>
                <w:sz w:val="24"/>
                <w:szCs w:val="24"/>
                <w:highlight w:val="none"/>
                <w:lang w:val="en-US" w:eastAsia="zh-CN"/>
              </w:rPr>
              <w:instrText xml:space="preserve"> HYPERLINK "http://www.chndaqi.com/news/field?fid=47" \o "大气污染防治" \t "https://www.chndaqi.com/news/_blank" </w:instrText>
            </w:r>
            <w:r>
              <w:rPr>
                <w:rFonts w:hint="default" w:ascii="Times New Roman" w:hAnsi="Times New Roman" w:eastAsia="宋体" w:cs="Times New Roman"/>
                <w:color w:val="auto"/>
                <w:sz w:val="24"/>
                <w:szCs w:val="24"/>
                <w:highlight w:val="none"/>
                <w:lang w:val="en-US" w:eastAsia="zh-CN"/>
              </w:rPr>
              <w:fldChar w:fldCharType="separate"/>
            </w:r>
            <w:r>
              <w:rPr>
                <w:rFonts w:hint="default" w:ascii="Times New Roman" w:hAnsi="Times New Roman" w:eastAsia="宋体" w:cs="Times New Roman"/>
                <w:color w:val="auto"/>
                <w:sz w:val="24"/>
                <w:szCs w:val="24"/>
                <w:highlight w:val="none"/>
                <w:lang w:val="en-US" w:eastAsia="zh-CN"/>
              </w:rPr>
              <w:t>大气污染防治</w:t>
            </w:r>
            <w:r>
              <w:rPr>
                <w:rFonts w:hint="default" w:ascii="Times New Roman" w:hAnsi="Times New Roman" w:eastAsia="宋体" w:cs="Times New Roman"/>
                <w:color w:val="auto"/>
                <w:sz w:val="24"/>
                <w:szCs w:val="24"/>
                <w:highlight w:val="none"/>
                <w:lang w:val="en-US" w:eastAsia="zh-CN"/>
              </w:rPr>
              <w:fldChar w:fldCharType="end"/>
            </w:r>
            <w:r>
              <w:rPr>
                <w:rFonts w:hint="default" w:ascii="Times New Roman" w:hAnsi="Times New Roman" w:eastAsia="宋体" w:cs="Times New Roman"/>
                <w:color w:val="auto"/>
                <w:sz w:val="24"/>
                <w:szCs w:val="24"/>
                <w:highlight w:val="none"/>
                <w:lang w:val="en-US" w:eastAsia="zh-CN"/>
              </w:rPr>
              <w:t>条例第三十条提出</w:t>
            </w:r>
            <w:r>
              <w:rPr>
                <w:rFonts w:hint="eastAsia" w:cs="Times New Roman"/>
                <w:color w:val="auto"/>
                <w:sz w:val="24"/>
                <w:szCs w:val="24"/>
                <w:highlight w:val="none"/>
                <w:lang w:val="en-US" w:eastAsia="zh-CN"/>
              </w:rPr>
              <w:t>：“含挥发性有机物废气的生产和服务活动，应当按照国家规定在密闭空间或者设备中进行，并安装、使用污染防治设施，无法密闭的，应当采取措施减少废气排放。”</w:t>
            </w:r>
            <w:r>
              <w:rPr>
                <w:rFonts w:hint="default" w:ascii="Times New Roman" w:hAnsi="Times New Roman" w:eastAsia="宋体" w:cs="Times New Roman"/>
                <w:color w:val="auto"/>
                <w:sz w:val="24"/>
                <w:szCs w:val="24"/>
                <w:highlight w:val="none"/>
                <w:lang w:val="en-US" w:eastAsia="zh-CN"/>
              </w:rPr>
              <w:t>第三十</w:t>
            </w:r>
            <w:r>
              <w:rPr>
                <w:rFonts w:hint="eastAsia" w:cs="Times New Roman"/>
                <w:color w:val="auto"/>
                <w:sz w:val="24"/>
                <w:szCs w:val="24"/>
                <w:highlight w:val="none"/>
                <w:lang w:val="en-US" w:eastAsia="zh-CN"/>
              </w:rPr>
              <w:t>七</w:t>
            </w:r>
            <w:r>
              <w:rPr>
                <w:rFonts w:hint="default" w:ascii="Times New Roman" w:hAnsi="Times New Roman" w:eastAsia="宋体" w:cs="Times New Roman"/>
                <w:color w:val="auto"/>
                <w:sz w:val="24"/>
                <w:szCs w:val="24"/>
                <w:highlight w:val="none"/>
                <w:lang w:val="en-US" w:eastAsia="zh-CN"/>
              </w:rPr>
              <w:t>条提出：</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各级人民政府应当加强对建设施工、矿产资源开采、物料运输的扬尘和沙尘污染的治理，保持道路清洁、控制料堆和渣土堆放，科学合理扩大绿地、水面、湿地、地面铺装和防风固沙绿化面积，防治扬尘污染。</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第</w:t>
            </w:r>
            <w:r>
              <w:rPr>
                <w:rFonts w:hint="eastAsia" w:ascii="Times New Roman" w:hAnsi="Times New Roman" w:eastAsia="宋体" w:cs="Times New Roman"/>
                <w:color w:val="auto"/>
                <w:sz w:val="24"/>
                <w:szCs w:val="24"/>
                <w:highlight w:val="none"/>
                <w:lang w:val="en-US" w:eastAsia="zh-CN"/>
              </w:rPr>
              <w:t>四十三</w:t>
            </w:r>
            <w:r>
              <w:rPr>
                <w:rFonts w:hint="default" w:ascii="Times New Roman" w:hAnsi="Times New Roman" w:eastAsia="宋体" w:cs="Times New Roman"/>
                <w:color w:val="auto"/>
                <w:sz w:val="24"/>
                <w:szCs w:val="24"/>
                <w:highlight w:val="none"/>
                <w:lang w:val="en-US" w:eastAsia="zh-CN"/>
              </w:rPr>
              <w:t>条提出：</w:t>
            </w:r>
            <w:r>
              <w:rPr>
                <w:rFonts w:hint="eastAsia" w:cs="Times New Roman"/>
                <w:color w:val="auto"/>
                <w:sz w:val="24"/>
                <w:szCs w:val="24"/>
                <w:highlight w:val="none"/>
                <w:lang w:val="en-US" w:eastAsia="zh-CN"/>
              </w:rPr>
              <w:t>“贮存易产生扬尘的煤炭、煤矸石、煤渣、煤灰、水泥、石灰、石膏、砂土等物料的堆场应当密闭；不能密闭的，贮存单位或者个人应当采取下列防尘措施：（一）堆场的场坪、路面应当进行硬化处理，并保持路面整洁；（二）堆场周边应当配备高于堆存物料的围挡、防风抑尘网等设施；（三）按照物料类别采取相应的覆盖、喷淋和围挡等防风抑尘措施。露天装卸物料应当采取密闭或者喷淋等抑尘措施；输送的物料应当在装料、卸料处配备吸尘、喷淋等防尘设施。”</w:t>
            </w:r>
          </w:p>
          <w:p w14:paraId="3F49B949">
            <w:pPr>
              <w:pStyle w:val="22"/>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w:t>
            </w:r>
            <w:r>
              <w:rPr>
                <w:rFonts w:hint="eastAsia" w:cs="Times New Roman"/>
                <w:color w:val="auto"/>
                <w:sz w:val="24"/>
                <w:szCs w:val="24"/>
                <w:highlight w:val="none"/>
                <w:lang w:val="en-US" w:eastAsia="zh-CN"/>
              </w:rPr>
              <w:t>厂区路面已硬化</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物料运输只会产生极少量扬尘；</w:t>
            </w:r>
            <w:r>
              <w:rPr>
                <w:rFonts w:hint="eastAsia"/>
                <w:color w:val="auto"/>
                <w:kern w:val="0"/>
                <w:sz w:val="24"/>
                <w:highlight w:val="none"/>
                <w:lang w:val="en-US" w:eastAsia="zh-CN"/>
              </w:rPr>
              <w:t>下料切割时产生的粉尘颗粒物通过“袋式除尘器+15m高排气筒”处理；焊接产生的颗粒物经移动烟尘净化器处理；抛丸打磨时产生的粉尘颗粒物通过“袋式除尘器+15m高排气筒”处理；喷塑时产生的粉尘颗粒物经袋式除尘器处理后排放，收集尘回用于喷塑，喷塑后烘干产生的非甲烷总烃经过活性炭吸附-催化燃烧设备处理后排放，喷塑产生的颗粒物与烘干产生的非甲烷总烃通过同一根15m高排气筒排放。</w:t>
            </w:r>
            <w:r>
              <w:rPr>
                <w:rFonts w:hint="default" w:ascii="Times New Roman" w:hAnsi="Times New Roman" w:eastAsia="宋体" w:cs="Times New Roman"/>
                <w:color w:val="auto"/>
                <w:sz w:val="24"/>
                <w:szCs w:val="24"/>
                <w:highlight w:val="none"/>
                <w:lang w:val="en-US" w:eastAsia="zh-CN"/>
              </w:rPr>
              <w:t>符合新疆维吾尔自治区</w:t>
            </w:r>
            <w:r>
              <w:rPr>
                <w:rFonts w:hint="default" w:ascii="Times New Roman" w:hAnsi="Times New Roman" w:eastAsia="宋体" w:cs="Times New Roman"/>
                <w:color w:val="auto"/>
                <w:sz w:val="24"/>
                <w:szCs w:val="24"/>
                <w:highlight w:val="none"/>
                <w:lang w:val="en-US" w:eastAsia="zh-CN"/>
              </w:rPr>
              <w:fldChar w:fldCharType="begin"/>
            </w:r>
            <w:r>
              <w:rPr>
                <w:rFonts w:hint="default" w:ascii="Times New Roman" w:hAnsi="Times New Roman" w:eastAsia="宋体" w:cs="Times New Roman"/>
                <w:color w:val="auto"/>
                <w:sz w:val="24"/>
                <w:szCs w:val="24"/>
                <w:highlight w:val="none"/>
                <w:lang w:val="en-US" w:eastAsia="zh-CN"/>
              </w:rPr>
              <w:instrText xml:space="preserve"> HYPERLINK "http://www.chndaqi.com/news/field?fid=47" \o "大气污染防治" \t "https://www.chndaqi.com/news/_blank" </w:instrText>
            </w:r>
            <w:r>
              <w:rPr>
                <w:rFonts w:hint="default" w:ascii="Times New Roman" w:hAnsi="Times New Roman" w:eastAsia="宋体" w:cs="Times New Roman"/>
                <w:color w:val="auto"/>
                <w:sz w:val="24"/>
                <w:szCs w:val="24"/>
                <w:highlight w:val="none"/>
                <w:lang w:val="en-US" w:eastAsia="zh-CN"/>
              </w:rPr>
              <w:fldChar w:fldCharType="separate"/>
            </w:r>
            <w:r>
              <w:rPr>
                <w:rFonts w:hint="default" w:ascii="Times New Roman" w:hAnsi="Times New Roman" w:eastAsia="宋体" w:cs="Times New Roman"/>
                <w:color w:val="auto"/>
                <w:sz w:val="24"/>
                <w:szCs w:val="24"/>
                <w:highlight w:val="none"/>
                <w:lang w:val="en-US" w:eastAsia="zh-CN"/>
              </w:rPr>
              <w:t>大气污染防治</w:t>
            </w:r>
            <w:r>
              <w:rPr>
                <w:rFonts w:hint="default" w:ascii="Times New Roman" w:hAnsi="Times New Roman" w:eastAsia="宋体" w:cs="Times New Roman"/>
                <w:color w:val="auto"/>
                <w:sz w:val="24"/>
                <w:szCs w:val="24"/>
                <w:highlight w:val="none"/>
                <w:lang w:val="en-US" w:eastAsia="zh-CN"/>
              </w:rPr>
              <w:fldChar w:fldCharType="end"/>
            </w:r>
            <w:r>
              <w:rPr>
                <w:rFonts w:hint="default" w:ascii="Times New Roman" w:hAnsi="Times New Roman" w:eastAsia="宋体" w:cs="Times New Roman"/>
                <w:color w:val="auto"/>
                <w:sz w:val="24"/>
                <w:szCs w:val="24"/>
                <w:highlight w:val="none"/>
                <w:lang w:val="en-US" w:eastAsia="zh-CN"/>
              </w:rPr>
              <w:t>条例管理要求。</w:t>
            </w:r>
          </w:p>
          <w:p w14:paraId="5D442917">
            <w:pPr>
              <w:pStyle w:val="6"/>
              <w:pageBreakBefore w:val="0"/>
              <w:numPr>
                <w:ilvl w:val="0"/>
                <w:numId w:val="0"/>
              </w:numPr>
              <w:kinsoku/>
              <w:wordWrap/>
              <w:overflowPunct/>
              <w:topLinePunct w:val="0"/>
              <w:autoSpaceDE/>
              <w:autoSpaceDN/>
              <w:bidi w:val="0"/>
              <w:adjustRightInd/>
              <w:snapToGrid/>
              <w:spacing w:beforeLines="0" w:afterLines="0" w:line="360" w:lineRule="auto"/>
              <w:ind w:leftChars="0"/>
              <w:textAlignment w:val="auto"/>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8</w:t>
            </w:r>
            <w:r>
              <w:rPr>
                <w:rFonts w:hint="eastAsia" w:ascii="Times New Roman" w:hAnsi="Times New Roman" w:eastAsia="宋体" w:cs="Times New Roman"/>
                <w:b/>
                <w:bCs/>
                <w:color w:val="auto"/>
                <w:sz w:val="24"/>
                <w:szCs w:val="24"/>
                <w:highlight w:val="none"/>
                <w:lang w:val="en-US" w:eastAsia="zh-CN"/>
              </w:rPr>
              <w:t>.</w:t>
            </w:r>
            <w:r>
              <w:rPr>
                <w:rFonts w:hint="default" w:ascii="Times New Roman" w:hAnsi="Times New Roman" w:eastAsia="宋体" w:cs="Times New Roman"/>
                <w:b/>
                <w:bCs/>
                <w:color w:val="auto"/>
                <w:sz w:val="24"/>
                <w:szCs w:val="24"/>
                <w:highlight w:val="none"/>
                <w:lang w:val="en-US" w:eastAsia="zh-CN"/>
              </w:rPr>
              <w:t>《新疆维吾尔自治区生态环境保护“十四五”规划》符合性分析</w:t>
            </w:r>
          </w:p>
          <w:p w14:paraId="6F6DD866">
            <w:pPr>
              <w:autoSpaceDE w:val="0"/>
              <w:autoSpaceDN w:val="0"/>
              <w:adjustRightInd w:val="0"/>
              <w:snapToGrid w:val="0"/>
              <w:spacing w:line="360" w:lineRule="auto"/>
              <w:ind w:firstLine="480" w:firstLineChars="200"/>
              <w:rPr>
                <w:color w:val="auto"/>
                <w:kern w:val="0"/>
                <w:sz w:val="24"/>
                <w:highlight w:val="none"/>
              </w:rPr>
            </w:pPr>
            <w:r>
              <w:rPr>
                <w:color w:val="auto"/>
                <w:kern w:val="0"/>
                <w:sz w:val="24"/>
                <w:highlight w:val="none"/>
              </w:rPr>
              <w:t>《新疆</w:t>
            </w:r>
            <w:r>
              <w:rPr>
                <w:rFonts w:hint="eastAsia"/>
                <w:color w:val="auto"/>
                <w:kern w:val="0"/>
                <w:sz w:val="24"/>
                <w:highlight w:val="none"/>
                <w:lang w:val="en-US" w:eastAsia="zh-CN"/>
              </w:rPr>
              <w:t>维吾尔自治区</w:t>
            </w:r>
            <w:r>
              <w:rPr>
                <w:color w:val="auto"/>
                <w:kern w:val="0"/>
                <w:sz w:val="24"/>
                <w:highlight w:val="none"/>
              </w:rPr>
              <w:t>生态环境保护“十四五”规划》指出：“实施最严格的生态保护制度。坚决遏制“两高”项目盲目发展，严格执行能源、矿产资源开发自治区人民政府</w:t>
            </w:r>
            <w:r>
              <w:rPr>
                <w:rFonts w:hint="eastAsia"/>
                <w:color w:val="auto"/>
                <w:kern w:val="0"/>
                <w:sz w:val="24"/>
                <w:highlight w:val="none"/>
                <w:lang w:eastAsia="zh-CN"/>
              </w:rPr>
              <w:t>“</w:t>
            </w:r>
            <w:r>
              <w:rPr>
                <w:color w:val="auto"/>
                <w:kern w:val="0"/>
                <w:sz w:val="24"/>
                <w:highlight w:val="none"/>
              </w:rPr>
              <w:t>一支笔</w:t>
            </w:r>
            <w:r>
              <w:rPr>
                <w:rFonts w:hint="eastAsia"/>
                <w:color w:val="auto"/>
                <w:kern w:val="0"/>
                <w:sz w:val="24"/>
                <w:highlight w:val="none"/>
                <w:lang w:eastAsia="zh-CN"/>
              </w:rPr>
              <w:t>”</w:t>
            </w:r>
            <w:r>
              <w:rPr>
                <w:color w:val="auto"/>
                <w:kern w:val="0"/>
                <w:sz w:val="24"/>
                <w:highlight w:val="none"/>
              </w:rPr>
              <w:t>审批制度、环境保护</w:t>
            </w:r>
            <w:r>
              <w:rPr>
                <w:rFonts w:hint="eastAsia"/>
                <w:color w:val="auto"/>
                <w:kern w:val="0"/>
                <w:sz w:val="24"/>
                <w:highlight w:val="none"/>
                <w:lang w:eastAsia="zh-CN"/>
              </w:rPr>
              <w:t>“</w:t>
            </w:r>
            <w:r>
              <w:rPr>
                <w:color w:val="auto"/>
                <w:kern w:val="0"/>
                <w:sz w:val="24"/>
                <w:highlight w:val="none"/>
              </w:rPr>
              <w:t>一票否决</w:t>
            </w:r>
            <w:r>
              <w:rPr>
                <w:rFonts w:hint="eastAsia"/>
                <w:color w:val="auto"/>
                <w:kern w:val="0"/>
                <w:sz w:val="24"/>
                <w:highlight w:val="none"/>
                <w:lang w:eastAsia="zh-CN"/>
              </w:rPr>
              <w:t>”</w:t>
            </w:r>
            <w:r>
              <w:rPr>
                <w:color w:val="auto"/>
                <w:kern w:val="0"/>
                <w:sz w:val="24"/>
                <w:highlight w:val="none"/>
              </w:rPr>
              <w:t>制度，落实“三线一单”生态环境分区管控要求，守住生态保护红线、环境质量底线和资源利用上线，实施生态环境准入清单管控。”</w:t>
            </w:r>
          </w:p>
          <w:p w14:paraId="0FBD876E">
            <w:pPr>
              <w:autoSpaceDE w:val="0"/>
              <w:autoSpaceDN w:val="0"/>
              <w:adjustRightInd w:val="0"/>
              <w:snapToGrid w:val="0"/>
              <w:spacing w:line="360" w:lineRule="auto"/>
              <w:ind w:firstLine="480" w:firstLineChars="200"/>
              <w:rPr>
                <w:color w:val="auto"/>
                <w:kern w:val="0"/>
                <w:sz w:val="24"/>
                <w:highlight w:val="none"/>
              </w:rPr>
            </w:pPr>
            <w:r>
              <w:rPr>
                <w:color w:val="auto"/>
                <w:kern w:val="0"/>
                <w:sz w:val="24"/>
                <w:highlight w:val="none"/>
              </w:rPr>
              <w:t>“推进扬尘精细化管控。全面推行绿色施工，城市建成区建筑工地扬尘防控标准化管理全覆盖；加强城市道路清扫保洁和洒水抑尘，渣土车实施硬覆盖；推进低尘机械化作业水平，控制道路扬尘污染；强化非道路移动源综合治理；充分运用新型、高效的防尘、降尘、除尘技术，加强矿山粉尘治理。”</w:t>
            </w:r>
          </w:p>
          <w:p w14:paraId="0FE1B543">
            <w:pPr>
              <w:autoSpaceDE w:val="0"/>
              <w:autoSpaceDN w:val="0"/>
              <w:adjustRightInd w:val="0"/>
              <w:snapToGrid w:val="0"/>
              <w:spacing w:line="360" w:lineRule="auto"/>
              <w:ind w:firstLine="480" w:firstLineChars="200"/>
              <w:rPr>
                <w:rFonts w:hint="eastAsia" w:ascii="Times New Roman" w:hAnsi="Times New Roman" w:eastAsia="宋体" w:cs="Times New Roman"/>
                <w:color w:val="auto"/>
                <w:sz w:val="24"/>
                <w:szCs w:val="24"/>
                <w:highlight w:val="none"/>
                <w:lang w:eastAsia="zh-CN"/>
              </w:rPr>
            </w:pPr>
            <w:r>
              <w:rPr>
                <w:rFonts w:hint="eastAsia" w:cs="Times New Roman"/>
                <w:color w:val="auto"/>
                <w:sz w:val="24"/>
                <w:szCs w:val="24"/>
                <w:highlight w:val="none"/>
                <w:lang w:eastAsia="zh-CN"/>
              </w:rPr>
              <w:t>“加强重点行业VOCs治理。实施VOCs排放总量控制，重点推进石油天然气开采、石化、化工、包装印刷、工业涂装、油品储运销等重点行业排放源以及机动车等移动源VOCs污染防治，加强重点行业、重点企业的精细化管控;全面推进使用低VOCs含量涂料、油墨、胶粘剂、清洗剂等;加强汽修行业VOCs综合治理，加大餐饮油烟污染治理力度，持续削减VOCs排放量。”</w:t>
            </w:r>
          </w:p>
          <w:p w14:paraId="21EA535D">
            <w:pPr>
              <w:autoSpaceDE w:val="0"/>
              <w:autoSpaceDN w:val="0"/>
              <w:adjustRightInd w:val="0"/>
              <w:snapToGrid w:val="0"/>
              <w:spacing w:line="360" w:lineRule="auto"/>
              <w:ind w:firstLine="480" w:firstLineChars="200"/>
              <w:rPr>
                <w:color w:val="auto"/>
                <w:kern w:val="0"/>
                <w:sz w:val="24"/>
                <w:highlight w:val="none"/>
              </w:rPr>
            </w:pPr>
            <w:r>
              <w:rPr>
                <w:rFonts w:hint="default" w:ascii="Times New Roman" w:hAnsi="Times New Roman" w:eastAsia="宋体" w:cs="Times New Roman"/>
                <w:color w:val="auto"/>
                <w:sz w:val="24"/>
                <w:szCs w:val="24"/>
                <w:highlight w:val="none"/>
              </w:rPr>
              <w:t>本项目属于</w:t>
            </w:r>
            <w:r>
              <w:rPr>
                <w:rFonts w:hint="eastAsia" w:cs="Times New Roman"/>
                <w:color w:val="auto"/>
                <w:sz w:val="24"/>
                <w:szCs w:val="24"/>
                <w:highlight w:val="none"/>
                <w:lang w:eastAsia="zh-CN"/>
              </w:rPr>
              <w:t>机械化农业及园艺机具制造</w:t>
            </w:r>
            <w:r>
              <w:rPr>
                <w:color w:val="auto"/>
                <w:kern w:val="0"/>
                <w:sz w:val="24"/>
                <w:highlight w:val="none"/>
              </w:rPr>
              <w:t>，不属于“两高”项目。本项目位于</w:t>
            </w:r>
            <w:r>
              <w:rPr>
                <w:rFonts w:hint="eastAsia" w:ascii="Times New Roman" w:hAnsi="Times New Roman" w:eastAsia="宋体" w:cs="Times New Roman"/>
                <w:color w:val="auto"/>
                <w:kern w:val="2"/>
                <w:sz w:val="24"/>
                <w:szCs w:val="24"/>
                <w:highlight w:val="none"/>
                <w:lang w:val="en-US" w:eastAsia="zh-CN" w:bidi="zh-CN"/>
              </w:rPr>
              <w:t>新疆</w:t>
            </w:r>
            <w:r>
              <w:rPr>
                <w:rFonts w:hint="eastAsia" w:cs="Times New Roman"/>
                <w:color w:val="auto"/>
                <w:kern w:val="2"/>
                <w:sz w:val="24"/>
                <w:szCs w:val="24"/>
                <w:highlight w:val="none"/>
                <w:lang w:val="en-US" w:eastAsia="zh-CN" w:bidi="zh-CN"/>
              </w:rPr>
              <w:t>昌吉回族自治州昌吉市大西渠镇闽昌工业园区</w:t>
            </w:r>
            <w:r>
              <w:rPr>
                <w:color w:val="auto"/>
                <w:kern w:val="0"/>
                <w:sz w:val="24"/>
                <w:highlight w:val="none"/>
              </w:rPr>
              <w:t>，</w:t>
            </w:r>
            <w:r>
              <w:rPr>
                <w:rFonts w:hint="eastAsia"/>
                <w:color w:val="auto"/>
                <w:kern w:val="0"/>
                <w:sz w:val="24"/>
                <w:highlight w:val="none"/>
                <w:lang w:val="en-US" w:eastAsia="zh-CN"/>
              </w:rPr>
              <w:t>不涉及新疆的生态保护红线和昌吉州的生态保护红线</w:t>
            </w:r>
            <w:r>
              <w:rPr>
                <w:color w:val="auto"/>
                <w:kern w:val="0"/>
                <w:sz w:val="24"/>
                <w:highlight w:val="none"/>
              </w:rPr>
              <w:t>，</w:t>
            </w:r>
            <w:r>
              <w:rPr>
                <w:rFonts w:hint="eastAsia"/>
                <w:color w:val="auto"/>
                <w:kern w:val="0"/>
                <w:sz w:val="24"/>
                <w:highlight w:val="none"/>
                <w:lang w:val="en-US" w:eastAsia="zh-CN"/>
              </w:rPr>
              <w:t>符合</w:t>
            </w:r>
            <w:r>
              <w:rPr>
                <w:color w:val="auto"/>
                <w:kern w:val="0"/>
                <w:sz w:val="24"/>
                <w:highlight w:val="none"/>
              </w:rPr>
              <w:t>“三线一单”生态环境分区管控要求。</w:t>
            </w:r>
          </w:p>
          <w:p w14:paraId="50D4B45C">
            <w:pPr>
              <w:pStyle w:val="6"/>
              <w:pageBreakBefore w:val="0"/>
              <w:widowControl w:val="0"/>
              <w:numPr>
                <w:ilvl w:val="0"/>
                <w:numId w:val="0"/>
              </w:numPr>
              <w:kinsoku/>
              <w:wordWrap/>
              <w:overflowPunct/>
              <w:topLinePunct w:val="0"/>
              <w:autoSpaceDE/>
              <w:autoSpaceDN/>
              <w:bidi w:val="0"/>
              <w:adjustRightInd/>
              <w:snapToGrid/>
              <w:spacing w:beforeLines="0" w:afterLines="0" w:line="360" w:lineRule="auto"/>
              <w:ind w:firstLine="480" w:firstLineChars="200"/>
              <w:textAlignment w:val="auto"/>
              <w:rPr>
                <w:rFonts w:hint="eastAsia" w:cs="Times New Roman"/>
                <w:b/>
                <w:bCs/>
                <w:color w:val="auto"/>
                <w:sz w:val="24"/>
                <w:szCs w:val="24"/>
                <w:highlight w:val="none"/>
                <w:lang w:val="en-US" w:eastAsia="zh-CN"/>
              </w:rPr>
            </w:pPr>
            <w:r>
              <w:rPr>
                <w:rFonts w:ascii="Times New Roman" w:hAnsi="Times New Roman" w:eastAsia="宋体" w:cs="Times New Roman"/>
                <w:color w:val="auto"/>
                <w:kern w:val="0"/>
                <w:sz w:val="24"/>
                <w:highlight w:val="none"/>
              </w:rPr>
              <w:t>本</w:t>
            </w:r>
            <w:r>
              <w:rPr>
                <w:color w:val="auto"/>
                <w:kern w:val="0"/>
                <w:sz w:val="24"/>
                <w:highlight w:val="none"/>
              </w:rPr>
              <w:t>项目</w:t>
            </w:r>
            <w:r>
              <w:rPr>
                <w:rFonts w:ascii="Times New Roman" w:hAnsi="Times New Roman" w:eastAsia="宋体" w:cs="Times New Roman"/>
                <w:color w:val="auto"/>
                <w:kern w:val="0"/>
                <w:sz w:val="24"/>
                <w:highlight w:val="none"/>
              </w:rPr>
              <w:t>生产产生的废气污染物</w:t>
            </w:r>
            <w:r>
              <w:rPr>
                <w:rFonts w:hint="eastAsia" w:ascii="Times New Roman" w:hAnsi="Times New Roman" w:eastAsia="宋体" w:cs="Times New Roman"/>
                <w:color w:val="auto"/>
                <w:kern w:val="0"/>
                <w:sz w:val="24"/>
                <w:highlight w:val="none"/>
                <w:lang w:val="en-US" w:eastAsia="zh-CN"/>
              </w:rPr>
              <w:t>主要为</w:t>
            </w:r>
            <w:r>
              <w:rPr>
                <w:rFonts w:hint="eastAsia" w:cs="Times New Roman"/>
                <w:color w:val="auto"/>
                <w:kern w:val="0"/>
                <w:sz w:val="24"/>
                <w:highlight w:val="none"/>
                <w:lang w:val="en-US" w:eastAsia="zh-CN"/>
              </w:rPr>
              <w:t>下料切割、抛丸、焊接、喷涂产生的颗粒物和非甲烷总烃</w:t>
            </w:r>
            <w:r>
              <w:rPr>
                <w:rFonts w:hint="eastAsia" w:ascii="Times New Roman" w:hAnsi="Times New Roman" w:eastAsia="宋体" w:cs="Times New Roman"/>
                <w:color w:val="auto"/>
                <w:kern w:val="0"/>
                <w:sz w:val="24"/>
                <w:highlight w:val="none"/>
                <w:lang w:val="en-US" w:eastAsia="zh-CN"/>
              </w:rPr>
              <w:t>，设备位于密闭</w:t>
            </w:r>
            <w:r>
              <w:rPr>
                <w:rFonts w:hint="eastAsia" w:cs="Times New Roman"/>
                <w:color w:val="auto"/>
                <w:kern w:val="0"/>
                <w:sz w:val="24"/>
                <w:highlight w:val="none"/>
                <w:lang w:val="en-US" w:eastAsia="zh-CN"/>
              </w:rPr>
              <w:t>厂房</w:t>
            </w:r>
            <w:r>
              <w:rPr>
                <w:rFonts w:hint="eastAsia" w:ascii="Times New Roman" w:hAnsi="Times New Roman" w:eastAsia="宋体" w:cs="Times New Roman"/>
                <w:color w:val="auto"/>
                <w:kern w:val="0"/>
                <w:sz w:val="24"/>
                <w:highlight w:val="none"/>
                <w:lang w:val="en-US" w:eastAsia="zh-CN"/>
              </w:rPr>
              <w:t>中，</w:t>
            </w:r>
            <w:r>
              <w:rPr>
                <w:rFonts w:hint="eastAsia"/>
                <w:color w:val="auto"/>
                <w:kern w:val="0"/>
                <w:sz w:val="24"/>
                <w:highlight w:val="none"/>
                <w:lang w:val="en-US" w:eastAsia="zh-CN"/>
              </w:rPr>
              <w:t>下料切割时产生的粉尘颗粒物通过“袋式除尘器+15m高排气筒”处理；焊接产生的颗粒物经移动烟尘净化器处理；抛丸打磨时产生的粉尘颗粒物通过“袋式除尘器+15m高排气筒”处理；喷塑时产生的粉尘颗粒物经袋式除尘器处理后排放，收集尘回用于喷塑，喷塑后烘干产生的非甲烷总烃经过活性炭吸附-催化燃烧设备处理后排放，喷塑产生的颗粒物与烘干产生的非甲烷总烃通过同一根15m高排气筒排放</w:t>
            </w:r>
            <w:r>
              <w:rPr>
                <w:rFonts w:hint="eastAsia" w:cs="Times New Roman"/>
                <w:color w:val="auto"/>
                <w:kern w:val="0"/>
                <w:sz w:val="24"/>
                <w:highlight w:val="none"/>
                <w:lang w:val="en-US" w:eastAsia="zh-CN"/>
              </w:rPr>
              <w:t>，</w:t>
            </w:r>
            <w:r>
              <w:rPr>
                <w:rFonts w:hint="eastAsia" w:ascii="Times New Roman" w:hAnsi="Times New Roman" w:eastAsia="宋体" w:cs="Times New Roman"/>
                <w:color w:val="auto"/>
                <w:kern w:val="0"/>
                <w:sz w:val="24"/>
                <w:highlight w:val="none"/>
                <w:lang w:val="en-US" w:eastAsia="zh-CN"/>
              </w:rPr>
              <w:t>产生的</w:t>
            </w:r>
            <w:r>
              <w:rPr>
                <w:rFonts w:hint="eastAsia" w:cs="Times New Roman"/>
                <w:color w:val="auto"/>
                <w:kern w:val="0"/>
                <w:sz w:val="24"/>
                <w:highlight w:val="none"/>
                <w:lang w:val="en-US" w:eastAsia="zh-CN"/>
              </w:rPr>
              <w:t>颗粒物</w:t>
            </w:r>
            <w:r>
              <w:rPr>
                <w:rFonts w:ascii="Times New Roman" w:hAnsi="Times New Roman" w:eastAsia="宋体" w:cs="Times New Roman"/>
                <w:color w:val="auto"/>
                <w:kern w:val="0"/>
                <w:sz w:val="24"/>
                <w:highlight w:val="none"/>
              </w:rPr>
              <w:t>执行</w:t>
            </w:r>
            <w:r>
              <w:rPr>
                <w:rFonts w:hint="eastAsia" w:cs="Times New Roman"/>
                <w:color w:val="auto"/>
                <w:sz w:val="24"/>
                <w:szCs w:val="24"/>
                <w:highlight w:val="none"/>
                <w:lang w:val="en-US" w:eastAsia="zh-CN"/>
              </w:rPr>
              <w:t>《大气污染物综合排放标准》（GB16297-1996）</w:t>
            </w:r>
            <w:r>
              <w:rPr>
                <w:rFonts w:hint="eastAsia" w:ascii="Times New Roman" w:hAnsi="Times New Roman" w:eastAsia="宋体" w:cs="Times New Roman"/>
                <w:color w:val="auto"/>
                <w:kern w:val="0"/>
                <w:sz w:val="24"/>
                <w:highlight w:val="none"/>
                <w:lang w:val="en-US" w:eastAsia="zh-CN"/>
              </w:rPr>
              <w:t>排放限值要求，</w:t>
            </w:r>
            <w:r>
              <w:rPr>
                <w:rFonts w:hint="eastAsia" w:cs="Times New Roman"/>
                <w:color w:val="auto"/>
                <w:kern w:val="0"/>
                <w:sz w:val="24"/>
                <w:highlight w:val="none"/>
                <w:lang w:val="en-US" w:eastAsia="zh-CN"/>
              </w:rPr>
              <w:t>产生的非甲烷总烃满足《重污染天气重点行业应急减排措施制定技术指南》表39-1 A级企业排放限值要求，</w:t>
            </w:r>
            <w:r>
              <w:rPr>
                <w:rFonts w:hint="eastAsia" w:ascii="Times New Roman" w:hAnsi="Times New Roman" w:eastAsia="宋体" w:cs="Times New Roman"/>
                <w:color w:val="auto"/>
                <w:kern w:val="0"/>
                <w:sz w:val="24"/>
                <w:highlight w:val="none"/>
                <w:lang w:val="en-US" w:eastAsia="zh-CN"/>
              </w:rPr>
              <w:t>对周围环境影响</w:t>
            </w:r>
            <w:r>
              <w:rPr>
                <w:color w:val="auto"/>
                <w:kern w:val="0"/>
                <w:sz w:val="24"/>
                <w:highlight w:val="none"/>
              </w:rPr>
              <w:t>较小。因此，与《新疆</w:t>
            </w:r>
            <w:r>
              <w:rPr>
                <w:rFonts w:hint="eastAsia"/>
                <w:color w:val="auto"/>
                <w:kern w:val="0"/>
                <w:sz w:val="24"/>
                <w:highlight w:val="none"/>
                <w:lang w:val="en-US" w:eastAsia="zh-CN"/>
              </w:rPr>
              <w:t>维吾尔自治区</w:t>
            </w:r>
            <w:r>
              <w:rPr>
                <w:color w:val="auto"/>
                <w:kern w:val="0"/>
                <w:sz w:val="24"/>
                <w:highlight w:val="none"/>
              </w:rPr>
              <w:t>生态环境保护“十四五”规划》相符合。</w:t>
            </w:r>
          </w:p>
          <w:p w14:paraId="76834954">
            <w:pPr>
              <w:pStyle w:val="6"/>
              <w:pageBreakBefore w:val="0"/>
              <w:widowControl w:val="0"/>
              <w:numPr>
                <w:ilvl w:val="0"/>
                <w:numId w:val="0"/>
              </w:numPr>
              <w:kinsoku/>
              <w:wordWrap/>
              <w:overflowPunct/>
              <w:topLinePunct w:val="0"/>
              <w:autoSpaceDE/>
              <w:autoSpaceDN/>
              <w:bidi w:val="0"/>
              <w:adjustRightInd/>
              <w:snapToGrid/>
              <w:spacing w:beforeLines="0" w:afterLines="0" w:line="360" w:lineRule="auto"/>
              <w:textAlignment w:val="auto"/>
              <w:rPr>
                <w:rFonts w:hint="default"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9.《昌吉回族自治州生态环境保护与建设“十四五”规划》符合性分析</w:t>
            </w:r>
          </w:p>
          <w:p w14:paraId="7FE2D543">
            <w:pPr>
              <w:pStyle w:val="6"/>
              <w:pageBreakBefore w:val="0"/>
              <w:widowControl w:val="0"/>
              <w:numPr>
                <w:ilvl w:val="0"/>
                <w:numId w:val="0"/>
              </w:numPr>
              <w:kinsoku/>
              <w:wordWrap/>
              <w:overflowPunct/>
              <w:topLinePunct w:val="0"/>
              <w:autoSpaceDE/>
              <w:autoSpaceDN/>
              <w:bidi w:val="0"/>
              <w:adjustRightInd/>
              <w:snapToGrid/>
              <w:spacing w:beforeLines="0" w:afterLines="0" w:line="360" w:lineRule="auto"/>
              <w:ind w:firstLine="480" w:firstLineChars="200"/>
              <w:textAlignment w:val="auto"/>
              <w:rPr>
                <w:rFonts w:hint="eastAsia" w:cs="Times New Roman"/>
                <w:b w:val="0"/>
                <w:bCs w:val="0"/>
                <w:color w:val="auto"/>
                <w:sz w:val="24"/>
                <w:szCs w:val="24"/>
                <w:highlight w:val="none"/>
                <w:lang w:val="en-US" w:eastAsia="zh-CN"/>
              </w:rPr>
            </w:pPr>
            <w:r>
              <w:rPr>
                <w:rFonts w:hint="default" w:cs="Times New Roman"/>
                <w:b w:val="0"/>
                <w:bCs w:val="0"/>
                <w:color w:val="auto"/>
                <w:sz w:val="24"/>
                <w:szCs w:val="24"/>
                <w:highlight w:val="none"/>
                <w:lang w:val="en-US" w:eastAsia="zh-CN"/>
              </w:rPr>
              <w:t>《昌吉回族自治州生态环境保护与建设“十四五”规划》</w:t>
            </w:r>
            <w:r>
              <w:rPr>
                <w:rFonts w:hint="eastAsia" w:cs="Times New Roman"/>
                <w:b w:val="0"/>
                <w:bCs w:val="0"/>
                <w:color w:val="auto"/>
                <w:sz w:val="24"/>
                <w:szCs w:val="24"/>
                <w:highlight w:val="none"/>
                <w:lang w:val="en-US" w:eastAsia="zh-CN"/>
              </w:rPr>
              <w:t>中提到：“优化调整产业结构：加快发展现代煤化工、新材料、有色金属、煤炭、煤电、矿产开采及加工等优势产业，培育壮大先进装备制造、页岩油气加工、节能环保、新型建材、新能源等新兴产业和生产性服务业。”“优化调整能源结构：推动煤炭清洁高效利用，提高煤炭综合利用效率，提升煤矸石、粉煤灰和各种余气、余热综合利用水平。大力开发水能、风能、太阳能、地热能等可再生能源，探索氢能开发利用，加快推进煤炭替代。”“开展多污染源治理：推进石化、化工、工业涂装、家具制造、塑料、橡胶、包装印刷、汽修等重点行业领域 VOCs 整治，加强 VOCs 源头、过程、末端全流程控制，重点加强对光化学反应活性强的 VOCs 物质控制，开展企业深度治理和精细化管控。”“严格水资源管理：严格实行区域用水总量和强度控制，健全州、县市、乡镇三级行政区用水总量和用水强度控制指标体系。”“实施固废污染防治行动：坚持固体废物减量化、资源化、无害化和治理能力匹配化，开展危险废物三年专项整治行动，统筹推进工业和其他固体废物管理，”</w:t>
            </w:r>
          </w:p>
          <w:p w14:paraId="31E5B1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本项目为</w:t>
            </w:r>
            <w:r>
              <w:rPr>
                <w:rFonts w:hint="eastAsia" w:cs="Times New Roman"/>
                <w:b w:val="0"/>
                <w:bCs w:val="0"/>
                <w:color w:val="auto"/>
                <w:kern w:val="2"/>
                <w:sz w:val="24"/>
                <w:szCs w:val="24"/>
                <w:highlight w:val="none"/>
                <w:lang w:val="en-US" w:eastAsia="zh-CN" w:bidi="ar-SA"/>
              </w:rPr>
              <w:t>高端智慧农业装备生产项目，生产过程不使用煤炭。项目在喷塑后烘干的过程产生少量的VOCs，采用负压收集后活性炭吸附+催化燃烧的方式处理，处理后通过15m高排气筒排放，对周围环境影响较小。本项目用水仅有生活用水及产品检验用水，产品检验用水循环使用，符合总量控制要求。本项目产生的生活垃圾经收集后依托园区环卫部门处理，边角料、废焊渣、除尘器收集的粉尘、废包装容器收集于一般固废暂存间，定期外售，催化燃烧装置内废活性炭、废催化剂、废润滑油、废润滑油桶等暂存域危废暂存库，定期由有资质的单位拉运处理。综上，本项目</w:t>
            </w:r>
            <w:r>
              <w:rPr>
                <w:color w:val="auto"/>
                <w:kern w:val="0"/>
                <w:sz w:val="24"/>
                <w:highlight w:val="none"/>
              </w:rPr>
              <w:t>与《</w:t>
            </w:r>
            <w:r>
              <w:rPr>
                <w:rFonts w:hint="default" w:cs="Times New Roman"/>
                <w:b w:val="0"/>
                <w:bCs w:val="0"/>
                <w:color w:val="auto"/>
                <w:sz w:val="24"/>
                <w:szCs w:val="24"/>
                <w:highlight w:val="none"/>
                <w:lang w:val="en-US" w:eastAsia="zh-CN"/>
              </w:rPr>
              <w:t>昌吉回族自治州生态环境保护与建设“十四五”规划</w:t>
            </w:r>
            <w:r>
              <w:rPr>
                <w:color w:val="auto"/>
                <w:kern w:val="0"/>
                <w:sz w:val="24"/>
                <w:highlight w:val="none"/>
              </w:rPr>
              <w:t>》符合</w:t>
            </w:r>
            <w:r>
              <w:rPr>
                <w:rFonts w:hint="eastAsia"/>
                <w:color w:val="auto"/>
                <w:kern w:val="0"/>
                <w:sz w:val="24"/>
                <w:highlight w:val="none"/>
                <w:lang w:eastAsia="zh-CN"/>
              </w:rPr>
              <w:t>。</w:t>
            </w:r>
          </w:p>
          <w:p w14:paraId="418D8D33">
            <w:pPr>
              <w:pStyle w:val="6"/>
              <w:pageBreakBefore w:val="0"/>
              <w:widowControl w:val="0"/>
              <w:numPr>
                <w:ilvl w:val="0"/>
                <w:numId w:val="0"/>
              </w:numPr>
              <w:kinsoku/>
              <w:wordWrap/>
              <w:overflowPunct/>
              <w:topLinePunct w:val="0"/>
              <w:autoSpaceDE/>
              <w:autoSpaceDN/>
              <w:bidi w:val="0"/>
              <w:adjustRightInd/>
              <w:snapToGrid/>
              <w:spacing w:beforeLines="0" w:afterLines="0" w:line="360" w:lineRule="auto"/>
              <w:textAlignment w:val="auto"/>
              <w:rPr>
                <w:rFonts w:hint="eastAsia"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10</w:t>
            </w:r>
            <w:r>
              <w:rPr>
                <w:rFonts w:hint="eastAsia" w:ascii="Times New Roman" w:hAnsi="Times New Roman" w:eastAsia="宋体" w:cs="Times New Roman"/>
                <w:b/>
                <w:bCs/>
                <w:color w:val="auto"/>
                <w:sz w:val="24"/>
                <w:szCs w:val="24"/>
                <w:highlight w:val="none"/>
                <w:lang w:val="en-US" w:eastAsia="zh-CN"/>
              </w:rPr>
              <w:t>.环境相容性分析</w:t>
            </w:r>
          </w:p>
          <w:p w14:paraId="19434A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项目为</w:t>
            </w:r>
            <w:r>
              <w:rPr>
                <w:rFonts w:hint="eastAsia" w:cs="Times New Roman"/>
                <w:color w:val="auto"/>
                <w:sz w:val="24"/>
                <w:szCs w:val="24"/>
                <w:highlight w:val="none"/>
                <w:lang w:eastAsia="zh-CN"/>
              </w:rPr>
              <w:t>机械化农业及园艺机具制造</w:t>
            </w:r>
            <w:r>
              <w:rPr>
                <w:rFonts w:hint="eastAsia" w:ascii="Times New Roman" w:hAnsi="Times New Roman" w:eastAsia="宋体" w:cs="Times New Roman"/>
                <w:color w:val="auto"/>
                <w:kern w:val="2"/>
                <w:sz w:val="24"/>
                <w:szCs w:val="24"/>
                <w:highlight w:val="none"/>
                <w:lang w:val="en-US" w:eastAsia="zh-CN" w:bidi="ar-SA"/>
              </w:rPr>
              <w:t>项目，建设地点位于</w:t>
            </w:r>
            <w:r>
              <w:rPr>
                <w:rFonts w:hint="eastAsia" w:ascii="Times New Roman" w:hAnsi="Times New Roman" w:eastAsia="宋体" w:cs="Times New Roman"/>
                <w:color w:val="auto"/>
                <w:kern w:val="2"/>
                <w:sz w:val="24"/>
                <w:szCs w:val="24"/>
                <w:highlight w:val="none"/>
                <w:lang w:val="en-US" w:eastAsia="zh-CN" w:bidi="zh-CN"/>
              </w:rPr>
              <w:t>新疆</w:t>
            </w:r>
            <w:r>
              <w:rPr>
                <w:rFonts w:hint="eastAsia" w:cs="Times New Roman"/>
                <w:color w:val="auto"/>
                <w:kern w:val="2"/>
                <w:sz w:val="24"/>
                <w:szCs w:val="24"/>
                <w:highlight w:val="none"/>
                <w:lang w:val="en-US" w:eastAsia="zh-CN" w:bidi="zh-CN"/>
              </w:rPr>
              <w:t>昌吉回族自治州昌吉市大西渠镇闽昌工业园区</w:t>
            </w:r>
            <w:r>
              <w:rPr>
                <w:rFonts w:hint="eastAsia" w:ascii="Times New Roman" w:hAnsi="Times New Roman" w:eastAsia="宋体" w:cs="Times New Roman"/>
                <w:color w:val="auto"/>
                <w:kern w:val="2"/>
                <w:sz w:val="24"/>
                <w:szCs w:val="24"/>
                <w:highlight w:val="none"/>
                <w:lang w:val="en-US" w:eastAsia="zh-CN" w:bidi="ar-SA"/>
              </w:rPr>
              <w:t>，与本项目相容。</w:t>
            </w:r>
            <w:r>
              <w:rPr>
                <w:rFonts w:hint="eastAsia" w:ascii="Times New Roman" w:hAnsi="Times New Roman" w:cs="Times New Roman"/>
                <w:color w:val="auto"/>
                <w:sz w:val="24"/>
                <w:szCs w:val="24"/>
                <w:highlight w:val="none"/>
                <w:lang w:val="en-US" w:eastAsia="zh-CN"/>
              </w:rPr>
              <w:t>项目北侧隔一条无名道路为鑫合盛彩钢厂，彩钢厂西侧为祥运驾校，项目西侧为昌吉市赵保东废品回收站，项目西侧偏南为新疆聚百弘汽车交易市场，项目南侧为中闵光捷加油站，项目东侧为一条无名道路，道路东侧为宏昊钢材综合交易市场</w:t>
            </w:r>
            <w:r>
              <w:rPr>
                <w:rFonts w:hint="eastAsia" w:ascii="Times New Roman" w:hAnsi="Times New Roman" w:eastAsia="宋体" w:cs="Times New Roman"/>
                <w:color w:val="auto"/>
                <w:kern w:val="2"/>
                <w:sz w:val="24"/>
                <w:szCs w:val="24"/>
                <w:highlight w:val="none"/>
                <w:lang w:val="en-US" w:eastAsia="zh-CN" w:bidi="ar-SA"/>
              </w:rPr>
              <w:t>，周边环境对项目产生影响较小。</w:t>
            </w:r>
          </w:p>
          <w:p w14:paraId="599C2387">
            <w:pPr>
              <w:pStyle w:val="22"/>
              <w:pageBreakBefore w:val="0"/>
              <w:widowControl w:val="0"/>
              <w:kinsoku/>
              <w:wordWrap/>
              <w:overflowPunct/>
              <w:topLinePunct w:val="0"/>
              <w:autoSpaceDE/>
              <w:autoSpaceDN/>
              <w:bidi w:val="0"/>
              <w:adjustRightInd/>
              <w:snapToGrid/>
              <w:jc w:val="both"/>
              <w:textAlignment w:val="auto"/>
              <w:rPr>
                <w:rFonts w:hint="eastAsia"/>
                <w:color w:val="auto"/>
                <w:highlight w:val="none"/>
                <w:lang w:val="en-US" w:eastAsia="zh-CN"/>
              </w:rPr>
            </w:pPr>
            <w:r>
              <w:rPr>
                <w:rFonts w:hint="eastAsia"/>
                <w:color w:val="auto"/>
                <w:highlight w:val="none"/>
                <w:lang w:val="en-US" w:eastAsia="zh-CN"/>
              </w:rPr>
              <w:t>项目运营期产生大气污染物主要为颗粒物、非甲烷总烃</w:t>
            </w:r>
            <w:r>
              <w:rPr>
                <w:rFonts w:hint="default"/>
                <w:color w:val="auto"/>
                <w:highlight w:val="none"/>
                <w:lang w:eastAsia="zh-CN"/>
              </w:rPr>
              <w:t>，</w:t>
            </w:r>
            <w:r>
              <w:rPr>
                <w:rFonts w:hint="eastAsia"/>
                <w:color w:val="auto"/>
                <w:kern w:val="0"/>
                <w:sz w:val="24"/>
                <w:highlight w:val="none"/>
                <w:lang w:val="en-US" w:eastAsia="zh-CN"/>
              </w:rPr>
              <w:t>下料切割时产生的粉尘颗粒物通过“袋式除尘器+15m高排气筒”处理；焊接产生的颗粒物经移动烟尘净化器处理；抛丸打磨时产生的粉尘颗粒物通过“袋式除尘器+15m高排气筒”处理；喷塑时产生的粉尘颗粒物经袋式除尘器处理后排放，收集尘回用于喷塑，喷塑后烘干产生的非甲烷总烃经过活性炭吸附-催化燃烧设备处理后排放，喷塑产生的颗粒物与烘干产生的非甲烷总烃通过同一根15m高排气筒排放。</w:t>
            </w:r>
            <w:r>
              <w:rPr>
                <w:rFonts w:hint="eastAsia"/>
                <w:color w:val="auto"/>
                <w:highlight w:val="none"/>
                <w:lang w:val="en-US" w:eastAsia="zh-CN"/>
              </w:rPr>
              <w:t>对周围大气环境影响较小。项目生活污水依托现有下水管网排入昌吉市城北污水处理厂集中处理，不会对周围水体产生影响。项目营运期对产噪设备采取安装减振降噪措施及厂房隔声后，厂界能够满足《工业企业厂界环境噪声排放标准》（GB12348-2008）中3类标准。项目各类固废在采取相应处理处置措施后，均可做到综合利用或无害化处置，不会对区域环境造成不利影响。因此，本项目建设对周边环境影响较小。</w:t>
            </w:r>
          </w:p>
          <w:p w14:paraId="39DA940C">
            <w:pPr>
              <w:pStyle w:val="22"/>
              <w:pageBreakBefore w:val="0"/>
              <w:widowControl w:val="0"/>
              <w:kinsoku/>
              <w:wordWrap/>
              <w:overflowPunct/>
              <w:topLinePunct w:val="0"/>
              <w:autoSpaceDE/>
              <w:autoSpaceDN/>
              <w:bidi w:val="0"/>
              <w:adjustRightInd/>
              <w:snapToGrid/>
              <w:textAlignment w:val="auto"/>
              <w:rPr>
                <w:rFonts w:hint="eastAsia"/>
                <w:color w:val="auto"/>
                <w:highlight w:val="none"/>
                <w:lang w:val="en-US" w:eastAsia="zh-CN"/>
              </w:rPr>
            </w:pPr>
            <w:r>
              <w:rPr>
                <w:rFonts w:hint="eastAsia"/>
                <w:color w:val="auto"/>
                <w:highlight w:val="none"/>
                <w:lang w:val="en-US" w:eastAsia="zh-CN"/>
              </w:rPr>
              <w:t>综上，本项目选址与周边环境相容。</w:t>
            </w:r>
          </w:p>
          <w:p w14:paraId="3F0AD66F">
            <w:pPr>
              <w:pStyle w:val="22"/>
              <w:pageBreakBefore w:val="0"/>
              <w:widowControl w:val="0"/>
              <w:kinsoku/>
              <w:wordWrap/>
              <w:overflowPunct/>
              <w:topLinePunct w:val="0"/>
              <w:autoSpaceDE/>
              <w:autoSpaceDN/>
              <w:bidi w:val="0"/>
              <w:adjustRightInd/>
              <w:snapToGrid/>
              <w:textAlignment w:val="auto"/>
              <w:rPr>
                <w:rFonts w:hint="eastAsia"/>
                <w:color w:val="auto"/>
                <w:highlight w:val="none"/>
                <w:lang w:val="en-US" w:eastAsia="zh-CN"/>
              </w:rPr>
            </w:pPr>
          </w:p>
          <w:p w14:paraId="78191389">
            <w:pPr>
              <w:pStyle w:val="22"/>
              <w:pageBreakBefore w:val="0"/>
              <w:widowControl w:val="0"/>
              <w:kinsoku/>
              <w:wordWrap/>
              <w:overflowPunct/>
              <w:topLinePunct w:val="0"/>
              <w:autoSpaceDE/>
              <w:autoSpaceDN/>
              <w:bidi w:val="0"/>
              <w:adjustRightInd/>
              <w:snapToGrid/>
              <w:textAlignment w:val="auto"/>
              <w:rPr>
                <w:rFonts w:hint="eastAsia"/>
                <w:color w:val="auto"/>
                <w:highlight w:val="none"/>
                <w:lang w:val="en-US" w:eastAsia="zh-CN"/>
              </w:rPr>
            </w:pPr>
          </w:p>
          <w:p w14:paraId="067110C9">
            <w:pPr>
              <w:pStyle w:val="22"/>
              <w:pageBreakBefore w:val="0"/>
              <w:widowControl w:val="0"/>
              <w:kinsoku/>
              <w:wordWrap/>
              <w:overflowPunct/>
              <w:topLinePunct w:val="0"/>
              <w:autoSpaceDE/>
              <w:autoSpaceDN/>
              <w:bidi w:val="0"/>
              <w:adjustRightInd/>
              <w:snapToGrid/>
              <w:textAlignment w:val="auto"/>
              <w:rPr>
                <w:rFonts w:hint="eastAsia"/>
                <w:color w:val="auto"/>
                <w:highlight w:val="none"/>
                <w:lang w:val="en-US" w:eastAsia="zh-CN"/>
              </w:rPr>
            </w:pPr>
          </w:p>
          <w:p w14:paraId="4C631E77">
            <w:pPr>
              <w:pStyle w:val="22"/>
              <w:pageBreakBefore w:val="0"/>
              <w:widowControl w:val="0"/>
              <w:kinsoku/>
              <w:wordWrap/>
              <w:overflowPunct/>
              <w:topLinePunct w:val="0"/>
              <w:autoSpaceDE/>
              <w:autoSpaceDN/>
              <w:bidi w:val="0"/>
              <w:adjustRightInd/>
              <w:snapToGrid/>
              <w:textAlignment w:val="auto"/>
              <w:rPr>
                <w:rFonts w:hint="eastAsia"/>
                <w:color w:val="auto"/>
                <w:highlight w:val="none"/>
                <w:lang w:val="en-US" w:eastAsia="zh-CN"/>
              </w:rPr>
            </w:pPr>
          </w:p>
          <w:p w14:paraId="2014A410">
            <w:pPr>
              <w:pStyle w:val="22"/>
              <w:pageBreakBefore w:val="0"/>
              <w:widowControl w:val="0"/>
              <w:kinsoku/>
              <w:wordWrap/>
              <w:overflowPunct/>
              <w:topLinePunct w:val="0"/>
              <w:autoSpaceDE/>
              <w:autoSpaceDN/>
              <w:bidi w:val="0"/>
              <w:adjustRightInd/>
              <w:snapToGrid/>
              <w:textAlignment w:val="auto"/>
              <w:rPr>
                <w:rFonts w:hint="eastAsia"/>
                <w:color w:val="auto"/>
                <w:highlight w:val="none"/>
                <w:lang w:val="en-US" w:eastAsia="zh-CN"/>
              </w:rPr>
            </w:pPr>
          </w:p>
          <w:p w14:paraId="6C5D7DC7">
            <w:pPr>
              <w:pStyle w:val="22"/>
              <w:pageBreakBefore w:val="0"/>
              <w:widowControl w:val="0"/>
              <w:kinsoku/>
              <w:wordWrap/>
              <w:overflowPunct/>
              <w:topLinePunct w:val="0"/>
              <w:autoSpaceDE/>
              <w:autoSpaceDN/>
              <w:bidi w:val="0"/>
              <w:adjustRightInd/>
              <w:snapToGrid/>
              <w:textAlignment w:val="auto"/>
              <w:rPr>
                <w:rFonts w:hint="eastAsia"/>
                <w:color w:val="auto"/>
                <w:highlight w:val="none"/>
                <w:lang w:val="en-US" w:eastAsia="zh-CN"/>
              </w:rPr>
            </w:pPr>
          </w:p>
          <w:p w14:paraId="60D0BCC0">
            <w:pPr>
              <w:pStyle w:val="22"/>
              <w:pageBreakBefore w:val="0"/>
              <w:widowControl w:val="0"/>
              <w:kinsoku/>
              <w:wordWrap/>
              <w:overflowPunct/>
              <w:topLinePunct w:val="0"/>
              <w:autoSpaceDE/>
              <w:autoSpaceDN/>
              <w:bidi w:val="0"/>
              <w:adjustRightInd/>
              <w:snapToGrid/>
              <w:textAlignment w:val="auto"/>
              <w:rPr>
                <w:rFonts w:hint="eastAsia"/>
                <w:color w:val="auto"/>
                <w:highlight w:val="none"/>
                <w:lang w:val="en-US" w:eastAsia="zh-CN"/>
              </w:rPr>
            </w:pPr>
          </w:p>
          <w:p w14:paraId="0CB63755">
            <w:pPr>
              <w:pStyle w:val="22"/>
              <w:pageBreakBefore w:val="0"/>
              <w:widowControl w:val="0"/>
              <w:kinsoku/>
              <w:wordWrap/>
              <w:overflowPunct/>
              <w:topLinePunct w:val="0"/>
              <w:autoSpaceDE/>
              <w:autoSpaceDN/>
              <w:bidi w:val="0"/>
              <w:adjustRightInd/>
              <w:snapToGrid/>
              <w:textAlignment w:val="auto"/>
              <w:rPr>
                <w:rFonts w:hint="eastAsia"/>
                <w:color w:val="auto"/>
                <w:highlight w:val="none"/>
                <w:lang w:val="en-US" w:eastAsia="zh-CN"/>
              </w:rPr>
            </w:pPr>
          </w:p>
          <w:p w14:paraId="48BFD2AE">
            <w:pPr>
              <w:pStyle w:val="22"/>
              <w:pageBreakBefore w:val="0"/>
              <w:widowControl w:val="0"/>
              <w:kinsoku/>
              <w:wordWrap/>
              <w:overflowPunct/>
              <w:topLinePunct w:val="0"/>
              <w:autoSpaceDE/>
              <w:autoSpaceDN/>
              <w:bidi w:val="0"/>
              <w:adjustRightInd/>
              <w:snapToGrid/>
              <w:textAlignment w:val="auto"/>
              <w:rPr>
                <w:rFonts w:hint="eastAsia"/>
                <w:color w:val="auto"/>
                <w:highlight w:val="none"/>
                <w:lang w:val="en-US" w:eastAsia="zh-CN"/>
              </w:rPr>
            </w:pPr>
          </w:p>
          <w:p w14:paraId="2CE5F982">
            <w:pPr>
              <w:pStyle w:val="22"/>
              <w:pageBreakBefore w:val="0"/>
              <w:widowControl w:val="0"/>
              <w:kinsoku/>
              <w:wordWrap/>
              <w:overflowPunct/>
              <w:topLinePunct w:val="0"/>
              <w:autoSpaceDE/>
              <w:autoSpaceDN/>
              <w:bidi w:val="0"/>
              <w:adjustRightInd/>
              <w:snapToGrid/>
              <w:textAlignment w:val="auto"/>
              <w:rPr>
                <w:rFonts w:hint="eastAsia"/>
                <w:color w:val="auto"/>
                <w:highlight w:val="none"/>
                <w:lang w:val="en-US" w:eastAsia="zh-CN"/>
              </w:rPr>
            </w:pPr>
          </w:p>
          <w:p w14:paraId="428AE609">
            <w:pPr>
              <w:pStyle w:val="22"/>
              <w:pageBreakBefore w:val="0"/>
              <w:widowControl w:val="0"/>
              <w:kinsoku/>
              <w:wordWrap/>
              <w:overflowPunct/>
              <w:topLinePunct w:val="0"/>
              <w:autoSpaceDE/>
              <w:autoSpaceDN/>
              <w:bidi w:val="0"/>
              <w:adjustRightInd/>
              <w:snapToGrid/>
              <w:textAlignment w:val="auto"/>
              <w:rPr>
                <w:rFonts w:hint="eastAsia"/>
                <w:color w:val="auto"/>
                <w:highlight w:val="none"/>
                <w:lang w:val="en-US" w:eastAsia="zh-CN"/>
              </w:rPr>
            </w:pPr>
          </w:p>
          <w:p w14:paraId="3564B43F">
            <w:pPr>
              <w:pStyle w:val="22"/>
              <w:pageBreakBefore w:val="0"/>
              <w:widowControl w:val="0"/>
              <w:kinsoku/>
              <w:wordWrap/>
              <w:overflowPunct/>
              <w:topLinePunct w:val="0"/>
              <w:autoSpaceDE/>
              <w:autoSpaceDN/>
              <w:bidi w:val="0"/>
              <w:adjustRightInd/>
              <w:snapToGrid/>
              <w:textAlignment w:val="auto"/>
              <w:rPr>
                <w:rFonts w:hint="eastAsia"/>
                <w:color w:val="auto"/>
                <w:highlight w:val="none"/>
                <w:lang w:val="en-US" w:eastAsia="zh-CN"/>
              </w:rPr>
            </w:pPr>
          </w:p>
          <w:p w14:paraId="0B8E7195">
            <w:pPr>
              <w:pStyle w:val="22"/>
              <w:pageBreakBefore w:val="0"/>
              <w:widowControl w:val="0"/>
              <w:kinsoku/>
              <w:wordWrap/>
              <w:overflowPunct/>
              <w:topLinePunct w:val="0"/>
              <w:autoSpaceDE/>
              <w:autoSpaceDN/>
              <w:bidi w:val="0"/>
              <w:adjustRightInd/>
              <w:snapToGrid/>
              <w:textAlignment w:val="auto"/>
              <w:rPr>
                <w:rFonts w:hint="eastAsia"/>
                <w:color w:val="auto"/>
                <w:highlight w:val="none"/>
                <w:lang w:val="en-US" w:eastAsia="zh-CN"/>
              </w:rPr>
            </w:pPr>
          </w:p>
          <w:p w14:paraId="69FD20F7">
            <w:pPr>
              <w:pStyle w:val="22"/>
              <w:pageBreakBefore w:val="0"/>
              <w:widowControl w:val="0"/>
              <w:kinsoku/>
              <w:wordWrap/>
              <w:overflowPunct/>
              <w:topLinePunct w:val="0"/>
              <w:autoSpaceDE/>
              <w:autoSpaceDN/>
              <w:bidi w:val="0"/>
              <w:adjustRightInd/>
              <w:snapToGrid/>
              <w:textAlignment w:val="auto"/>
              <w:rPr>
                <w:rFonts w:hint="eastAsia"/>
                <w:color w:val="auto"/>
                <w:highlight w:val="none"/>
                <w:lang w:val="en-US" w:eastAsia="zh-CN"/>
              </w:rPr>
            </w:pPr>
          </w:p>
          <w:p w14:paraId="11D2FEBB">
            <w:pPr>
              <w:pStyle w:val="22"/>
              <w:pageBreakBefore w:val="0"/>
              <w:widowControl w:val="0"/>
              <w:kinsoku/>
              <w:wordWrap/>
              <w:overflowPunct/>
              <w:topLinePunct w:val="0"/>
              <w:autoSpaceDE/>
              <w:autoSpaceDN/>
              <w:bidi w:val="0"/>
              <w:adjustRightInd/>
              <w:snapToGrid/>
              <w:textAlignment w:val="auto"/>
              <w:rPr>
                <w:rFonts w:hint="eastAsia"/>
                <w:color w:val="auto"/>
                <w:highlight w:val="none"/>
                <w:lang w:val="en-US" w:eastAsia="zh-CN"/>
              </w:rPr>
            </w:pPr>
          </w:p>
          <w:p w14:paraId="3F254430">
            <w:pPr>
              <w:pStyle w:val="22"/>
              <w:pageBreakBefore w:val="0"/>
              <w:widowControl w:val="0"/>
              <w:kinsoku/>
              <w:wordWrap/>
              <w:overflowPunct/>
              <w:topLinePunct w:val="0"/>
              <w:autoSpaceDE/>
              <w:autoSpaceDN/>
              <w:bidi w:val="0"/>
              <w:adjustRightInd/>
              <w:snapToGrid/>
              <w:textAlignment w:val="auto"/>
              <w:rPr>
                <w:rFonts w:hint="eastAsia"/>
                <w:color w:val="auto"/>
                <w:highlight w:val="none"/>
                <w:lang w:val="en-US" w:eastAsia="zh-CN"/>
              </w:rPr>
            </w:pPr>
          </w:p>
          <w:p w14:paraId="73225C42">
            <w:pPr>
              <w:pStyle w:val="22"/>
              <w:pageBreakBefore w:val="0"/>
              <w:widowControl w:val="0"/>
              <w:kinsoku/>
              <w:wordWrap/>
              <w:overflowPunct/>
              <w:topLinePunct w:val="0"/>
              <w:autoSpaceDE/>
              <w:autoSpaceDN/>
              <w:bidi w:val="0"/>
              <w:adjustRightInd/>
              <w:snapToGrid/>
              <w:textAlignment w:val="auto"/>
              <w:rPr>
                <w:rFonts w:hint="eastAsia"/>
                <w:color w:val="auto"/>
                <w:highlight w:val="none"/>
                <w:lang w:val="en-US" w:eastAsia="zh-CN"/>
              </w:rPr>
            </w:pPr>
          </w:p>
          <w:p w14:paraId="35417A89">
            <w:pPr>
              <w:pStyle w:val="22"/>
              <w:pageBreakBefore w:val="0"/>
              <w:widowControl w:val="0"/>
              <w:kinsoku/>
              <w:wordWrap/>
              <w:overflowPunct/>
              <w:topLinePunct w:val="0"/>
              <w:autoSpaceDE/>
              <w:autoSpaceDN/>
              <w:bidi w:val="0"/>
              <w:adjustRightInd/>
              <w:snapToGrid/>
              <w:textAlignment w:val="auto"/>
              <w:rPr>
                <w:rFonts w:hint="eastAsia"/>
                <w:color w:val="auto"/>
                <w:highlight w:val="none"/>
                <w:lang w:val="en-US" w:eastAsia="zh-CN"/>
              </w:rPr>
            </w:pPr>
          </w:p>
          <w:p w14:paraId="3472AD71">
            <w:pPr>
              <w:pStyle w:val="22"/>
              <w:pageBreakBefore w:val="0"/>
              <w:widowControl w:val="0"/>
              <w:kinsoku/>
              <w:wordWrap/>
              <w:overflowPunct/>
              <w:topLinePunct w:val="0"/>
              <w:autoSpaceDE/>
              <w:autoSpaceDN/>
              <w:bidi w:val="0"/>
              <w:adjustRightInd/>
              <w:snapToGrid/>
              <w:textAlignment w:val="auto"/>
              <w:rPr>
                <w:rFonts w:hint="eastAsia"/>
                <w:color w:val="auto"/>
                <w:highlight w:val="none"/>
                <w:lang w:val="en-US" w:eastAsia="zh-CN"/>
              </w:rPr>
            </w:pPr>
          </w:p>
          <w:p w14:paraId="58CF46C7">
            <w:pPr>
              <w:pStyle w:val="22"/>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p>
        </w:tc>
      </w:tr>
    </w:tbl>
    <w:p w14:paraId="6C97E5DB">
      <w:pPr>
        <w:spacing w:line="360" w:lineRule="auto"/>
        <w:outlineLvl w:val="9"/>
        <w:rPr>
          <w:rFonts w:eastAsia="黑体"/>
          <w:color w:val="auto"/>
          <w:sz w:val="30"/>
          <w:highlight w:val="none"/>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14:paraId="2AC8C882">
      <w:pPr>
        <w:pStyle w:val="23"/>
        <w:jc w:val="center"/>
        <w:outlineLvl w:val="0"/>
        <w:rPr>
          <w:rFonts w:hint="eastAsia" w:ascii="黑体" w:hAnsi="黑体" w:eastAsia="黑体"/>
          <w:snapToGrid w:val="0"/>
          <w:color w:val="auto"/>
          <w:sz w:val="30"/>
          <w:szCs w:val="30"/>
          <w:highlight w:val="none"/>
          <w:lang w:eastAsia="zh-CN"/>
        </w:rPr>
      </w:pPr>
      <w:r>
        <w:rPr>
          <w:rFonts w:hint="eastAsia" w:ascii="黑体" w:hAnsi="黑体" w:eastAsia="黑体"/>
          <w:snapToGrid w:val="0"/>
          <w:color w:val="auto"/>
          <w:sz w:val="30"/>
          <w:szCs w:val="30"/>
          <w:highlight w:val="none"/>
        </w:rPr>
        <w:t>二、建设项目</w:t>
      </w:r>
      <w:r>
        <w:rPr>
          <w:rFonts w:hint="eastAsia" w:ascii="黑体" w:hAnsi="黑体" w:eastAsia="黑体"/>
          <w:snapToGrid w:val="0"/>
          <w:color w:val="000000" w:themeColor="text1"/>
          <w:sz w:val="30"/>
          <w:szCs w:val="30"/>
          <w:highlight w:val="none"/>
          <w14:textFill>
            <w14:solidFill>
              <w14:schemeClr w14:val="tx1"/>
            </w14:solidFill>
          </w14:textFill>
        </w:rPr>
        <w:t>工程分析</w:t>
      </w:r>
    </w:p>
    <w:tbl>
      <w:tblPr>
        <w:tblStyle w:val="26"/>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8420"/>
      </w:tblGrid>
      <w:tr w14:paraId="1CA158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683" w:type="dxa"/>
            <w:vAlign w:val="center"/>
          </w:tcPr>
          <w:p w14:paraId="0CC90D4C">
            <w:pPr>
              <w:pStyle w:val="23"/>
              <w:adjustRightInd w:val="0"/>
              <w:snapToGrid w:val="0"/>
              <w:spacing w:before="0" w:beforeAutospacing="0" w:after="0" w:afterAutospacing="0"/>
              <w:jc w:val="center"/>
              <w:rPr>
                <w:rFonts w:cs="宋体"/>
                <w:color w:val="auto"/>
                <w:sz w:val="21"/>
                <w:szCs w:val="21"/>
                <w:highlight w:val="none"/>
              </w:rPr>
            </w:pPr>
            <w:r>
              <w:rPr>
                <w:rFonts w:hint="eastAsia" w:cs="宋体"/>
                <w:color w:val="auto"/>
                <w:sz w:val="21"/>
                <w:szCs w:val="21"/>
                <w:highlight w:val="none"/>
              </w:rPr>
              <w:t>建设内容</w:t>
            </w:r>
          </w:p>
        </w:tc>
        <w:tc>
          <w:tcPr>
            <w:tcW w:w="8377" w:type="dxa"/>
            <w:vAlign w:val="top"/>
          </w:tcPr>
          <w:p w14:paraId="5EA9C596">
            <w:pPr>
              <w:adjustRightInd w:val="0"/>
              <w:snapToGrid w:val="0"/>
              <w:spacing w:line="360" w:lineRule="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bCs/>
                <w:color w:val="auto"/>
                <w:sz w:val="24"/>
                <w:szCs w:val="24"/>
                <w:highlight w:val="none"/>
              </w:rPr>
              <w:t>1</w:t>
            </w:r>
            <w:r>
              <w:rPr>
                <w:rFonts w:hint="eastAsia" w:ascii="Times New Roman" w:hAnsi="Times New Roman" w:eastAsia="宋体" w:cs="Times New Roman"/>
                <w:b/>
                <w:bCs/>
                <w:color w:val="auto"/>
                <w:sz w:val="24"/>
                <w:szCs w:val="24"/>
                <w:highlight w:val="none"/>
                <w:lang w:val="en-US" w:eastAsia="zh-CN"/>
              </w:rPr>
              <w:t>.</w:t>
            </w:r>
            <w:r>
              <w:rPr>
                <w:rFonts w:hint="default" w:ascii="Times New Roman" w:hAnsi="Times New Roman" w:eastAsia="宋体" w:cs="Times New Roman"/>
                <w:b/>
                <w:color w:val="auto"/>
                <w:sz w:val="24"/>
                <w:szCs w:val="24"/>
                <w:highlight w:val="none"/>
              </w:rPr>
              <w:t>建设项目组成</w:t>
            </w:r>
          </w:p>
          <w:p w14:paraId="53DC1E1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kern w:val="0"/>
                <w:sz w:val="24"/>
                <w:szCs w:val="24"/>
                <w:highlight w:val="none"/>
                <w:lang w:val="en-US" w:eastAsia="zh-CN" w:bidi="ar"/>
              </w:rPr>
              <w:t>本项目选址区位于</w:t>
            </w:r>
            <w:r>
              <w:rPr>
                <w:rFonts w:hint="eastAsia" w:cs="Times New Roman"/>
                <w:color w:val="auto"/>
                <w:kern w:val="2"/>
                <w:sz w:val="24"/>
                <w:szCs w:val="24"/>
                <w:highlight w:val="none"/>
                <w:lang w:val="en-US" w:eastAsia="zh-CN" w:bidi="zh-CN"/>
              </w:rPr>
              <w:t>昌吉市大西渠镇闽昌工业园区</w:t>
            </w:r>
            <w:r>
              <w:rPr>
                <w:rFonts w:hint="default" w:ascii="Times New Roman" w:hAnsi="Times New Roman" w:eastAsia="宋体" w:cs="Times New Roman"/>
                <w:color w:val="auto"/>
                <w:kern w:val="0"/>
                <w:sz w:val="24"/>
                <w:szCs w:val="24"/>
                <w:highlight w:val="none"/>
                <w:lang w:val="en-US" w:eastAsia="zh-CN" w:bidi="ar"/>
              </w:rPr>
              <w:t>，</w:t>
            </w:r>
            <w:r>
              <w:rPr>
                <w:rFonts w:hint="eastAsia" w:cs="Times New Roman"/>
                <w:color w:val="auto"/>
                <w:kern w:val="0"/>
                <w:sz w:val="24"/>
                <w:szCs w:val="24"/>
                <w:highlight w:val="none"/>
                <w:lang w:val="en-US" w:eastAsia="zh-CN" w:bidi="ar"/>
              </w:rPr>
              <w:t>占地面积</w:t>
            </w:r>
            <w:r>
              <w:rPr>
                <w:rFonts w:hint="eastAsia" w:cs="Times New Roman"/>
                <w:color w:val="auto"/>
                <w:sz w:val="24"/>
                <w:szCs w:val="24"/>
                <w:highlight w:val="none"/>
                <w:lang w:val="en-US" w:eastAsia="zh-CN"/>
              </w:rPr>
              <w:t>36491.93m</w:t>
            </w:r>
            <w:r>
              <w:rPr>
                <w:rFonts w:hint="eastAsia" w:cs="Times New Roman"/>
                <w:color w:val="auto"/>
                <w:sz w:val="24"/>
                <w:szCs w:val="24"/>
                <w:highlight w:val="none"/>
                <w:vertAlign w:val="superscript"/>
                <w:lang w:val="en-US" w:eastAsia="zh-CN"/>
              </w:rPr>
              <w:t>2</w:t>
            </w:r>
            <w:r>
              <w:rPr>
                <w:rFonts w:hint="eastAsia" w:cs="Times New Roman"/>
                <w:color w:val="auto"/>
                <w:kern w:val="0"/>
                <w:sz w:val="24"/>
                <w:szCs w:val="24"/>
                <w:highlight w:val="none"/>
                <w:lang w:val="en-US" w:eastAsia="zh-CN" w:bidi="ar"/>
              </w:rPr>
              <w:t>，</w:t>
            </w:r>
            <w:r>
              <w:rPr>
                <w:rFonts w:hint="eastAsia" w:ascii="Times New Roman" w:hAnsi="Times New Roman" w:eastAsia="宋体" w:cs="Times New Roman"/>
                <w:color w:val="auto"/>
                <w:kern w:val="0"/>
                <w:sz w:val="24"/>
                <w:szCs w:val="24"/>
                <w:highlight w:val="none"/>
                <w:lang w:val="en-US" w:eastAsia="zh-CN" w:bidi="ar"/>
              </w:rPr>
              <w:t>中心地理位置坐标（</w:t>
            </w:r>
            <w:r>
              <w:rPr>
                <w:rFonts w:hint="default" w:ascii="Times New Roman" w:hAnsi="Times New Roman" w:cs="Times New Roman"/>
                <w:color w:val="auto"/>
                <w:kern w:val="0"/>
                <w:sz w:val="24"/>
                <w:szCs w:val="24"/>
                <w:highlight w:val="none"/>
                <w:lang w:val="en-US" w:eastAsia="zh-CN" w:bidi="ar"/>
              </w:rPr>
              <w:t>东经87</w:t>
            </w:r>
            <w:r>
              <w:rPr>
                <w:rFonts w:hint="eastAsia" w:cs="Times New Roman"/>
                <w:color w:val="auto"/>
                <w:kern w:val="0"/>
                <w:sz w:val="24"/>
                <w:szCs w:val="24"/>
                <w:highlight w:val="none"/>
                <w:lang w:val="en-US" w:eastAsia="zh-CN" w:bidi="ar"/>
              </w:rPr>
              <w:t>度13分19.22秒</w:t>
            </w:r>
            <w:r>
              <w:rPr>
                <w:rFonts w:hint="default" w:ascii="Times New Roman" w:hAnsi="Times New Roman" w:cs="Times New Roman"/>
                <w:color w:val="auto"/>
                <w:kern w:val="0"/>
                <w:sz w:val="24"/>
                <w:szCs w:val="24"/>
                <w:highlight w:val="none"/>
                <w:lang w:val="en-US" w:eastAsia="zh-CN" w:bidi="ar"/>
              </w:rPr>
              <w:t>；北纬44</w:t>
            </w:r>
            <w:r>
              <w:rPr>
                <w:rFonts w:hint="eastAsia" w:cs="Times New Roman"/>
                <w:color w:val="auto"/>
                <w:kern w:val="0"/>
                <w:sz w:val="24"/>
                <w:szCs w:val="24"/>
                <w:highlight w:val="none"/>
                <w:lang w:val="en-US" w:eastAsia="zh-CN" w:bidi="ar"/>
              </w:rPr>
              <w:t>度2分30.56秒</w:t>
            </w:r>
            <w:r>
              <w:rPr>
                <w:rFonts w:hint="eastAsia" w:ascii="Times New Roman" w:hAnsi="Times New Roman" w:eastAsia="宋体" w:cs="Times New Roman"/>
                <w:color w:val="auto"/>
                <w:kern w:val="0"/>
                <w:sz w:val="24"/>
                <w:szCs w:val="24"/>
                <w:highlight w:val="none"/>
                <w:lang w:val="en-US" w:eastAsia="zh-CN" w:bidi="ar"/>
              </w:rPr>
              <w:t>），主要建设</w:t>
            </w:r>
            <w:r>
              <w:rPr>
                <w:rFonts w:hint="eastAsia" w:cs="Times New Roman"/>
                <w:color w:val="auto"/>
                <w:kern w:val="0"/>
                <w:sz w:val="24"/>
                <w:szCs w:val="24"/>
                <w:highlight w:val="none"/>
                <w:lang w:val="en-US" w:eastAsia="zh-CN" w:bidi="ar"/>
              </w:rPr>
              <w:t>生产车间</w:t>
            </w:r>
            <w:r>
              <w:rPr>
                <w:rFonts w:hint="eastAsia" w:ascii="Times New Roman" w:hAnsi="Times New Roman" w:eastAsia="宋体" w:cs="Times New Roman"/>
                <w:color w:val="auto"/>
                <w:kern w:val="0"/>
                <w:sz w:val="24"/>
                <w:szCs w:val="24"/>
                <w:highlight w:val="none"/>
                <w:lang w:val="en-US" w:eastAsia="zh-CN" w:bidi="ar"/>
              </w:rPr>
              <w:t>、配装车间、机电一体化车间、机械精加工</w:t>
            </w:r>
            <w:r>
              <w:rPr>
                <w:rFonts w:hint="eastAsia" w:cs="Times New Roman"/>
                <w:color w:val="auto"/>
                <w:kern w:val="0"/>
                <w:sz w:val="24"/>
                <w:szCs w:val="24"/>
                <w:highlight w:val="none"/>
                <w:lang w:val="en-US" w:eastAsia="zh-CN" w:bidi="ar"/>
              </w:rPr>
              <w:t>车间</w:t>
            </w:r>
            <w:r>
              <w:rPr>
                <w:rFonts w:hint="eastAsia" w:ascii="Times New Roman" w:hAnsi="Times New Roman" w:eastAsia="宋体" w:cs="Times New Roman"/>
                <w:color w:val="auto"/>
                <w:kern w:val="0"/>
                <w:sz w:val="24"/>
                <w:szCs w:val="24"/>
                <w:highlight w:val="none"/>
                <w:lang w:val="en-US" w:eastAsia="zh-CN" w:bidi="ar"/>
              </w:rPr>
              <w:t>、研发中心、宿舍楼，室外配套管网、围墙、</w:t>
            </w:r>
            <w:r>
              <w:rPr>
                <w:rFonts w:hint="eastAsia" w:cs="Times New Roman"/>
                <w:color w:val="auto"/>
                <w:kern w:val="0"/>
                <w:sz w:val="24"/>
                <w:szCs w:val="24"/>
                <w:highlight w:val="none"/>
                <w:lang w:val="en-US" w:eastAsia="zh-CN" w:bidi="ar"/>
              </w:rPr>
              <w:t>大门及道路场坪硬化等</w:t>
            </w:r>
            <w:r>
              <w:rPr>
                <w:rFonts w:hint="eastAsia" w:ascii="Times New Roman" w:hAnsi="Times New Roman" w:eastAsia="宋体" w:cs="Times New Roman"/>
                <w:color w:val="auto"/>
                <w:kern w:val="0"/>
                <w:sz w:val="24"/>
                <w:szCs w:val="24"/>
                <w:highlight w:val="none"/>
                <w:lang w:val="en-US" w:eastAsia="zh-CN" w:bidi="ar"/>
              </w:rPr>
              <w:t>设施。</w:t>
            </w:r>
          </w:p>
          <w:p w14:paraId="606D5724">
            <w:pPr>
              <w:pStyle w:val="38"/>
              <w:bidi w:val="0"/>
              <w:spacing w:line="240" w:lineRule="auto"/>
              <w:rPr>
                <w:rFonts w:hint="eastAsia" w:ascii="宋体" w:hAnsi="宋体" w:cs="宋体"/>
                <w:b/>
                <w:bCs/>
                <w:color w:val="auto"/>
                <w:szCs w:val="21"/>
                <w:highlight w:val="none"/>
              </w:rPr>
            </w:pPr>
            <w:r>
              <w:rPr>
                <w:rFonts w:hint="eastAsia"/>
                <w:b/>
                <w:bCs/>
                <w:color w:val="auto"/>
                <w:highlight w:val="none"/>
                <w:lang w:val="en-US" w:eastAsia="zh-CN"/>
              </w:rPr>
              <w:t>表2-1    项目建设内容一览表</w:t>
            </w:r>
          </w:p>
          <w:tbl>
            <w:tblPr>
              <w:tblStyle w:val="26"/>
              <w:tblW w:w="4998" w:type="pct"/>
              <w:tblInd w:w="5"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602"/>
              <w:gridCol w:w="1017"/>
              <w:gridCol w:w="1004"/>
              <w:gridCol w:w="4653"/>
              <w:gridCol w:w="925"/>
            </w:tblGrid>
            <w:tr w14:paraId="4CAA4C0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67" w:type="pct"/>
                  <w:tcBorders>
                    <w:bottom w:val="single" w:color="000000" w:sz="12" w:space="0"/>
                  </w:tcBorders>
                  <w:vAlign w:val="center"/>
                </w:tcPr>
                <w:p w14:paraId="0BA81BC1">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工程</w:t>
                  </w:r>
                </w:p>
              </w:tc>
              <w:tc>
                <w:tcPr>
                  <w:tcW w:w="620" w:type="pct"/>
                  <w:tcBorders>
                    <w:bottom w:val="single" w:color="000000" w:sz="12" w:space="0"/>
                  </w:tcBorders>
                  <w:vAlign w:val="center"/>
                </w:tcPr>
                <w:p w14:paraId="634C54B7">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项目组成</w:t>
                  </w:r>
                </w:p>
              </w:tc>
              <w:tc>
                <w:tcPr>
                  <w:tcW w:w="3448" w:type="pct"/>
                  <w:gridSpan w:val="2"/>
                  <w:tcBorders>
                    <w:bottom w:val="single" w:color="000000" w:sz="12" w:space="0"/>
                  </w:tcBorders>
                  <w:vAlign w:val="center"/>
                </w:tcPr>
                <w:p w14:paraId="43CACCE6">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主要工程内容</w:t>
                  </w:r>
                </w:p>
              </w:tc>
              <w:tc>
                <w:tcPr>
                  <w:tcW w:w="563" w:type="pct"/>
                  <w:tcBorders>
                    <w:bottom w:val="single" w:color="000000" w:sz="12" w:space="0"/>
                  </w:tcBorders>
                  <w:vAlign w:val="center"/>
                </w:tcPr>
                <w:p w14:paraId="756DCEF0">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备注</w:t>
                  </w:r>
                </w:p>
              </w:tc>
            </w:tr>
            <w:tr w14:paraId="6174805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33" w:hRule="atLeast"/>
              </w:trPr>
              <w:tc>
                <w:tcPr>
                  <w:tcW w:w="367" w:type="pct"/>
                  <w:vMerge w:val="restart"/>
                  <w:tcBorders>
                    <w:top w:val="single" w:color="000000" w:sz="12" w:space="0"/>
                    <w:tl2br w:val="nil"/>
                    <w:tr2bl w:val="nil"/>
                  </w:tcBorders>
                  <w:vAlign w:val="center"/>
                </w:tcPr>
                <w:p w14:paraId="6A478AF8">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主体工程</w:t>
                  </w:r>
                </w:p>
              </w:tc>
              <w:tc>
                <w:tcPr>
                  <w:tcW w:w="620" w:type="pct"/>
                  <w:tcBorders>
                    <w:top w:val="single" w:color="000000" w:sz="12" w:space="0"/>
                    <w:bottom w:val="single" w:color="auto" w:sz="4" w:space="0"/>
                  </w:tcBorders>
                  <w:vAlign w:val="center"/>
                </w:tcPr>
                <w:p w14:paraId="093F6F21">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原材料加工车间</w:t>
                  </w:r>
                </w:p>
              </w:tc>
              <w:tc>
                <w:tcPr>
                  <w:tcW w:w="3448" w:type="pct"/>
                  <w:gridSpan w:val="2"/>
                  <w:tcBorders>
                    <w:top w:val="single" w:color="000000" w:sz="12" w:space="0"/>
                  </w:tcBorders>
                  <w:vAlign w:val="center"/>
                </w:tcPr>
                <w:p w14:paraId="6A5D2E67">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新建1#生产车间，用作</w:t>
                  </w:r>
                  <w:r>
                    <w:rPr>
                      <w:rFonts w:hint="eastAsia" w:cs="Times New Roman"/>
                      <w:color w:val="auto"/>
                      <w:sz w:val="21"/>
                      <w:szCs w:val="21"/>
                      <w:highlight w:val="none"/>
                      <w:lang w:val="en-US" w:eastAsia="zh-CN"/>
                    </w:rPr>
                    <w:t>原材料加工车间</w:t>
                  </w:r>
                  <w:r>
                    <w:rPr>
                      <w:rFonts w:hint="eastAsia" w:ascii="Times New Roman" w:hAnsi="Times New Roman" w:cs="Times New Roman"/>
                      <w:color w:val="auto"/>
                      <w:sz w:val="21"/>
                      <w:szCs w:val="21"/>
                      <w:highlight w:val="none"/>
                      <w:lang w:val="en-US" w:eastAsia="zh-CN"/>
                    </w:rPr>
                    <w:t>，主要进行原材料的下料切割、卷圆，放置</w:t>
                  </w:r>
                  <w:r>
                    <w:rPr>
                      <w:rFonts w:hint="default" w:ascii="Times New Roman" w:hAnsi="Times New Roman" w:eastAsia="宋体" w:cs="Times New Roman"/>
                      <w:i w:val="0"/>
                      <w:iCs w:val="0"/>
                      <w:color w:val="auto"/>
                      <w:kern w:val="0"/>
                      <w:sz w:val="21"/>
                      <w:szCs w:val="21"/>
                      <w:highlight w:val="none"/>
                      <w:u w:val="none"/>
                      <w:lang w:val="en-US" w:eastAsia="zh-CN" w:bidi="ar"/>
                    </w:rPr>
                    <w:t>激光平面割床</w:t>
                  </w:r>
                  <w:r>
                    <w:rPr>
                      <w:rFonts w:hint="eastAsia"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切管机</w:t>
                  </w:r>
                  <w:r>
                    <w:rPr>
                      <w:rFonts w:hint="eastAsia"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卷板机</w:t>
                  </w:r>
                  <w:r>
                    <w:rPr>
                      <w:rFonts w:hint="eastAsia" w:ascii="Times New Roman" w:hAnsi="Times New Roman" w:cs="Times New Roman"/>
                      <w:i w:val="0"/>
                      <w:iCs w:val="0"/>
                      <w:color w:val="auto"/>
                      <w:kern w:val="0"/>
                      <w:sz w:val="21"/>
                      <w:szCs w:val="21"/>
                      <w:highlight w:val="none"/>
                      <w:u w:val="none"/>
                      <w:lang w:val="en-US" w:eastAsia="zh-CN" w:bidi="ar"/>
                    </w:rPr>
                    <w:t>等相关设备，</w:t>
                  </w:r>
                  <w:r>
                    <w:rPr>
                      <w:rFonts w:hint="eastAsia"/>
                      <w:color w:val="auto"/>
                      <w:highlight w:val="none"/>
                      <w:lang w:val="en-US" w:eastAsia="zh-CN"/>
                    </w:rPr>
                    <w:t>建筑面积</w:t>
                  </w:r>
                  <w:r>
                    <w:rPr>
                      <w:rFonts w:hint="default" w:ascii="Times New Roman" w:hAnsi="Times New Roman" w:cs="Times New Roman"/>
                      <w:color w:val="auto"/>
                      <w:highlight w:val="none"/>
                      <w:lang w:val="en-US" w:eastAsia="zh-CN"/>
                    </w:rPr>
                    <w:t>约6</w:t>
                  </w:r>
                  <w:r>
                    <w:rPr>
                      <w:rFonts w:hint="eastAsia" w:ascii="Times New Roman" w:hAnsi="Times New Roman" w:cs="Times New Roman"/>
                      <w:color w:val="auto"/>
                      <w:highlight w:val="none"/>
                      <w:lang w:val="en-US" w:eastAsia="zh-CN"/>
                    </w:rPr>
                    <w:t>663</w:t>
                  </w:r>
                  <w:r>
                    <w:rPr>
                      <w:rFonts w:hint="default" w:ascii="Times New Roman" w:hAnsi="Times New Roman" w:cs="Times New Roman"/>
                      <w:color w:val="auto"/>
                      <w:highlight w:val="none"/>
                      <w:lang w:val="en-US" w:eastAsia="zh-CN"/>
                    </w:rPr>
                    <w:t>m</w:t>
                  </w:r>
                  <w:r>
                    <w:rPr>
                      <w:rFonts w:hint="default" w:ascii="Times New Roman" w:hAnsi="Times New Roman" w:cs="Times New Roman"/>
                      <w:color w:val="auto"/>
                      <w:highlight w:val="none"/>
                      <w:vertAlign w:val="superscript"/>
                      <w:lang w:val="en-US" w:eastAsia="zh-CN"/>
                    </w:rPr>
                    <w:t>3</w:t>
                  </w:r>
                </w:p>
              </w:tc>
              <w:tc>
                <w:tcPr>
                  <w:tcW w:w="563" w:type="pct"/>
                  <w:tcBorders>
                    <w:top w:val="single" w:color="000000" w:sz="12" w:space="0"/>
                  </w:tcBorders>
                  <w:vAlign w:val="center"/>
                </w:tcPr>
                <w:p w14:paraId="010B7641">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新建</w:t>
                  </w:r>
                </w:p>
              </w:tc>
            </w:tr>
            <w:tr w14:paraId="7CF7EC0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33" w:hRule="atLeast"/>
              </w:trPr>
              <w:tc>
                <w:tcPr>
                  <w:tcW w:w="367" w:type="pct"/>
                  <w:vMerge w:val="continue"/>
                  <w:tcBorders>
                    <w:right w:val="single" w:color="auto" w:sz="4" w:space="0"/>
                    <w:tl2br w:val="nil"/>
                    <w:tr2bl w:val="nil"/>
                  </w:tcBorders>
                  <w:vAlign w:val="center"/>
                </w:tcPr>
                <w:p w14:paraId="5EEB47CE">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color w:val="auto"/>
                    </w:rPr>
                  </w:pPr>
                </w:p>
              </w:tc>
              <w:tc>
                <w:tcPr>
                  <w:tcW w:w="620" w:type="pct"/>
                  <w:tcBorders>
                    <w:top w:val="single" w:color="auto" w:sz="4" w:space="0"/>
                    <w:left w:val="single" w:color="auto" w:sz="4" w:space="0"/>
                    <w:bottom w:val="single" w:color="auto" w:sz="4" w:space="0"/>
                    <w:right w:val="single" w:color="auto" w:sz="4" w:space="0"/>
                  </w:tcBorders>
                  <w:vAlign w:val="center"/>
                </w:tcPr>
                <w:p w14:paraId="01677F5E">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配装车间</w:t>
                  </w:r>
                </w:p>
              </w:tc>
              <w:tc>
                <w:tcPr>
                  <w:tcW w:w="3448" w:type="pct"/>
                  <w:gridSpan w:val="2"/>
                  <w:tcBorders>
                    <w:left w:val="single" w:color="auto" w:sz="4" w:space="0"/>
                  </w:tcBorders>
                  <w:vAlign w:val="center"/>
                </w:tcPr>
                <w:p w14:paraId="467393EB">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新建2#生产车间，用作配装车间，主要进行下料切割后材料的组装、焊接，主要设备</w:t>
                  </w:r>
                  <w:r>
                    <w:rPr>
                      <w:rFonts w:hint="default" w:ascii="Times New Roman" w:hAnsi="Times New Roman" w:eastAsia="宋体" w:cs="Times New Roman"/>
                      <w:i w:val="0"/>
                      <w:iCs w:val="0"/>
                      <w:color w:val="auto"/>
                      <w:kern w:val="0"/>
                      <w:sz w:val="21"/>
                      <w:szCs w:val="21"/>
                      <w:highlight w:val="none"/>
                      <w:u w:val="none"/>
                      <w:lang w:val="en-US" w:eastAsia="zh-CN" w:bidi="ar"/>
                    </w:rPr>
                    <w:t>二保焊机</w:t>
                  </w:r>
                  <w:r>
                    <w:rPr>
                      <w:rFonts w:hint="eastAsia" w:ascii="Times New Roman" w:hAnsi="Times New Roman" w:cs="Times New Roman"/>
                      <w:i w:val="0"/>
                      <w:iCs w:val="0"/>
                      <w:color w:val="auto"/>
                      <w:kern w:val="0"/>
                      <w:sz w:val="21"/>
                      <w:szCs w:val="21"/>
                      <w:highlight w:val="none"/>
                      <w:u w:val="none"/>
                      <w:lang w:val="en-US" w:eastAsia="zh-CN" w:bidi="ar"/>
                    </w:rPr>
                    <w:t>、</w:t>
                  </w:r>
                  <w:r>
                    <w:rPr>
                      <w:rFonts w:hint="eastAsia" w:ascii="Times New Roman" w:hAnsi="Times New Roman" w:cs="Times New Roman"/>
                      <w:color w:val="auto"/>
                      <w:sz w:val="21"/>
                      <w:szCs w:val="21"/>
                      <w:highlight w:val="none"/>
                      <w:lang w:val="en-US" w:eastAsia="zh-CN"/>
                    </w:rPr>
                    <w:t>电焊机等，</w:t>
                  </w:r>
                  <w:r>
                    <w:rPr>
                      <w:rFonts w:hint="eastAsia"/>
                      <w:color w:val="auto"/>
                      <w:highlight w:val="none"/>
                      <w:lang w:val="en-US" w:eastAsia="zh-CN"/>
                    </w:rPr>
                    <w:t>建筑面积</w:t>
                  </w:r>
                  <w:r>
                    <w:rPr>
                      <w:rFonts w:hint="default" w:ascii="Times New Roman" w:hAnsi="Times New Roman" w:cs="Times New Roman"/>
                      <w:color w:val="auto"/>
                      <w:highlight w:val="none"/>
                      <w:lang w:val="en-US" w:eastAsia="zh-CN"/>
                    </w:rPr>
                    <w:t>约6</w:t>
                  </w:r>
                  <w:r>
                    <w:rPr>
                      <w:rFonts w:hint="eastAsia" w:ascii="Times New Roman" w:hAnsi="Times New Roman" w:cs="Times New Roman"/>
                      <w:color w:val="auto"/>
                      <w:highlight w:val="none"/>
                      <w:lang w:val="en-US" w:eastAsia="zh-CN"/>
                    </w:rPr>
                    <w:t>663</w:t>
                  </w:r>
                  <w:r>
                    <w:rPr>
                      <w:rFonts w:hint="default" w:ascii="Times New Roman" w:hAnsi="Times New Roman" w:cs="Times New Roman"/>
                      <w:color w:val="auto"/>
                      <w:highlight w:val="none"/>
                      <w:lang w:val="en-US" w:eastAsia="zh-CN"/>
                    </w:rPr>
                    <w:t>m</w:t>
                  </w:r>
                  <w:r>
                    <w:rPr>
                      <w:rFonts w:hint="default" w:ascii="Times New Roman" w:hAnsi="Times New Roman" w:cs="Times New Roman"/>
                      <w:color w:val="auto"/>
                      <w:highlight w:val="none"/>
                      <w:vertAlign w:val="superscript"/>
                      <w:lang w:val="en-US" w:eastAsia="zh-CN"/>
                    </w:rPr>
                    <w:t>3</w:t>
                  </w:r>
                </w:p>
              </w:tc>
              <w:tc>
                <w:tcPr>
                  <w:tcW w:w="563" w:type="pct"/>
                  <w:vAlign w:val="center"/>
                </w:tcPr>
                <w:p w14:paraId="3D1C21D4">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新建</w:t>
                  </w:r>
                </w:p>
              </w:tc>
            </w:tr>
            <w:tr w14:paraId="212C959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33" w:hRule="atLeast"/>
              </w:trPr>
              <w:tc>
                <w:tcPr>
                  <w:tcW w:w="367" w:type="pct"/>
                  <w:vMerge w:val="continue"/>
                  <w:tcBorders>
                    <w:right w:val="single" w:color="auto" w:sz="4" w:space="0"/>
                    <w:tl2br w:val="nil"/>
                    <w:tr2bl w:val="nil"/>
                  </w:tcBorders>
                  <w:vAlign w:val="center"/>
                </w:tcPr>
                <w:p w14:paraId="1C3AD5F6">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cs="Times New Roman"/>
                      <w:color w:val="auto"/>
                      <w:sz w:val="21"/>
                      <w:szCs w:val="21"/>
                      <w:highlight w:val="none"/>
                      <w:lang w:val="en-US" w:eastAsia="zh-CN"/>
                    </w:rPr>
                  </w:pPr>
                </w:p>
              </w:tc>
              <w:tc>
                <w:tcPr>
                  <w:tcW w:w="620" w:type="pct"/>
                  <w:tcBorders>
                    <w:top w:val="single" w:color="auto" w:sz="4" w:space="0"/>
                    <w:left w:val="single" w:color="auto" w:sz="4" w:space="0"/>
                    <w:bottom w:val="single" w:color="auto" w:sz="4" w:space="0"/>
                    <w:right w:val="single" w:color="auto" w:sz="4" w:space="0"/>
                  </w:tcBorders>
                  <w:vAlign w:val="center"/>
                </w:tcPr>
                <w:p w14:paraId="28642BF1">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机电一体化车间</w:t>
                  </w:r>
                </w:p>
              </w:tc>
              <w:tc>
                <w:tcPr>
                  <w:tcW w:w="3448" w:type="pct"/>
                  <w:gridSpan w:val="2"/>
                  <w:tcBorders>
                    <w:left w:val="single" w:color="auto" w:sz="4" w:space="0"/>
                  </w:tcBorders>
                  <w:vAlign w:val="center"/>
                </w:tcPr>
                <w:p w14:paraId="533B37EF">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新建3#生产车间，机电一体化车间位于3#生产车间2F，用作抛丸打磨、打压测漏，主要设备</w:t>
                  </w:r>
                  <w:r>
                    <w:rPr>
                      <w:rFonts w:hint="default" w:ascii="Times New Roman" w:hAnsi="Times New Roman" w:eastAsia="宋体" w:cs="Times New Roman"/>
                      <w:i w:val="0"/>
                      <w:iCs w:val="0"/>
                      <w:color w:val="auto"/>
                      <w:kern w:val="0"/>
                      <w:sz w:val="21"/>
                      <w:szCs w:val="21"/>
                      <w:highlight w:val="none"/>
                      <w:u w:val="none"/>
                      <w:lang w:val="en-US" w:eastAsia="zh-CN" w:bidi="ar"/>
                    </w:rPr>
                    <w:t>抛丸清理机</w:t>
                  </w:r>
                  <w:r>
                    <w:rPr>
                      <w:rFonts w:hint="eastAsia" w:ascii="Times New Roman" w:hAnsi="Times New Roman" w:cs="Times New Roman"/>
                      <w:i w:val="0"/>
                      <w:iCs w:val="0"/>
                      <w:color w:val="auto"/>
                      <w:kern w:val="0"/>
                      <w:sz w:val="21"/>
                      <w:szCs w:val="21"/>
                      <w:highlight w:val="none"/>
                      <w:u w:val="none"/>
                      <w:lang w:val="en-US" w:eastAsia="zh-CN" w:bidi="ar"/>
                    </w:rPr>
                    <w:t>、打磨机等，</w:t>
                  </w:r>
                  <w:r>
                    <w:rPr>
                      <w:rFonts w:hint="eastAsia"/>
                      <w:color w:val="auto"/>
                      <w:highlight w:val="none"/>
                      <w:lang w:val="en-US" w:eastAsia="zh-CN"/>
                    </w:rPr>
                    <w:t>建筑面积</w:t>
                  </w:r>
                  <w:r>
                    <w:rPr>
                      <w:rFonts w:hint="default" w:ascii="Times New Roman" w:hAnsi="Times New Roman" w:cs="Times New Roman"/>
                      <w:color w:val="auto"/>
                      <w:highlight w:val="none"/>
                      <w:lang w:val="en-US" w:eastAsia="zh-CN"/>
                    </w:rPr>
                    <w:t>约</w:t>
                  </w:r>
                  <w:r>
                    <w:rPr>
                      <w:rFonts w:hint="eastAsia" w:ascii="Times New Roman" w:hAnsi="Times New Roman" w:cs="Times New Roman"/>
                      <w:color w:val="auto"/>
                      <w:highlight w:val="none"/>
                      <w:lang w:val="en-US" w:eastAsia="zh-CN"/>
                    </w:rPr>
                    <w:t>3000</w:t>
                  </w:r>
                  <w:r>
                    <w:rPr>
                      <w:rFonts w:hint="default" w:ascii="Times New Roman" w:hAnsi="Times New Roman" w:cs="Times New Roman"/>
                      <w:color w:val="auto"/>
                      <w:highlight w:val="none"/>
                      <w:lang w:val="en-US" w:eastAsia="zh-CN"/>
                    </w:rPr>
                    <w:t>m</w:t>
                  </w:r>
                  <w:r>
                    <w:rPr>
                      <w:rFonts w:hint="default" w:ascii="Times New Roman" w:hAnsi="Times New Roman" w:cs="Times New Roman"/>
                      <w:color w:val="auto"/>
                      <w:highlight w:val="none"/>
                      <w:vertAlign w:val="superscript"/>
                      <w:lang w:val="en-US" w:eastAsia="zh-CN"/>
                    </w:rPr>
                    <w:t>3</w:t>
                  </w:r>
                </w:p>
              </w:tc>
              <w:tc>
                <w:tcPr>
                  <w:tcW w:w="563" w:type="pct"/>
                  <w:vMerge w:val="restart"/>
                  <w:vAlign w:val="center"/>
                </w:tcPr>
                <w:p w14:paraId="5CEAF5E4">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新建</w:t>
                  </w:r>
                </w:p>
              </w:tc>
            </w:tr>
            <w:tr w14:paraId="04EADE1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33" w:hRule="atLeast"/>
              </w:trPr>
              <w:tc>
                <w:tcPr>
                  <w:tcW w:w="367" w:type="pct"/>
                  <w:vMerge w:val="continue"/>
                  <w:tcBorders>
                    <w:right w:val="single" w:color="auto" w:sz="4" w:space="0"/>
                    <w:tl2br w:val="nil"/>
                    <w:tr2bl w:val="nil"/>
                  </w:tcBorders>
                  <w:vAlign w:val="center"/>
                </w:tcPr>
                <w:p w14:paraId="390FE8FA">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cs="Times New Roman"/>
                      <w:color w:val="auto"/>
                      <w:sz w:val="21"/>
                      <w:szCs w:val="21"/>
                      <w:highlight w:val="none"/>
                      <w:lang w:val="en-US" w:eastAsia="zh-CN"/>
                    </w:rPr>
                  </w:pPr>
                </w:p>
              </w:tc>
              <w:tc>
                <w:tcPr>
                  <w:tcW w:w="620" w:type="pct"/>
                  <w:tcBorders>
                    <w:top w:val="single" w:color="auto" w:sz="4" w:space="0"/>
                    <w:left w:val="single" w:color="auto" w:sz="4" w:space="0"/>
                    <w:bottom w:val="single" w:color="auto" w:sz="4" w:space="0"/>
                    <w:right w:val="single" w:color="auto" w:sz="4" w:space="0"/>
                  </w:tcBorders>
                  <w:vAlign w:val="center"/>
                </w:tcPr>
                <w:p w14:paraId="2935138F">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机械精加工车间</w:t>
                  </w:r>
                </w:p>
              </w:tc>
              <w:tc>
                <w:tcPr>
                  <w:tcW w:w="3448" w:type="pct"/>
                  <w:gridSpan w:val="2"/>
                  <w:tcBorders>
                    <w:left w:val="single" w:color="auto" w:sz="4" w:space="0"/>
                    <w:bottom w:val="single" w:color="000000" w:sz="4" w:space="0"/>
                  </w:tcBorders>
                  <w:vAlign w:val="center"/>
                </w:tcPr>
                <w:p w14:paraId="5D04E0DF">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机械精加工车间位于3#生产车间1F，用作除锈吹灰、静电喷塑，主要设备为</w:t>
                  </w:r>
                  <w:r>
                    <w:rPr>
                      <w:rFonts w:hint="default" w:ascii="Times New Roman" w:hAnsi="Times New Roman" w:eastAsia="宋体" w:cs="Times New Roman"/>
                      <w:i w:val="0"/>
                      <w:iCs w:val="0"/>
                      <w:color w:val="auto"/>
                      <w:kern w:val="0"/>
                      <w:sz w:val="21"/>
                      <w:szCs w:val="21"/>
                      <w:highlight w:val="none"/>
                      <w:u w:val="none"/>
                      <w:lang w:val="en-US" w:eastAsia="zh-CN" w:bidi="ar"/>
                    </w:rPr>
                    <w:t>激光除锈机</w:t>
                  </w:r>
                  <w:r>
                    <w:rPr>
                      <w:rFonts w:hint="eastAsia" w:ascii="Times New Roman" w:hAnsi="Times New Roman" w:cs="Times New Roman"/>
                      <w:i w:val="0"/>
                      <w:iCs w:val="0"/>
                      <w:color w:val="auto"/>
                      <w:kern w:val="0"/>
                      <w:sz w:val="21"/>
                      <w:szCs w:val="21"/>
                      <w:highlight w:val="none"/>
                      <w:u w:val="none"/>
                      <w:lang w:val="en-US" w:eastAsia="zh-CN" w:bidi="ar"/>
                    </w:rPr>
                    <w:t>、</w:t>
                  </w:r>
                  <w:r>
                    <w:rPr>
                      <w:rFonts w:hint="eastAsia" w:cs="Times New Roman"/>
                      <w:color w:val="auto"/>
                      <w:highlight w:val="none"/>
                      <w:lang w:val="en-US" w:eastAsia="zh-CN"/>
                    </w:rPr>
                    <w:t>喷塑</w:t>
                  </w:r>
                  <w:r>
                    <w:rPr>
                      <w:rFonts w:hint="default" w:ascii="Times New Roman" w:hAnsi="Times New Roman" w:cs="Times New Roman"/>
                      <w:color w:val="auto"/>
                      <w:highlight w:val="none"/>
                    </w:rPr>
                    <w:t>烘干一体房</w:t>
                  </w:r>
                  <w:r>
                    <w:rPr>
                      <w:rFonts w:hint="eastAsia" w:ascii="Times New Roman" w:hAnsi="Times New Roman" w:cs="Times New Roman"/>
                      <w:i w:val="0"/>
                      <w:iCs w:val="0"/>
                      <w:color w:val="auto"/>
                      <w:kern w:val="0"/>
                      <w:sz w:val="21"/>
                      <w:szCs w:val="21"/>
                      <w:highlight w:val="none"/>
                      <w:u w:val="none"/>
                      <w:lang w:val="en-US" w:eastAsia="zh-CN" w:bidi="ar"/>
                    </w:rPr>
                    <w:t>、喷塑枪等，</w:t>
                  </w:r>
                  <w:r>
                    <w:rPr>
                      <w:rFonts w:hint="eastAsia"/>
                      <w:color w:val="auto"/>
                      <w:highlight w:val="none"/>
                      <w:lang w:val="en-US" w:eastAsia="zh-CN"/>
                    </w:rPr>
                    <w:t>建筑面积</w:t>
                  </w:r>
                  <w:r>
                    <w:rPr>
                      <w:rFonts w:hint="default" w:ascii="Times New Roman" w:hAnsi="Times New Roman" w:cs="Times New Roman"/>
                      <w:color w:val="auto"/>
                      <w:highlight w:val="none"/>
                      <w:lang w:val="en-US" w:eastAsia="zh-CN"/>
                    </w:rPr>
                    <w:t>约</w:t>
                  </w:r>
                  <w:r>
                    <w:rPr>
                      <w:rFonts w:hint="eastAsia" w:ascii="Times New Roman" w:hAnsi="Times New Roman" w:cs="Times New Roman"/>
                      <w:color w:val="auto"/>
                      <w:highlight w:val="none"/>
                      <w:lang w:val="en-US" w:eastAsia="zh-CN"/>
                    </w:rPr>
                    <w:t>3000</w:t>
                  </w:r>
                  <w:r>
                    <w:rPr>
                      <w:rFonts w:hint="default" w:ascii="Times New Roman" w:hAnsi="Times New Roman" w:cs="Times New Roman"/>
                      <w:color w:val="auto"/>
                      <w:highlight w:val="none"/>
                      <w:lang w:val="en-US" w:eastAsia="zh-CN"/>
                    </w:rPr>
                    <w:t>m</w:t>
                  </w:r>
                  <w:r>
                    <w:rPr>
                      <w:rFonts w:hint="default" w:ascii="Times New Roman" w:hAnsi="Times New Roman" w:cs="Times New Roman"/>
                      <w:color w:val="auto"/>
                      <w:highlight w:val="none"/>
                      <w:vertAlign w:val="superscript"/>
                      <w:lang w:val="en-US" w:eastAsia="zh-CN"/>
                    </w:rPr>
                    <w:t>3</w:t>
                  </w:r>
                </w:p>
              </w:tc>
              <w:tc>
                <w:tcPr>
                  <w:tcW w:w="563" w:type="pct"/>
                  <w:vMerge w:val="continue"/>
                  <w:tcBorders>
                    <w:bottom w:val="single" w:color="000000" w:sz="4" w:space="0"/>
                  </w:tcBorders>
                  <w:vAlign w:val="center"/>
                </w:tcPr>
                <w:p w14:paraId="1DBC7AF0">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cs="Times New Roman"/>
                      <w:color w:val="auto"/>
                      <w:sz w:val="21"/>
                      <w:szCs w:val="21"/>
                      <w:highlight w:val="none"/>
                      <w:lang w:val="en-US" w:eastAsia="zh-CN"/>
                    </w:rPr>
                  </w:pPr>
                </w:p>
              </w:tc>
            </w:tr>
            <w:tr w14:paraId="781EABB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67" w:type="pct"/>
                  <w:vMerge w:val="restart"/>
                  <w:tcBorders>
                    <w:tl2br w:val="nil"/>
                    <w:tr2bl w:val="nil"/>
                  </w:tcBorders>
                  <w:vAlign w:val="center"/>
                </w:tcPr>
                <w:p w14:paraId="2F06DFBD">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辅助工程</w:t>
                  </w:r>
                </w:p>
              </w:tc>
              <w:tc>
                <w:tcPr>
                  <w:tcW w:w="620" w:type="pct"/>
                  <w:tcBorders>
                    <w:top w:val="single" w:color="auto" w:sz="4" w:space="0"/>
                    <w:tl2br w:val="nil"/>
                    <w:tr2bl w:val="nil"/>
                  </w:tcBorders>
                  <w:vAlign w:val="center"/>
                </w:tcPr>
                <w:p w14:paraId="47C34E42">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办公用房</w:t>
                  </w:r>
                </w:p>
              </w:tc>
              <w:tc>
                <w:tcPr>
                  <w:tcW w:w="3448" w:type="pct"/>
                  <w:gridSpan w:val="2"/>
                  <w:tcBorders>
                    <w:tl2br w:val="nil"/>
                    <w:tr2bl w:val="nil"/>
                  </w:tcBorders>
                  <w:vAlign w:val="center"/>
                </w:tcPr>
                <w:p w14:paraId="09DFFD18">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新建办公室2间，作为办公场地，位于研发中心一楼</w:t>
                  </w:r>
                </w:p>
              </w:tc>
              <w:tc>
                <w:tcPr>
                  <w:tcW w:w="563" w:type="pct"/>
                  <w:tcBorders>
                    <w:tl2br w:val="nil"/>
                    <w:tr2bl w:val="nil"/>
                  </w:tcBorders>
                  <w:vAlign w:val="center"/>
                </w:tcPr>
                <w:p w14:paraId="52AE79BF">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新建</w:t>
                  </w:r>
                </w:p>
              </w:tc>
            </w:tr>
            <w:tr w14:paraId="4A27F8C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67" w:type="pct"/>
                  <w:vMerge w:val="continue"/>
                  <w:tcBorders>
                    <w:tl2br w:val="nil"/>
                    <w:tr2bl w:val="nil"/>
                  </w:tcBorders>
                  <w:vAlign w:val="center"/>
                </w:tcPr>
                <w:p w14:paraId="75B930ED">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p>
              </w:tc>
              <w:tc>
                <w:tcPr>
                  <w:tcW w:w="620" w:type="pct"/>
                  <w:tcBorders>
                    <w:tl2br w:val="nil"/>
                    <w:tr2bl w:val="nil"/>
                  </w:tcBorders>
                  <w:vAlign w:val="center"/>
                </w:tcPr>
                <w:p w14:paraId="4E713C97">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研发中心</w:t>
                  </w:r>
                </w:p>
              </w:tc>
              <w:tc>
                <w:tcPr>
                  <w:tcW w:w="3448" w:type="pct"/>
                  <w:gridSpan w:val="2"/>
                  <w:tcBorders>
                    <w:tl2br w:val="nil"/>
                    <w:tr2bl w:val="nil"/>
                  </w:tcBorders>
                  <w:vAlign w:val="center"/>
                </w:tcPr>
                <w:p w14:paraId="5D741C1C">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新建7层研发中心，用于管理及设计产品方案，</w:t>
                  </w:r>
                  <w:r>
                    <w:rPr>
                      <w:rFonts w:hint="eastAsia"/>
                      <w:color w:val="auto"/>
                      <w:highlight w:val="none"/>
                      <w:lang w:val="en-US" w:eastAsia="zh-CN"/>
                    </w:rPr>
                    <w:t>建筑面积</w:t>
                  </w:r>
                  <w:r>
                    <w:rPr>
                      <w:rFonts w:hint="default" w:ascii="Times New Roman" w:hAnsi="Times New Roman" w:cs="Times New Roman"/>
                      <w:color w:val="auto"/>
                      <w:highlight w:val="none"/>
                      <w:lang w:val="en-US" w:eastAsia="zh-CN"/>
                    </w:rPr>
                    <w:t>约</w:t>
                  </w:r>
                  <w:r>
                    <w:rPr>
                      <w:rFonts w:hint="eastAsia" w:ascii="Times New Roman" w:hAnsi="Times New Roman" w:cs="Times New Roman"/>
                      <w:color w:val="auto"/>
                      <w:highlight w:val="none"/>
                      <w:lang w:val="en-US" w:eastAsia="zh-CN"/>
                    </w:rPr>
                    <w:t>4020</w:t>
                  </w:r>
                  <w:r>
                    <w:rPr>
                      <w:rFonts w:hint="default" w:ascii="Times New Roman" w:hAnsi="Times New Roman" w:cs="Times New Roman"/>
                      <w:color w:val="auto"/>
                      <w:highlight w:val="none"/>
                      <w:lang w:val="en-US" w:eastAsia="zh-CN"/>
                    </w:rPr>
                    <w:t>m</w:t>
                  </w:r>
                  <w:r>
                    <w:rPr>
                      <w:rFonts w:hint="default" w:ascii="Times New Roman" w:hAnsi="Times New Roman" w:cs="Times New Roman"/>
                      <w:color w:val="auto"/>
                      <w:highlight w:val="none"/>
                      <w:vertAlign w:val="superscript"/>
                      <w:lang w:val="en-US" w:eastAsia="zh-CN"/>
                    </w:rPr>
                    <w:t>3</w:t>
                  </w:r>
                </w:p>
              </w:tc>
              <w:tc>
                <w:tcPr>
                  <w:tcW w:w="563" w:type="pct"/>
                  <w:tcBorders>
                    <w:tl2br w:val="nil"/>
                    <w:tr2bl w:val="nil"/>
                  </w:tcBorders>
                  <w:vAlign w:val="center"/>
                </w:tcPr>
                <w:p w14:paraId="536929E6">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14:paraId="549F8B8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67" w:type="pct"/>
                  <w:vMerge w:val="continue"/>
                  <w:tcBorders>
                    <w:tl2br w:val="nil"/>
                    <w:tr2bl w:val="nil"/>
                  </w:tcBorders>
                  <w:vAlign w:val="center"/>
                </w:tcPr>
                <w:p w14:paraId="088979C8">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p>
              </w:tc>
              <w:tc>
                <w:tcPr>
                  <w:tcW w:w="620" w:type="pct"/>
                  <w:tcBorders>
                    <w:tl2br w:val="nil"/>
                    <w:tr2bl w:val="nil"/>
                  </w:tcBorders>
                  <w:vAlign w:val="center"/>
                </w:tcPr>
                <w:p w14:paraId="2CB48E56">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宿舍楼</w:t>
                  </w:r>
                </w:p>
              </w:tc>
              <w:tc>
                <w:tcPr>
                  <w:tcW w:w="3448" w:type="pct"/>
                  <w:gridSpan w:val="2"/>
                  <w:tcBorders>
                    <w:tl2br w:val="nil"/>
                    <w:tr2bl w:val="nil"/>
                  </w:tcBorders>
                  <w:vAlign w:val="center"/>
                </w:tcPr>
                <w:p w14:paraId="760B74EA">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vertAlign w:val="superscript"/>
                      <w:lang w:val="en-US" w:eastAsia="zh-CN"/>
                    </w:rPr>
                  </w:pPr>
                  <w:r>
                    <w:rPr>
                      <w:rFonts w:hint="eastAsia" w:ascii="Times New Roman" w:hAnsi="Times New Roman" w:cs="Times New Roman"/>
                      <w:color w:val="auto"/>
                      <w:sz w:val="21"/>
                      <w:szCs w:val="21"/>
                      <w:highlight w:val="none"/>
                      <w:lang w:val="en-US" w:eastAsia="zh-CN"/>
                    </w:rPr>
                    <w:t>新建6层，用于员工生产生活</w:t>
                  </w:r>
                  <w:r>
                    <w:rPr>
                      <w:rFonts w:hint="eastAsia"/>
                      <w:color w:val="auto"/>
                      <w:highlight w:val="none"/>
                      <w:lang w:eastAsia="zh-CN"/>
                    </w:rPr>
                    <w:t>，</w:t>
                  </w:r>
                  <w:r>
                    <w:rPr>
                      <w:rFonts w:hint="eastAsia"/>
                      <w:color w:val="auto"/>
                      <w:highlight w:val="none"/>
                      <w:lang w:val="en-US" w:eastAsia="zh-CN"/>
                    </w:rPr>
                    <w:t>建筑面积</w:t>
                  </w:r>
                  <w:r>
                    <w:rPr>
                      <w:rFonts w:hint="default" w:ascii="Times New Roman" w:hAnsi="Times New Roman" w:cs="Times New Roman"/>
                      <w:color w:val="auto"/>
                      <w:highlight w:val="none"/>
                      <w:lang w:val="en-US" w:eastAsia="zh-CN"/>
                    </w:rPr>
                    <w:t>约3036m</w:t>
                  </w:r>
                  <w:r>
                    <w:rPr>
                      <w:rFonts w:hint="default" w:ascii="Times New Roman" w:hAnsi="Times New Roman" w:cs="Times New Roman"/>
                      <w:color w:val="auto"/>
                      <w:highlight w:val="none"/>
                      <w:vertAlign w:val="superscript"/>
                      <w:lang w:val="en-US" w:eastAsia="zh-CN"/>
                    </w:rPr>
                    <w:t>3</w:t>
                  </w:r>
                </w:p>
              </w:tc>
              <w:tc>
                <w:tcPr>
                  <w:tcW w:w="563" w:type="pct"/>
                  <w:tcBorders>
                    <w:tl2br w:val="nil"/>
                    <w:tr2bl w:val="nil"/>
                  </w:tcBorders>
                  <w:vAlign w:val="center"/>
                </w:tcPr>
                <w:p w14:paraId="0505F9A9">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新建</w:t>
                  </w:r>
                </w:p>
              </w:tc>
            </w:tr>
            <w:tr w14:paraId="66EC392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67" w:type="pct"/>
                  <w:vMerge w:val="restart"/>
                  <w:tcBorders>
                    <w:tl2br w:val="nil"/>
                    <w:tr2bl w:val="nil"/>
                  </w:tcBorders>
                  <w:vAlign w:val="center"/>
                </w:tcPr>
                <w:p w14:paraId="0C506079">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公用工程</w:t>
                  </w:r>
                </w:p>
              </w:tc>
              <w:tc>
                <w:tcPr>
                  <w:tcW w:w="620" w:type="pct"/>
                  <w:tcBorders>
                    <w:tl2br w:val="nil"/>
                    <w:tr2bl w:val="nil"/>
                  </w:tcBorders>
                  <w:vAlign w:val="center"/>
                </w:tcPr>
                <w:p w14:paraId="084CCAE0">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给水</w:t>
                  </w:r>
                </w:p>
              </w:tc>
              <w:tc>
                <w:tcPr>
                  <w:tcW w:w="3448" w:type="pct"/>
                  <w:gridSpan w:val="2"/>
                  <w:tcBorders>
                    <w:tl2br w:val="nil"/>
                    <w:tr2bl w:val="nil"/>
                  </w:tcBorders>
                  <w:vAlign w:val="center"/>
                </w:tcPr>
                <w:p w14:paraId="65400EA0">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生活给水水源和消防水源取自市政给水管道</w:t>
                  </w:r>
                </w:p>
              </w:tc>
              <w:tc>
                <w:tcPr>
                  <w:tcW w:w="563" w:type="pct"/>
                  <w:tcBorders>
                    <w:tl2br w:val="nil"/>
                    <w:tr2bl w:val="nil"/>
                  </w:tcBorders>
                  <w:vAlign w:val="center"/>
                </w:tcPr>
                <w:p w14:paraId="52973A76">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依托</w:t>
                  </w:r>
                </w:p>
              </w:tc>
            </w:tr>
            <w:tr w14:paraId="01BEDC9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67" w:type="pct"/>
                  <w:vMerge w:val="continue"/>
                  <w:tcBorders>
                    <w:tl2br w:val="nil"/>
                    <w:tr2bl w:val="nil"/>
                  </w:tcBorders>
                  <w:vAlign w:val="center"/>
                </w:tcPr>
                <w:p w14:paraId="2AF5C0DE">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p>
              </w:tc>
              <w:tc>
                <w:tcPr>
                  <w:tcW w:w="620" w:type="pct"/>
                  <w:tcBorders>
                    <w:tl2br w:val="nil"/>
                    <w:tr2bl w:val="nil"/>
                  </w:tcBorders>
                  <w:vAlign w:val="center"/>
                </w:tcPr>
                <w:p w14:paraId="19D62714">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排水</w:t>
                  </w:r>
                </w:p>
              </w:tc>
              <w:tc>
                <w:tcPr>
                  <w:tcW w:w="3448" w:type="pct"/>
                  <w:gridSpan w:val="2"/>
                  <w:tcBorders>
                    <w:tl2br w:val="nil"/>
                    <w:tr2bl w:val="nil"/>
                  </w:tcBorders>
                  <w:vAlign w:val="center"/>
                </w:tcPr>
                <w:p w14:paraId="1EBD0647">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排至污水管网</w:t>
                  </w:r>
                  <w:r>
                    <w:rPr>
                      <w:rFonts w:hint="eastAsia" w:ascii="Times New Roman" w:hAnsi="Times New Roman" w:cs="Times New Roman"/>
                      <w:color w:val="auto"/>
                      <w:sz w:val="21"/>
                      <w:szCs w:val="21"/>
                      <w:highlight w:val="none"/>
                      <w:lang w:val="en-US" w:eastAsia="zh-CN"/>
                    </w:rPr>
                    <w:t>，最终排入昌吉市城北污水处理厂</w:t>
                  </w:r>
                </w:p>
              </w:tc>
              <w:tc>
                <w:tcPr>
                  <w:tcW w:w="563" w:type="pct"/>
                  <w:tcBorders>
                    <w:tl2br w:val="nil"/>
                    <w:tr2bl w:val="nil"/>
                  </w:tcBorders>
                  <w:vAlign w:val="center"/>
                </w:tcPr>
                <w:p w14:paraId="38ACAEC0">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依托</w:t>
                  </w:r>
                </w:p>
              </w:tc>
            </w:tr>
            <w:tr w14:paraId="0BE8AD9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67" w:type="pct"/>
                  <w:vMerge w:val="continue"/>
                  <w:tcBorders>
                    <w:tl2br w:val="nil"/>
                    <w:tr2bl w:val="nil"/>
                  </w:tcBorders>
                  <w:vAlign w:val="center"/>
                </w:tcPr>
                <w:p w14:paraId="3F15FF2A">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p>
              </w:tc>
              <w:tc>
                <w:tcPr>
                  <w:tcW w:w="620" w:type="pct"/>
                  <w:tcBorders>
                    <w:tl2br w:val="nil"/>
                    <w:tr2bl w:val="nil"/>
                  </w:tcBorders>
                  <w:vAlign w:val="center"/>
                </w:tcPr>
                <w:p w14:paraId="1182EB26">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供电</w:t>
                  </w:r>
                </w:p>
              </w:tc>
              <w:tc>
                <w:tcPr>
                  <w:tcW w:w="3448" w:type="pct"/>
                  <w:gridSpan w:val="2"/>
                  <w:tcBorders>
                    <w:tl2br w:val="nil"/>
                    <w:tr2bl w:val="nil"/>
                  </w:tcBorders>
                  <w:vAlign w:val="center"/>
                </w:tcPr>
                <w:p w14:paraId="0BB77EED">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市政电网接入</w:t>
                  </w:r>
                </w:p>
              </w:tc>
              <w:tc>
                <w:tcPr>
                  <w:tcW w:w="563" w:type="pct"/>
                  <w:tcBorders>
                    <w:tl2br w:val="nil"/>
                    <w:tr2bl w:val="nil"/>
                  </w:tcBorders>
                  <w:vAlign w:val="center"/>
                </w:tcPr>
                <w:p w14:paraId="3EF205F4">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依托</w:t>
                  </w:r>
                </w:p>
              </w:tc>
            </w:tr>
            <w:tr w14:paraId="4CB2923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67" w:type="pct"/>
                  <w:vMerge w:val="continue"/>
                  <w:tcBorders>
                    <w:tl2br w:val="nil"/>
                    <w:tr2bl w:val="nil"/>
                  </w:tcBorders>
                  <w:vAlign w:val="center"/>
                </w:tcPr>
                <w:p w14:paraId="70DB9844">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p>
              </w:tc>
              <w:tc>
                <w:tcPr>
                  <w:tcW w:w="620" w:type="pct"/>
                  <w:tcBorders>
                    <w:tl2br w:val="nil"/>
                    <w:tr2bl w:val="nil"/>
                  </w:tcBorders>
                  <w:vAlign w:val="center"/>
                </w:tcPr>
                <w:p w14:paraId="7E90D4AB">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供暖</w:t>
                  </w:r>
                </w:p>
              </w:tc>
              <w:tc>
                <w:tcPr>
                  <w:tcW w:w="3448" w:type="pct"/>
                  <w:gridSpan w:val="2"/>
                  <w:tcBorders>
                    <w:tl2br w:val="nil"/>
                    <w:tr2bl w:val="nil"/>
                  </w:tcBorders>
                  <w:vAlign w:val="center"/>
                </w:tcPr>
                <w:p w14:paraId="08AA2459">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color w:val="auto"/>
                      <w:highlight w:val="none"/>
                      <w:lang w:val="en-US" w:eastAsia="zh-CN"/>
                    </w:rPr>
                    <w:t>市政供热管网接入</w:t>
                  </w:r>
                </w:p>
              </w:tc>
              <w:tc>
                <w:tcPr>
                  <w:tcW w:w="563" w:type="pct"/>
                  <w:tcBorders>
                    <w:tl2br w:val="nil"/>
                    <w:tr2bl w:val="nil"/>
                  </w:tcBorders>
                  <w:vAlign w:val="center"/>
                </w:tcPr>
                <w:p w14:paraId="66CA0251">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依托</w:t>
                  </w:r>
                </w:p>
              </w:tc>
            </w:tr>
            <w:tr w14:paraId="1D462C2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367" w:type="pct"/>
                  <w:vMerge w:val="restart"/>
                  <w:tcBorders>
                    <w:tl2br w:val="nil"/>
                    <w:tr2bl w:val="nil"/>
                  </w:tcBorders>
                  <w:vAlign w:val="center"/>
                </w:tcPr>
                <w:p w14:paraId="156E1E03">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储运工程</w:t>
                  </w:r>
                </w:p>
              </w:tc>
              <w:tc>
                <w:tcPr>
                  <w:tcW w:w="620" w:type="pct"/>
                  <w:tcBorders>
                    <w:tl2br w:val="nil"/>
                    <w:tr2bl w:val="nil"/>
                  </w:tcBorders>
                  <w:vAlign w:val="center"/>
                </w:tcPr>
                <w:p w14:paraId="0EC5C456">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堆放区</w:t>
                  </w:r>
                </w:p>
              </w:tc>
              <w:tc>
                <w:tcPr>
                  <w:tcW w:w="3448" w:type="pct"/>
                  <w:gridSpan w:val="2"/>
                  <w:tcBorders>
                    <w:tl2br w:val="nil"/>
                    <w:tr2bl w:val="nil"/>
                  </w:tcBorders>
                  <w:vAlign w:val="center"/>
                </w:tcPr>
                <w:p w14:paraId="7F546FE9">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分为原料堆放区和成品堆放区，原料堆放区仅设置顶棚防雨，成品堆放区为半封闭，设置顶棚+三面围挡</w:t>
                  </w:r>
                </w:p>
              </w:tc>
              <w:tc>
                <w:tcPr>
                  <w:tcW w:w="563" w:type="pct"/>
                  <w:tcBorders>
                    <w:tl2br w:val="nil"/>
                    <w:tr2bl w:val="nil"/>
                  </w:tcBorders>
                  <w:vAlign w:val="center"/>
                </w:tcPr>
                <w:p w14:paraId="1F78F6E6">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新建</w:t>
                  </w:r>
                </w:p>
              </w:tc>
            </w:tr>
            <w:tr w14:paraId="22A34F4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67" w:type="pct"/>
                  <w:vMerge w:val="restart"/>
                  <w:tcBorders>
                    <w:tl2br w:val="nil"/>
                    <w:tr2bl w:val="nil"/>
                  </w:tcBorders>
                  <w:vAlign w:val="center"/>
                </w:tcPr>
                <w:p w14:paraId="618EE368">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环保工程</w:t>
                  </w:r>
                </w:p>
              </w:tc>
              <w:tc>
                <w:tcPr>
                  <w:tcW w:w="620" w:type="pct"/>
                  <w:tcBorders>
                    <w:tl2br w:val="nil"/>
                    <w:tr2bl w:val="nil"/>
                  </w:tcBorders>
                  <w:vAlign w:val="center"/>
                </w:tcPr>
                <w:p w14:paraId="08546E56">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w:t>
                  </w:r>
                </w:p>
              </w:tc>
              <w:tc>
                <w:tcPr>
                  <w:tcW w:w="3448" w:type="pct"/>
                  <w:gridSpan w:val="2"/>
                  <w:tcBorders>
                    <w:tl2br w:val="nil"/>
                    <w:tr2bl w:val="nil"/>
                  </w:tcBorders>
                  <w:vAlign w:val="center"/>
                </w:tcPr>
                <w:p w14:paraId="76A0FE1E">
                  <w:pPr>
                    <w:pStyle w:val="39"/>
                    <w:keepNext w:val="0"/>
                    <w:keepLines w:val="0"/>
                    <w:pageBreakBefore w:val="0"/>
                    <w:widowControl w:val="0"/>
                    <w:kinsoku/>
                    <w:wordWrap/>
                    <w:overflowPunct/>
                    <w:topLinePunct w:val="0"/>
                    <w:autoSpaceDE/>
                    <w:autoSpaceDN/>
                    <w:bidi w:val="0"/>
                    <w:spacing w:beforeLines="0" w:afterLines="0"/>
                    <w:ind w:left="0" w:firstLine="0"/>
                    <w:jc w:val="left"/>
                    <w:textAlignment w:val="auto"/>
                    <w:rPr>
                      <w:rFonts w:hint="default" w:ascii="Times New Roman" w:hAnsi="Times New Roman" w:cs="Times New Roman"/>
                      <w:b w:val="0"/>
                      <w:bCs w:val="0"/>
                      <w:color w:val="auto"/>
                      <w:highlight w:val="none"/>
                      <w:lang w:val="en-US" w:eastAsia="zh-CN"/>
                    </w:rPr>
                  </w:pPr>
                  <w:r>
                    <w:rPr>
                      <w:rFonts w:hint="eastAsia" w:cs="Times New Roman"/>
                      <w:b w:val="0"/>
                      <w:bCs w:val="0"/>
                      <w:color w:val="auto"/>
                      <w:highlight w:val="none"/>
                      <w:lang w:val="en-US" w:eastAsia="zh-CN"/>
                    </w:rPr>
                    <w:t>1、</w:t>
                  </w:r>
                  <w:r>
                    <w:rPr>
                      <w:rFonts w:hint="default" w:ascii="Times New Roman" w:hAnsi="Times New Roman" w:cs="Times New Roman"/>
                      <w:b w:val="0"/>
                      <w:bCs w:val="0"/>
                      <w:color w:val="auto"/>
                      <w:highlight w:val="none"/>
                      <w:lang w:val="en-US" w:eastAsia="zh-CN"/>
                    </w:rPr>
                    <w:t>切割下料、焊接产生的颗粒物经1套</w:t>
                  </w:r>
                  <w:r>
                    <w:rPr>
                      <w:rFonts w:hint="eastAsia" w:cs="Times New Roman"/>
                      <w:b w:val="0"/>
                      <w:bCs w:val="0"/>
                      <w:color w:val="auto"/>
                      <w:highlight w:val="none"/>
                      <w:lang w:val="en-US" w:eastAsia="zh-CN"/>
                    </w:rPr>
                    <w:t>袋式除尘器</w:t>
                  </w:r>
                  <w:r>
                    <w:rPr>
                      <w:rFonts w:hint="default" w:ascii="Times New Roman" w:hAnsi="Times New Roman" w:cs="Times New Roman"/>
                      <w:b w:val="0"/>
                      <w:bCs w:val="0"/>
                      <w:color w:val="auto"/>
                      <w:highlight w:val="none"/>
                      <w:lang w:val="en-US" w:eastAsia="zh-CN"/>
                    </w:rPr>
                    <w:t>、焊接烟尘净化器处理后经15m高排气筒排放（DA001）</w:t>
                  </w:r>
                  <w:r>
                    <w:rPr>
                      <w:rFonts w:hint="eastAsia" w:cs="Times New Roman"/>
                      <w:b w:val="0"/>
                      <w:bCs w:val="0"/>
                      <w:color w:val="auto"/>
                      <w:highlight w:val="none"/>
                      <w:lang w:val="en-US" w:eastAsia="zh-CN"/>
                    </w:rPr>
                    <w:t>；</w:t>
                  </w:r>
                </w:p>
                <w:p w14:paraId="58309D64">
                  <w:pPr>
                    <w:pStyle w:val="39"/>
                    <w:keepNext w:val="0"/>
                    <w:keepLines w:val="0"/>
                    <w:pageBreakBefore w:val="0"/>
                    <w:widowControl w:val="0"/>
                    <w:kinsoku/>
                    <w:wordWrap/>
                    <w:overflowPunct/>
                    <w:topLinePunct w:val="0"/>
                    <w:autoSpaceDE/>
                    <w:autoSpaceDN/>
                    <w:bidi w:val="0"/>
                    <w:spacing w:beforeLines="0" w:afterLines="0"/>
                    <w:ind w:left="0" w:firstLine="0"/>
                    <w:jc w:val="left"/>
                    <w:textAlignment w:val="auto"/>
                    <w:rPr>
                      <w:rFonts w:hint="default" w:ascii="Times New Roman" w:hAnsi="Times New Roman" w:cs="Times New Roman"/>
                      <w:b w:val="0"/>
                      <w:bCs w:val="0"/>
                      <w:color w:val="auto"/>
                      <w:highlight w:val="none"/>
                      <w:lang w:val="en-US" w:eastAsia="zh-CN"/>
                    </w:rPr>
                  </w:pPr>
                  <w:r>
                    <w:rPr>
                      <w:rFonts w:hint="eastAsia" w:cs="Times New Roman"/>
                      <w:b w:val="0"/>
                      <w:bCs w:val="0"/>
                      <w:color w:val="auto"/>
                      <w:szCs w:val="21"/>
                      <w:highlight w:val="none"/>
                      <w:lang w:val="en-US" w:eastAsia="zh-CN"/>
                    </w:rPr>
                    <w:t>2、</w:t>
                  </w:r>
                  <w:r>
                    <w:rPr>
                      <w:rFonts w:hint="default" w:ascii="Times New Roman" w:hAnsi="Times New Roman" w:cs="Times New Roman"/>
                      <w:b w:val="0"/>
                      <w:bCs w:val="0"/>
                      <w:color w:val="auto"/>
                      <w:szCs w:val="21"/>
                      <w:highlight w:val="none"/>
                    </w:rPr>
                    <w:t>抛丸打磨</w:t>
                  </w:r>
                  <w:r>
                    <w:rPr>
                      <w:rFonts w:hint="default" w:ascii="Times New Roman" w:hAnsi="Times New Roman" w:cs="Times New Roman"/>
                      <w:b w:val="0"/>
                      <w:bCs w:val="0"/>
                      <w:color w:val="auto"/>
                      <w:szCs w:val="21"/>
                      <w:highlight w:val="none"/>
                      <w:lang w:val="en-US" w:eastAsia="zh-CN"/>
                    </w:rPr>
                    <w:t>工序产生的</w:t>
                  </w:r>
                  <w:r>
                    <w:rPr>
                      <w:rFonts w:hint="default" w:ascii="Times New Roman" w:hAnsi="Times New Roman" w:cs="Times New Roman"/>
                      <w:b w:val="0"/>
                      <w:bCs w:val="0"/>
                      <w:color w:val="auto"/>
                      <w:szCs w:val="21"/>
                      <w:highlight w:val="none"/>
                    </w:rPr>
                    <w:t>废气</w:t>
                  </w:r>
                  <w:r>
                    <w:rPr>
                      <w:rFonts w:hint="default" w:ascii="Times New Roman" w:hAnsi="Times New Roman" w:cs="Times New Roman"/>
                      <w:b w:val="0"/>
                      <w:bCs w:val="0"/>
                      <w:color w:val="auto"/>
                      <w:szCs w:val="21"/>
                      <w:highlight w:val="none"/>
                      <w:lang w:val="en-US" w:eastAsia="zh-CN"/>
                    </w:rPr>
                    <w:t>经</w:t>
                  </w:r>
                  <w:r>
                    <w:rPr>
                      <w:rFonts w:hint="eastAsia" w:cs="Times New Roman"/>
                      <w:b w:val="0"/>
                      <w:bCs w:val="0"/>
                      <w:color w:val="auto"/>
                      <w:highlight w:val="none"/>
                      <w:lang w:val="en-US" w:eastAsia="zh-CN"/>
                    </w:rPr>
                    <w:t>袋式除尘器</w:t>
                  </w:r>
                  <w:r>
                    <w:rPr>
                      <w:rFonts w:hint="default" w:ascii="Times New Roman" w:hAnsi="Times New Roman" w:cs="Times New Roman"/>
                      <w:b w:val="0"/>
                      <w:bCs w:val="0"/>
                      <w:color w:val="auto"/>
                      <w:highlight w:val="none"/>
                      <w:lang w:val="en-US" w:eastAsia="zh-CN"/>
                    </w:rPr>
                    <w:t>处理后通过1根经15米高排气筒（DA002）排放。</w:t>
                  </w:r>
                </w:p>
                <w:p w14:paraId="22D3079E">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left"/>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b w:val="0"/>
                      <w:bCs w:val="0"/>
                      <w:color w:val="auto"/>
                      <w:highlight w:val="none"/>
                      <w:lang w:val="en-US" w:eastAsia="zh-CN"/>
                    </w:rPr>
                    <w:t>3、</w:t>
                  </w:r>
                  <w:r>
                    <w:rPr>
                      <w:rFonts w:hint="default" w:ascii="Times New Roman" w:hAnsi="Times New Roman" w:cs="Times New Roman"/>
                      <w:b w:val="0"/>
                      <w:bCs w:val="0"/>
                      <w:color w:val="auto"/>
                      <w:highlight w:val="none"/>
                    </w:rPr>
                    <w:t>项目</w:t>
                  </w:r>
                  <w:r>
                    <w:rPr>
                      <w:rFonts w:hint="default" w:ascii="Times New Roman" w:hAnsi="Times New Roman" w:cs="Times New Roman"/>
                      <w:b w:val="0"/>
                      <w:bCs w:val="0"/>
                      <w:color w:val="auto"/>
                      <w:highlight w:val="none"/>
                      <w:lang w:val="en-US" w:eastAsia="zh-CN"/>
                    </w:rPr>
                    <w:t>喷涂烘干工序产生的</w:t>
                  </w:r>
                  <w:r>
                    <w:rPr>
                      <w:rFonts w:hint="eastAsia" w:ascii="Times New Roman" w:hAnsi="Times New Roman" w:cs="Times New Roman"/>
                      <w:b w:val="0"/>
                      <w:bCs w:val="0"/>
                      <w:color w:val="auto"/>
                      <w:highlight w:val="none"/>
                      <w:lang w:val="en-US" w:eastAsia="zh-CN"/>
                    </w:rPr>
                    <w:t>颗粒物经袋式除尘器处理后通过15m高排气筒（DA003）排放，</w:t>
                  </w:r>
                  <w:r>
                    <w:rPr>
                      <w:rFonts w:hint="default" w:ascii="Times New Roman" w:hAnsi="Times New Roman" w:cs="Times New Roman"/>
                      <w:b w:val="0"/>
                      <w:bCs w:val="0"/>
                      <w:color w:val="auto"/>
                      <w:highlight w:val="none"/>
                    </w:rPr>
                    <w:t>有机废气经</w:t>
                  </w:r>
                  <w:r>
                    <w:rPr>
                      <w:rFonts w:hint="default" w:ascii="Times New Roman" w:hAnsi="Times New Roman" w:cs="Times New Roman"/>
                      <w:b w:val="0"/>
                      <w:bCs w:val="0"/>
                      <w:color w:val="auto"/>
                      <w:highlight w:val="none"/>
                      <w:lang w:eastAsia="zh-CN"/>
                    </w:rPr>
                    <w:t>“</w:t>
                  </w:r>
                  <w:r>
                    <w:rPr>
                      <w:rFonts w:hint="eastAsia" w:ascii="Times New Roman" w:hAnsi="Times New Roman" w:cs="Times New Roman"/>
                      <w:b w:val="0"/>
                      <w:bCs w:val="0"/>
                      <w:color w:val="auto"/>
                      <w:highlight w:val="none"/>
                      <w:lang w:val="en-US" w:eastAsia="zh-CN"/>
                    </w:rPr>
                    <w:t>活性炭吸附+</w:t>
                  </w:r>
                  <w:r>
                    <w:rPr>
                      <w:rFonts w:hint="default" w:ascii="Times New Roman" w:hAnsi="Times New Roman" w:cs="Times New Roman"/>
                      <w:b w:val="0"/>
                      <w:bCs w:val="0"/>
                      <w:color w:val="auto"/>
                      <w:szCs w:val="21"/>
                      <w:highlight w:val="none"/>
                    </w:rPr>
                    <w:t>催化燃烧装置</w:t>
                  </w:r>
                  <w:r>
                    <w:rPr>
                      <w:rFonts w:hint="default" w:ascii="Times New Roman" w:hAnsi="Times New Roman" w:cs="Times New Roman"/>
                      <w:b w:val="0"/>
                      <w:bCs w:val="0"/>
                      <w:color w:val="auto"/>
                      <w:highlight w:val="none"/>
                      <w:lang w:val="en-US" w:eastAsia="zh-CN"/>
                    </w:rPr>
                    <w:t>”处理后</w:t>
                  </w:r>
                  <w:r>
                    <w:rPr>
                      <w:rFonts w:hint="default" w:ascii="Times New Roman" w:hAnsi="Times New Roman" w:cs="Times New Roman"/>
                      <w:b w:val="0"/>
                      <w:bCs w:val="0"/>
                      <w:color w:val="auto"/>
                      <w:szCs w:val="21"/>
                      <w:highlight w:val="none"/>
                      <w:lang w:val="en-US" w:eastAsia="zh-CN"/>
                    </w:rPr>
                    <w:t>，于1根15m排气筒(DA003)排放；</w:t>
                  </w:r>
                </w:p>
              </w:tc>
              <w:tc>
                <w:tcPr>
                  <w:tcW w:w="563" w:type="pct"/>
                  <w:tcBorders>
                    <w:tl2br w:val="nil"/>
                    <w:tr2bl w:val="nil"/>
                  </w:tcBorders>
                  <w:vAlign w:val="center"/>
                </w:tcPr>
                <w:p w14:paraId="3DAFBE87">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新建</w:t>
                  </w:r>
                </w:p>
              </w:tc>
            </w:tr>
            <w:tr w14:paraId="368A72F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67" w:type="pct"/>
                  <w:vMerge w:val="continue"/>
                  <w:tcBorders>
                    <w:tl2br w:val="nil"/>
                    <w:tr2bl w:val="nil"/>
                  </w:tcBorders>
                  <w:vAlign w:val="center"/>
                </w:tcPr>
                <w:p w14:paraId="41768B16">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p>
              </w:tc>
              <w:tc>
                <w:tcPr>
                  <w:tcW w:w="620" w:type="pct"/>
                  <w:tcBorders>
                    <w:tl2br w:val="nil"/>
                    <w:tr2bl w:val="nil"/>
                  </w:tcBorders>
                  <w:vAlign w:val="center"/>
                </w:tcPr>
                <w:p w14:paraId="0E82251D">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w:t>
                  </w:r>
                </w:p>
              </w:tc>
              <w:tc>
                <w:tcPr>
                  <w:tcW w:w="3448" w:type="pct"/>
                  <w:gridSpan w:val="2"/>
                  <w:tcBorders>
                    <w:tl2br w:val="nil"/>
                    <w:tr2bl w:val="nil"/>
                  </w:tcBorders>
                  <w:vAlign w:val="center"/>
                </w:tcPr>
                <w:p w14:paraId="5F96EEBA">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生活污水经污水管网排至昌吉市城北污水处理厂</w:t>
                  </w:r>
                </w:p>
              </w:tc>
              <w:tc>
                <w:tcPr>
                  <w:tcW w:w="563" w:type="pct"/>
                  <w:tcBorders>
                    <w:tl2br w:val="nil"/>
                    <w:tr2bl w:val="nil"/>
                  </w:tcBorders>
                  <w:vAlign w:val="center"/>
                </w:tcPr>
                <w:p w14:paraId="416ABF06">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依托</w:t>
                  </w:r>
                </w:p>
              </w:tc>
            </w:tr>
            <w:tr w14:paraId="081E664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67" w:type="pct"/>
                  <w:vMerge w:val="continue"/>
                  <w:tcBorders>
                    <w:tl2br w:val="nil"/>
                    <w:tr2bl w:val="nil"/>
                  </w:tcBorders>
                  <w:vAlign w:val="center"/>
                </w:tcPr>
                <w:p w14:paraId="5BF1677F">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p>
              </w:tc>
              <w:tc>
                <w:tcPr>
                  <w:tcW w:w="620" w:type="pct"/>
                  <w:tcBorders>
                    <w:tl2br w:val="nil"/>
                    <w:tr2bl w:val="nil"/>
                  </w:tcBorders>
                  <w:vAlign w:val="center"/>
                </w:tcPr>
                <w:p w14:paraId="115F9A4F">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w:t>
                  </w:r>
                </w:p>
              </w:tc>
              <w:tc>
                <w:tcPr>
                  <w:tcW w:w="3448" w:type="pct"/>
                  <w:gridSpan w:val="2"/>
                  <w:tcBorders>
                    <w:tl2br w:val="nil"/>
                    <w:tr2bl w:val="nil"/>
                  </w:tcBorders>
                  <w:vAlign w:val="center"/>
                </w:tcPr>
                <w:p w14:paraId="125490D7">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Cs w:val="21"/>
                      <w:highlight w:val="none"/>
                    </w:rPr>
                    <w:t>选用低噪声设备，同时采用减震垫进行减震降噪，加强设备维护，合理布局</w:t>
                  </w:r>
                </w:p>
              </w:tc>
              <w:tc>
                <w:tcPr>
                  <w:tcW w:w="563" w:type="pct"/>
                  <w:tcBorders>
                    <w:tl2br w:val="nil"/>
                    <w:tr2bl w:val="nil"/>
                  </w:tcBorders>
                  <w:vAlign w:val="center"/>
                </w:tcPr>
                <w:p w14:paraId="5CFDD487">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新建</w:t>
                  </w:r>
                </w:p>
              </w:tc>
            </w:tr>
            <w:tr w14:paraId="06D15F4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67" w:type="pct"/>
                  <w:vMerge w:val="continue"/>
                  <w:tcBorders>
                    <w:tl2br w:val="nil"/>
                    <w:tr2bl w:val="nil"/>
                  </w:tcBorders>
                  <w:vAlign w:val="center"/>
                </w:tcPr>
                <w:p w14:paraId="78750AF5">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p>
              </w:tc>
              <w:tc>
                <w:tcPr>
                  <w:tcW w:w="620" w:type="pct"/>
                  <w:vMerge w:val="restart"/>
                  <w:tcBorders>
                    <w:tl2br w:val="nil"/>
                    <w:tr2bl w:val="nil"/>
                  </w:tcBorders>
                  <w:vAlign w:val="center"/>
                </w:tcPr>
                <w:p w14:paraId="1C13EDD7">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固废</w:t>
                  </w:r>
                </w:p>
              </w:tc>
              <w:tc>
                <w:tcPr>
                  <w:tcW w:w="612" w:type="pct"/>
                  <w:tcBorders>
                    <w:tl2br w:val="nil"/>
                    <w:tr2bl w:val="nil"/>
                  </w:tcBorders>
                  <w:vAlign w:val="center"/>
                </w:tcPr>
                <w:p w14:paraId="6F892A8C">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一般工业固废</w:t>
                  </w:r>
                </w:p>
              </w:tc>
              <w:tc>
                <w:tcPr>
                  <w:tcW w:w="2836" w:type="pct"/>
                  <w:tcBorders>
                    <w:tl2br w:val="nil"/>
                    <w:tr2bl w:val="nil"/>
                  </w:tcBorders>
                  <w:vAlign w:val="center"/>
                </w:tcPr>
                <w:p w14:paraId="7AAEF4E8">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left"/>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Cs w:val="21"/>
                      <w:highlight w:val="none"/>
                      <w:lang w:val="en-US" w:eastAsia="zh-CN"/>
                    </w:rPr>
                    <w:t>下料切割、焊接、抛丸产生的颗粒物经除尘器处理后的除尘灰收集后外售，喷塑产生的颗粒物经布袋除尘器收集后回用于喷塑，生活垃圾暂存于垃圾箱，定期清运。</w:t>
                  </w:r>
                </w:p>
              </w:tc>
              <w:tc>
                <w:tcPr>
                  <w:tcW w:w="563" w:type="pct"/>
                  <w:tcBorders>
                    <w:tl2br w:val="nil"/>
                    <w:tr2bl w:val="nil"/>
                  </w:tcBorders>
                  <w:vAlign w:val="center"/>
                </w:tcPr>
                <w:p w14:paraId="2408173C">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14:paraId="36BD708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67" w:type="pct"/>
                  <w:vMerge w:val="continue"/>
                  <w:tcBorders>
                    <w:tl2br w:val="nil"/>
                    <w:tr2bl w:val="nil"/>
                  </w:tcBorders>
                  <w:vAlign w:val="center"/>
                </w:tcPr>
                <w:p w14:paraId="1D83EB3C">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p>
              </w:tc>
              <w:tc>
                <w:tcPr>
                  <w:tcW w:w="620" w:type="pct"/>
                  <w:vMerge w:val="continue"/>
                  <w:tcBorders>
                    <w:tl2br w:val="nil"/>
                    <w:tr2bl w:val="nil"/>
                  </w:tcBorders>
                  <w:vAlign w:val="center"/>
                </w:tcPr>
                <w:p w14:paraId="7B16D2D1">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p>
              </w:tc>
              <w:tc>
                <w:tcPr>
                  <w:tcW w:w="612" w:type="pct"/>
                  <w:tcBorders>
                    <w:tl2br w:val="nil"/>
                    <w:tr2bl w:val="nil"/>
                  </w:tcBorders>
                  <w:vAlign w:val="center"/>
                </w:tcPr>
                <w:p w14:paraId="69DC80EB">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危险废物</w:t>
                  </w:r>
                </w:p>
              </w:tc>
              <w:tc>
                <w:tcPr>
                  <w:tcW w:w="2836" w:type="pct"/>
                  <w:tcBorders>
                    <w:tl2br w:val="nil"/>
                    <w:tr2bl w:val="nil"/>
                  </w:tcBorders>
                  <w:vAlign w:val="center"/>
                </w:tcPr>
                <w:p w14:paraId="662E9A55">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1"/>
                      <w:szCs w:val="21"/>
                      <w:highlight w:val="none"/>
                    </w:rPr>
                    <w:t>废</w:t>
                  </w:r>
                  <w:r>
                    <w:rPr>
                      <w:rFonts w:hint="eastAsia" w:ascii="Times New Roman" w:hAnsi="Times New Roman" w:cs="Times New Roman"/>
                      <w:color w:val="auto"/>
                      <w:sz w:val="21"/>
                      <w:szCs w:val="21"/>
                      <w:highlight w:val="none"/>
                      <w:lang w:val="en-US" w:eastAsia="zh-CN"/>
                    </w:rPr>
                    <w:t>活性炭、废催化剂、废润滑油、废润滑油桶</w:t>
                  </w:r>
                  <w:r>
                    <w:rPr>
                      <w:rFonts w:hint="eastAsia" w:ascii="Times New Roman" w:hAnsi="Times New Roman" w:eastAsia="宋体" w:cs="Times New Roman"/>
                      <w:color w:val="auto"/>
                      <w:sz w:val="21"/>
                      <w:szCs w:val="21"/>
                      <w:highlight w:val="none"/>
                    </w:rPr>
                    <w:t>等危险废物暂存于危废暂存间，</w:t>
                  </w:r>
                  <w:r>
                    <w:rPr>
                      <w:rFonts w:hint="eastAsia" w:ascii="Times New Roman" w:hAnsi="Times New Roman" w:cs="Times New Roman"/>
                      <w:color w:val="auto"/>
                      <w:sz w:val="21"/>
                      <w:szCs w:val="21"/>
                      <w:highlight w:val="none"/>
                      <w:lang w:val="en-US" w:eastAsia="zh-CN"/>
                    </w:rPr>
                    <w:t>并分类分区存放</w:t>
                  </w:r>
                  <w:r>
                    <w:rPr>
                      <w:rFonts w:hint="eastAsia" w:ascii="Times New Roman" w:hAnsi="Times New Roman"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rPr>
                    <w:t>建筑面积为</w:t>
                  </w:r>
                  <w:r>
                    <w:rPr>
                      <w:rFonts w:hint="eastAsia" w:ascii="Times New Roman" w:hAnsi="Times New Roman" w:cs="Times New Roman"/>
                      <w:color w:val="auto"/>
                      <w:sz w:val="21"/>
                      <w:szCs w:val="21"/>
                      <w:highlight w:val="none"/>
                      <w:lang w:val="en-US" w:eastAsia="zh-CN"/>
                    </w:rPr>
                    <w:t>10m</w:t>
                  </w:r>
                  <w:r>
                    <w:rPr>
                      <w:rFonts w:hint="eastAsia" w:ascii="Times New Roman" w:hAnsi="Times New Roman" w:cs="Times New Roman"/>
                      <w:color w:val="auto"/>
                      <w:sz w:val="21"/>
                      <w:szCs w:val="21"/>
                      <w:highlight w:val="none"/>
                      <w:vertAlign w:val="superscript"/>
                      <w:lang w:val="en-US" w:eastAsia="zh-CN"/>
                    </w:rPr>
                    <w:t>2</w:t>
                  </w:r>
                  <w:r>
                    <w:rPr>
                      <w:rFonts w:hint="eastAsia" w:ascii="Times New Roman" w:hAnsi="Times New Roman" w:eastAsia="宋体"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定期</w:t>
                  </w:r>
                  <w:r>
                    <w:rPr>
                      <w:rFonts w:hint="eastAsia" w:ascii="Times New Roman" w:hAnsi="Times New Roman" w:eastAsia="宋体" w:cs="Times New Roman"/>
                      <w:color w:val="auto"/>
                      <w:sz w:val="21"/>
                      <w:szCs w:val="21"/>
                      <w:highlight w:val="none"/>
                    </w:rPr>
                    <w:t>交由有资质单位处理</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rPr>
                    <w:t>符合《危险废物贮存污染控制标准》（GB18597-20</w:t>
                  </w:r>
                  <w:r>
                    <w:rPr>
                      <w:rFonts w:hint="eastAsia" w:ascii="Times New Roman" w:hAnsi="Times New Roman" w:cs="Times New Roman"/>
                      <w:color w:val="auto"/>
                      <w:sz w:val="21"/>
                      <w:szCs w:val="21"/>
                      <w:highlight w:val="none"/>
                      <w:lang w:val="en-US" w:eastAsia="zh-CN"/>
                    </w:rPr>
                    <w:t>23</w:t>
                  </w:r>
                  <w:r>
                    <w:rPr>
                      <w:rFonts w:hint="eastAsia" w:ascii="Times New Roman" w:hAnsi="Times New Roman" w:eastAsia="宋体" w:cs="Times New Roman"/>
                      <w:color w:val="auto"/>
                      <w:sz w:val="21"/>
                      <w:szCs w:val="21"/>
                      <w:highlight w:val="none"/>
                    </w:rPr>
                    <w:t>）中要求</w:t>
                  </w:r>
                </w:p>
              </w:tc>
              <w:tc>
                <w:tcPr>
                  <w:tcW w:w="563" w:type="pct"/>
                  <w:tcBorders>
                    <w:tl2br w:val="nil"/>
                    <w:tr2bl w:val="nil"/>
                  </w:tcBorders>
                  <w:vAlign w:val="center"/>
                </w:tcPr>
                <w:p w14:paraId="7821146C">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bl>
          <w:p w14:paraId="7396F755">
            <w:pPr>
              <w:adjustRightInd w:val="0"/>
              <w:snapToGrid w:val="0"/>
              <w:jc w:val="center"/>
              <w:rPr>
                <w:rFonts w:hint="eastAsia" w:ascii="宋体" w:hAnsi="宋体" w:cs="宋体"/>
                <w:b/>
                <w:bCs/>
                <w:color w:val="auto"/>
                <w:szCs w:val="21"/>
                <w:highlight w:val="none"/>
              </w:rPr>
            </w:pPr>
          </w:p>
          <w:p w14:paraId="03D08E42">
            <w:pPr>
              <w:adjustRightInd w:val="0"/>
              <w:snapToGrid w:val="0"/>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lang w:val="en-US" w:eastAsia="zh-CN"/>
              </w:rPr>
              <w:t>2.</w:t>
            </w:r>
            <w:r>
              <w:rPr>
                <w:rFonts w:hint="default" w:ascii="Times New Roman" w:hAnsi="Times New Roman" w:cs="Times New Roman"/>
                <w:b/>
                <w:bCs/>
                <w:color w:val="auto"/>
                <w:sz w:val="24"/>
                <w:szCs w:val="24"/>
                <w:highlight w:val="none"/>
              </w:rPr>
              <w:t>主要产品及产能</w:t>
            </w:r>
          </w:p>
          <w:p w14:paraId="5D9A72AD">
            <w:pPr>
              <w:ind w:firstLine="480"/>
              <w:jc w:val="both"/>
              <w:rPr>
                <w:color w:val="auto"/>
                <w:highlight w:val="none"/>
              </w:rPr>
            </w:pPr>
            <w:r>
              <w:rPr>
                <w:rFonts w:hint="default" w:ascii="Times New Roman" w:hAnsi="Times New Roman" w:cs="Times New Roman"/>
                <w:color w:val="auto"/>
                <w:highlight w:val="none"/>
              </w:rPr>
              <w:t>本项目</w:t>
            </w:r>
            <w:r>
              <w:rPr>
                <w:rFonts w:hint="default" w:ascii="Times New Roman" w:hAnsi="Times New Roman" w:cs="Times New Roman"/>
                <w:color w:val="auto"/>
                <w:highlight w:val="none"/>
                <w:lang w:val="en-US" w:eastAsia="zh-CN"/>
              </w:rPr>
              <w:t>产品</w:t>
            </w:r>
            <w:r>
              <w:rPr>
                <w:rFonts w:hint="eastAsia"/>
                <w:color w:val="auto"/>
                <w:highlight w:val="none"/>
                <w:lang w:val="en-US" w:eastAsia="zh-CN"/>
              </w:rPr>
              <w:t>方案</w:t>
            </w:r>
            <w:r>
              <w:rPr>
                <w:color w:val="auto"/>
                <w:highlight w:val="none"/>
              </w:rPr>
              <w:t>见</w:t>
            </w:r>
            <w:r>
              <w:rPr>
                <w:rFonts w:hint="eastAsia"/>
                <w:color w:val="auto"/>
                <w:highlight w:val="none"/>
              </w:rPr>
              <w:t>下</w:t>
            </w:r>
            <w:r>
              <w:rPr>
                <w:color w:val="auto"/>
                <w:highlight w:val="none"/>
              </w:rPr>
              <w:t>表。</w:t>
            </w:r>
          </w:p>
          <w:p w14:paraId="13E1A4B6">
            <w:pPr>
              <w:keepNext w:val="0"/>
              <w:keepLines w:val="0"/>
              <w:pageBreakBefore w:val="0"/>
              <w:widowControl w:val="0"/>
              <w:kinsoku/>
              <w:wordWrap/>
              <w:overflowPunct/>
              <w:topLinePunct w:val="0"/>
              <w:autoSpaceDE/>
              <w:autoSpaceDN/>
              <w:bidi w:val="0"/>
              <w:adjustRightInd/>
              <w:snapToGrid/>
              <w:spacing w:before="0" w:line="240" w:lineRule="auto"/>
              <w:ind w:left="0" w:right="0" w:firstLine="0"/>
              <w:jc w:val="center"/>
              <w:textAlignment w:val="auto"/>
              <w:rPr>
                <w:b/>
                <w:color w:val="auto"/>
                <w:sz w:val="21"/>
                <w:szCs w:val="21"/>
                <w:highlight w:val="none"/>
              </w:rPr>
            </w:pPr>
            <w:r>
              <w:rPr>
                <w:b/>
                <w:color w:val="auto"/>
                <w:sz w:val="21"/>
                <w:szCs w:val="21"/>
                <w:highlight w:val="none"/>
              </w:rPr>
              <w:t>表</w:t>
            </w:r>
            <w:r>
              <w:rPr>
                <w:rFonts w:hint="eastAsia"/>
                <w:b/>
                <w:color w:val="auto"/>
                <w:sz w:val="21"/>
                <w:szCs w:val="21"/>
                <w:highlight w:val="none"/>
                <w:lang w:val="en-US" w:eastAsia="zh-CN"/>
              </w:rPr>
              <w:t xml:space="preserve">2-2    </w:t>
            </w:r>
            <w:r>
              <w:rPr>
                <w:b/>
                <w:color w:val="auto"/>
                <w:sz w:val="21"/>
                <w:szCs w:val="21"/>
                <w:highlight w:val="none"/>
              </w:rPr>
              <w:t>项目产品方案表</w:t>
            </w:r>
          </w:p>
          <w:tbl>
            <w:tblPr>
              <w:tblStyle w:val="26"/>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114"/>
              <w:gridCol w:w="4384"/>
              <w:gridCol w:w="2703"/>
            </w:tblGrid>
            <w:tr w14:paraId="183E8A7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79" w:type="pct"/>
                  <w:tcBorders>
                    <w:tl2br w:val="nil"/>
                    <w:tr2bl w:val="nil"/>
                  </w:tcBorders>
                  <w:vAlign w:val="center"/>
                </w:tcPr>
                <w:p w14:paraId="0AAA64AC">
                  <w:pPr>
                    <w:pStyle w:val="37"/>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序号</w:t>
                  </w:r>
                </w:p>
              </w:tc>
              <w:tc>
                <w:tcPr>
                  <w:tcW w:w="2672" w:type="pct"/>
                  <w:tcBorders>
                    <w:tl2br w:val="nil"/>
                    <w:tr2bl w:val="nil"/>
                  </w:tcBorders>
                  <w:vAlign w:val="center"/>
                </w:tcPr>
                <w:p w14:paraId="5D093E2A">
                  <w:pPr>
                    <w:pStyle w:val="37"/>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产品名称</w:t>
                  </w:r>
                </w:p>
              </w:tc>
              <w:tc>
                <w:tcPr>
                  <w:tcW w:w="1647" w:type="pct"/>
                  <w:tcBorders>
                    <w:tl2br w:val="nil"/>
                    <w:tr2bl w:val="nil"/>
                  </w:tcBorders>
                  <w:vAlign w:val="center"/>
                </w:tcPr>
                <w:p w14:paraId="4B016B33">
                  <w:pPr>
                    <w:pStyle w:val="37"/>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年达产规模</w:t>
                  </w:r>
                </w:p>
              </w:tc>
            </w:tr>
            <w:tr w14:paraId="5B5E114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79" w:type="pct"/>
                  <w:tcBorders>
                    <w:tl2br w:val="nil"/>
                    <w:tr2bl w:val="nil"/>
                  </w:tcBorders>
                  <w:vAlign w:val="center"/>
                </w:tcPr>
                <w:p w14:paraId="4A8AF682">
                  <w:pPr>
                    <w:pStyle w:val="37"/>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2672" w:type="pct"/>
                  <w:tcBorders>
                    <w:tl2br w:val="nil"/>
                    <w:tr2bl w:val="nil"/>
                  </w:tcBorders>
                  <w:vAlign w:val="center"/>
                </w:tcPr>
                <w:p w14:paraId="770BD894">
                  <w:pPr>
                    <w:pStyle w:val="37"/>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高效节水设备</w:t>
                  </w:r>
                </w:p>
              </w:tc>
              <w:tc>
                <w:tcPr>
                  <w:tcW w:w="1647" w:type="pct"/>
                  <w:tcBorders>
                    <w:tl2br w:val="nil"/>
                    <w:tr2bl w:val="nil"/>
                  </w:tcBorders>
                  <w:vAlign w:val="center"/>
                </w:tcPr>
                <w:p w14:paraId="2C31DB23">
                  <w:pPr>
                    <w:pStyle w:val="37"/>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eastAsia="宋体" w:cs="Times New Roman"/>
                      <w:color w:val="auto"/>
                      <w:sz w:val="21"/>
                      <w:szCs w:val="21"/>
                      <w:highlight w:val="none"/>
                      <w:lang w:val="en-US"/>
                    </w:rPr>
                  </w:pPr>
                  <w:r>
                    <w:rPr>
                      <w:rFonts w:hint="eastAsia" w:ascii="Times New Roman" w:hAnsi="Times New Roman" w:cs="Times New Roman"/>
                      <w:color w:val="auto"/>
                      <w:sz w:val="21"/>
                      <w:szCs w:val="21"/>
                      <w:highlight w:val="none"/>
                      <w:lang w:val="en-US" w:eastAsia="zh-CN"/>
                    </w:rPr>
                    <w:t>6000套</w:t>
                  </w:r>
                </w:p>
              </w:tc>
            </w:tr>
          </w:tbl>
          <w:p w14:paraId="1465A304">
            <w:pPr>
              <w:adjustRightInd w:val="0"/>
              <w:snapToGrid w:val="0"/>
              <w:rPr>
                <w:rFonts w:hint="eastAsia" w:ascii="宋体" w:hAnsi="宋体" w:cs="宋体"/>
                <w:b/>
                <w:bCs/>
                <w:color w:val="auto"/>
                <w:sz w:val="24"/>
                <w:szCs w:val="24"/>
                <w:highlight w:val="none"/>
              </w:rPr>
            </w:pPr>
          </w:p>
          <w:p w14:paraId="03C5CB44">
            <w:pPr>
              <w:adjustRightInd w:val="0"/>
              <w:snapToGrid w:val="0"/>
              <w:spacing w:line="360" w:lineRule="auto"/>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lang w:val="en-US" w:eastAsia="zh-CN"/>
              </w:rPr>
              <w:t>3.</w:t>
            </w:r>
            <w:r>
              <w:rPr>
                <w:rFonts w:hint="default" w:ascii="Times New Roman" w:hAnsi="Times New Roman" w:cs="Times New Roman"/>
                <w:b/>
                <w:bCs/>
                <w:color w:val="auto"/>
                <w:sz w:val="24"/>
                <w:szCs w:val="24"/>
                <w:highlight w:val="none"/>
              </w:rPr>
              <w:t>主要生产设备</w:t>
            </w:r>
          </w:p>
          <w:p w14:paraId="32F55E94">
            <w:pPr>
              <w:spacing w:line="360" w:lineRule="auto"/>
              <w:ind w:firstLine="48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本项目主要</w:t>
            </w:r>
            <w:r>
              <w:rPr>
                <w:rFonts w:hint="default" w:ascii="Times New Roman" w:hAnsi="Times New Roman" w:cs="Times New Roman"/>
                <w:color w:val="auto"/>
                <w:sz w:val="24"/>
                <w:szCs w:val="24"/>
                <w:highlight w:val="none"/>
                <w:lang w:val="en-US" w:eastAsia="zh-CN"/>
              </w:rPr>
              <w:t>生产设备</w:t>
            </w:r>
            <w:r>
              <w:rPr>
                <w:rFonts w:hint="default" w:ascii="Times New Roman" w:hAnsi="Times New Roman" w:cs="Times New Roman"/>
                <w:color w:val="auto"/>
                <w:sz w:val="24"/>
                <w:szCs w:val="24"/>
                <w:highlight w:val="none"/>
              </w:rPr>
              <w:t>名称及用量见下表。</w:t>
            </w:r>
          </w:p>
          <w:p w14:paraId="004853D4">
            <w:pPr>
              <w:spacing w:before="0"/>
              <w:ind w:left="0" w:right="10" w:firstLine="0"/>
              <w:jc w:val="center"/>
              <w:rPr>
                <w:b/>
                <w:color w:val="auto"/>
                <w:sz w:val="21"/>
                <w:szCs w:val="21"/>
                <w:highlight w:val="none"/>
              </w:rPr>
            </w:pPr>
            <w:r>
              <w:rPr>
                <w:b/>
                <w:color w:val="auto"/>
                <w:sz w:val="21"/>
                <w:szCs w:val="21"/>
                <w:highlight w:val="none"/>
              </w:rPr>
              <w:t>表</w:t>
            </w:r>
            <w:r>
              <w:rPr>
                <w:rFonts w:hint="eastAsia"/>
                <w:b/>
                <w:color w:val="auto"/>
                <w:sz w:val="21"/>
                <w:szCs w:val="21"/>
                <w:highlight w:val="none"/>
                <w:lang w:val="en-US" w:eastAsia="zh-CN"/>
              </w:rPr>
              <w:t>2</w:t>
            </w:r>
            <w:r>
              <w:rPr>
                <w:rFonts w:ascii="Times New Roman" w:eastAsia="Times New Roman"/>
                <w:b/>
                <w:color w:val="auto"/>
                <w:sz w:val="21"/>
                <w:szCs w:val="21"/>
                <w:highlight w:val="none"/>
              </w:rPr>
              <w:t>-3</w:t>
            </w:r>
            <w:r>
              <w:rPr>
                <w:rFonts w:hint="eastAsia" w:eastAsia="宋体"/>
                <w:b/>
                <w:color w:val="auto"/>
                <w:sz w:val="21"/>
                <w:szCs w:val="21"/>
                <w:highlight w:val="none"/>
                <w:lang w:val="en-US" w:eastAsia="zh-CN"/>
              </w:rPr>
              <w:t xml:space="preserve">    </w:t>
            </w:r>
            <w:r>
              <w:rPr>
                <w:b/>
                <w:color w:val="auto"/>
                <w:sz w:val="21"/>
                <w:szCs w:val="21"/>
                <w:highlight w:val="none"/>
              </w:rPr>
              <w:t>主要生产设备一览表</w:t>
            </w:r>
          </w:p>
          <w:tbl>
            <w:tblPr>
              <w:tblStyle w:val="26"/>
              <w:tblW w:w="4998" w:type="pct"/>
              <w:tblInd w:w="5"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636"/>
              <w:gridCol w:w="2645"/>
              <w:gridCol w:w="3646"/>
              <w:gridCol w:w="636"/>
              <w:gridCol w:w="638"/>
            </w:tblGrid>
            <w:tr w14:paraId="4D05D33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3" w:type="pct"/>
                  <w:tcBorders>
                    <w:bottom w:val="single" w:color="000000" w:sz="12" w:space="0"/>
                  </w:tcBorders>
                  <w:noWrap/>
                  <w:vAlign w:val="center"/>
                </w:tcPr>
                <w:p w14:paraId="709A052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序号</w:t>
                  </w:r>
                </w:p>
              </w:tc>
              <w:tc>
                <w:tcPr>
                  <w:tcW w:w="1498" w:type="pct"/>
                  <w:tcBorders>
                    <w:bottom w:val="single" w:color="000000" w:sz="12" w:space="0"/>
                  </w:tcBorders>
                  <w:noWrap/>
                  <w:vAlign w:val="center"/>
                </w:tcPr>
                <w:p w14:paraId="2438442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设备名称</w:t>
                  </w:r>
                </w:p>
              </w:tc>
              <w:tc>
                <w:tcPr>
                  <w:tcW w:w="2220" w:type="pct"/>
                  <w:tcBorders>
                    <w:bottom w:val="single" w:color="000000" w:sz="12" w:space="0"/>
                  </w:tcBorders>
                  <w:noWrap/>
                  <w:vAlign w:val="center"/>
                </w:tcPr>
                <w:p w14:paraId="7B63B86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型号规格</w:t>
                  </w:r>
                </w:p>
              </w:tc>
              <w:tc>
                <w:tcPr>
                  <w:tcW w:w="427" w:type="pct"/>
                  <w:tcBorders>
                    <w:bottom w:val="single" w:color="000000" w:sz="12" w:space="0"/>
                  </w:tcBorders>
                  <w:noWrap/>
                  <w:vAlign w:val="center"/>
                </w:tcPr>
                <w:p w14:paraId="723DEF2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数量</w:t>
                  </w:r>
                </w:p>
              </w:tc>
              <w:tc>
                <w:tcPr>
                  <w:tcW w:w="450" w:type="pct"/>
                  <w:tcBorders>
                    <w:bottom w:val="single" w:color="000000" w:sz="12" w:space="0"/>
                  </w:tcBorders>
                  <w:noWrap/>
                  <w:vAlign w:val="center"/>
                </w:tcPr>
                <w:p w14:paraId="2BC73AD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单位</w:t>
                  </w:r>
                </w:p>
              </w:tc>
            </w:tr>
            <w:tr w14:paraId="27CCEA6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3" w:type="pct"/>
                  <w:tcBorders>
                    <w:top w:val="single" w:color="000000" w:sz="12" w:space="0"/>
                    <w:tl2br w:val="nil"/>
                    <w:tr2bl w:val="nil"/>
                  </w:tcBorders>
                  <w:noWrap/>
                  <w:vAlign w:val="center"/>
                </w:tcPr>
                <w:p w14:paraId="265DE6F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1498" w:type="pct"/>
                  <w:tcBorders>
                    <w:top w:val="single" w:color="000000" w:sz="12" w:space="0"/>
                    <w:tl2br w:val="nil"/>
                    <w:tr2bl w:val="nil"/>
                  </w:tcBorders>
                  <w:noWrap/>
                  <w:vAlign w:val="center"/>
                </w:tcPr>
                <w:p w14:paraId="5C3F5D3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手持式激光除锈机</w:t>
                  </w:r>
                </w:p>
              </w:tc>
              <w:tc>
                <w:tcPr>
                  <w:tcW w:w="2220" w:type="pct"/>
                  <w:tcBorders>
                    <w:top w:val="single" w:color="000000" w:sz="12" w:space="0"/>
                    <w:tl2br w:val="nil"/>
                    <w:tr2bl w:val="nil"/>
                  </w:tcBorders>
                  <w:noWrap w:val="0"/>
                  <w:vAlign w:val="center"/>
                </w:tcPr>
                <w:p w14:paraId="08E5DA0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DP-CL3000-JHGZ-LX-650-HL-W-KPL</w:t>
                  </w:r>
                </w:p>
              </w:tc>
              <w:tc>
                <w:tcPr>
                  <w:tcW w:w="427" w:type="pct"/>
                  <w:tcBorders>
                    <w:top w:val="single" w:color="000000" w:sz="12" w:space="0"/>
                    <w:tl2br w:val="nil"/>
                    <w:tr2bl w:val="nil"/>
                  </w:tcBorders>
                  <w:noWrap/>
                  <w:vAlign w:val="center"/>
                </w:tcPr>
                <w:p w14:paraId="04C554F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450" w:type="pct"/>
                  <w:tcBorders>
                    <w:top w:val="single" w:color="000000" w:sz="12" w:space="0"/>
                    <w:tl2br w:val="nil"/>
                    <w:tr2bl w:val="nil"/>
                  </w:tcBorders>
                  <w:noWrap/>
                  <w:vAlign w:val="center"/>
                </w:tcPr>
                <w:p w14:paraId="069085E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套</w:t>
                  </w:r>
                </w:p>
              </w:tc>
            </w:tr>
            <w:tr w14:paraId="5BC77E8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3" w:type="pct"/>
                  <w:tcBorders>
                    <w:tl2br w:val="nil"/>
                    <w:tr2bl w:val="nil"/>
                  </w:tcBorders>
                  <w:noWrap/>
                  <w:vAlign w:val="center"/>
                </w:tcPr>
                <w:p w14:paraId="6175472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1498" w:type="pct"/>
                  <w:tcBorders>
                    <w:tl2br w:val="nil"/>
                    <w:tr2bl w:val="nil"/>
                  </w:tcBorders>
                  <w:noWrap/>
                  <w:vAlign w:val="center"/>
                </w:tcPr>
                <w:p w14:paraId="341DB64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奥太双脉冲二保焊机</w:t>
                  </w:r>
                </w:p>
              </w:tc>
              <w:tc>
                <w:tcPr>
                  <w:tcW w:w="2220" w:type="pct"/>
                  <w:tcBorders>
                    <w:tl2br w:val="nil"/>
                    <w:tr2bl w:val="nil"/>
                  </w:tcBorders>
                  <w:noWrap/>
                  <w:vAlign w:val="center"/>
                </w:tcPr>
                <w:p w14:paraId="4527D2F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NBC-350P</w:t>
                  </w:r>
                </w:p>
              </w:tc>
              <w:tc>
                <w:tcPr>
                  <w:tcW w:w="427" w:type="pct"/>
                  <w:tcBorders>
                    <w:tl2br w:val="nil"/>
                    <w:tr2bl w:val="nil"/>
                  </w:tcBorders>
                  <w:noWrap/>
                  <w:vAlign w:val="center"/>
                </w:tcPr>
                <w:p w14:paraId="2ED0AD9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w:t>
                  </w:r>
                </w:p>
              </w:tc>
              <w:tc>
                <w:tcPr>
                  <w:tcW w:w="450" w:type="pct"/>
                  <w:tcBorders>
                    <w:tl2br w:val="nil"/>
                    <w:tr2bl w:val="nil"/>
                  </w:tcBorders>
                  <w:noWrap/>
                  <w:vAlign w:val="center"/>
                </w:tcPr>
                <w:p w14:paraId="10F35DD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套</w:t>
                  </w:r>
                </w:p>
              </w:tc>
            </w:tr>
            <w:tr w14:paraId="2D2E979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3" w:type="pct"/>
                  <w:tcBorders>
                    <w:tl2br w:val="nil"/>
                    <w:tr2bl w:val="nil"/>
                  </w:tcBorders>
                  <w:noWrap/>
                  <w:vAlign w:val="center"/>
                </w:tcPr>
                <w:p w14:paraId="516EA06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c>
                <w:tcPr>
                  <w:tcW w:w="1498" w:type="pct"/>
                  <w:tcBorders>
                    <w:tl2br w:val="nil"/>
                    <w:tr2bl w:val="nil"/>
                  </w:tcBorders>
                  <w:noWrap/>
                  <w:vAlign w:val="center"/>
                </w:tcPr>
                <w:p w14:paraId="0E0CFE5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激光专用空压机</w:t>
                  </w:r>
                </w:p>
              </w:tc>
              <w:tc>
                <w:tcPr>
                  <w:tcW w:w="2220" w:type="pct"/>
                  <w:tcBorders>
                    <w:tl2br w:val="nil"/>
                    <w:tr2bl w:val="nil"/>
                  </w:tcBorders>
                  <w:noWrap w:val="0"/>
                  <w:vAlign w:val="center"/>
                </w:tcPr>
                <w:p w14:paraId="7C1CB0E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TSEPM22-16</w:t>
                  </w:r>
                </w:p>
              </w:tc>
              <w:tc>
                <w:tcPr>
                  <w:tcW w:w="427" w:type="pct"/>
                  <w:tcBorders>
                    <w:tl2br w:val="nil"/>
                    <w:tr2bl w:val="nil"/>
                  </w:tcBorders>
                  <w:noWrap/>
                  <w:vAlign w:val="center"/>
                </w:tcPr>
                <w:p w14:paraId="54F5988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450" w:type="pct"/>
                  <w:tcBorders>
                    <w:tl2br w:val="nil"/>
                    <w:tr2bl w:val="nil"/>
                  </w:tcBorders>
                  <w:noWrap/>
                  <w:vAlign w:val="center"/>
                </w:tcPr>
                <w:p w14:paraId="777AC66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r>
            <w:tr w14:paraId="41B6066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3" w:type="pct"/>
                  <w:tcBorders>
                    <w:tl2br w:val="nil"/>
                    <w:tr2bl w:val="nil"/>
                  </w:tcBorders>
                  <w:noWrap/>
                  <w:vAlign w:val="center"/>
                </w:tcPr>
                <w:p w14:paraId="18ABD2C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w:t>
                  </w:r>
                </w:p>
              </w:tc>
              <w:tc>
                <w:tcPr>
                  <w:tcW w:w="1498" w:type="pct"/>
                  <w:tcBorders>
                    <w:tl2br w:val="nil"/>
                    <w:tr2bl w:val="nil"/>
                  </w:tcBorders>
                  <w:noWrap/>
                  <w:vAlign w:val="center"/>
                </w:tcPr>
                <w:p w14:paraId="1755686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创力激光平面割床</w:t>
                  </w:r>
                </w:p>
              </w:tc>
              <w:tc>
                <w:tcPr>
                  <w:tcW w:w="2220" w:type="pct"/>
                  <w:tcBorders>
                    <w:tl2br w:val="nil"/>
                    <w:tr2bl w:val="nil"/>
                  </w:tcBorders>
                  <w:noWrap w:val="0"/>
                  <w:vAlign w:val="center"/>
                </w:tcPr>
                <w:p w14:paraId="1ED2533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CF-8025PE-20000W</w:t>
                  </w:r>
                </w:p>
              </w:tc>
              <w:tc>
                <w:tcPr>
                  <w:tcW w:w="427" w:type="pct"/>
                  <w:tcBorders>
                    <w:tl2br w:val="nil"/>
                    <w:tr2bl w:val="nil"/>
                  </w:tcBorders>
                  <w:noWrap/>
                  <w:vAlign w:val="center"/>
                </w:tcPr>
                <w:p w14:paraId="696F2E0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450" w:type="pct"/>
                  <w:tcBorders>
                    <w:tl2br w:val="nil"/>
                    <w:tr2bl w:val="nil"/>
                  </w:tcBorders>
                  <w:noWrap/>
                  <w:vAlign w:val="center"/>
                </w:tcPr>
                <w:p w14:paraId="4144BD1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套</w:t>
                  </w:r>
                </w:p>
              </w:tc>
            </w:tr>
            <w:tr w14:paraId="35C2D91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3" w:type="pct"/>
                  <w:tcBorders>
                    <w:tl2br w:val="nil"/>
                    <w:tr2bl w:val="nil"/>
                  </w:tcBorders>
                  <w:noWrap/>
                  <w:vAlign w:val="center"/>
                </w:tcPr>
                <w:p w14:paraId="338EDA3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w:t>
                  </w:r>
                </w:p>
              </w:tc>
              <w:tc>
                <w:tcPr>
                  <w:tcW w:w="1498" w:type="pct"/>
                  <w:tcBorders>
                    <w:tl2br w:val="nil"/>
                    <w:tr2bl w:val="nil"/>
                  </w:tcBorders>
                  <w:noWrap/>
                  <w:vAlign w:val="center"/>
                </w:tcPr>
                <w:p w14:paraId="5C7C4DA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等离子切管机</w:t>
                  </w:r>
                </w:p>
              </w:tc>
              <w:tc>
                <w:tcPr>
                  <w:tcW w:w="2220" w:type="pct"/>
                  <w:tcBorders>
                    <w:tl2br w:val="nil"/>
                    <w:tr2bl w:val="nil"/>
                  </w:tcBorders>
                  <w:noWrap w:val="0"/>
                  <w:vAlign w:val="center"/>
                </w:tcPr>
                <w:p w14:paraId="21B2490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DPE-E6040K-F120</w:t>
                  </w:r>
                </w:p>
              </w:tc>
              <w:tc>
                <w:tcPr>
                  <w:tcW w:w="427" w:type="pct"/>
                  <w:tcBorders>
                    <w:tl2br w:val="nil"/>
                    <w:tr2bl w:val="nil"/>
                  </w:tcBorders>
                  <w:noWrap/>
                  <w:vAlign w:val="center"/>
                </w:tcPr>
                <w:p w14:paraId="6FA46B7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450" w:type="pct"/>
                  <w:tcBorders>
                    <w:tl2br w:val="nil"/>
                    <w:tr2bl w:val="nil"/>
                  </w:tcBorders>
                  <w:noWrap/>
                  <w:vAlign w:val="center"/>
                </w:tcPr>
                <w:p w14:paraId="714E5C2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套</w:t>
                  </w:r>
                </w:p>
              </w:tc>
            </w:tr>
            <w:tr w14:paraId="40A426C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3" w:type="pct"/>
                  <w:tcBorders>
                    <w:tl2br w:val="nil"/>
                    <w:tr2bl w:val="nil"/>
                  </w:tcBorders>
                  <w:noWrap/>
                  <w:vAlign w:val="center"/>
                </w:tcPr>
                <w:p w14:paraId="335C213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w:t>
                  </w:r>
                </w:p>
              </w:tc>
              <w:tc>
                <w:tcPr>
                  <w:tcW w:w="1498" w:type="pct"/>
                  <w:tcBorders>
                    <w:tl2br w:val="nil"/>
                    <w:tr2bl w:val="nil"/>
                  </w:tcBorders>
                  <w:noWrap/>
                  <w:vAlign w:val="center"/>
                </w:tcPr>
                <w:p w14:paraId="7EB043B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厂区行车</w:t>
                  </w:r>
                </w:p>
              </w:tc>
              <w:tc>
                <w:tcPr>
                  <w:tcW w:w="2220" w:type="pct"/>
                  <w:tcBorders>
                    <w:tl2br w:val="nil"/>
                    <w:tr2bl w:val="nil"/>
                  </w:tcBorders>
                  <w:noWrap w:val="0"/>
                  <w:vAlign w:val="center"/>
                </w:tcPr>
                <w:p w14:paraId="4A1E17B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MHxh 5.5</w:t>
                  </w:r>
                </w:p>
              </w:tc>
              <w:tc>
                <w:tcPr>
                  <w:tcW w:w="427" w:type="pct"/>
                  <w:tcBorders>
                    <w:tl2br w:val="nil"/>
                    <w:tr2bl w:val="nil"/>
                  </w:tcBorders>
                  <w:noWrap/>
                  <w:vAlign w:val="center"/>
                </w:tcPr>
                <w:p w14:paraId="0336E0A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c>
                <w:tcPr>
                  <w:tcW w:w="450" w:type="pct"/>
                  <w:tcBorders>
                    <w:tl2br w:val="nil"/>
                    <w:tr2bl w:val="nil"/>
                  </w:tcBorders>
                  <w:noWrap/>
                  <w:vAlign w:val="center"/>
                </w:tcPr>
                <w:p w14:paraId="69FCA0E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套</w:t>
                  </w:r>
                </w:p>
              </w:tc>
            </w:tr>
            <w:tr w14:paraId="31CB934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3" w:type="pct"/>
                  <w:tcBorders>
                    <w:tl2br w:val="nil"/>
                    <w:tr2bl w:val="nil"/>
                  </w:tcBorders>
                  <w:noWrap/>
                  <w:vAlign w:val="center"/>
                </w:tcPr>
                <w:p w14:paraId="6994599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w:t>
                  </w:r>
                </w:p>
              </w:tc>
              <w:tc>
                <w:tcPr>
                  <w:tcW w:w="1498" w:type="pct"/>
                  <w:tcBorders>
                    <w:tl2br w:val="nil"/>
                    <w:tr2bl w:val="nil"/>
                  </w:tcBorders>
                  <w:noWrap/>
                  <w:vAlign w:val="center"/>
                </w:tcPr>
                <w:p w14:paraId="35F7461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数控大变位机</w:t>
                  </w:r>
                </w:p>
              </w:tc>
              <w:tc>
                <w:tcPr>
                  <w:tcW w:w="2220" w:type="pct"/>
                  <w:tcBorders>
                    <w:tl2br w:val="nil"/>
                    <w:tr2bl w:val="nil"/>
                  </w:tcBorders>
                  <w:noWrap w:val="0"/>
                  <w:vAlign w:val="center"/>
                </w:tcPr>
                <w:p w14:paraId="05DC538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BWJ-600</w:t>
                  </w:r>
                </w:p>
              </w:tc>
              <w:tc>
                <w:tcPr>
                  <w:tcW w:w="427" w:type="pct"/>
                  <w:tcBorders>
                    <w:tl2br w:val="nil"/>
                    <w:tr2bl w:val="nil"/>
                  </w:tcBorders>
                  <w:noWrap/>
                  <w:vAlign w:val="center"/>
                </w:tcPr>
                <w:p w14:paraId="5B9A0CA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450" w:type="pct"/>
                  <w:tcBorders>
                    <w:tl2br w:val="nil"/>
                    <w:tr2bl w:val="nil"/>
                  </w:tcBorders>
                  <w:noWrap/>
                  <w:vAlign w:val="center"/>
                </w:tcPr>
                <w:p w14:paraId="2ECC2F1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套</w:t>
                  </w:r>
                </w:p>
              </w:tc>
            </w:tr>
            <w:tr w14:paraId="142CBE2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3" w:type="pct"/>
                  <w:tcBorders>
                    <w:tl2br w:val="nil"/>
                    <w:tr2bl w:val="nil"/>
                  </w:tcBorders>
                  <w:noWrap/>
                  <w:vAlign w:val="center"/>
                </w:tcPr>
                <w:p w14:paraId="378AA7B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w:t>
                  </w:r>
                </w:p>
              </w:tc>
              <w:tc>
                <w:tcPr>
                  <w:tcW w:w="1498" w:type="pct"/>
                  <w:tcBorders>
                    <w:tl2br w:val="nil"/>
                    <w:tr2bl w:val="nil"/>
                  </w:tcBorders>
                  <w:noWrap w:val="0"/>
                  <w:vAlign w:val="center"/>
                </w:tcPr>
                <w:p w14:paraId="77F469E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IGBT逆变式空气等离子</w:t>
                  </w:r>
                </w:p>
              </w:tc>
              <w:tc>
                <w:tcPr>
                  <w:tcW w:w="2220" w:type="pct"/>
                  <w:tcBorders>
                    <w:tl2br w:val="nil"/>
                    <w:tr2bl w:val="nil"/>
                  </w:tcBorders>
                  <w:noWrap w:val="0"/>
                  <w:vAlign w:val="center"/>
                </w:tcPr>
                <w:p w14:paraId="628190D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LGK-120</w:t>
                  </w:r>
                </w:p>
              </w:tc>
              <w:tc>
                <w:tcPr>
                  <w:tcW w:w="427" w:type="pct"/>
                  <w:tcBorders>
                    <w:tl2br w:val="nil"/>
                    <w:tr2bl w:val="nil"/>
                  </w:tcBorders>
                  <w:noWrap/>
                  <w:vAlign w:val="center"/>
                </w:tcPr>
                <w:p w14:paraId="6448412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c>
                <w:tcPr>
                  <w:tcW w:w="450" w:type="pct"/>
                  <w:tcBorders>
                    <w:tl2br w:val="nil"/>
                    <w:tr2bl w:val="nil"/>
                  </w:tcBorders>
                  <w:noWrap/>
                  <w:vAlign w:val="center"/>
                </w:tcPr>
                <w:p w14:paraId="162B750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r>
            <w:tr w14:paraId="25894E8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3" w:type="pct"/>
                  <w:tcBorders>
                    <w:tl2br w:val="nil"/>
                    <w:tr2bl w:val="nil"/>
                  </w:tcBorders>
                  <w:noWrap/>
                  <w:vAlign w:val="center"/>
                </w:tcPr>
                <w:p w14:paraId="0A1E387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w:t>
                  </w:r>
                </w:p>
              </w:tc>
              <w:tc>
                <w:tcPr>
                  <w:tcW w:w="1498" w:type="pct"/>
                  <w:tcBorders>
                    <w:tl2br w:val="nil"/>
                    <w:tr2bl w:val="nil"/>
                  </w:tcBorders>
                  <w:noWrap/>
                  <w:vAlign w:val="center"/>
                </w:tcPr>
                <w:p w14:paraId="370F543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三辊卷板机</w:t>
                  </w:r>
                </w:p>
              </w:tc>
              <w:tc>
                <w:tcPr>
                  <w:tcW w:w="2220" w:type="pct"/>
                  <w:tcBorders>
                    <w:tl2br w:val="nil"/>
                    <w:tr2bl w:val="nil"/>
                  </w:tcBorders>
                  <w:noWrap w:val="0"/>
                  <w:vAlign w:val="center"/>
                </w:tcPr>
                <w:p w14:paraId="7B90790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12x2200</w:t>
                  </w:r>
                </w:p>
              </w:tc>
              <w:tc>
                <w:tcPr>
                  <w:tcW w:w="427" w:type="pct"/>
                  <w:tcBorders>
                    <w:tl2br w:val="nil"/>
                    <w:tr2bl w:val="nil"/>
                  </w:tcBorders>
                  <w:noWrap/>
                  <w:vAlign w:val="center"/>
                </w:tcPr>
                <w:p w14:paraId="7DED733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450" w:type="pct"/>
                  <w:tcBorders>
                    <w:tl2br w:val="nil"/>
                    <w:tr2bl w:val="nil"/>
                  </w:tcBorders>
                  <w:noWrap/>
                  <w:vAlign w:val="center"/>
                </w:tcPr>
                <w:p w14:paraId="0B0BB32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r>
            <w:tr w14:paraId="5A2967B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3" w:type="pct"/>
                  <w:tcBorders>
                    <w:tl2br w:val="nil"/>
                    <w:tr2bl w:val="nil"/>
                  </w:tcBorders>
                  <w:noWrap/>
                  <w:vAlign w:val="center"/>
                </w:tcPr>
                <w:p w14:paraId="6322874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w:t>
                  </w:r>
                </w:p>
              </w:tc>
              <w:tc>
                <w:tcPr>
                  <w:tcW w:w="1498" w:type="pct"/>
                  <w:tcBorders>
                    <w:tl2br w:val="nil"/>
                    <w:tr2bl w:val="nil"/>
                  </w:tcBorders>
                  <w:noWrap/>
                  <w:vAlign w:val="center"/>
                </w:tcPr>
                <w:p w14:paraId="77AB53B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磨光机</w:t>
                  </w:r>
                </w:p>
              </w:tc>
              <w:tc>
                <w:tcPr>
                  <w:tcW w:w="2220" w:type="pct"/>
                  <w:tcBorders>
                    <w:tl2br w:val="nil"/>
                    <w:tr2bl w:val="nil"/>
                  </w:tcBorders>
                  <w:noWrap w:val="0"/>
                  <w:vAlign w:val="center"/>
                </w:tcPr>
                <w:p w14:paraId="6866F6D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LD100</w:t>
                  </w:r>
                </w:p>
              </w:tc>
              <w:tc>
                <w:tcPr>
                  <w:tcW w:w="427" w:type="pct"/>
                  <w:tcBorders>
                    <w:tl2br w:val="nil"/>
                    <w:tr2bl w:val="nil"/>
                  </w:tcBorders>
                  <w:noWrap/>
                  <w:vAlign w:val="center"/>
                </w:tcPr>
                <w:p w14:paraId="0A7D306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w:t>
                  </w:r>
                </w:p>
              </w:tc>
              <w:tc>
                <w:tcPr>
                  <w:tcW w:w="450" w:type="pct"/>
                  <w:tcBorders>
                    <w:tl2br w:val="nil"/>
                    <w:tr2bl w:val="nil"/>
                  </w:tcBorders>
                  <w:noWrap/>
                  <w:vAlign w:val="center"/>
                </w:tcPr>
                <w:p w14:paraId="69A90C0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r>
            <w:tr w14:paraId="55336DB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3" w:type="pct"/>
                  <w:tcBorders>
                    <w:tl2br w:val="nil"/>
                    <w:tr2bl w:val="nil"/>
                  </w:tcBorders>
                  <w:noWrap/>
                  <w:vAlign w:val="center"/>
                </w:tcPr>
                <w:p w14:paraId="6B49EE5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w:t>
                  </w:r>
                </w:p>
              </w:tc>
              <w:tc>
                <w:tcPr>
                  <w:tcW w:w="1498" w:type="pct"/>
                  <w:tcBorders>
                    <w:tl2br w:val="nil"/>
                    <w:tr2bl w:val="nil"/>
                  </w:tcBorders>
                  <w:noWrap/>
                  <w:vAlign w:val="center"/>
                </w:tcPr>
                <w:p w14:paraId="7075D26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液压三锥卷板机</w:t>
                  </w:r>
                </w:p>
              </w:tc>
              <w:tc>
                <w:tcPr>
                  <w:tcW w:w="2220" w:type="pct"/>
                  <w:tcBorders>
                    <w:tl2br w:val="nil"/>
                    <w:tr2bl w:val="nil"/>
                  </w:tcBorders>
                  <w:noWrap w:val="0"/>
                  <w:vAlign w:val="center"/>
                </w:tcPr>
                <w:p w14:paraId="794FD07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8x1000</w:t>
                  </w:r>
                </w:p>
              </w:tc>
              <w:tc>
                <w:tcPr>
                  <w:tcW w:w="427" w:type="pct"/>
                  <w:tcBorders>
                    <w:tl2br w:val="nil"/>
                    <w:tr2bl w:val="nil"/>
                  </w:tcBorders>
                  <w:noWrap/>
                  <w:vAlign w:val="center"/>
                </w:tcPr>
                <w:p w14:paraId="08ABF62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450" w:type="pct"/>
                  <w:tcBorders>
                    <w:tl2br w:val="nil"/>
                    <w:tr2bl w:val="nil"/>
                  </w:tcBorders>
                  <w:noWrap/>
                  <w:vAlign w:val="center"/>
                </w:tcPr>
                <w:p w14:paraId="004E1FD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r>
            <w:tr w14:paraId="031A7E0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3" w:type="pct"/>
                  <w:tcBorders>
                    <w:tl2br w:val="nil"/>
                    <w:tr2bl w:val="nil"/>
                  </w:tcBorders>
                  <w:noWrap/>
                  <w:vAlign w:val="center"/>
                </w:tcPr>
                <w:p w14:paraId="7EEC43C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w:t>
                  </w:r>
                </w:p>
              </w:tc>
              <w:tc>
                <w:tcPr>
                  <w:tcW w:w="1498" w:type="pct"/>
                  <w:tcBorders>
                    <w:tl2br w:val="nil"/>
                    <w:tr2bl w:val="nil"/>
                  </w:tcBorders>
                  <w:noWrap/>
                  <w:vAlign w:val="center"/>
                </w:tcPr>
                <w:p w14:paraId="524AA4A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数控四辊卷板机</w:t>
                  </w:r>
                </w:p>
              </w:tc>
              <w:tc>
                <w:tcPr>
                  <w:tcW w:w="2220" w:type="pct"/>
                  <w:tcBorders>
                    <w:tl2br w:val="nil"/>
                    <w:tr2bl w:val="nil"/>
                  </w:tcBorders>
                  <w:noWrap w:val="0"/>
                  <w:vAlign w:val="center"/>
                </w:tcPr>
                <w:p w14:paraId="3C9491F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W12-16x2500</w:t>
                  </w:r>
                </w:p>
              </w:tc>
              <w:tc>
                <w:tcPr>
                  <w:tcW w:w="427" w:type="pct"/>
                  <w:tcBorders>
                    <w:tl2br w:val="nil"/>
                    <w:tr2bl w:val="nil"/>
                  </w:tcBorders>
                  <w:noWrap/>
                  <w:vAlign w:val="center"/>
                </w:tcPr>
                <w:p w14:paraId="771BF3D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450" w:type="pct"/>
                  <w:tcBorders>
                    <w:tl2br w:val="nil"/>
                    <w:tr2bl w:val="nil"/>
                  </w:tcBorders>
                  <w:noWrap/>
                  <w:vAlign w:val="center"/>
                </w:tcPr>
                <w:p w14:paraId="66D708A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套</w:t>
                  </w:r>
                </w:p>
              </w:tc>
            </w:tr>
            <w:tr w14:paraId="15A4A9D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3" w:type="pct"/>
                  <w:tcBorders>
                    <w:tl2br w:val="nil"/>
                    <w:tr2bl w:val="nil"/>
                  </w:tcBorders>
                  <w:noWrap/>
                  <w:vAlign w:val="center"/>
                </w:tcPr>
                <w:p w14:paraId="6E316E1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1498" w:type="pct"/>
                  <w:tcBorders>
                    <w:tl2br w:val="nil"/>
                    <w:tr2bl w:val="nil"/>
                  </w:tcBorders>
                  <w:noWrap/>
                  <w:vAlign w:val="center"/>
                </w:tcPr>
                <w:p w14:paraId="67FA8CF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虎王牌电动滚槽机</w:t>
                  </w:r>
                </w:p>
              </w:tc>
              <w:tc>
                <w:tcPr>
                  <w:tcW w:w="2220" w:type="pct"/>
                  <w:tcBorders>
                    <w:tl2br w:val="nil"/>
                    <w:tr2bl w:val="nil"/>
                  </w:tcBorders>
                  <w:noWrap/>
                  <w:vAlign w:val="center"/>
                </w:tcPr>
                <w:p w14:paraId="354C675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GN12</w:t>
                  </w:r>
                </w:p>
              </w:tc>
              <w:tc>
                <w:tcPr>
                  <w:tcW w:w="427" w:type="pct"/>
                  <w:tcBorders>
                    <w:tl2br w:val="nil"/>
                    <w:tr2bl w:val="nil"/>
                  </w:tcBorders>
                  <w:noWrap/>
                  <w:vAlign w:val="center"/>
                </w:tcPr>
                <w:p w14:paraId="38C7522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450" w:type="pct"/>
                  <w:tcBorders>
                    <w:tl2br w:val="nil"/>
                    <w:tr2bl w:val="nil"/>
                  </w:tcBorders>
                  <w:noWrap/>
                  <w:vAlign w:val="center"/>
                </w:tcPr>
                <w:p w14:paraId="22B9F0C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r>
            <w:tr w14:paraId="6058D01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3" w:type="pct"/>
                  <w:tcBorders>
                    <w:tl2br w:val="nil"/>
                    <w:tr2bl w:val="nil"/>
                  </w:tcBorders>
                  <w:noWrap/>
                  <w:vAlign w:val="center"/>
                </w:tcPr>
                <w:p w14:paraId="1B40877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14</w:t>
                  </w:r>
                </w:p>
              </w:tc>
              <w:tc>
                <w:tcPr>
                  <w:tcW w:w="1498" w:type="pct"/>
                  <w:tcBorders>
                    <w:tl2br w:val="nil"/>
                    <w:tr2bl w:val="nil"/>
                  </w:tcBorders>
                  <w:noWrap/>
                  <w:vAlign w:val="center"/>
                </w:tcPr>
                <w:p w14:paraId="1A81BFA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车床</w:t>
                  </w:r>
                </w:p>
              </w:tc>
              <w:tc>
                <w:tcPr>
                  <w:tcW w:w="2220" w:type="pct"/>
                  <w:tcBorders>
                    <w:tl2br w:val="nil"/>
                    <w:tr2bl w:val="nil"/>
                  </w:tcBorders>
                  <w:noWrap/>
                  <w:vAlign w:val="center"/>
                </w:tcPr>
                <w:p w14:paraId="0AEE678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6140</w:t>
                  </w:r>
                </w:p>
              </w:tc>
              <w:tc>
                <w:tcPr>
                  <w:tcW w:w="427" w:type="pct"/>
                  <w:tcBorders>
                    <w:tl2br w:val="nil"/>
                    <w:tr2bl w:val="nil"/>
                  </w:tcBorders>
                  <w:noWrap/>
                  <w:vAlign w:val="center"/>
                </w:tcPr>
                <w:p w14:paraId="71A9DD2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450" w:type="pct"/>
                  <w:tcBorders>
                    <w:tl2br w:val="nil"/>
                    <w:tr2bl w:val="nil"/>
                  </w:tcBorders>
                  <w:noWrap/>
                  <w:vAlign w:val="center"/>
                </w:tcPr>
                <w:p w14:paraId="0D5BB06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r>
            <w:tr w14:paraId="1D4A41D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3" w:type="pct"/>
                  <w:tcBorders>
                    <w:tl2br w:val="nil"/>
                    <w:tr2bl w:val="nil"/>
                  </w:tcBorders>
                  <w:noWrap/>
                  <w:vAlign w:val="center"/>
                </w:tcPr>
                <w:p w14:paraId="3F8ACCE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15</w:t>
                  </w:r>
                </w:p>
              </w:tc>
              <w:tc>
                <w:tcPr>
                  <w:tcW w:w="1498" w:type="pct"/>
                  <w:tcBorders>
                    <w:tl2br w:val="nil"/>
                    <w:tr2bl w:val="nil"/>
                  </w:tcBorders>
                  <w:noWrap/>
                  <w:vAlign w:val="center"/>
                </w:tcPr>
                <w:p w14:paraId="66ECF1E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合力叉车</w:t>
                  </w:r>
                </w:p>
              </w:tc>
              <w:tc>
                <w:tcPr>
                  <w:tcW w:w="2220" w:type="pct"/>
                  <w:tcBorders>
                    <w:tl2br w:val="nil"/>
                    <w:tr2bl w:val="nil"/>
                  </w:tcBorders>
                  <w:noWrap/>
                  <w:vAlign w:val="center"/>
                </w:tcPr>
                <w:p w14:paraId="25232F1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举高3米K-30</w:t>
                  </w:r>
                </w:p>
              </w:tc>
              <w:tc>
                <w:tcPr>
                  <w:tcW w:w="427" w:type="pct"/>
                  <w:tcBorders>
                    <w:tl2br w:val="nil"/>
                    <w:tr2bl w:val="nil"/>
                  </w:tcBorders>
                  <w:noWrap/>
                  <w:vAlign w:val="center"/>
                </w:tcPr>
                <w:p w14:paraId="7DD3AB4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450" w:type="pct"/>
                  <w:tcBorders>
                    <w:tl2br w:val="nil"/>
                    <w:tr2bl w:val="nil"/>
                  </w:tcBorders>
                  <w:noWrap/>
                  <w:vAlign w:val="center"/>
                </w:tcPr>
                <w:p w14:paraId="1D9B4F1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r>
            <w:tr w14:paraId="3CAFF93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3" w:type="pct"/>
                  <w:tcBorders>
                    <w:tl2br w:val="nil"/>
                    <w:tr2bl w:val="nil"/>
                  </w:tcBorders>
                  <w:noWrap/>
                  <w:vAlign w:val="center"/>
                </w:tcPr>
                <w:p w14:paraId="763764B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16</w:t>
                  </w:r>
                </w:p>
              </w:tc>
              <w:tc>
                <w:tcPr>
                  <w:tcW w:w="1498" w:type="pct"/>
                  <w:tcBorders>
                    <w:tl2br w:val="nil"/>
                    <w:tr2bl w:val="nil"/>
                  </w:tcBorders>
                  <w:noWrap/>
                  <w:vAlign w:val="center"/>
                </w:tcPr>
                <w:p w14:paraId="1509728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上海大象型材切割机</w:t>
                  </w:r>
                </w:p>
              </w:tc>
              <w:tc>
                <w:tcPr>
                  <w:tcW w:w="2220" w:type="pct"/>
                  <w:tcBorders>
                    <w:tl2br w:val="nil"/>
                    <w:tr2bl w:val="nil"/>
                  </w:tcBorders>
                  <w:noWrap/>
                  <w:vAlign w:val="center"/>
                </w:tcPr>
                <w:p w14:paraId="11EF10A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J3G-DX-400</w:t>
                  </w:r>
                </w:p>
              </w:tc>
              <w:tc>
                <w:tcPr>
                  <w:tcW w:w="427" w:type="pct"/>
                  <w:tcBorders>
                    <w:tl2br w:val="nil"/>
                    <w:tr2bl w:val="nil"/>
                  </w:tcBorders>
                  <w:noWrap/>
                  <w:vAlign w:val="center"/>
                </w:tcPr>
                <w:p w14:paraId="55533D7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450" w:type="pct"/>
                  <w:tcBorders>
                    <w:tl2br w:val="nil"/>
                    <w:tr2bl w:val="nil"/>
                  </w:tcBorders>
                  <w:noWrap/>
                  <w:vAlign w:val="center"/>
                </w:tcPr>
                <w:p w14:paraId="59DB937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r>
            <w:tr w14:paraId="0E4E485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3" w:type="pct"/>
                  <w:tcBorders>
                    <w:tl2br w:val="nil"/>
                    <w:tr2bl w:val="nil"/>
                  </w:tcBorders>
                  <w:noWrap/>
                  <w:vAlign w:val="center"/>
                </w:tcPr>
                <w:p w14:paraId="376B48D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w:t>
                  </w:r>
                </w:p>
              </w:tc>
              <w:tc>
                <w:tcPr>
                  <w:tcW w:w="1498" w:type="pct"/>
                  <w:tcBorders>
                    <w:tl2br w:val="nil"/>
                    <w:tr2bl w:val="nil"/>
                  </w:tcBorders>
                  <w:noWrap/>
                  <w:vAlign w:val="center"/>
                </w:tcPr>
                <w:p w14:paraId="71FD7B9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台钻</w:t>
                  </w:r>
                </w:p>
              </w:tc>
              <w:tc>
                <w:tcPr>
                  <w:tcW w:w="2220" w:type="pct"/>
                  <w:tcBorders>
                    <w:tl2br w:val="nil"/>
                    <w:tr2bl w:val="nil"/>
                  </w:tcBorders>
                  <w:noWrap/>
                  <w:vAlign w:val="center"/>
                </w:tcPr>
                <w:p w14:paraId="6F22966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济南台钻Z4016-1</w:t>
                  </w:r>
                </w:p>
              </w:tc>
              <w:tc>
                <w:tcPr>
                  <w:tcW w:w="427" w:type="pct"/>
                  <w:tcBorders>
                    <w:tl2br w:val="nil"/>
                    <w:tr2bl w:val="nil"/>
                  </w:tcBorders>
                  <w:noWrap/>
                  <w:vAlign w:val="center"/>
                </w:tcPr>
                <w:p w14:paraId="39240EE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450" w:type="pct"/>
                  <w:tcBorders>
                    <w:tl2br w:val="nil"/>
                    <w:tr2bl w:val="nil"/>
                  </w:tcBorders>
                  <w:noWrap/>
                  <w:vAlign w:val="center"/>
                </w:tcPr>
                <w:p w14:paraId="01D2F49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r>
            <w:tr w14:paraId="7553E4C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3" w:type="pct"/>
                  <w:tcBorders>
                    <w:tl2br w:val="nil"/>
                    <w:tr2bl w:val="nil"/>
                  </w:tcBorders>
                  <w:noWrap/>
                  <w:vAlign w:val="center"/>
                </w:tcPr>
                <w:p w14:paraId="307353E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w:t>
                  </w:r>
                </w:p>
              </w:tc>
              <w:tc>
                <w:tcPr>
                  <w:tcW w:w="1498" w:type="pct"/>
                  <w:tcBorders>
                    <w:tl2br w:val="nil"/>
                    <w:tr2bl w:val="nil"/>
                  </w:tcBorders>
                  <w:noWrap/>
                  <w:vAlign w:val="center"/>
                </w:tcPr>
                <w:p w14:paraId="03C2CDE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钻铣床</w:t>
                  </w:r>
                </w:p>
              </w:tc>
              <w:tc>
                <w:tcPr>
                  <w:tcW w:w="2220" w:type="pct"/>
                  <w:tcBorders>
                    <w:tl2br w:val="nil"/>
                    <w:tr2bl w:val="nil"/>
                  </w:tcBorders>
                  <w:noWrap/>
                  <w:vAlign w:val="center"/>
                </w:tcPr>
                <w:p w14:paraId="36614DB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山东ZX50C</w:t>
                  </w:r>
                </w:p>
              </w:tc>
              <w:tc>
                <w:tcPr>
                  <w:tcW w:w="427" w:type="pct"/>
                  <w:tcBorders>
                    <w:tl2br w:val="nil"/>
                    <w:tr2bl w:val="nil"/>
                  </w:tcBorders>
                  <w:noWrap/>
                  <w:vAlign w:val="center"/>
                </w:tcPr>
                <w:p w14:paraId="4AA18ED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450" w:type="pct"/>
                  <w:tcBorders>
                    <w:tl2br w:val="nil"/>
                    <w:tr2bl w:val="nil"/>
                  </w:tcBorders>
                  <w:noWrap/>
                  <w:vAlign w:val="center"/>
                </w:tcPr>
                <w:p w14:paraId="5E31414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r>
            <w:tr w14:paraId="2D7416A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3" w:type="pct"/>
                  <w:tcBorders>
                    <w:tl2br w:val="nil"/>
                    <w:tr2bl w:val="nil"/>
                  </w:tcBorders>
                  <w:noWrap/>
                  <w:vAlign w:val="center"/>
                </w:tcPr>
                <w:p w14:paraId="4BB0DBF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19</w:t>
                  </w:r>
                </w:p>
              </w:tc>
              <w:tc>
                <w:tcPr>
                  <w:tcW w:w="1498" w:type="pct"/>
                  <w:tcBorders>
                    <w:tl2br w:val="nil"/>
                    <w:tr2bl w:val="nil"/>
                  </w:tcBorders>
                  <w:noWrap/>
                  <w:vAlign w:val="center"/>
                </w:tcPr>
                <w:p w14:paraId="7DA794D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炮塔式铣床</w:t>
                  </w:r>
                </w:p>
              </w:tc>
              <w:tc>
                <w:tcPr>
                  <w:tcW w:w="2220" w:type="pct"/>
                  <w:tcBorders>
                    <w:tl2br w:val="nil"/>
                    <w:tr2bl w:val="nil"/>
                  </w:tcBorders>
                  <w:noWrap/>
                  <w:vAlign w:val="center"/>
                </w:tcPr>
                <w:p w14:paraId="16C64A4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MILODON-600</w:t>
                  </w:r>
                </w:p>
              </w:tc>
              <w:tc>
                <w:tcPr>
                  <w:tcW w:w="427" w:type="pct"/>
                  <w:tcBorders>
                    <w:tl2br w:val="nil"/>
                    <w:tr2bl w:val="nil"/>
                  </w:tcBorders>
                  <w:noWrap/>
                  <w:vAlign w:val="center"/>
                </w:tcPr>
                <w:p w14:paraId="36AAA29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450" w:type="pct"/>
                  <w:tcBorders>
                    <w:tl2br w:val="nil"/>
                    <w:tr2bl w:val="nil"/>
                  </w:tcBorders>
                  <w:noWrap/>
                  <w:vAlign w:val="center"/>
                </w:tcPr>
                <w:p w14:paraId="2D64B18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r>
            <w:tr w14:paraId="71EA623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3" w:type="pct"/>
                  <w:tcBorders>
                    <w:tl2br w:val="nil"/>
                    <w:tr2bl w:val="nil"/>
                  </w:tcBorders>
                  <w:noWrap/>
                  <w:vAlign w:val="center"/>
                </w:tcPr>
                <w:p w14:paraId="3A61162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20</w:t>
                  </w:r>
                </w:p>
              </w:tc>
              <w:tc>
                <w:tcPr>
                  <w:tcW w:w="1498" w:type="pct"/>
                  <w:tcBorders>
                    <w:tl2br w:val="nil"/>
                    <w:tr2bl w:val="nil"/>
                  </w:tcBorders>
                  <w:noWrap/>
                  <w:vAlign w:val="center"/>
                </w:tcPr>
                <w:p w14:paraId="42F8A8F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电焊机</w:t>
                  </w:r>
                </w:p>
              </w:tc>
              <w:tc>
                <w:tcPr>
                  <w:tcW w:w="2220" w:type="pct"/>
                  <w:tcBorders>
                    <w:tl2br w:val="nil"/>
                    <w:tr2bl w:val="nil"/>
                  </w:tcBorders>
                  <w:noWrap/>
                  <w:vAlign w:val="center"/>
                </w:tcPr>
                <w:p w14:paraId="15021D2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上海米勒zx7-350</w:t>
                  </w:r>
                </w:p>
              </w:tc>
              <w:tc>
                <w:tcPr>
                  <w:tcW w:w="427" w:type="pct"/>
                  <w:tcBorders>
                    <w:tl2br w:val="nil"/>
                    <w:tr2bl w:val="nil"/>
                  </w:tcBorders>
                  <w:noWrap/>
                  <w:vAlign w:val="center"/>
                </w:tcPr>
                <w:p w14:paraId="7D9CA42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450" w:type="pct"/>
                  <w:tcBorders>
                    <w:tl2br w:val="nil"/>
                    <w:tr2bl w:val="nil"/>
                  </w:tcBorders>
                  <w:noWrap/>
                  <w:vAlign w:val="center"/>
                </w:tcPr>
                <w:p w14:paraId="2B0E62C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r>
            <w:tr w14:paraId="2DF7D44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3" w:type="pct"/>
                  <w:tcBorders>
                    <w:tl2br w:val="nil"/>
                    <w:tr2bl w:val="nil"/>
                  </w:tcBorders>
                  <w:shd w:val="clear" w:color="auto" w:fill="auto"/>
                  <w:noWrap/>
                  <w:vAlign w:val="center"/>
                </w:tcPr>
                <w:p w14:paraId="265F548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21</w:t>
                  </w:r>
                </w:p>
              </w:tc>
              <w:tc>
                <w:tcPr>
                  <w:tcW w:w="1498" w:type="pct"/>
                  <w:tcBorders>
                    <w:tl2br w:val="nil"/>
                    <w:tr2bl w:val="nil"/>
                  </w:tcBorders>
                  <w:shd w:val="clear" w:color="auto" w:fill="FFFFFF"/>
                  <w:noWrap/>
                  <w:vAlign w:val="center"/>
                </w:tcPr>
                <w:p w14:paraId="0992106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上海沪东牛头刨床</w:t>
                  </w:r>
                </w:p>
              </w:tc>
              <w:tc>
                <w:tcPr>
                  <w:tcW w:w="2220" w:type="pct"/>
                  <w:tcBorders>
                    <w:tl2br w:val="nil"/>
                    <w:tr2bl w:val="nil"/>
                  </w:tcBorders>
                  <w:shd w:val="clear" w:color="auto" w:fill="FFFFFF"/>
                  <w:noWrap/>
                  <w:vAlign w:val="center"/>
                </w:tcPr>
                <w:p w14:paraId="70B1BF9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BH6070A</w:t>
                  </w:r>
                </w:p>
              </w:tc>
              <w:tc>
                <w:tcPr>
                  <w:tcW w:w="427" w:type="pct"/>
                  <w:tcBorders>
                    <w:tl2br w:val="nil"/>
                    <w:tr2bl w:val="nil"/>
                  </w:tcBorders>
                  <w:shd w:val="clear" w:color="auto" w:fill="FFFFFF"/>
                  <w:noWrap/>
                  <w:vAlign w:val="center"/>
                </w:tcPr>
                <w:p w14:paraId="7714E24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450" w:type="pct"/>
                  <w:tcBorders>
                    <w:tl2br w:val="nil"/>
                    <w:tr2bl w:val="nil"/>
                  </w:tcBorders>
                  <w:noWrap/>
                  <w:vAlign w:val="center"/>
                </w:tcPr>
                <w:p w14:paraId="5246CBB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r>
            <w:tr w14:paraId="196E4E6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3" w:type="pct"/>
                  <w:tcBorders>
                    <w:tl2br w:val="nil"/>
                    <w:tr2bl w:val="nil"/>
                  </w:tcBorders>
                  <w:shd w:val="clear" w:color="auto" w:fill="auto"/>
                  <w:noWrap/>
                  <w:vAlign w:val="center"/>
                </w:tcPr>
                <w:p w14:paraId="4D27378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22</w:t>
                  </w:r>
                </w:p>
              </w:tc>
              <w:tc>
                <w:tcPr>
                  <w:tcW w:w="1498" w:type="pct"/>
                  <w:tcBorders>
                    <w:tl2br w:val="nil"/>
                    <w:tr2bl w:val="nil"/>
                  </w:tcBorders>
                  <w:shd w:val="clear" w:color="auto" w:fill="FFFFFF"/>
                  <w:noWrap/>
                  <w:vAlign w:val="center"/>
                </w:tcPr>
                <w:p w14:paraId="09B6827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喷塑枪</w:t>
                  </w:r>
                </w:p>
              </w:tc>
              <w:tc>
                <w:tcPr>
                  <w:tcW w:w="2220" w:type="pct"/>
                  <w:tcBorders>
                    <w:tl2br w:val="nil"/>
                    <w:tr2bl w:val="nil"/>
                  </w:tcBorders>
                  <w:shd w:val="clear" w:color="auto" w:fill="FFFFFF"/>
                  <w:noWrap/>
                  <w:vAlign w:val="center"/>
                </w:tcPr>
                <w:p w14:paraId="7EF8F0A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LP-250</w:t>
                  </w:r>
                </w:p>
              </w:tc>
              <w:tc>
                <w:tcPr>
                  <w:tcW w:w="427" w:type="pct"/>
                  <w:tcBorders>
                    <w:tl2br w:val="nil"/>
                    <w:tr2bl w:val="nil"/>
                  </w:tcBorders>
                  <w:shd w:val="clear" w:color="auto" w:fill="FFFFFF"/>
                  <w:noWrap/>
                  <w:vAlign w:val="center"/>
                </w:tcPr>
                <w:p w14:paraId="0D4C66C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450" w:type="pct"/>
                  <w:tcBorders>
                    <w:tl2br w:val="nil"/>
                    <w:tr2bl w:val="nil"/>
                  </w:tcBorders>
                  <w:noWrap/>
                  <w:vAlign w:val="center"/>
                </w:tcPr>
                <w:p w14:paraId="3F43337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r>
            <w:tr w14:paraId="6C26D99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3" w:type="pct"/>
                  <w:tcBorders>
                    <w:tl2br w:val="nil"/>
                    <w:tr2bl w:val="nil"/>
                  </w:tcBorders>
                  <w:noWrap/>
                  <w:vAlign w:val="center"/>
                </w:tcPr>
                <w:p w14:paraId="4EFC4CA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23</w:t>
                  </w:r>
                </w:p>
              </w:tc>
              <w:tc>
                <w:tcPr>
                  <w:tcW w:w="1498" w:type="pct"/>
                  <w:tcBorders>
                    <w:tl2br w:val="nil"/>
                    <w:tr2bl w:val="nil"/>
                  </w:tcBorders>
                  <w:noWrap/>
                  <w:vAlign w:val="center"/>
                </w:tcPr>
                <w:p w14:paraId="4162D2E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空压机</w:t>
                  </w:r>
                </w:p>
              </w:tc>
              <w:tc>
                <w:tcPr>
                  <w:tcW w:w="2220" w:type="pct"/>
                  <w:tcBorders>
                    <w:tl2br w:val="nil"/>
                    <w:tr2bl w:val="nil"/>
                  </w:tcBorders>
                  <w:noWrap/>
                  <w:vAlign w:val="center"/>
                </w:tcPr>
                <w:p w14:paraId="3152C7A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LG8-5-30KW</w:t>
                  </w:r>
                </w:p>
              </w:tc>
              <w:tc>
                <w:tcPr>
                  <w:tcW w:w="427" w:type="pct"/>
                  <w:tcBorders>
                    <w:tl2br w:val="nil"/>
                    <w:tr2bl w:val="nil"/>
                  </w:tcBorders>
                  <w:noWrap/>
                  <w:vAlign w:val="center"/>
                </w:tcPr>
                <w:p w14:paraId="022EF71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450" w:type="pct"/>
                  <w:tcBorders>
                    <w:tl2br w:val="nil"/>
                    <w:tr2bl w:val="nil"/>
                  </w:tcBorders>
                  <w:noWrap/>
                  <w:vAlign w:val="center"/>
                </w:tcPr>
                <w:p w14:paraId="3093078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r>
            <w:tr w14:paraId="5C13307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3" w:type="pct"/>
                  <w:tcBorders>
                    <w:tl2br w:val="nil"/>
                    <w:tr2bl w:val="nil"/>
                  </w:tcBorders>
                  <w:noWrap/>
                  <w:vAlign w:val="center"/>
                </w:tcPr>
                <w:p w14:paraId="5B7ADCC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24</w:t>
                  </w:r>
                </w:p>
              </w:tc>
              <w:tc>
                <w:tcPr>
                  <w:tcW w:w="1498" w:type="pct"/>
                  <w:tcBorders>
                    <w:tl2br w:val="nil"/>
                    <w:tr2bl w:val="nil"/>
                  </w:tcBorders>
                  <w:noWrap/>
                  <w:vAlign w:val="center"/>
                </w:tcPr>
                <w:p w14:paraId="0C59728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吊钩式抛丸清理机</w:t>
                  </w:r>
                </w:p>
              </w:tc>
              <w:tc>
                <w:tcPr>
                  <w:tcW w:w="2220" w:type="pct"/>
                  <w:tcBorders>
                    <w:tl2br w:val="nil"/>
                    <w:tr2bl w:val="nil"/>
                  </w:tcBorders>
                  <w:noWrap/>
                  <w:vAlign w:val="center"/>
                </w:tcPr>
                <w:p w14:paraId="3F94EE9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Q3730-52KW</w:t>
                  </w:r>
                </w:p>
              </w:tc>
              <w:tc>
                <w:tcPr>
                  <w:tcW w:w="427" w:type="pct"/>
                  <w:tcBorders>
                    <w:tl2br w:val="nil"/>
                    <w:tr2bl w:val="nil"/>
                  </w:tcBorders>
                  <w:noWrap/>
                  <w:vAlign w:val="center"/>
                </w:tcPr>
                <w:p w14:paraId="2576E86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450" w:type="pct"/>
                  <w:tcBorders>
                    <w:tl2br w:val="nil"/>
                    <w:tr2bl w:val="nil"/>
                  </w:tcBorders>
                  <w:noWrap/>
                  <w:vAlign w:val="center"/>
                </w:tcPr>
                <w:p w14:paraId="59BD554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台</w:t>
                  </w:r>
                </w:p>
              </w:tc>
            </w:tr>
            <w:tr w14:paraId="45D3751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3" w:type="pct"/>
                  <w:tcBorders>
                    <w:tl2br w:val="nil"/>
                    <w:tr2bl w:val="nil"/>
                  </w:tcBorders>
                  <w:noWrap/>
                  <w:vAlign w:val="center"/>
                </w:tcPr>
                <w:p w14:paraId="0E51053E">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25</w:t>
                  </w:r>
                </w:p>
              </w:tc>
              <w:tc>
                <w:tcPr>
                  <w:tcW w:w="1498" w:type="pct"/>
                  <w:tcBorders>
                    <w:tl2br w:val="nil"/>
                    <w:tr2bl w:val="nil"/>
                  </w:tcBorders>
                  <w:noWrap/>
                  <w:vAlign w:val="center"/>
                </w:tcPr>
                <w:p w14:paraId="33925FEA">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移动烟尘净化器</w:t>
                  </w:r>
                </w:p>
              </w:tc>
              <w:tc>
                <w:tcPr>
                  <w:tcW w:w="2220" w:type="pct"/>
                  <w:tcBorders>
                    <w:tl2br w:val="nil"/>
                    <w:tr2bl w:val="nil"/>
                  </w:tcBorders>
                  <w:noWrap/>
                  <w:vAlign w:val="center"/>
                </w:tcPr>
                <w:p w14:paraId="593DE1D6">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427" w:type="pct"/>
                  <w:tcBorders>
                    <w:tl2br w:val="nil"/>
                    <w:tr2bl w:val="nil"/>
                  </w:tcBorders>
                  <w:noWrap/>
                  <w:vAlign w:val="center"/>
                </w:tcPr>
                <w:p w14:paraId="28FFC255">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450" w:type="pct"/>
                  <w:tcBorders>
                    <w:tl2br w:val="nil"/>
                    <w:tr2bl w:val="nil"/>
                  </w:tcBorders>
                  <w:noWrap/>
                  <w:vAlign w:val="center"/>
                </w:tcPr>
                <w:p w14:paraId="3A8CEB9F">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台</w:t>
                  </w:r>
                </w:p>
              </w:tc>
            </w:tr>
            <w:tr w14:paraId="6791BD6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3" w:type="pct"/>
                  <w:tcBorders>
                    <w:tl2br w:val="nil"/>
                    <w:tr2bl w:val="nil"/>
                  </w:tcBorders>
                  <w:noWrap/>
                  <w:vAlign w:val="center"/>
                </w:tcPr>
                <w:p w14:paraId="2A948733">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26</w:t>
                  </w:r>
                </w:p>
              </w:tc>
              <w:tc>
                <w:tcPr>
                  <w:tcW w:w="1498" w:type="pct"/>
                  <w:tcBorders>
                    <w:tl2br w:val="nil"/>
                    <w:tr2bl w:val="nil"/>
                  </w:tcBorders>
                  <w:noWrap/>
                  <w:vAlign w:val="center"/>
                </w:tcPr>
                <w:p w14:paraId="432CE5D2">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袋式除尘器</w:t>
                  </w:r>
                </w:p>
              </w:tc>
              <w:tc>
                <w:tcPr>
                  <w:tcW w:w="2220" w:type="pct"/>
                  <w:tcBorders>
                    <w:tl2br w:val="nil"/>
                    <w:tr2bl w:val="nil"/>
                  </w:tcBorders>
                  <w:noWrap/>
                  <w:vAlign w:val="center"/>
                </w:tcPr>
                <w:p w14:paraId="42B87378">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427" w:type="pct"/>
                  <w:tcBorders>
                    <w:tl2br w:val="nil"/>
                    <w:tr2bl w:val="nil"/>
                  </w:tcBorders>
                  <w:noWrap/>
                  <w:vAlign w:val="center"/>
                </w:tcPr>
                <w:p w14:paraId="347B1637">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w:t>
                  </w:r>
                </w:p>
              </w:tc>
              <w:tc>
                <w:tcPr>
                  <w:tcW w:w="450" w:type="pct"/>
                  <w:tcBorders>
                    <w:tl2br w:val="nil"/>
                    <w:tr2bl w:val="nil"/>
                  </w:tcBorders>
                  <w:noWrap/>
                  <w:vAlign w:val="center"/>
                </w:tcPr>
                <w:p w14:paraId="287ECA75">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台</w:t>
                  </w:r>
                </w:p>
              </w:tc>
            </w:tr>
            <w:tr w14:paraId="30A6BD9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3" w:type="pct"/>
                  <w:tcBorders>
                    <w:tl2br w:val="nil"/>
                    <w:tr2bl w:val="nil"/>
                  </w:tcBorders>
                  <w:noWrap/>
                  <w:vAlign w:val="center"/>
                </w:tcPr>
                <w:p w14:paraId="508755E2">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27</w:t>
                  </w:r>
                </w:p>
              </w:tc>
              <w:tc>
                <w:tcPr>
                  <w:tcW w:w="1498" w:type="pct"/>
                  <w:tcBorders>
                    <w:tl2br w:val="nil"/>
                    <w:tr2bl w:val="nil"/>
                  </w:tcBorders>
                  <w:noWrap/>
                  <w:vAlign w:val="center"/>
                </w:tcPr>
                <w:p w14:paraId="23C4888E">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活性炭吸附+催化燃烧装置</w:t>
                  </w:r>
                </w:p>
              </w:tc>
              <w:tc>
                <w:tcPr>
                  <w:tcW w:w="2220" w:type="pct"/>
                  <w:tcBorders>
                    <w:tl2br w:val="nil"/>
                    <w:tr2bl w:val="nil"/>
                  </w:tcBorders>
                  <w:noWrap/>
                  <w:vAlign w:val="center"/>
                </w:tcPr>
                <w:p w14:paraId="0E9DC5A1">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427" w:type="pct"/>
                  <w:tcBorders>
                    <w:tl2br w:val="nil"/>
                    <w:tr2bl w:val="nil"/>
                  </w:tcBorders>
                  <w:noWrap/>
                  <w:vAlign w:val="center"/>
                </w:tcPr>
                <w:p w14:paraId="4D48B3AF">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450" w:type="pct"/>
                  <w:tcBorders>
                    <w:tl2br w:val="nil"/>
                    <w:tr2bl w:val="nil"/>
                  </w:tcBorders>
                  <w:noWrap/>
                  <w:vAlign w:val="center"/>
                </w:tcPr>
                <w:p w14:paraId="172F8712">
                  <w:pPr>
                    <w:pStyle w:val="37"/>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台</w:t>
                  </w:r>
                </w:p>
              </w:tc>
            </w:tr>
          </w:tbl>
          <w:p w14:paraId="11D455F7">
            <w:pPr>
              <w:adjustRightInd w:val="0"/>
              <w:snapToGrid w:val="0"/>
              <w:jc w:val="both"/>
              <w:rPr>
                <w:rFonts w:ascii="宋体" w:hAnsi="宋体" w:cs="宋体"/>
                <w:b/>
                <w:bCs/>
                <w:color w:val="auto"/>
                <w:sz w:val="24"/>
                <w:szCs w:val="24"/>
                <w:highlight w:val="none"/>
              </w:rPr>
            </w:pPr>
          </w:p>
          <w:p w14:paraId="2B27CDBE">
            <w:pPr>
              <w:adjustRightInd w:val="0"/>
              <w:snapToGrid w:val="0"/>
              <w:spacing w:line="360" w:lineRule="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rPr>
              <w:t>4</w:t>
            </w:r>
            <w:r>
              <w:rPr>
                <w:rFonts w:hint="eastAsia" w:ascii="宋体" w:hAnsi="宋体" w:cs="宋体"/>
                <w:b/>
                <w:bCs/>
                <w:color w:val="auto"/>
                <w:sz w:val="24"/>
                <w:szCs w:val="24"/>
                <w:highlight w:val="none"/>
                <w:lang w:val="en-US" w:eastAsia="zh-CN"/>
              </w:rPr>
              <w:t>.主要</w:t>
            </w:r>
            <w:r>
              <w:rPr>
                <w:rFonts w:hint="eastAsia" w:ascii="宋体" w:hAnsi="宋体" w:cs="宋体"/>
                <w:b/>
                <w:bCs/>
                <w:color w:val="auto"/>
                <w:sz w:val="24"/>
                <w:szCs w:val="24"/>
                <w:highlight w:val="none"/>
              </w:rPr>
              <w:t>原辅</w:t>
            </w:r>
            <w:r>
              <w:rPr>
                <w:rFonts w:hint="eastAsia" w:ascii="宋体" w:hAnsi="宋体" w:cs="宋体"/>
                <w:b/>
                <w:bCs/>
                <w:color w:val="auto"/>
                <w:sz w:val="24"/>
                <w:szCs w:val="24"/>
                <w:highlight w:val="none"/>
                <w:lang w:val="en-US" w:eastAsia="zh-CN"/>
              </w:rPr>
              <w:t>材料消耗</w:t>
            </w:r>
          </w:p>
          <w:p w14:paraId="6E8488B8">
            <w:pPr>
              <w:spacing w:line="360" w:lineRule="auto"/>
              <w:ind w:firstLine="480"/>
              <w:jc w:val="both"/>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color w:val="auto"/>
                <w:sz w:val="24"/>
                <w:szCs w:val="24"/>
                <w:highlight w:val="none"/>
              </w:rPr>
              <w:t>本项目主要原辅材料名称及用量见</w:t>
            </w:r>
            <w:r>
              <w:rPr>
                <w:rFonts w:hint="eastAsia"/>
                <w:color w:val="auto"/>
                <w:sz w:val="24"/>
                <w:szCs w:val="24"/>
                <w:highlight w:val="none"/>
              </w:rPr>
              <w:t>下</w:t>
            </w:r>
            <w:r>
              <w:rPr>
                <w:color w:val="auto"/>
                <w:sz w:val="24"/>
                <w:szCs w:val="24"/>
                <w:highlight w:val="none"/>
              </w:rPr>
              <w:t>表</w:t>
            </w:r>
            <w:r>
              <w:rPr>
                <w:rFonts w:hint="eastAsia"/>
                <w:color w:val="auto"/>
                <w:sz w:val="24"/>
                <w:szCs w:val="24"/>
                <w:highlight w:val="none"/>
                <w:lang w:val="en-US" w:eastAsia="zh-CN"/>
              </w:rPr>
              <w:t>2-4</w:t>
            </w:r>
            <w:r>
              <w:rPr>
                <w:color w:val="auto"/>
                <w:sz w:val="24"/>
                <w:szCs w:val="24"/>
                <w:highlight w:val="none"/>
              </w:rPr>
              <w:t>。</w:t>
            </w:r>
          </w:p>
          <w:p w14:paraId="5EC21DFC">
            <w:pPr>
              <w:spacing w:before="0" w:line="240" w:lineRule="auto"/>
              <w:ind w:left="3353" w:right="0" w:firstLine="0"/>
              <w:jc w:val="left"/>
              <w:rPr>
                <w:b/>
                <w:color w:val="auto"/>
                <w:sz w:val="21"/>
                <w:szCs w:val="21"/>
                <w:highlight w:val="none"/>
              </w:rPr>
            </w:pPr>
            <w:r>
              <w:rPr>
                <w:b/>
                <w:color w:val="auto"/>
                <w:sz w:val="21"/>
                <w:szCs w:val="21"/>
                <w:highlight w:val="none"/>
              </w:rPr>
              <w:t>表</w:t>
            </w:r>
            <w:r>
              <w:rPr>
                <w:rFonts w:hint="eastAsia"/>
                <w:b/>
                <w:color w:val="auto"/>
                <w:sz w:val="21"/>
                <w:szCs w:val="21"/>
                <w:highlight w:val="none"/>
                <w:lang w:val="en-US" w:eastAsia="zh-CN"/>
              </w:rPr>
              <w:t xml:space="preserve">2-4    </w:t>
            </w:r>
            <w:r>
              <w:rPr>
                <w:b/>
                <w:color w:val="auto"/>
                <w:sz w:val="21"/>
                <w:szCs w:val="21"/>
                <w:highlight w:val="none"/>
              </w:rPr>
              <w:t>主要原辅材料</w:t>
            </w:r>
          </w:p>
          <w:tbl>
            <w:tblPr>
              <w:tblStyle w:val="26"/>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826"/>
              <w:gridCol w:w="2286"/>
              <w:gridCol w:w="1626"/>
              <w:gridCol w:w="1677"/>
              <w:gridCol w:w="1786"/>
            </w:tblGrid>
            <w:tr w14:paraId="0EDF93D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503" w:type="pct"/>
                  <w:tcBorders>
                    <w:bottom w:val="single" w:color="000000" w:sz="12" w:space="0"/>
                  </w:tcBorders>
                  <w:vAlign w:val="center"/>
                </w:tcPr>
                <w:p w14:paraId="2EC77A36">
                  <w:pPr>
                    <w:pStyle w:val="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序号</w:t>
                  </w:r>
                </w:p>
              </w:tc>
              <w:tc>
                <w:tcPr>
                  <w:tcW w:w="1393" w:type="pct"/>
                  <w:tcBorders>
                    <w:bottom w:val="single" w:color="000000" w:sz="12" w:space="0"/>
                  </w:tcBorders>
                  <w:vAlign w:val="center"/>
                </w:tcPr>
                <w:p w14:paraId="0A162D37">
                  <w:pPr>
                    <w:pStyle w:val="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原料名称</w:t>
                  </w:r>
                </w:p>
              </w:tc>
              <w:tc>
                <w:tcPr>
                  <w:tcW w:w="991" w:type="pct"/>
                  <w:tcBorders>
                    <w:bottom w:val="single" w:color="000000" w:sz="12" w:space="0"/>
                  </w:tcBorders>
                  <w:vAlign w:val="center"/>
                </w:tcPr>
                <w:p w14:paraId="043A8477">
                  <w:pPr>
                    <w:pStyle w:val="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年消耗量</w:t>
                  </w:r>
                </w:p>
              </w:tc>
              <w:tc>
                <w:tcPr>
                  <w:tcW w:w="1022" w:type="pct"/>
                  <w:tcBorders>
                    <w:bottom w:val="single" w:color="000000" w:sz="12" w:space="0"/>
                  </w:tcBorders>
                  <w:vAlign w:val="center"/>
                </w:tcPr>
                <w:p w14:paraId="1908AF59">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val="en-US" w:eastAsia="zh-CN"/>
                    </w:rPr>
                    <w:t>规格/型号</w:t>
                  </w:r>
                </w:p>
              </w:tc>
              <w:tc>
                <w:tcPr>
                  <w:tcW w:w="1088" w:type="pct"/>
                  <w:tcBorders>
                    <w:bottom w:val="single" w:color="000000" w:sz="12" w:space="0"/>
                  </w:tcBorders>
                  <w:vAlign w:val="center"/>
                </w:tcPr>
                <w:p w14:paraId="154B86E2">
                  <w:pPr>
                    <w:pStyle w:val="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来源</w:t>
                  </w:r>
                </w:p>
              </w:tc>
            </w:tr>
            <w:tr w14:paraId="5108CF9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503" w:type="pct"/>
                  <w:tcBorders>
                    <w:tl2br w:val="nil"/>
                    <w:tr2bl w:val="nil"/>
                  </w:tcBorders>
                  <w:vAlign w:val="center"/>
                </w:tcPr>
                <w:p w14:paraId="6BDA1C94">
                  <w:pPr>
                    <w:pStyle w:val="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1393" w:type="pct"/>
                  <w:tcBorders>
                    <w:tl2br w:val="nil"/>
                    <w:tr2bl w:val="nil"/>
                  </w:tcBorders>
                  <w:vAlign w:val="center"/>
                </w:tcPr>
                <w:p w14:paraId="03AD7EAF">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钢板</w:t>
                  </w:r>
                </w:p>
              </w:tc>
              <w:tc>
                <w:tcPr>
                  <w:tcW w:w="991" w:type="pct"/>
                  <w:tcBorders>
                    <w:tl2br w:val="nil"/>
                    <w:tr2bl w:val="nil"/>
                  </w:tcBorders>
                  <w:vAlign w:val="center"/>
                </w:tcPr>
                <w:p w14:paraId="6EB29062">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00吨</w:t>
                  </w:r>
                </w:p>
              </w:tc>
              <w:tc>
                <w:tcPr>
                  <w:tcW w:w="1022" w:type="pct"/>
                  <w:tcBorders>
                    <w:tl2br w:val="nil"/>
                    <w:tr2bl w:val="nil"/>
                  </w:tcBorders>
                  <w:vAlign w:val="center"/>
                </w:tcPr>
                <w:p w14:paraId="2D0AA660">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3*1500*6000</w:t>
                  </w:r>
                </w:p>
                <w:p w14:paraId="49851AC2">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4*1500*6000</w:t>
                  </w:r>
                </w:p>
              </w:tc>
              <w:tc>
                <w:tcPr>
                  <w:tcW w:w="1088" w:type="pct"/>
                  <w:tcBorders>
                    <w:tl2br w:val="nil"/>
                    <w:tr2bl w:val="nil"/>
                  </w:tcBorders>
                  <w:vAlign w:val="center"/>
                </w:tcPr>
                <w:p w14:paraId="34A20352">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周边购买</w:t>
                  </w:r>
                </w:p>
              </w:tc>
            </w:tr>
            <w:tr w14:paraId="25C25F8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503" w:type="pct"/>
                  <w:tcBorders>
                    <w:tl2br w:val="nil"/>
                    <w:tr2bl w:val="nil"/>
                  </w:tcBorders>
                  <w:vAlign w:val="center"/>
                </w:tcPr>
                <w:p w14:paraId="5C03CAAC">
                  <w:pPr>
                    <w:pStyle w:val="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p>
              </w:tc>
              <w:tc>
                <w:tcPr>
                  <w:tcW w:w="1393" w:type="pct"/>
                  <w:tcBorders>
                    <w:tl2br w:val="nil"/>
                    <w:tr2bl w:val="nil"/>
                  </w:tcBorders>
                  <w:vAlign w:val="center"/>
                </w:tcPr>
                <w:p w14:paraId="2ADD129C">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钢管</w:t>
                  </w:r>
                </w:p>
              </w:tc>
              <w:tc>
                <w:tcPr>
                  <w:tcW w:w="991" w:type="pct"/>
                  <w:tcBorders>
                    <w:tl2br w:val="nil"/>
                    <w:tr2bl w:val="nil"/>
                  </w:tcBorders>
                  <w:vAlign w:val="center"/>
                </w:tcPr>
                <w:p w14:paraId="677123F6">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0"/>
                      <w:sz w:val="21"/>
                      <w:szCs w:val="21"/>
                      <w:highlight w:val="none"/>
                      <w:lang w:val="en-US" w:eastAsia="zh-CN"/>
                    </w:rPr>
                    <w:t>9</w:t>
                  </w:r>
                  <w:r>
                    <w:rPr>
                      <w:rFonts w:hint="default" w:ascii="Times New Roman" w:hAnsi="Times New Roman" w:eastAsia="宋体" w:cs="Times New Roman"/>
                      <w:color w:val="auto"/>
                      <w:kern w:val="0"/>
                      <w:sz w:val="21"/>
                      <w:szCs w:val="21"/>
                      <w:highlight w:val="none"/>
                      <w:lang w:val="en-US" w:eastAsia="zh-CN"/>
                    </w:rPr>
                    <w:t>00吨</w:t>
                  </w:r>
                </w:p>
              </w:tc>
              <w:tc>
                <w:tcPr>
                  <w:tcW w:w="1022" w:type="pct"/>
                  <w:tcBorders>
                    <w:tl2br w:val="nil"/>
                    <w:tr2bl w:val="nil"/>
                  </w:tcBorders>
                  <w:vAlign w:val="center"/>
                </w:tcPr>
                <w:p w14:paraId="4DC08DFC">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DN80-DN1000</w:t>
                  </w:r>
                </w:p>
              </w:tc>
              <w:tc>
                <w:tcPr>
                  <w:tcW w:w="1088" w:type="pct"/>
                  <w:tcBorders>
                    <w:tl2br w:val="nil"/>
                    <w:tr2bl w:val="nil"/>
                  </w:tcBorders>
                  <w:vAlign w:val="center"/>
                </w:tcPr>
                <w:p w14:paraId="4B62EF4E">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周边购买</w:t>
                  </w:r>
                </w:p>
              </w:tc>
            </w:tr>
            <w:tr w14:paraId="035DC18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503" w:type="pct"/>
                  <w:tcBorders>
                    <w:tl2br w:val="nil"/>
                    <w:tr2bl w:val="nil"/>
                  </w:tcBorders>
                  <w:vAlign w:val="center"/>
                </w:tcPr>
                <w:p w14:paraId="16E265F3">
                  <w:pPr>
                    <w:pStyle w:val="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1393" w:type="pct"/>
                  <w:tcBorders>
                    <w:tl2br w:val="nil"/>
                    <w:tr2bl w:val="nil"/>
                  </w:tcBorders>
                  <w:vAlign w:val="center"/>
                </w:tcPr>
                <w:p w14:paraId="19AAFCD9">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法兰</w:t>
                  </w:r>
                </w:p>
              </w:tc>
              <w:tc>
                <w:tcPr>
                  <w:tcW w:w="991" w:type="pct"/>
                  <w:tcBorders>
                    <w:tl2br w:val="nil"/>
                    <w:tr2bl w:val="nil"/>
                  </w:tcBorders>
                  <w:vAlign w:val="center"/>
                </w:tcPr>
                <w:p w14:paraId="70700251">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0"/>
                      <w:sz w:val="21"/>
                      <w:szCs w:val="21"/>
                      <w:highlight w:val="none"/>
                      <w:lang w:val="en-US" w:eastAsia="zh-CN"/>
                    </w:rPr>
                    <w:t>6</w:t>
                  </w:r>
                  <w:r>
                    <w:rPr>
                      <w:rFonts w:hint="default" w:ascii="Times New Roman" w:hAnsi="Times New Roman" w:eastAsia="宋体" w:cs="Times New Roman"/>
                      <w:color w:val="auto"/>
                      <w:kern w:val="0"/>
                      <w:sz w:val="21"/>
                      <w:szCs w:val="21"/>
                      <w:highlight w:val="none"/>
                      <w:lang w:val="en-US" w:eastAsia="zh-CN"/>
                    </w:rPr>
                    <w:t>00吨</w:t>
                  </w:r>
                </w:p>
              </w:tc>
              <w:tc>
                <w:tcPr>
                  <w:tcW w:w="1022" w:type="pct"/>
                  <w:tcBorders>
                    <w:tl2br w:val="nil"/>
                    <w:tr2bl w:val="nil"/>
                  </w:tcBorders>
                  <w:vAlign w:val="center"/>
                </w:tcPr>
                <w:p w14:paraId="724E5C8A">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DN80-DN10000</w:t>
                  </w:r>
                </w:p>
              </w:tc>
              <w:tc>
                <w:tcPr>
                  <w:tcW w:w="1088" w:type="pct"/>
                  <w:tcBorders>
                    <w:tl2br w:val="nil"/>
                    <w:tr2bl w:val="nil"/>
                  </w:tcBorders>
                  <w:vAlign w:val="center"/>
                </w:tcPr>
                <w:p w14:paraId="7B308FC2">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周边购买</w:t>
                  </w:r>
                </w:p>
              </w:tc>
            </w:tr>
            <w:tr w14:paraId="6E503F5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503" w:type="pct"/>
                  <w:tcBorders>
                    <w:tl2br w:val="nil"/>
                    <w:tr2bl w:val="nil"/>
                  </w:tcBorders>
                  <w:vAlign w:val="center"/>
                </w:tcPr>
                <w:p w14:paraId="5A19650E">
                  <w:pPr>
                    <w:pStyle w:val="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w:t>
                  </w:r>
                </w:p>
              </w:tc>
              <w:tc>
                <w:tcPr>
                  <w:tcW w:w="1393" w:type="pct"/>
                  <w:tcBorders>
                    <w:tl2br w:val="nil"/>
                    <w:tr2bl w:val="nil"/>
                  </w:tcBorders>
                  <w:vAlign w:val="center"/>
                </w:tcPr>
                <w:p w14:paraId="794AA56C">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槽钢</w:t>
                  </w:r>
                </w:p>
              </w:tc>
              <w:tc>
                <w:tcPr>
                  <w:tcW w:w="991" w:type="pct"/>
                  <w:tcBorders>
                    <w:tl2br w:val="nil"/>
                    <w:tr2bl w:val="nil"/>
                  </w:tcBorders>
                  <w:vAlign w:val="center"/>
                </w:tcPr>
                <w:p w14:paraId="374D4E2B">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0"/>
                      <w:sz w:val="21"/>
                      <w:szCs w:val="21"/>
                      <w:highlight w:val="none"/>
                      <w:lang w:val="en-US" w:eastAsia="zh-CN"/>
                    </w:rPr>
                    <w:t>3</w:t>
                  </w:r>
                  <w:r>
                    <w:rPr>
                      <w:rFonts w:hint="default" w:ascii="Times New Roman" w:hAnsi="Times New Roman" w:eastAsia="宋体" w:cs="Times New Roman"/>
                      <w:color w:val="auto"/>
                      <w:kern w:val="0"/>
                      <w:sz w:val="21"/>
                      <w:szCs w:val="21"/>
                      <w:highlight w:val="none"/>
                      <w:lang w:val="en-US" w:eastAsia="zh-CN"/>
                    </w:rPr>
                    <w:t>0吨</w:t>
                  </w:r>
                </w:p>
              </w:tc>
              <w:tc>
                <w:tcPr>
                  <w:tcW w:w="1022" w:type="pct"/>
                  <w:tcBorders>
                    <w:tl2br w:val="nil"/>
                    <w:tr2bl w:val="nil"/>
                  </w:tcBorders>
                  <w:vAlign w:val="center"/>
                </w:tcPr>
                <w:p w14:paraId="24BBABF4">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8#</w:t>
                  </w:r>
                </w:p>
              </w:tc>
              <w:tc>
                <w:tcPr>
                  <w:tcW w:w="1088" w:type="pct"/>
                  <w:tcBorders>
                    <w:tl2br w:val="nil"/>
                    <w:tr2bl w:val="nil"/>
                  </w:tcBorders>
                  <w:vAlign w:val="center"/>
                </w:tcPr>
                <w:p w14:paraId="52B44688">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周边购买</w:t>
                  </w:r>
                </w:p>
              </w:tc>
            </w:tr>
            <w:tr w14:paraId="3C159A7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503" w:type="pct"/>
                  <w:tcBorders>
                    <w:tl2br w:val="nil"/>
                    <w:tr2bl w:val="nil"/>
                  </w:tcBorders>
                  <w:vAlign w:val="center"/>
                </w:tcPr>
                <w:p w14:paraId="173091D0">
                  <w:pPr>
                    <w:pStyle w:val="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w:t>
                  </w:r>
                </w:p>
              </w:tc>
              <w:tc>
                <w:tcPr>
                  <w:tcW w:w="1393" w:type="pct"/>
                  <w:tcBorders>
                    <w:tl2br w:val="nil"/>
                    <w:tr2bl w:val="nil"/>
                  </w:tcBorders>
                  <w:vAlign w:val="center"/>
                </w:tcPr>
                <w:p w14:paraId="47E3C64C">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角铁</w:t>
                  </w:r>
                </w:p>
              </w:tc>
              <w:tc>
                <w:tcPr>
                  <w:tcW w:w="991" w:type="pct"/>
                  <w:tcBorders>
                    <w:tl2br w:val="nil"/>
                    <w:tr2bl w:val="nil"/>
                  </w:tcBorders>
                  <w:vAlign w:val="center"/>
                </w:tcPr>
                <w:p w14:paraId="2B968818">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auto"/>
                      <w:sz w:val="21"/>
                      <w:szCs w:val="21"/>
                      <w:highlight w:val="none"/>
                    </w:rPr>
                  </w:pPr>
                  <w:r>
                    <w:rPr>
                      <w:rFonts w:hint="eastAsia" w:cs="Times New Roman"/>
                      <w:color w:val="auto"/>
                      <w:kern w:val="0"/>
                      <w:sz w:val="21"/>
                      <w:szCs w:val="21"/>
                      <w:highlight w:val="none"/>
                      <w:lang w:val="en-US" w:eastAsia="zh-CN"/>
                    </w:rPr>
                    <w:t>3</w:t>
                  </w:r>
                  <w:r>
                    <w:rPr>
                      <w:rFonts w:hint="default" w:ascii="Times New Roman" w:hAnsi="Times New Roman" w:eastAsia="宋体" w:cs="Times New Roman"/>
                      <w:color w:val="auto"/>
                      <w:kern w:val="0"/>
                      <w:sz w:val="21"/>
                      <w:szCs w:val="21"/>
                      <w:highlight w:val="none"/>
                      <w:lang w:val="en-US" w:eastAsia="zh-CN"/>
                    </w:rPr>
                    <w:t>0吨</w:t>
                  </w:r>
                </w:p>
              </w:tc>
              <w:tc>
                <w:tcPr>
                  <w:tcW w:w="1022" w:type="pct"/>
                  <w:tcBorders>
                    <w:tl2br w:val="nil"/>
                    <w:tr2bl w:val="nil"/>
                  </w:tcBorders>
                  <w:vAlign w:val="center"/>
                </w:tcPr>
                <w:p w14:paraId="0B8E7CE0">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4.0/5.0</w:t>
                  </w:r>
                  <w:r>
                    <w:rPr>
                      <w:rFonts w:hint="eastAsia" w:cs="Times New Roman"/>
                      <w:color w:val="auto"/>
                      <w:kern w:val="0"/>
                      <w:sz w:val="21"/>
                      <w:szCs w:val="21"/>
                      <w:highlight w:val="none"/>
                      <w:lang w:val="en-US" w:eastAsia="zh-CN"/>
                    </w:rPr>
                    <w:t>f</w:t>
                  </w:r>
                </w:p>
              </w:tc>
              <w:tc>
                <w:tcPr>
                  <w:tcW w:w="1088" w:type="pct"/>
                  <w:tcBorders>
                    <w:tl2br w:val="nil"/>
                    <w:tr2bl w:val="nil"/>
                  </w:tcBorders>
                  <w:vAlign w:val="center"/>
                </w:tcPr>
                <w:p w14:paraId="26DD00C7">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周边购买</w:t>
                  </w:r>
                </w:p>
              </w:tc>
            </w:tr>
            <w:tr w14:paraId="1458809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503" w:type="pct"/>
                  <w:tcBorders>
                    <w:tl2br w:val="nil"/>
                    <w:tr2bl w:val="nil"/>
                  </w:tcBorders>
                  <w:vAlign w:val="center"/>
                </w:tcPr>
                <w:p w14:paraId="1F871F55">
                  <w:pPr>
                    <w:pStyle w:val="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p>
              </w:tc>
              <w:tc>
                <w:tcPr>
                  <w:tcW w:w="1393" w:type="pct"/>
                  <w:tcBorders>
                    <w:tl2br w:val="nil"/>
                    <w:tr2bl w:val="nil"/>
                  </w:tcBorders>
                  <w:vAlign w:val="center"/>
                </w:tcPr>
                <w:p w14:paraId="30471F23">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方管</w:t>
                  </w:r>
                </w:p>
              </w:tc>
              <w:tc>
                <w:tcPr>
                  <w:tcW w:w="991" w:type="pct"/>
                  <w:tcBorders>
                    <w:tl2br w:val="nil"/>
                    <w:tr2bl w:val="nil"/>
                  </w:tcBorders>
                  <w:vAlign w:val="center"/>
                </w:tcPr>
                <w:p w14:paraId="7950E216">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0"/>
                      <w:sz w:val="21"/>
                      <w:szCs w:val="21"/>
                      <w:highlight w:val="none"/>
                      <w:lang w:val="en-US" w:eastAsia="zh-CN"/>
                    </w:rPr>
                    <w:t>15</w:t>
                  </w:r>
                  <w:r>
                    <w:rPr>
                      <w:rFonts w:hint="default" w:ascii="Times New Roman" w:hAnsi="Times New Roman" w:eastAsia="宋体" w:cs="Times New Roman"/>
                      <w:color w:val="auto"/>
                      <w:kern w:val="0"/>
                      <w:sz w:val="21"/>
                      <w:szCs w:val="21"/>
                      <w:highlight w:val="none"/>
                      <w:lang w:val="en-US" w:eastAsia="zh-CN"/>
                    </w:rPr>
                    <w:t>吨</w:t>
                  </w:r>
                </w:p>
              </w:tc>
              <w:tc>
                <w:tcPr>
                  <w:tcW w:w="1022" w:type="pct"/>
                  <w:tcBorders>
                    <w:tl2br w:val="nil"/>
                    <w:tr2bl w:val="nil"/>
                  </w:tcBorders>
                  <w:vAlign w:val="center"/>
                </w:tcPr>
                <w:p w14:paraId="14139724">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4.0</w:t>
                  </w:r>
                </w:p>
              </w:tc>
              <w:tc>
                <w:tcPr>
                  <w:tcW w:w="1088" w:type="pct"/>
                  <w:tcBorders>
                    <w:tl2br w:val="nil"/>
                    <w:tr2bl w:val="nil"/>
                  </w:tcBorders>
                  <w:vAlign w:val="center"/>
                </w:tcPr>
                <w:p w14:paraId="3B0CBD93">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周边购买</w:t>
                  </w:r>
                </w:p>
              </w:tc>
            </w:tr>
            <w:tr w14:paraId="332DAD7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503" w:type="pct"/>
                  <w:tcBorders>
                    <w:tl2br w:val="nil"/>
                    <w:tr2bl w:val="nil"/>
                  </w:tcBorders>
                  <w:vAlign w:val="center"/>
                </w:tcPr>
                <w:p w14:paraId="06A07F43">
                  <w:pPr>
                    <w:pStyle w:val="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w:t>
                  </w:r>
                </w:p>
              </w:tc>
              <w:tc>
                <w:tcPr>
                  <w:tcW w:w="1393" w:type="pct"/>
                  <w:tcBorders>
                    <w:tl2br w:val="nil"/>
                    <w:tr2bl w:val="nil"/>
                  </w:tcBorders>
                  <w:vAlign w:val="center"/>
                </w:tcPr>
                <w:p w14:paraId="4EE699E2">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氩气</w:t>
                  </w:r>
                </w:p>
              </w:tc>
              <w:tc>
                <w:tcPr>
                  <w:tcW w:w="991" w:type="pct"/>
                  <w:tcBorders>
                    <w:tl2br w:val="nil"/>
                    <w:tr2bl w:val="nil"/>
                  </w:tcBorders>
                  <w:vAlign w:val="center"/>
                </w:tcPr>
                <w:p w14:paraId="38B2780D">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0"/>
                      <w:sz w:val="21"/>
                      <w:szCs w:val="21"/>
                      <w:highlight w:val="none"/>
                      <w:lang w:val="en-US" w:eastAsia="zh-CN"/>
                    </w:rPr>
                    <w:t>18</w:t>
                  </w:r>
                  <w:r>
                    <w:rPr>
                      <w:rFonts w:hint="default" w:ascii="Times New Roman" w:hAnsi="Times New Roman" w:eastAsia="宋体" w:cs="Times New Roman"/>
                      <w:color w:val="auto"/>
                      <w:kern w:val="0"/>
                      <w:sz w:val="21"/>
                      <w:szCs w:val="21"/>
                      <w:highlight w:val="none"/>
                      <w:lang w:val="en-US" w:eastAsia="zh-CN"/>
                    </w:rPr>
                    <w:t>0瓶</w:t>
                  </w:r>
                </w:p>
              </w:tc>
              <w:tc>
                <w:tcPr>
                  <w:tcW w:w="1022" w:type="pct"/>
                  <w:tcBorders>
                    <w:tl2br w:val="nil"/>
                    <w:tr2bl w:val="nil"/>
                  </w:tcBorders>
                  <w:vAlign w:val="center"/>
                </w:tcPr>
                <w:p w14:paraId="7A22FA49">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15</w:t>
                  </w:r>
                  <w:r>
                    <w:rPr>
                      <w:rFonts w:hint="default" w:ascii="Times New Roman" w:hAnsi="Times New Roman" w:eastAsia="宋体" w:cs="Times New Roman"/>
                      <w:color w:val="auto"/>
                      <w:sz w:val="21"/>
                      <w:szCs w:val="21"/>
                      <w:highlight w:val="none"/>
                    </w:rPr>
                    <w:t>kg</w:t>
                  </w:r>
                </w:p>
              </w:tc>
              <w:tc>
                <w:tcPr>
                  <w:tcW w:w="1088" w:type="pct"/>
                  <w:tcBorders>
                    <w:tl2br w:val="nil"/>
                    <w:tr2bl w:val="nil"/>
                  </w:tcBorders>
                  <w:vAlign w:val="center"/>
                </w:tcPr>
                <w:p w14:paraId="6E435A15">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周边购买</w:t>
                  </w:r>
                </w:p>
              </w:tc>
            </w:tr>
            <w:tr w14:paraId="3BCF029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503" w:type="pct"/>
                  <w:tcBorders>
                    <w:tl2br w:val="nil"/>
                    <w:tr2bl w:val="nil"/>
                  </w:tcBorders>
                  <w:vAlign w:val="center"/>
                </w:tcPr>
                <w:p w14:paraId="0A86F140">
                  <w:pPr>
                    <w:pStyle w:val="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w:t>
                  </w:r>
                </w:p>
              </w:tc>
              <w:tc>
                <w:tcPr>
                  <w:tcW w:w="1393" w:type="pct"/>
                  <w:tcBorders>
                    <w:tl2br w:val="nil"/>
                    <w:tr2bl w:val="nil"/>
                  </w:tcBorders>
                  <w:vAlign w:val="center"/>
                </w:tcPr>
                <w:p w14:paraId="18B8348C">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二氧化碳混合气</w:t>
                  </w:r>
                </w:p>
              </w:tc>
              <w:tc>
                <w:tcPr>
                  <w:tcW w:w="991" w:type="pct"/>
                  <w:tcBorders>
                    <w:tl2br w:val="nil"/>
                    <w:tr2bl w:val="nil"/>
                  </w:tcBorders>
                  <w:vAlign w:val="center"/>
                </w:tcPr>
                <w:p w14:paraId="473E7D65">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0"/>
                      <w:sz w:val="21"/>
                      <w:szCs w:val="21"/>
                      <w:highlight w:val="none"/>
                      <w:lang w:val="en-US" w:eastAsia="zh-CN"/>
                    </w:rPr>
                    <w:t>20</w:t>
                  </w:r>
                  <w:r>
                    <w:rPr>
                      <w:rFonts w:hint="default" w:ascii="Times New Roman" w:hAnsi="Times New Roman" w:eastAsia="宋体" w:cs="Times New Roman"/>
                      <w:color w:val="auto"/>
                      <w:kern w:val="0"/>
                      <w:sz w:val="21"/>
                      <w:szCs w:val="21"/>
                      <w:highlight w:val="none"/>
                      <w:lang w:val="en-US" w:eastAsia="zh-CN"/>
                    </w:rPr>
                    <w:t>00瓶</w:t>
                  </w:r>
                </w:p>
              </w:tc>
              <w:tc>
                <w:tcPr>
                  <w:tcW w:w="1022" w:type="pct"/>
                  <w:tcBorders>
                    <w:tl2br w:val="nil"/>
                    <w:tr2bl w:val="nil"/>
                  </w:tcBorders>
                  <w:vAlign w:val="center"/>
                </w:tcPr>
                <w:p w14:paraId="4677A5E5">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w:t>
                  </w:r>
                </w:p>
              </w:tc>
              <w:tc>
                <w:tcPr>
                  <w:tcW w:w="1088" w:type="pct"/>
                  <w:tcBorders>
                    <w:tl2br w:val="nil"/>
                    <w:tr2bl w:val="nil"/>
                  </w:tcBorders>
                  <w:vAlign w:val="center"/>
                </w:tcPr>
                <w:p w14:paraId="54DD128B">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周边购买</w:t>
                  </w:r>
                </w:p>
              </w:tc>
            </w:tr>
            <w:tr w14:paraId="1830925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503" w:type="pct"/>
                  <w:tcBorders>
                    <w:tl2br w:val="nil"/>
                    <w:tr2bl w:val="nil"/>
                  </w:tcBorders>
                  <w:vAlign w:val="center"/>
                </w:tcPr>
                <w:p w14:paraId="07B9C692">
                  <w:pPr>
                    <w:pStyle w:val="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9</w:t>
                  </w:r>
                </w:p>
              </w:tc>
              <w:tc>
                <w:tcPr>
                  <w:tcW w:w="1393" w:type="pct"/>
                  <w:tcBorders>
                    <w:tl2br w:val="nil"/>
                    <w:tr2bl w:val="nil"/>
                  </w:tcBorders>
                  <w:vAlign w:val="center"/>
                </w:tcPr>
                <w:p w14:paraId="1C7F511B">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焊条</w:t>
                  </w:r>
                </w:p>
              </w:tc>
              <w:tc>
                <w:tcPr>
                  <w:tcW w:w="991" w:type="pct"/>
                  <w:tcBorders>
                    <w:tl2br w:val="nil"/>
                    <w:tr2bl w:val="nil"/>
                  </w:tcBorders>
                  <w:vAlign w:val="center"/>
                </w:tcPr>
                <w:p w14:paraId="437C69E6">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10t</w:t>
                  </w:r>
                </w:p>
              </w:tc>
              <w:tc>
                <w:tcPr>
                  <w:tcW w:w="1022" w:type="pct"/>
                  <w:tcBorders>
                    <w:tl2br w:val="nil"/>
                    <w:tr2bl w:val="nil"/>
                  </w:tcBorders>
                  <w:vAlign w:val="center"/>
                </w:tcPr>
                <w:p w14:paraId="0ED452A6">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c>
                <w:tcPr>
                  <w:tcW w:w="1088" w:type="pct"/>
                  <w:tcBorders>
                    <w:tl2br w:val="nil"/>
                    <w:tr2bl w:val="nil"/>
                  </w:tcBorders>
                  <w:shd w:val="clear" w:color="auto" w:fill="auto"/>
                  <w:vAlign w:val="center"/>
                </w:tcPr>
                <w:p w14:paraId="73563011">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周边购买</w:t>
                  </w:r>
                </w:p>
              </w:tc>
            </w:tr>
            <w:tr w14:paraId="3CFDBC8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503" w:type="pct"/>
                  <w:tcBorders>
                    <w:tl2br w:val="nil"/>
                    <w:tr2bl w:val="nil"/>
                  </w:tcBorders>
                  <w:vAlign w:val="center"/>
                </w:tcPr>
                <w:p w14:paraId="65BD384D">
                  <w:pPr>
                    <w:pStyle w:val="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w:t>
                  </w:r>
                </w:p>
              </w:tc>
              <w:tc>
                <w:tcPr>
                  <w:tcW w:w="1393" w:type="pct"/>
                  <w:tcBorders>
                    <w:tl2br w:val="nil"/>
                    <w:tr2bl w:val="nil"/>
                  </w:tcBorders>
                  <w:vAlign w:val="center"/>
                </w:tcPr>
                <w:p w14:paraId="642C6586">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高光塑粉</w:t>
                  </w:r>
                </w:p>
              </w:tc>
              <w:tc>
                <w:tcPr>
                  <w:tcW w:w="991" w:type="pct"/>
                  <w:tcBorders>
                    <w:tl2br w:val="nil"/>
                    <w:tr2bl w:val="nil"/>
                  </w:tcBorders>
                  <w:vAlign w:val="center"/>
                </w:tcPr>
                <w:p w14:paraId="14785685">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0"/>
                      <w:sz w:val="21"/>
                      <w:szCs w:val="21"/>
                      <w:highlight w:val="none"/>
                      <w:lang w:val="en-US" w:eastAsia="zh-CN"/>
                    </w:rPr>
                    <w:t>70</w:t>
                  </w:r>
                  <w:r>
                    <w:rPr>
                      <w:rFonts w:hint="default" w:ascii="Times New Roman" w:hAnsi="Times New Roman" w:eastAsia="宋体" w:cs="Times New Roman"/>
                      <w:color w:val="auto"/>
                      <w:kern w:val="0"/>
                      <w:sz w:val="21"/>
                      <w:szCs w:val="21"/>
                      <w:highlight w:val="none"/>
                      <w:lang w:val="en-US" w:eastAsia="zh-CN"/>
                    </w:rPr>
                    <w:t>t</w:t>
                  </w:r>
                </w:p>
              </w:tc>
              <w:tc>
                <w:tcPr>
                  <w:tcW w:w="1022" w:type="pct"/>
                  <w:tcBorders>
                    <w:tl2br w:val="nil"/>
                    <w:tr2bl w:val="nil"/>
                  </w:tcBorders>
                  <w:vAlign w:val="center"/>
                </w:tcPr>
                <w:p w14:paraId="120DBF19">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w:t>
                  </w:r>
                </w:p>
              </w:tc>
              <w:tc>
                <w:tcPr>
                  <w:tcW w:w="1088" w:type="pct"/>
                  <w:tcBorders>
                    <w:tl2br w:val="nil"/>
                    <w:tr2bl w:val="nil"/>
                  </w:tcBorders>
                  <w:vAlign w:val="center"/>
                </w:tcPr>
                <w:p w14:paraId="1866DB7B">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周边购买</w:t>
                  </w:r>
                </w:p>
              </w:tc>
            </w:tr>
          </w:tbl>
          <w:p w14:paraId="7DCAEAAA">
            <w:pPr>
              <w:spacing w:line="520" w:lineRule="exact"/>
              <w:ind w:firstLine="480" w:firstLineChars="200"/>
              <w:rPr>
                <w:rFonts w:hint="default" w:eastAsia="宋体"/>
                <w:b/>
                <w:color w:val="auto"/>
                <w:sz w:val="24"/>
                <w:highlight w:val="none"/>
                <w:lang w:val="en-US" w:eastAsia="zh-CN"/>
              </w:rPr>
            </w:pPr>
            <w:r>
              <w:rPr>
                <w:rFonts w:hint="eastAsia"/>
                <w:bCs/>
                <w:color w:val="auto"/>
                <w:sz w:val="24"/>
                <w:highlight w:val="none"/>
              </w:rPr>
              <w:t>（2）</w:t>
            </w:r>
            <w:r>
              <w:rPr>
                <w:rFonts w:hint="eastAsia"/>
                <w:bCs/>
                <w:color w:val="auto"/>
                <w:sz w:val="24"/>
                <w:highlight w:val="none"/>
                <w:lang w:val="en-US" w:eastAsia="zh-CN"/>
              </w:rPr>
              <w:t>主要</w:t>
            </w:r>
            <w:r>
              <w:rPr>
                <w:rFonts w:hint="eastAsia"/>
                <w:bCs/>
                <w:color w:val="auto"/>
                <w:sz w:val="24"/>
                <w:highlight w:val="none"/>
              </w:rPr>
              <w:t>原辅料材</w:t>
            </w:r>
            <w:r>
              <w:rPr>
                <w:rFonts w:hint="eastAsia"/>
                <w:bCs/>
                <w:color w:val="auto"/>
                <w:sz w:val="24"/>
                <w:highlight w:val="none"/>
                <w:lang w:val="en-US" w:eastAsia="zh-CN"/>
              </w:rPr>
              <w:t>理化性质</w:t>
            </w:r>
          </w:p>
          <w:p w14:paraId="21D044B7">
            <w:pPr>
              <w:adjustRightInd w:val="0"/>
              <w:snapToGrid w:val="0"/>
              <w:spacing w:line="520" w:lineRule="exact"/>
              <w:ind w:firstLine="480" w:firstLineChars="200"/>
              <w:rPr>
                <w:rFonts w:hint="default" w:eastAsia="宋体"/>
                <w:color w:val="auto"/>
                <w:kern w:val="0"/>
                <w:sz w:val="24"/>
                <w:highlight w:val="none"/>
                <w:lang w:val="en-US" w:eastAsia="zh-CN"/>
              </w:rPr>
            </w:pPr>
            <w:r>
              <w:rPr>
                <w:rFonts w:hint="eastAsia"/>
                <w:color w:val="auto"/>
                <w:kern w:val="0"/>
                <w:sz w:val="24"/>
                <w:highlight w:val="none"/>
                <w:lang w:val="en-US" w:eastAsia="zh-CN"/>
              </w:rPr>
              <w:t>本项目主要原辅材料理化性质详见表2-5。</w:t>
            </w:r>
          </w:p>
          <w:p w14:paraId="25D6D47C">
            <w:pPr>
              <w:spacing w:before="0" w:line="240" w:lineRule="auto"/>
              <w:ind w:right="0"/>
              <w:jc w:val="center"/>
              <w:rPr>
                <w:rFonts w:ascii="Times New Roman" w:hAnsi="Times New Roman" w:eastAsia="宋体" w:cs="Times New Roman"/>
                <w:b/>
                <w:color w:val="auto"/>
                <w:sz w:val="21"/>
                <w:szCs w:val="21"/>
                <w:highlight w:val="none"/>
              </w:rPr>
            </w:pPr>
            <w:r>
              <w:rPr>
                <w:rFonts w:hint="eastAsia" w:ascii="Times New Roman" w:hAnsi="Times New Roman" w:eastAsia="宋体" w:cs="Times New Roman"/>
                <w:b/>
                <w:color w:val="auto"/>
                <w:sz w:val="21"/>
                <w:szCs w:val="21"/>
                <w:highlight w:val="none"/>
              </w:rPr>
              <w:t>表</w:t>
            </w:r>
            <w:r>
              <w:rPr>
                <w:rFonts w:hint="eastAsia" w:ascii="Times New Roman" w:hAnsi="Times New Roman" w:eastAsia="宋体" w:cs="Times New Roman"/>
                <w:b/>
                <w:color w:val="auto"/>
                <w:sz w:val="21"/>
                <w:szCs w:val="21"/>
                <w:highlight w:val="none"/>
                <w:lang w:val="en-US" w:eastAsia="zh-CN"/>
              </w:rPr>
              <w:t>2-5</w:t>
            </w:r>
            <w:r>
              <w:rPr>
                <w:rFonts w:ascii="Times New Roman" w:hAnsi="Times New Roman" w:eastAsia="宋体" w:cs="Times New Roman"/>
                <w:b/>
                <w:color w:val="auto"/>
                <w:sz w:val="21"/>
                <w:szCs w:val="21"/>
                <w:highlight w:val="none"/>
              </w:rPr>
              <w:t xml:space="preserve">     </w:t>
            </w:r>
            <w:r>
              <w:rPr>
                <w:rFonts w:hint="eastAsia" w:ascii="Times New Roman" w:hAnsi="Times New Roman" w:eastAsia="宋体" w:cs="Times New Roman"/>
                <w:b/>
                <w:color w:val="auto"/>
                <w:sz w:val="21"/>
                <w:szCs w:val="21"/>
                <w:highlight w:val="none"/>
              </w:rPr>
              <w:t>本项目主要原辅材料及理化性质一览表</w:t>
            </w:r>
          </w:p>
          <w:tbl>
            <w:tblPr>
              <w:tblStyle w:val="26"/>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1350"/>
              <w:gridCol w:w="5665"/>
            </w:tblGrid>
            <w:tr w14:paraId="580B0EB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3" w:type="pct"/>
                  <w:tcBorders>
                    <w:bottom w:val="single" w:color="auto" w:sz="12" w:space="0"/>
                  </w:tcBorders>
                  <w:noWrap w:val="0"/>
                  <w:vAlign w:val="center"/>
                </w:tcPr>
                <w:p w14:paraId="7618F50B">
                  <w:pPr>
                    <w:pStyle w:val="3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823" w:type="pct"/>
                  <w:tcBorders>
                    <w:bottom w:val="single" w:color="auto" w:sz="12" w:space="0"/>
                  </w:tcBorders>
                  <w:noWrap w:val="0"/>
                  <w:vAlign w:val="center"/>
                </w:tcPr>
                <w:p w14:paraId="0754044B">
                  <w:pPr>
                    <w:pStyle w:val="3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名称</w:t>
                  </w:r>
                </w:p>
              </w:tc>
              <w:tc>
                <w:tcPr>
                  <w:tcW w:w="3453" w:type="pct"/>
                  <w:tcBorders>
                    <w:bottom w:val="single" w:color="auto" w:sz="12" w:space="0"/>
                  </w:tcBorders>
                  <w:noWrap w:val="0"/>
                  <w:vAlign w:val="center"/>
                </w:tcPr>
                <w:p w14:paraId="316F994B">
                  <w:pPr>
                    <w:pStyle w:val="3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理化性质</w:t>
                  </w:r>
                </w:p>
              </w:tc>
            </w:tr>
            <w:tr w14:paraId="70D74A9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3" w:type="pct"/>
                  <w:tcBorders>
                    <w:top w:val="single" w:color="auto" w:sz="12" w:space="0"/>
                    <w:tl2br w:val="nil"/>
                    <w:tr2bl w:val="nil"/>
                  </w:tcBorders>
                  <w:noWrap w:val="0"/>
                  <w:vAlign w:val="center"/>
                </w:tcPr>
                <w:p w14:paraId="59585AEF">
                  <w:pPr>
                    <w:pStyle w:val="3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1</w:t>
                  </w:r>
                </w:p>
              </w:tc>
              <w:tc>
                <w:tcPr>
                  <w:tcW w:w="823" w:type="pct"/>
                  <w:tcBorders>
                    <w:top w:val="single" w:color="auto" w:sz="12" w:space="0"/>
                    <w:tl2br w:val="nil"/>
                    <w:tr2bl w:val="nil"/>
                  </w:tcBorders>
                  <w:noWrap w:val="0"/>
                  <w:vAlign w:val="center"/>
                </w:tcPr>
                <w:p w14:paraId="0BB2C769">
                  <w:pPr>
                    <w:pStyle w:val="3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塑粉</w:t>
                  </w:r>
                </w:p>
              </w:tc>
              <w:tc>
                <w:tcPr>
                  <w:tcW w:w="3453" w:type="pct"/>
                  <w:tcBorders>
                    <w:top w:val="single" w:color="auto" w:sz="12" w:space="0"/>
                    <w:tl2br w:val="nil"/>
                    <w:tr2bl w:val="nil"/>
                  </w:tcBorders>
                  <w:noWrap w:val="0"/>
                  <w:vAlign w:val="center"/>
                </w:tcPr>
                <w:p w14:paraId="17D5491F">
                  <w:pPr>
                    <w:pStyle w:val="3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以氟碳树脂配合聚酯树脂为主要基料，配以金属颜料或色料。外观</w:t>
                  </w: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色泽均匀、无结块</w:t>
                  </w: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密度</w:t>
                  </w: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1.2-1.8g/cm</w:t>
                  </w:r>
                  <w:r>
                    <w:rPr>
                      <w:rFonts w:hint="eastAsia" w:ascii="Times New Roman" w:hAnsi="Times New Roman" w:eastAsia="宋体" w:cs="Times New Roman"/>
                      <w:b w:val="0"/>
                      <w:bCs w:val="0"/>
                      <w:color w:val="auto"/>
                      <w:sz w:val="21"/>
                      <w:szCs w:val="21"/>
                      <w:highlight w:val="none"/>
                      <w:vertAlign w:val="superscript"/>
                      <w:lang w:val="en-US" w:eastAsia="zh-CN"/>
                    </w:rPr>
                    <w:t>3</w:t>
                  </w:r>
                  <w:r>
                    <w:rPr>
                      <w:rFonts w:hint="default" w:ascii="Times New Roman" w:hAnsi="Times New Roman" w:eastAsia="宋体" w:cs="Times New Roman"/>
                      <w:b w:val="0"/>
                      <w:bCs w:val="0"/>
                      <w:color w:val="auto"/>
                      <w:sz w:val="21"/>
                      <w:szCs w:val="21"/>
                      <w:highlight w:val="none"/>
                    </w:rPr>
                    <w:t>流动性</w:t>
                  </w: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120-140</w:t>
                  </w: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粒度</w:t>
                  </w: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一般平均粒径32-40mm</w:t>
                  </w: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特性</w:t>
                  </w: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密着性极佳，机械性能良好，流平和光泽好，耐化学腐蚀性、耐高温性、耐氧化性、耐候性、耐射线辐射性能</w:t>
                  </w: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保存</w:t>
                  </w: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35℃以下干燥、通风条件下贮存，避免阳光直射，远离腐蚀性化学品及化学溶剂</w:t>
                  </w: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安全</w:t>
                  </w: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使用过程中应佩戴防尘口罩，尽量减少与皮肤长期接触。在310℃以下热稳定性良好，在310-320℃的环境下长时间放置，会产生微量的分解，其主要分解产物为有毒的氟化氢和氟碳有机化合物。在高于370℃的环境下，产品分解速度明显加快。由于引入的氟元素电负性大，碳氟键能强，具有特别优越的各项性能</w:t>
                  </w: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耐候性、耐热性、耐低温性、耐化学药品性，且具有独特的不粘性和低磨擦性</w:t>
                  </w:r>
                </w:p>
              </w:tc>
            </w:tr>
            <w:tr w14:paraId="7C226D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3" w:type="pct"/>
                  <w:tcBorders>
                    <w:tl2br w:val="nil"/>
                    <w:tr2bl w:val="nil"/>
                  </w:tcBorders>
                  <w:noWrap w:val="0"/>
                  <w:vAlign w:val="center"/>
                </w:tcPr>
                <w:p w14:paraId="09154E76">
                  <w:pPr>
                    <w:pStyle w:val="3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2</w:t>
                  </w:r>
                </w:p>
              </w:tc>
              <w:tc>
                <w:tcPr>
                  <w:tcW w:w="823" w:type="pct"/>
                  <w:tcBorders>
                    <w:tl2br w:val="nil"/>
                    <w:tr2bl w:val="nil"/>
                  </w:tcBorders>
                  <w:noWrap w:val="0"/>
                  <w:vAlign w:val="center"/>
                </w:tcPr>
                <w:p w14:paraId="5DF3991D">
                  <w:pPr>
                    <w:pStyle w:val="3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氩气</w:t>
                  </w:r>
                </w:p>
              </w:tc>
              <w:tc>
                <w:tcPr>
                  <w:tcW w:w="3453" w:type="pct"/>
                  <w:tcBorders>
                    <w:tl2br w:val="nil"/>
                    <w:tr2bl w:val="nil"/>
                  </w:tcBorders>
                  <w:noWrap w:val="0"/>
                  <w:vAlign w:val="center"/>
                </w:tcPr>
                <w:p w14:paraId="3F7AAC1E">
                  <w:pPr>
                    <w:pStyle w:val="39"/>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氩气（Ar）是一种无色、无味、无毒的惰性气体，主要成分为纯氩（纯度≥99.99%），分子结构为单原子形态，化学性质极为稳定。在标准状况下，其密度为1.784g/L，约为空气密度的1.38倍，因此在泄漏时易积聚于低洼或密闭空间（如地下管道、储罐区），造成局部氧气浓度下降，引发窒息风险。氩气微溶于水（20℃时溶解度0.033 g/100g水），液态储存需在低温高压条件下（沸点-185.8℃，临界温度-122.3℃），通常以高压钢瓶或低温液氩罐形式储运，储存环境需远离高温热源（建议≤50℃）及剧烈机械振动，以防容器破裂。</w:t>
                  </w:r>
                </w:p>
                <w:p w14:paraId="23742FC9">
                  <w:pPr>
                    <w:pStyle w:val="39"/>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rPr>
                    <w:t>在化学特性上，氩气常温下几乎不与任何物质反应，无腐蚀性，但在极端条件（如高压电弧或等离子体环境）下可能与钛、镁等活泼金属发生微弱反应，生成不稳定的化合物（如ArTi）。工业应用中，氩气广泛用于金属焊接（TIG/MIG保护气）、半导体制造（惰性氛围）及高温冶炼（防止氧化）</w:t>
                  </w:r>
                  <w:r>
                    <w:rPr>
                      <w:rFonts w:hint="eastAsia" w:ascii="Times New Roman" w:hAnsi="Times New Roman" w:eastAsia="宋体" w:cs="Times New Roman"/>
                      <w:b w:val="0"/>
                      <w:bCs w:val="0"/>
                      <w:color w:val="auto"/>
                      <w:sz w:val="21"/>
                      <w:szCs w:val="21"/>
                      <w:highlight w:val="none"/>
                      <w:lang w:eastAsia="zh-CN"/>
                    </w:rPr>
                    <w:t>。</w:t>
                  </w:r>
                </w:p>
              </w:tc>
            </w:tr>
            <w:tr w14:paraId="1FC6DA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3" w:type="pct"/>
                  <w:tcBorders>
                    <w:tl2br w:val="nil"/>
                    <w:tr2bl w:val="nil"/>
                  </w:tcBorders>
                  <w:noWrap w:val="0"/>
                  <w:vAlign w:val="center"/>
                </w:tcPr>
                <w:p w14:paraId="5083DDD5">
                  <w:pPr>
                    <w:pStyle w:val="3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3</w:t>
                  </w:r>
                </w:p>
              </w:tc>
              <w:tc>
                <w:tcPr>
                  <w:tcW w:w="823" w:type="pct"/>
                  <w:tcBorders>
                    <w:tl2br w:val="nil"/>
                    <w:tr2bl w:val="nil"/>
                  </w:tcBorders>
                  <w:noWrap w:val="0"/>
                  <w:vAlign w:val="center"/>
                </w:tcPr>
                <w:p w14:paraId="65A997C8">
                  <w:pPr>
                    <w:pStyle w:val="3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二氧化碳混合气</w:t>
                  </w:r>
                </w:p>
              </w:tc>
              <w:tc>
                <w:tcPr>
                  <w:tcW w:w="3453" w:type="pct"/>
                  <w:tcBorders>
                    <w:tl2br w:val="nil"/>
                    <w:tr2bl w:val="nil"/>
                  </w:tcBorders>
                  <w:noWrap w:val="0"/>
                  <w:vAlign w:val="center"/>
                </w:tcPr>
                <w:p w14:paraId="2EEFFD4A">
                  <w:pPr>
                    <w:pStyle w:val="39"/>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该混合气以二氧化碳（CO₂）为主要成分，常与氩气（Ar）、氧气（O₂）或氮气（N₂）按特定比例混合（如Ar+CO₂ 80%/20%），用于焊接时隔绝熔池与空气接触，防止金属氧化。混合气为无色无味气体，密度取决于配比（如Ar-CO₂混合气密度约1.6~1.9 g/L），略高于空气。混合气中惰性气体（如Ar）可抑制氧化反应，但高浓度CO₂可能增加焊缝飞溅。气瓶储存压力通常为15~20 MPa，需远离热源、明火及油污，存放区通风防爆，并定期检测气体比例稳定性。</w:t>
                  </w:r>
                </w:p>
              </w:tc>
            </w:tr>
          </w:tbl>
          <w:p w14:paraId="216CAE9A">
            <w:pPr>
              <w:pStyle w:val="6"/>
              <w:numPr>
                <w:ilvl w:val="0"/>
                <w:numId w:val="0"/>
              </w:numPr>
              <w:bidi w:val="0"/>
              <w:spacing w:line="360" w:lineRule="auto"/>
              <w:rPr>
                <w:rFonts w:hint="default" w:ascii="Times New Roman" w:hAnsi="Times New Roman" w:eastAsia="宋体" w:cs="Times New Roman"/>
                <w:b/>
                <w:bCs/>
                <w:color w:val="auto"/>
                <w:sz w:val="24"/>
                <w:szCs w:val="24"/>
                <w:highlight w:val="none"/>
                <w:lang w:val="en-US" w:eastAsia="zh-CN"/>
              </w:rPr>
            </w:pPr>
          </w:p>
          <w:p w14:paraId="723E0D28">
            <w:pPr>
              <w:pStyle w:val="6"/>
              <w:numPr>
                <w:ilvl w:val="0"/>
                <w:numId w:val="0"/>
              </w:numPr>
              <w:bidi w:val="0"/>
              <w:spacing w:line="360" w:lineRule="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5.公用工程</w:t>
            </w:r>
          </w:p>
          <w:p w14:paraId="1AAD0F15">
            <w:pPr>
              <w:pStyle w:val="7"/>
              <w:numPr>
                <w:ilvl w:val="0"/>
                <w:numId w:val="0"/>
              </w:numPr>
              <w:bidi w:val="0"/>
              <w:spacing w:line="360" w:lineRule="auto"/>
              <w:ind w:leftChars="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5.1供电</w:t>
            </w:r>
          </w:p>
          <w:p w14:paraId="2B1EEBD5">
            <w:pPr>
              <w:pStyle w:val="22"/>
              <w:bidi w:val="0"/>
              <w:spacing w:line="360" w:lineRule="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本项目</w:t>
            </w:r>
            <w:r>
              <w:rPr>
                <w:rFonts w:hint="eastAsia" w:cs="Times New Roman"/>
                <w:color w:val="auto"/>
                <w:sz w:val="24"/>
                <w:szCs w:val="24"/>
                <w:highlight w:val="none"/>
                <w:lang w:val="en-US" w:eastAsia="zh-CN"/>
              </w:rPr>
              <w:t>供电接入市政管网</w:t>
            </w:r>
            <w:r>
              <w:rPr>
                <w:rFonts w:hint="default" w:ascii="Times New Roman" w:hAnsi="Times New Roman" w:eastAsia="宋体" w:cs="Times New Roman"/>
                <w:color w:val="auto"/>
                <w:sz w:val="24"/>
                <w:szCs w:val="24"/>
                <w:highlight w:val="none"/>
              </w:rPr>
              <w:t>，电力设施基础完好，能满足项目用电需求；</w:t>
            </w:r>
          </w:p>
          <w:p w14:paraId="161D6D22">
            <w:pPr>
              <w:pStyle w:val="7"/>
              <w:numPr>
                <w:ilvl w:val="0"/>
                <w:numId w:val="0"/>
              </w:numPr>
              <w:bidi w:val="0"/>
              <w:spacing w:line="360" w:lineRule="auto"/>
              <w:ind w:leftChars="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5.2.给水</w:t>
            </w:r>
          </w:p>
          <w:p w14:paraId="55A4B6AA">
            <w:pPr>
              <w:pStyle w:val="22"/>
              <w:bidi w:val="0"/>
              <w:spacing w:line="360" w:lineRule="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w:t>
            </w:r>
            <w:r>
              <w:rPr>
                <w:rFonts w:hint="eastAsia" w:cs="Times New Roman"/>
                <w:color w:val="auto"/>
                <w:sz w:val="24"/>
                <w:szCs w:val="24"/>
                <w:highlight w:val="none"/>
                <w:lang w:val="en-US" w:eastAsia="zh-CN"/>
              </w:rPr>
              <w:t>用水主要为</w:t>
            </w:r>
            <w:r>
              <w:rPr>
                <w:rFonts w:hint="default" w:ascii="Times New Roman" w:hAnsi="Times New Roman" w:eastAsia="宋体" w:cs="Times New Roman"/>
                <w:color w:val="auto"/>
                <w:sz w:val="24"/>
                <w:szCs w:val="24"/>
                <w:highlight w:val="none"/>
                <w:lang w:val="en-US" w:eastAsia="zh-CN"/>
              </w:rPr>
              <w:t>员工生活用水</w:t>
            </w:r>
            <w:r>
              <w:rPr>
                <w:rFonts w:hint="eastAsia" w:cs="Times New Roman"/>
                <w:color w:val="auto"/>
                <w:sz w:val="24"/>
                <w:szCs w:val="24"/>
                <w:highlight w:val="none"/>
                <w:lang w:val="en-US" w:eastAsia="zh-CN"/>
              </w:rPr>
              <w:t>和产品检验用水</w:t>
            </w:r>
            <w:r>
              <w:rPr>
                <w:rFonts w:hint="default" w:ascii="Times New Roman" w:hAnsi="Times New Roman" w:eastAsia="宋体" w:cs="Times New Roman"/>
                <w:color w:val="auto"/>
                <w:sz w:val="24"/>
                <w:szCs w:val="24"/>
                <w:highlight w:val="none"/>
                <w:lang w:val="en-US" w:eastAsia="zh-CN"/>
              </w:rPr>
              <w:t>。</w:t>
            </w:r>
          </w:p>
          <w:p w14:paraId="50E60992">
            <w:pPr>
              <w:pStyle w:val="2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生活用水</w:t>
            </w:r>
          </w:p>
          <w:p w14:paraId="19003F60">
            <w:pPr>
              <w:pStyle w:val="22"/>
              <w:bidi w:val="0"/>
              <w:spacing w:line="360" w:lineRule="auto"/>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本项目劳动定员为</w:t>
            </w:r>
            <w:r>
              <w:rPr>
                <w:rFonts w:hint="eastAsia" w:cs="Times New Roman"/>
                <w:color w:val="auto"/>
                <w:sz w:val="24"/>
                <w:szCs w:val="24"/>
                <w:highlight w:val="none"/>
                <w:lang w:val="en-US" w:eastAsia="zh-CN"/>
              </w:rPr>
              <w:t>150人</w:t>
            </w:r>
            <w:r>
              <w:rPr>
                <w:rFonts w:hint="default" w:ascii="Times New Roman" w:hAnsi="Times New Roman" w:eastAsia="宋体" w:cs="Times New Roman"/>
                <w:color w:val="auto"/>
                <w:sz w:val="24"/>
                <w:szCs w:val="24"/>
                <w:highlight w:val="none"/>
              </w:rPr>
              <w:t>，年工作</w:t>
            </w:r>
            <w:r>
              <w:rPr>
                <w:rFonts w:hint="eastAsia" w:cs="Times New Roman"/>
                <w:color w:val="auto"/>
                <w:sz w:val="24"/>
                <w:szCs w:val="24"/>
                <w:highlight w:val="none"/>
                <w:lang w:val="en-US" w:eastAsia="zh-CN"/>
              </w:rPr>
              <w:t>300</w:t>
            </w:r>
            <w:r>
              <w:rPr>
                <w:rFonts w:hint="default" w:ascii="Times New Roman" w:hAnsi="Times New Roman" w:eastAsia="宋体" w:cs="Times New Roman"/>
                <w:color w:val="auto"/>
                <w:sz w:val="24"/>
                <w:szCs w:val="24"/>
                <w:highlight w:val="none"/>
              </w:rPr>
              <w:t>天，根据《新疆维吾尔自治区生活用水定额》，人均用水量按每人</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rPr>
              <w:t>L/d计算，则生活用水量为</w:t>
            </w:r>
            <w:r>
              <w:rPr>
                <w:rFonts w:hint="eastAsia" w:cs="Times New Roman"/>
                <w:color w:val="auto"/>
                <w:sz w:val="24"/>
                <w:szCs w:val="24"/>
                <w:highlight w:val="none"/>
                <w:lang w:val="en-US" w:eastAsia="zh-CN"/>
              </w:rPr>
              <w:t>7.5</w:t>
            </w:r>
            <w:r>
              <w:rPr>
                <w:rFonts w:hint="eastAsia" w:cs="Times New Roman"/>
                <w:color w:val="auto"/>
                <w:sz w:val="24"/>
                <w:szCs w:val="24"/>
                <w:highlight w:val="none"/>
                <w:vertAlign w:val="baseline"/>
                <w:lang w:val="en-US" w:eastAsia="zh-CN"/>
              </w:rPr>
              <w:t>m</w:t>
            </w:r>
            <w:r>
              <w:rPr>
                <w:rFonts w:hint="eastAsia"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rPr>
              <w:t>/d</w:t>
            </w: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2250</w:t>
            </w:r>
            <w:r>
              <w:rPr>
                <w:rFonts w:hint="eastAsia" w:cs="Times New Roman"/>
                <w:color w:val="auto"/>
                <w:sz w:val="24"/>
                <w:szCs w:val="24"/>
                <w:highlight w:val="none"/>
                <w:vertAlign w:val="baseline"/>
                <w:lang w:val="en-US" w:eastAsia="zh-CN"/>
              </w:rPr>
              <w:t>m</w:t>
            </w:r>
            <w:r>
              <w:rPr>
                <w:rFonts w:hint="eastAsia"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rPr>
              <w:t>/a</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14:paraId="47F3C989">
            <w:pPr>
              <w:pStyle w:val="2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（2）产品检验用水</w:t>
            </w:r>
          </w:p>
          <w:p w14:paraId="7E655048">
            <w:pPr>
              <w:pStyle w:val="7"/>
              <w:bidi w:val="0"/>
              <w:spacing w:line="360" w:lineRule="auto"/>
              <w:ind w:firstLine="480" w:firstLineChars="20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color w:val="auto"/>
                <w:sz w:val="24"/>
                <w:szCs w:val="24"/>
                <w:highlight w:val="none"/>
              </w:rPr>
              <w:t>本项目</w:t>
            </w:r>
            <w:r>
              <w:rPr>
                <w:rFonts w:hint="eastAsia" w:cs="Times New Roman"/>
                <w:color w:val="auto"/>
                <w:sz w:val="24"/>
                <w:szCs w:val="24"/>
                <w:highlight w:val="none"/>
                <w:lang w:val="en-US" w:eastAsia="zh-CN"/>
              </w:rPr>
              <w:t>产品待烘干后，进行最后一步质检，检验用水不产生污染且循环使用，年用水量共200m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lang w:val="en-US" w:eastAsia="zh-CN"/>
              </w:rPr>
              <w:t>，其中损耗40m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lang w:val="en-US" w:eastAsia="zh-CN"/>
              </w:rPr>
              <w:t>，其余160m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lang w:val="en-US" w:eastAsia="zh-CN"/>
              </w:rPr>
              <w:t>循环使用。</w:t>
            </w:r>
          </w:p>
          <w:p w14:paraId="1AE658BB">
            <w:pPr>
              <w:pStyle w:val="7"/>
              <w:bidi w:val="0"/>
              <w:spacing w:line="360" w:lineRule="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5.3排水</w:t>
            </w:r>
          </w:p>
          <w:p w14:paraId="43223E7D">
            <w:pPr>
              <w:pStyle w:val="22"/>
              <w:bidi w:val="0"/>
              <w:spacing w:line="360" w:lineRule="auto"/>
              <w:rPr>
                <w:rFonts w:hint="eastAsia"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本项目运营期</w:t>
            </w:r>
            <w:r>
              <w:rPr>
                <w:rFonts w:hint="eastAsia" w:cs="Times New Roman"/>
                <w:color w:val="auto"/>
                <w:sz w:val="24"/>
                <w:szCs w:val="24"/>
                <w:highlight w:val="none"/>
                <w:lang w:val="en-US" w:eastAsia="zh-CN"/>
              </w:rPr>
              <w:t>产生的废水主要为员工生活污水。</w:t>
            </w:r>
          </w:p>
          <w:p w14:paraId="0AE004E5">
            <w:pPr>
              <w:pStyle w:val="22"/>
              <w:numPr>
                <w:ilvl w:val="0"/>
                <w:numId w:val="0"/>
              </w:numPr>
              <w:bidi w:val="0"/>
              <w:spacing w:line="360" w:lineRule="auto"/>
              <w:ind w:firstLine="480" w:firstLineChars="200"/>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（1）生活污水</w:t>
            </w:r>
          </w:p>
          <w:p w14:paraId="75E469E6">
            <w:pPr>
              <w:pStyle w:val="22"/>
              <w:bidi w:val="0"/>
              <w:spacing w:line="360" w:lineRule="auto"/>
              <w:rPr>
                <w:rFonts w:hint="eastAsia"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生活污水按生活用水量的80%计，则产生量为</w:t>
            </w:r>
            <w:r>
              <w:rPr>
                <w:rFonts w:hint="eastAsia" w:cs="Times New Roman"/>
                <w:color w:val="auto"/>
                <w:sz w:val="24"/>
                <w:szCs w:val="24"/>
                <w:highlight w:val="none"/>
                <w:lang w:val="en-US" w:eastAsia="zh-CN"/>
              </w:rPr>
              <w:t>6</w:t>
            </w:r>
            <w:r>
              <w:rPr>
                <w:rFonts w:hint="eastAsia" w:cs="Times New Roman"/>
                <w:color w:val="auto"/>
                <w:sz w:val="24"/>
                <w:szCs w:val="24"/>
                <w:highlight w:val="none"/>
                <w:vertAlign w:val="baseline"/>
                <w:lang w:val="en-US" w:eastAsia="zh-CN"/>
              </w:rPr>
              <w:t>m</w:t>
            </w:r>
            <w:r>
              <w:rPr>
                <w:rFonts w:hint="eastAsia"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rPr>
              <w:t>/d</w:t>
            </w: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1800</w:t>
            </w:r>
            <w:r>
              <w:rPr>
                <w:rFonts w:hint="eastAsia" w:cs="Times New Roman"/>
                <w:color w:val="auto"/>
                <w:sz w:val="24"/>
                <w:szCs w:val="24"/>
                <w:highlight w:val="none"/>
                <w:vertAlign w:val="baseline"/>
                <w:lang w:val="en-US" w:eastAsia="zh-CN"/>
              </w:rPr>
              <w:t>m</w:t>
            </w:r>
            <w:r>
              <w:rPr>
                <w:rFonts w:hint="eastAsia"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rPr>
              <w:t>/a</w:t>
            </w: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生活污水</w:t>
            </w:r>
            <w:r>
              <w:rPr>
                <w:rFonts w:hint="eastAsia" w:cs="Times New Roman"/>
                <w:color w:val="auto"/>
                <w:sz w:val="24"/>
                <w:szCs w:val="24"/>
                <w:highlight w:val="none"/>
                <w:lang w:val="en-US" w:eastAsia="zh-CN"/>
              </w:rPr>
              <w:t>排入</w:t>
            </w:r>
            <w:r>
              <w:rPr>
                <w:rFonts w:hint="default" w:ascii="Times New Roman" w:hAnsi="Times New Roman" w:eastAsia="宋体" w:cs="Times New Roman"/>
                <w:color w:val="auto"/>
                <w:sz w:val="24"/>
                <w:szCs w:val="24"/>
                <w:highlight w:val="none"/>
                <w:lang w:val="en-US" w:eastAsia="zh-CN"/>
              </w:rPr>
              <w:t>污水管网</w:t>
            </w:r>
            <w:r>
              <w:rPr>
                <w:rFonts w:hint="eastAsia" w:cs="Times New Roman"/>
                <w:color w:val="auto"/>
                <w:sz w:val="24"/>
                <w:szCs w:val="24"/>
                <w:highlight w:val="none"/>
                <w:lang w:val="en-US" w:eastAsia="zh-CN"/>
              </w:rPr>
              <w:t>。</w:t>
            </w:r>
          </w:p>
          <w:p w14:paraId="34DC0643">
            <w:pPr>
              <w:pStyle w:val="22"/>
              <w:numPr>
                <w:ilvl w:val="0"/>
                <w:numId w:val="0"/>
              </w:numPr>
              <w:bidi w:val="0"/>
              <w:spacing w:line="360" w:lineRule="auto"/>
              <w:ind w:firstLine="480" w:firstLineChars="200"/>
              <w:rPr>
                <w:rFonts w:hint="default"/>
                <w:color w:val="auto"/>
                <w:highlight w:val="none"/>
                <w:lang w:val="en-US"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lang w:val="en-US" w:eastAsia="zh-CN"/>
              </w:rPr>
              <w:t>生产废水</w:t>
            </w:r>
          </w:p>
          <w:p w14:paraId="49162276">
            <w:pPr>
              <w:pStyle w:val="22"/>
              <w:numPr>
                <w:ilvl w:val="0"/>
                <w:numId w:val="0"/>
              </w:numPr>
              <w:bidi w:val="0"/>
              <w:spacing w:line="360" w:lineRule="auto"/>
              <w:ind w:firstLine="480" w:firstLineChars="200"/>
              <w:rPr>
                <w:rFonts w:hint="default"/>
                <w:color w:val="auto"/>
                <w:highlight w:val="none"/>
                <w:lang w:val="en-US" w:eastAsia="zh-CN"/>
              </w:rPr>
            </w:pPr>
            <w:r>
              <w:rPr>
                <w:rFonts w:hint="eastAsia"/>
                <w:color w:val="auto"/>
                <w:highlight w:val="none"/>
                <w:lang w:val="en-US" w:eastAsia="zh-CN"/>
              </w:rPr>
              <w:t>本项目生产过程产品检验需用水，检验用水不产生污染且循环使用，</w:t>
            </w:r>
            <w:r>
              <w:rPr>
                <w:rFonts w:hint="eastAsia" w:cs="Times New Roman"/>
                <w:color w:val="auto"/>
                <w:sz w:val="24"/>
                <w:szCs w:val="24"/>
                <w:highlight w:val="none"/>
                <w:lang w:val="en-US" w:eastAsia="zh-CN"/>
              </w:rPr>
              <w:t>检验过程中设备内部残留、通风条件下用水蒸发等，会使产品检验用水产生损耗，损耗约为用水量20%，年用水量共200m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lang w:val="en-US" w:eastAsia="zh-CN"/>
              </w:rPr>
              <w:t>，其中损耗40m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lang w:val="en-US" w:eastAsia="zh-CN"/>
              </w:rPr>
              <w:t>，其余160m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lang w:val="en-US" w:eastAsia="zh-CN"/>
              </w:rPr>
              <w:t>循环使用，循环量约192000m</w:t>
            </w:r>
            <w:r>
              <w:rPr>
                <w:rFonts w:hint="eastAsia" w:cs="Times New Roman"/>
                <w:color w:val="auto"/>
                <w:sz w:val="24"/>
                <w:szCs w:val="24"/>
                <w:highlight w:val="none"/>
                <w:vertAlign w:val="superscript"/>
                <w:lang w:val="en-US" w:eastAsia="zh-CN"/>
              </w:rPr>
              <w:t>3</w:t>
            </w:r>
            <w:r>
              <w:rPr>
                <w:rFonts w:hint="eastAsia"/>
                <w:color w:val="auto"/>
                <w:highlight w:val="none"/>
                <w:lang w:val="en-US" w:eastAsia="zh-CN"/>
              </w:rPr>
              <w:t>。</w:t>
            </w:r>
          </w:p>
          <w:p w14:paraId="3CB228C6">
            <w:pPr>
              <w:pStyle w:val="22"/>
              <w:bidi w:val="0"/>
              <w:spacing w:line="360" w:lineRule="auto"/>
              <w:ind w:left="0" w:leftChars="0" w:firstLine="0" w:firstLineChars="0"/>
              <w:jc w:val="center"/>
              <w:rPr>
                <w:color w:val="auto"/>
                <w:highlight w:val="none"/>
              </w:rPr>
            </w:pPr>
            <w:r>
              <w:rPr>
                <w:rFonts w:hint="default" w:cs="Times New Roman"/>
                <w:color w:val="auto"/>
                <w:sz w:val="24"/>
                <w:szCs w:val="24"/>
                <w:highlight w:val="none"/>
                <w:lang w:val="en-US" w:eastAsia="zh-CN"/>
              </w:rPr>
              <w:drawing>
                <wp:inline distT="0" distB="0" distL="114300" distR="114300">
                  <wp:extent cx="3891280" cy="2552065"/>
                  <wp:effectExtent l="0" t="0" r="0" b="0"/>
                  <wp:docPr id="4" name="ECB019B1-382A-4266-B25C-5B523AA43C14-1" descr="C:/Users/哥哥/AppData/Local/Temp/wps.KqqdYd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B019B1-382A-4266-B25C-5B523AA43C14-1" descr="C:/Users/哥哥/AppData/Local/Temp/wps.KqqdYdwps"/>
                          <pic:cNvPicPr>
                            <a:picLocks noChangeAspect="1"/>
                          </pic:cNvPicPr>
                        </pic:nvPicPr>
                        <pic:blipFill>
                          <a:blip r:embed="rId7"/>
                          <a:stretch>
                            <a:fillRect/>
                          </a:stretch>
                        </pic:blipFill>
                        <pic:spPr>
                          <a:xfrm>
                            <a:off x="0" y="0"/>
                            <a:ext cx="3891280" cy="2552065"/>
                          </a:xfrm>
                          <a:prstGeom prst="rect">
                            <a:avLst/>
                          </a:prstGeom>
                        </pic:spPr>
                      </pic:pic>
                    </a:graphicData>
                  </a:graphic>
                </wp:inline>
              </w:drawing>
            </w:r>
          </w:p>
          <w:p w14:paraId="0E51CF16">
            <w:pPr>
              <w:pStyle w:val="2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图1    项目水平衡图（单位：</w:t>
            </w:r>
            <w:r>
              <w:rPr>
                <w:rFonts w:hint="default" w:ascii="Times New Roman" w:hAnsi="Times New Roman" w:eastAsia="宋体" w:cs="Times New Roman"/>
                <w:b w:val="0"/>
                <w:bCs w:val="0"/>
                <w:color w:val="auto"/>
                <w:sz w:val="24"/>
                <w:szCs w:val="24"/>
                <w:highlight w:val="none"/>
              </w:rPr>
              <w:t>m</w:t>
            </w:r>
            <w:r>
              <w:rPr>
                <w:rFonts w:hint="default" w:ascii="Times New Roman" w:hAnsi="Times New Roman" w:eastAsia="宋体" w:cs="Times New Roman"/>
                <w:b w:val="0"/>
                <w:bCs w:val="0"/>
                <w:color w:val="auto"/>
                <w:sz w:val="24"/>
                <w:szCs w:val="24"/>
                <w:highlight w:val="none"/>
                <w:vertAlign w:val="superscript"/>
              </w:rPr>
              <w:t>3</w:t>
            </w:r>
            <w:r>
              <w:rPr>
                <w:rFonts w:hint="eastAsia"/>
                <w:b w:val="0"/>
                <w:bCs w:val="0"/>
                <w:color w:val="auto"/>
                <w:sz w:val="21"/>
                <w:szCs w:val="21"/>
                <w:highlight w:val="none"/>
                <w:lang w:val="en-US" w:eastAsia="zh-CN"/>
              </w:rPr>
              <w:t>/</w:t>
            </w:r>
            <w:r>
              <w:rPr>
                <w:rFonts w:hint="eastAsia"/>
                <w:b w:val="0"/>
                <w:bCs w:val="0"/>
                <w:color w:val="auto"/>
                <w:sz w:val="24"/>
                <w:szCs w:val="24"/>
                <w:highlight w:val="none"/>
                <w:lang w:val="en-US" w:eastAsia="zh-CN"/>
              </w:rPr>
              <w:t>a</w:t>
            </w:r>
            <w:r>
              <w:rPr>
                <w:rFonts w:hint="eastAsia"/>
                <w:b w:val="0"/>
                <w:bCs w:val="0"/>
                <w:color w:val="auto"/>
                <w:sz w:val="21"/>
                <w:szCs w:val="21"/>
                <w:highlight w:val="none"/>
                <w:lang w:val="en-US" w:eastAsia="zh-CN"/>
              </w:rPr>
              <w:t>）</w:t>
            </w:r>
          </w:p>
          <w:p w14:paraId="29DC3C42">
            <w:pPr>
              <w:pStyle w:val="7"/>
              <w:numPr>
                <w:ilvl w:val="0"/>
                <w:numId w:val="0"/>
              </w:numPr>
              <w:bidi w:val="0"/>
              <w:spacing w:line="360" w:lineRule="auto"/>
              <w:ind w:leftChars="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5.4供暖</w:t>
            </w:r>
          </w:p>
          <w:p w14:paraId="7F0CB41D">
            <w:pPr>
              <w:pStyle w:val="22"/>
              <w:bidi w:val="0"/>
              <w:spacing w:line="360" w:lineRule="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w:t>
            </w:r>
            <w:r>
              <w:rPr>
                <w:rFonts w:hint="eastAsia" w:cs="Times New Roman"/>
                <w:color w:val="auto"/>
                <w:sz w:val="24"/>
                <w:szCs w:val="24"/>
                <w:highlight w:val="none"/>
                <w:lang w:val="en-US" w:eastAsia="zh-CN"/>
              </w:rPr>
              <w:t>冬季生产供热由市政供热管网提供。</w:t>
            </w:r>
          </w:p>
          <w:p w14:paraId="4BF16752">
            <w:pPr>
              <w:pStyle w:val="7"/>
              <w:numPr>
                <w:ilvl w:val="0"/>
                <w:numId w:val="0"/>
              </w:numPr>
              <w:bidi w:val="0"/>
              <w:spacing w:line="360" w:lineRule="auto"/>
              <w:ind w:leftChars="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5.5工作制度及劳动定员</w:t>
            </w:r>
          </w:p>
          <w:p w14:paraId="07544921">
            <w:pPr>
              <w:pStyle w:val="22"/>
              <w:bidi w:val="0"/>
              <w:spacing w:line="360" w:lineRule="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根据</w:t>
            </w:r>
            <w:r>
              <w:rPr>
                <w:rFonts w:hint="default" w:ascii="Times New Roman" w:hAnsi="Times New Roman" w:eastAsia="宋体" w:cs="Times New Roman"/>
                <w:color w:val="auto"/>
                <w:sz w:val="24"/>
                <w:szCs w:val="24"/>
                <w:highlight w:val="none"/>
              </w:rPr>
              <w:t>本项目生产规模需求，</w:t>
            </w:r>
            <w:r>
              <w:rPr>
                <w:rFonts w:hint="default" w:ascii="Times New Roman" w:hAnsi="Times New Roman" w:eastAsia="宋体" w:cs="Times New Roman"/>
                <w:color w:val="auto"/>
                <w:sz w:val="24"/>
                <w:szCs w:val="24"/>
                <w:highlight w:val="none"/>
                <w:lang w:val="en-US" w:eastAsia="zh-CN"/>
              </w:rPr>
              <w:t>本项目计划</w:t>
            </w:r>
            <w:r>
              <w:rPr>
                <w:rFonts w:hint="eastAsia" w:cs="Times New Roman"/>
                <w:color w:val="auto"/>
                <w:sz w:val="24"/>
                <w:szCs w:val="24"/>
                <w:highlight w:val="none"/>
                <w:lang w:val="en-US" w:eastAsia="zh-CN"/>
              </w:rPr>
              <w:t>设置</w:t>
            </w:r>
            <w:r>
              <w:rPr>
                <w:rFonts w:hint="default" w:ascii="Times New Roman" w:hAnsi="Times New Roman" w:eastAsia="宋体" w:cs="Times New Roman"/>
                <w:color w:val="auto"/>
                <w:sz w:val="24"/>
                <w:szCs w:val="24"/>
                <w:highlight w:val="none"/>
                <w:lang w:val="en-US" w:eastAsia="zh-CN"/>
              </w:rPr>
              <w:t>劳动定员15</w:t>
            </w:r>
            <w:r>
              <w:rPr>
                <w:rFonts w:hint="eastAsia"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lang w:val="en-US" w:eastAsia="zh-CN"/>
              </w:rPr>
              <w:t>人，其中管理人员28</w:t>
            </w:r>
            <w:r>
              <w:rPr>
                <w:rFonts w:hint="eastAsia" w:cs="Times New Roman"/>
                <w:color w:val="auto"/>
                <w:sz w:val="24"/>
                <w:szCs w:val="24"/>
                <w:highlight w:val="none"/>
                <w:lang w:val="en-US" w:eastAsia="zh-CN"/>
              </w:rPr>
              <w:t>人</w:t>
            </w:r>
            <w:r>
              <w:rPr>
                <w:rFonts w:hint="default" w:ascii="Times New Roman" w:hAnsi="Times New Roman" w:eastAsia="宋体" w:cs="Times New Roman"/>
                <w:color w:val="auto"/>
                <w:sz w:val="24"/>
                <w:szCs w:val="24"/>
                <w:highlight w:val="none"/>
                <w:lang w:val="en-US" w:eastAsia="zh-CN"/>
              </w:rPr>
              <w:t>，技术人员54人，其余为生产工人及其他辅助人员</w:t>
            </w:r>
            <w:r>
              <w:rPr>
                <w:rFonts w:hint="default" w:ascii="Times New Roman" w:hAnsi="Times New Roman" w:eastAsia="宋体" w:cs="Times New Roman"/>
                <w:color w:val="auto"/>
                <w:sz w:val="24"/>
                <w:szCs w:val="24"/>
                <w:highlight w:val="none"/>
              </w:rPr>
              <w:t>。全年生产约为</w:t>
            </w:r>
            <w:r>
              <w:rPr>
                <w:rFonts w:hint="eastAsia" w:cs="Times New Roman"/>
                <w:color w:val="auto"/>
                <w:sz w:val="24"/>
                <w:szCs w:val="24"/>
                <w:highlight w:val="none"/>
                <w:lang w:val="en-US" w:eastAsia="zh-CN"/>
              </w:rPr>
              <w:t>300</w:t>
            </w:r>
            <w:r>
              <w:rPr>
                <w:rFonts w:hint="default" w:ascii="Times New Roman" w:hAnsi="Times New Roman" w:eastAsia="宋体" w:cs="Times New Roman"/>
                <w:color w:val="auto"/>
                <w:sz w:val="24"/>
                <w:szCs w:val="24"/>
                <w:highlight w:val="none"/>
              </w:rPr>
              <w:t>天。</w:t>
            </w:r>
            <w:r>
              <w:rPr>
                <w:rFonts w:hint="eastAsia"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班倒，每班8h</w:t>
            </w:r>
            <w:r>
              <w:rPr>
                <w:rFonts w:hint="default"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年生产时间</w:t>
            </w:r>
            <w:r>
              <w:rPr>
                <w:rFonts w:hint="eastAsia" w:cs="Times New Roman"/>
                <w:color w:val="auto"/>
                <w:sz w:val="24"/>
                <w:szCs w:val="24"/>
                <w:highlight w:val="none"/>
                <w:lang w:val="en-US" w:eastAsia="zh-CN"/>
              </w:rPr>
              <w:t>2400</w:t>
            </w:r>
            <w:r>
              <w:rPr>
                <w:rFonts w:hint="eastAsia" w:ascii="Times New Roman" w:hAnsi="Times New Roman" w:eastAsia="宋体" w:cs="Times New Roman"/>
                <w:color w:val="auto"/>
                <w:sz w:val="24"/>
                <w:szCs w:val="24"/>
                <w:highlight w:val="none"/>
                <w:lang w:val="en-US" w:eastAsia="zh-CN"/>
              </w:rPr>
              <w:t>h。</w:t>
            </w:r>
          </w:p>
          <w:p w14:paraId="5615FC10">
            <w:pPr>
              <w:pStyle w:val="6"/>
              <w:numPr>
                <w:ilvl w:val="0"/>
                <w:numId w:val="0"/>
              </w:numPr>
              <w:bidi w:val="0"/>
              <w:spacing w:line="360" w:lineRule="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6.总平面布置</w:t>
            </w:r>
          </w:p>
          <w:p w14:paraId="0ADC068A">
            <w:pPr>
              <w:pStyle w:val="12"/>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w:t>
            </w:r>
            <w:r>
              <w:rPr>
                <w:rFonts w:hint="eastAsia" w:ascii="Times New Roman" w:hAnsi="Times New Roman" w:cs="Times New Roman"/>
                <w:color w:val="auto"/>
                <w:sz w:val="24"/>
                <w:szCs w:val="24"/>
                <w:highlight w:val="none"/>
                <w:lang w:val="en-US" w:eastAsia="zh-CN"/>
              </w:rPr>
              <w:t>厂区</w:t>
            </w:r>
            <w:r>
              <w:rPr>
                <w:rFonts w:hint="default" w:ascii="Times New Roman" w:hAnsi="Times New Roman" w:eastAsia="宋体" w:cs="Times New Roman"/>
                <w:color w:val="auto"/>
                <w:sz w:val="24"/>
                <w:szCs w:val="24"/>
                <w:highlight w:val="none"/>
              </w:rPr>
              <w:t>为</w:t>
            </w:r>
            <w:r>
              <w:rPr>
                <w:rFonts w:hint="eastAsia" w:ascii="Times New Roman" w:hAnsi="Times New Roman" w:cs="Times New Roman"/>
                <w:color w:val="auto"/>
                <w:sz w:val="24"/>
                <w:szCs w:val="24"/>
                <w:highlight w:val="none"/>
                <w:lang w:val="en-US" w:eastAsia="zh-CN"/>
              </w:rPr>
              <w:t>新建</w:t>
            </w:r>
            <w:r>
              <w:rPr>
                <w:rFonts w:hint="default" w:ascii="Times New Roman" w:hAnsi="Times New Roman" w:eastAsia="宋体" w:cs="Times New Roman"/>
                <w:color w:val="auto"/>
                <w:sz w:val="24"/>
                <w:szCs w:val="24"/>
                <w:highlight w:val="none"/>
              </w:rPr>
              <w:t>，厂区布置为</w:t>
            </w:r>
            <w:r>
              <w:rPr>
                <w:rFonts w:hint="default" w:ascii="Times New Roman" w:hAnsi="Times New Roman" w:eastAsia="宋体" w:cs="Times New Roman"/>
                <w:color w:val="auto"/>
                <w:spacing w:val="-1"/>
                <w:sz w:val="24"/>
                <w:szCs w:val="24"/>
                <w:highlight w:val="none"/>
              </w:rPr>
              <w:t>：</w:t>
            </w:r>
            <w:r>
              <w:rPr>
                <w:rFonts w:hint="eastAsia" w:ascii="Times New Roman" w:hAnsi="Times New Roman" w:cs="Times New Roman"/>
                <w:color w:val="auto"/>
                <w:spacing w:val="-1"/>
                <w:sz w:val="24"/>
                <w:szCs w:val="24"/>
                <w:highlight w:val="none"/>
                <w:lang w:val="en-US" w:eastAsia="zh-CN"/>
              </w:rPr>
              <w:t>生产车间位于南侧偏东，装配车间位于南侧偏西，厂区北侧由西向东分为三个区域，分别为西侧的装配车间、机械精加工车间、机电一体化车间，中间的原材料及成品堆场，东侧的车库、宿舍楼及研发中心，出入口位于厂区东侧。</w:t>
            </w:r>
            <w:r>
              <w:rPr>
                <w:rFonts w:hint="default" w:ascii="Times New Roman" w:hAnsi="Times New Roman" w:eastAsia="宋体" w:cs="Times New Roman"/>
                <w:color w:val="auto"/>
                <w:spacing w:val="-4"/>
                <w:sz w:val="24"/>
                <w:szCs w:val="24"/>
                <w:highlight w:val="none"/>
              </w:rPr>
              <w:t>生产区域功能齐全，整个厂</w:t>
            </w:r>
            <w:r>
              <w:rPr>
                <w:rFonts w:hint="eastAsia" w:ascii="Times New Roman" w:hAnsi="Times New Roman" w:cs="Times New Roman"/>
                <w:color w:val="auto"/>
                <w:spacing w:val="-4"/>
                <w:sz w:val="24"/>
                <w:szCs w:val="24"/>
                <w:highlight w:val="none"/>
                <w:lang w:val="en-US" w:eastAsia="zh-CN"/>
              </w:rPr>
              <w:t>区</w:t>
            </w:r>
            <w:r>
              <w:rPr>
                <w:rFonts w:hint="default" w:ascii="Times New Roman" w:hAnsi="Times New Roman" w:eastAsia="宋体" w:cs="Times New Roman"/>
                <w:color w:val="auto"/>
                <w:spacing w:val="-4"/>
                <w:sz w:val="24"/>
                <w:szCs w:val="24"/>
                <w:highlight w:val="none"/>
              </w:rPr>
              <w:t>在满足生产、操作、安全和环保的要求许可时，联合集中布置，集中控制；厂区平面布置功能区分明确，根据工业企业的性质、规模、生产流程、交通运输、环境保护及场地自然条件合理布局；厂区通道</w:t>
            </w:r>
            <w:r>
              <w:rPr>
                <w:rFonts w:hint="default" w:ascii="Times New Roman" w:hAnsi="Times New Roman" w:eastAsia="宋体" w:cs="Times New Roman"/>
                <w:color w:val="auto"/>
                <w:spacing w:val="-3"/>
                <w:sz w:val="24"/>
                <w:szCs w:val="24"/>
                <w:highlight w:val="none"/>
              </w:rPr>
              <w:t>宽度满足各种运输线路布局。</w:t>
            </w:r>
          </w:p>
          <w:p w14:paraId="516CC8F6">
            <w:pPr>
              <w:pStyle w:val="22"/>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Cs/>
                <w:color w:val="auto"/>
                <w:szCs w:val="21"/>
                <w:highlight w:val="none"/>
                <w:lang w:eastAsia="zh-CN"/>
              </w:rPr>
            </w:pPr>
            <w:r>
              <w:rPr>
                <w:rFonts w:hint="default" w:ascii="Times New Roman" w:hAnsi="Times New Roman" w:eastAsia="宋体" w:cs="Times New Roman"/>
                <w:color w:val="auto"/>
                <w:sz w:val="24"/>
                <w:szCs w:val="24"/>
                <w:highlight w:val="none"/>
              </w:rPr>
              <w:t>生产车间内设备根据产品生产工艺流程形成流水线式布置，避免各工序生产线路反复，节约了人力和物力。整个厂区布置紧凑便捷、节省空间、有利生产、方便管理。综上所述，本项目平面布置合理。</w:t>
            </w:r>
          </w:p>
        </w:tc>
      </w:tr>
      <w:tr w14:paraId="1335A3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683" w:type="dxa"/>
            <w:vAlign w:val="center"/>
          </w:tcPr>
          <w:p w14:paraId="2F332F4E">
            <w:pPr>
              <w:pStyle w:val="23"/>
              <w:adjustRightInd w:val="0"/>
              <w:snapToGrid w:val="0"/>
              <w:spacing w:before="0" w:beforeAutospacing="0" w:after="0" w:afterAutospacing="0"/>
              <w:jc w:val="center"/>
              <w:rPr>
                <w:rFonts w:cs="宋体"/>
                <w:color w:val="auto"/>
                <w:sz w:val="21"/>
                <w:szCs w:val="21"/>
                <w:highlight w:val="none"/>
              </w:rPr>
            </w:pPr>
            <w:r>
              <w:rPr>
                <w:rFonts w:hint="eastAsia" w:cs="宋体"/>
                <w:color w:val="auto"/>
                <w:sz w:val="21"/>
                <w:szCs w:val="21"/>
                <w:highlight w:val="none"/>
              </w:rPr>
              <w:t>工艺流程和产排污环节</w:t>
            </w:r>
          </w:p>
        </w:tc>
        <w:tc>
          <w:tcPr>
            <w:tcW w:w="8377" w:type="dxa"/>
            <w:vAlign w:val="top"/>
          </w:tcPr>
          <w:p w14:paraId="414075AA">
            <w:pPr>
              <w:adjustRightInd w:val="0"/>
              <w:snapToGrid w:val="0"/>
              <w:spacing w:line="360" w:lineRule="auto"/>
              <w:rPr>
                <w:rFonts w:hint="eastAsia"/>
                <w:color w:val="auto"/>
                <w:sz w:val="24"/>
                <w:szCs w:val="32"/>
                <w:highlight w:val="none"/>
              </w:rPr>
            </w:pPr>
            <w:r>
              <w:rPr>
                <w:rFonts w:hint="eastAsia"/>
                <w:color w:val="auto"/>
                <w:sz w:val="24"/>
                <w:szCs w:val="32"/>
                <w:highlight w:val="none"/>
              </w:rPr>
              <w:t>本项目生产工艺流程及产排污环节见图</w:t>
            </w:r>
            <w:r>
              <w:rPr>
                <w:rFonts w:hint="eastAsia"/>
                <w:color w:val="auto"/>
                <w:sz w:val="24"/>
                <w:szCs w:val="32"/>
                <w:highlight w:val="none"/>
                <w:lang w:val="en-US" w:eastAsia="zh-CN"/>
              </w:rPr>
              <w:t>2</w:t>
            </w:r>
            <w:r>
              <w:rPr>
                <w:rFonts w:hint="eastAsia"/>
                <w:color w:val="auto"/>
                <w:sz w:val="24"/>
                <w:szCs w:val="32"/>
                <w:highlight w:val="none"/>
              </w:rPr>
              <w:t>。</w:t>
            </w:r>
          </w:p>
          <w:p w14:paraId="31010BE3">
            <w:pPr>
              <w:adjustRightInd w:val="0"/>
              <w:snapToGrid w:val="0"/>
              <w:spacing w:line="360" w:lineRule="auto"/>
              <w:jc w:val="center"/>
              <w:rPr>
                <w:rFonts w:hint="eastAsia" w:eastAsia="宋体"/>
                <w:color w:val="auto"/>
                <w:highlight w:val="none"/>
                <w:lang w:eastAsia="zh-CN"/>
              </w:rPr>
            </w:pPr>
            <w:r>
              <w:rPr>
                <w:rFonts w:hint="eastAsia" w:eastAsia="宋体"/>
                <w:color w:val="auto"/>
                <w:highlight w:val="none"/>
                <w:lang w:eastAsia="zh-CN"/>
              </w:rPr>
              <w:drawing>
                <wp:inline distT="0" distB="0" distL="114300" distR="114300">
                  <wp:extent cx="4264025" cy="5191125"/>
                  <wp:effectExtent l="0" t="0" r="0" b="0"/>
                  <wp:docPr id="31" name="ECB019B1-382A-4266-B25C-5B523AA43C14-2" descr="C:/Users/哥哥/AppData/Local/Temp/wps.CNrKvl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ECB019B1-382A-4266-B25C-5B523AA43C14-2" descr="C:/Users/哥哥/AppData/Local/Temp/wps.CNrKvlwps"/>
                          <pic:cNvPicPr>
                            <a:picLocks noChangeAspect="1"/>
                          </pic:cNvPicPr>
                        </pic:nvPicPr>
                        <pic:blipFill>
                          <a:blip r:embed="rId8"/>
                          <a:stretch>
                            <a:fillRect/>
                          </a:stretch>
                        </pic:blipFill>
                        <pic:spPr>
                          <a:xfrm>
                            <a:off x="0" y="0"/>
                            <a:ext cx="4264025" cy="5191125"/>
                          </a:xfrm>
                          <a:prstGeom prst="rect">
                            <a:avLst/>
                          </a:prstGeom>
                        </pic:spPr>
                      </pic:pic>
                    </a:graphicData>
                  </a:graphic>
                </wp:inline>
              </w:drawing>
            </w:r>
          </w:p>
          <w:p w14:paraId="0213ACA7">
            <w:pPr>
              <w:keepNext w:val="0"/>
              <w:keepLines w:val="0"/>
              <w:widowControl/>
              <w:suppressLineNumbers w:val="0"/>
              <w:spacing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kern w:val="0"/>
                <w:sz w:val="21"/>
                <w:szCs w:val="21"/>
                <w:highlight w:val="none"/>
                <w:lang w:val="en-US" w:eastAsia="zh-CN" w:bidi="ar"/>
              </w:rPr>
              <w:t>图2</w:t>
            </w:r>
            <w:r>
              <w:rPr>
                <w:rFonts w:hint="eastAsia" w:cs="Times New Roman"/>
                <w:b/>
                <w:bCs/>
                <w:color w:val="auto"/>
                <w:kern w:val="0"/>
                <w:sz w:val="21"/>
                <w:szCs w:val="21"/>
                <w:highlight w:val="none"/>
                <w:lang w:val="en-US" w:eastAsia="zh-CN" w:bidi="ar"/>
              </w:rPr>
              <w:t xml:space="preserve">    </w:t>
            </w:r>
            <w:r>
              <w:rPr>
                <w:rFonts w:hint="default" w:ascii="Times New Roman" w:hAnsi="Times New Roman" w:eastAsia="宋体" w:cs="Times New Roman"/>
                <w:b/>
                <w:bCs/>
                <w:color w:val="auto"/>
                <w:kern w:val="0"/>
                <w:sz w:val="21"/>
                <w:szCs w:val="21"/>
                <w:highlight w:val="none"/>
                <w:lang w:val="en-US" w:eastAsia="zh-CN" w:bidi="ar"/>
              </w:rPr>
              <w:t>项目营运期工艺流程及产污环节</w:t>
            </w:r>
          </w:p>
          <w:p w14:paraId="3846FB6B">
            <w:pPr>
              <w:keepNext w:val="0"/>
              <w:keepLines w:val="0"/>
              <w:pageBreakBefore w:val="0"/>
              <w:widowControl/>
              <w:suppressLineNumbers w:val="0"/>
              <w:kinsoku/>
              <w:wordWrap/>
              <w:overflowPunct/>
              <w:autoSpaceDE/>
              <w:autoSpaceDN/>
              <w:bidi w:val="0"/>
              <w:adjustRightInd/>
              <w:snapToGrid/>
              <w:spacing w:line="360" w:lineRule="auto"/>
              <w:jc w:val="left"/>
              <w:textAlignment w:val="auto"/>
              <w:rPr>
                <w:rFonts w:hint="default" w:ascii="Times New Roman" w:hAnsi="Times New Roman" w:eastAsia="宋体" w:cs="Times New Roman"/>
                <w:color w:val="auto"/>
                <w:sz w:val="24"/>
                <w:szCs w:val="24"/>
                <w:highlight w:val="none"/>
              </w:rPr>
            </w:pPr>
            <w:r>
              <w:rPr>
                <w:rFonts w:hint="eastAsia" w:cs="Times New Roman"/>
                <w:b/>
                <w:bCs/>
                <w:color w:val="auto"/>
                <w:kern w:val="0"/>
                <w:sz w:val="24"/>
                <w:szCs w:val="24"/>
                <w:highlight w:val="none"/>
                <w:lang w:val="en-US" w:eastAsia="zh-CN" w:bidi="ar"/>
              </w:rPr>
              <w:t>1.</w:t>
            </w:r>
            <w:r>
              <w:rPr>
                <w:rFonts w:hint="default" w:ascii="Times New Roman" w:hAnsi="Times New Roman" w:eastAsia="宋体" w:cs="Times New Roman"/>
                <w:b/>
                <w:bCs/>
                <w:color w:val="auto"/>
                <w:kern w:val="0"/>
                <w:sz w:val="24"/>
                <w:szCs w:val="24"/>
                <w:highlight w:val="none"/>
                <w:lang w:val="en-US" w:eastAsia="zh-CN" w:bidi="ar"/>
              </w:rPr>
              <w:t>工艺流程说明：</w:t>
            </w:r>
          </w:p>
          <w:p w14:paraId="5590E16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cs="Times New Roman"/>
                <w:color w:val="auto"/>
                <w:kern w:val="0"/>
                <w:sz w:val="24"/>
                <w:szCs w:val="24"/>
                <w:highlight w:val="none"/>
                <w:lang w:val="en-US" w:eastAsia="zh-CN" w:bidi="ar"/>
              </w:rPr>
            </w:pPr>
            <w:r>
              <w:rPr>
                <w:rFonts w:hint="eastAsia" w:cs="Times New Roman"/>
                <w:color w:val="auto"/>
                <w:kern w:val="0"/>
                <w:sz w:val="24"/>
                <w:szCs w:val="24"/>
                <w:highlight w:val="none"/>
                <w:lang w:val="en-US" w:eastAsia="zh-CN" w:bidi="ar"/>
              </w:rPr>
              <w:t>（1）下料</w:t>
            </w:r>
          </w:p>
          <w:p w14:paraId="563D5F3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eastAsia"/>
                <w:color w:val="auto"/>
                <w:sz w:val="24"/>
                <w:highlight w:val="none"/>
                <w:lang w:val="en-US" w:eastAsia="zh-CN"/>
              </w:rPr>
              <w:t>板材由数控激光平面床下料，根据设备尺寸裁剪后用卷板机卷制筒体，作为过滤器壳体；管材由激光数控切管机或等离子切管机根据设备所需尺寸下料；配件由公司机床进行加工，公司机床加工满足不了需求采用外协加工。此过程会产生颗粒物、边角料、噪声。</w:t>
            </w:r>
          </w:p>
          <w:p w14:paraId="66B4B96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cs="Times New Roman"/>
                <w:color w:val="auto"/>
                <w:kern w:val="0"/>
                <w:sz w:val="24"/>
                <w:szCs w:val="24"/>
                <w:highlight w:val="none"/>
                <w:lang w:val="en-US" w:eastAsia="zh-CN" w:bidi="ar"/>
              </w:rPr>
            </w:pPr>
            <w:r>
              <w:rPr>
                <w:rFonts w:hint="eastAsia" w:cs="Times New Roman"/>
                <w:color w:val="auto"/>
                <w:kern w:val="0"/>
                <w:sz w:val="24"/>
                <w:szCs w:val="24"/>
                <w:highlight w:val="none"/>
                <w:lang w:val="en-US" w:eastAsia="zh-CN" w:bidi="ar"/>
              </w:rPr>
              <w:t>（2）组装</w:t>
            </w:r>
          </w:p>
          <w:p w14:paraId="17E0EF1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eastAsia" w:ascii="Times New Roman" w:hAnsi="Times New Roman" w:eastAsia="宋体" w:cs="Times New Roman"/>
                <w:color w:val="auto"/>
                <w:kern w:val="0"/>
                <w:sz w:val="24"/>
                <w:szCs w:val="24"/>
                <w:highlight w:val="none"/>
                <w:lang w:val="en-US" w:eastAsia="zh-CN" w:bidi="ar"/>
              </w:rPr>
              <w:t>按照过滤器的结构，按要求内外通过电焊进行铆接</w:t>
            </w:r>
            <w:r>
              <w:rPr>
                <w:rFonts w:hint="eastAsia" w:cs="Times New Roman"/>
                <w:color w:val="auto"/>
                <w:kern w:val="0"/>
                <w:sz w:val="24"/>
                <w:szCs w:val="24"/>
                <w:highlight w:val="none"/>
                <w:lang w:val="en-US" w:eastAsia="zh-CN" w:bidi="ar"/>
              </w:rPr>
              <w:t>，预固定筒体与端盖，方便进行下一步的焊接工作。</w:t>
            </w:r>
          </w:p>
          <w:p w14:paraId="235A148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cs="Times New Roman"/>
                <w:color w:val="auto"/>
                <w:kern w:val="0"/>
                <w:sz w:val="24"/>
                <w:szCs w:val="24"/>
                <w:highlight w:val="none"/>
                <w:lang w:val="en-US" w:eastAsia="zh-CN" w:bidi="ar"/>
              </w:rPr>
            </w:pPr>
            <w:r>
              <w:rPr>
                <w:rFonts w:hint="eastAsia" w:cs="Times New Roman"/>
                <w:color w:val="auto"/>
                <w:kern w:val="0"/>
                <w:sz w:val="24"/>
                <w:szCs w:val="24"/>
                <w:highlight w:val="none"/>
                <w:lang w:val="en-US" w:eastAsia="zh-CN" w:bidi="ar"/>
              </w:rPr>
              <w:t>（3）焊接</w:t>
            </w:r>
          </w:p>
          <w:p w14:paraId="047B1EC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cs="Times New Roman"/>
                <w:color w:val="auto"/>
                <w:kern w:val="0"/>
                <w:sz w:val="24"/>
                <w:szCs w:val="24"/>
                <w:highlight w:val="none"/>
                <w:lang w:val="en-US" w:eastAsia="zh-CN" w:bidi="ar"/>
              </w:rPr>
            </w:pPr>
            <w:r>
              <w:rPr>
                <w:rFonts w:hint="eastAsia" w:cs="Times New Roman"/>
                <w:color w:val="auto"/>
                <w:kern w:val="0"/>
                <w:sz w:val="24"/>
                <w:szCs w:val="24"/>
                <w:highlight w:val="none"/>
                <w:lang w:val="en-US" w:eastAsia="zh-CN" w:bidi="ar"/>
              </w:rPr>
              <w:t>采用二保焊对内外结构和外观承压焊缝进行焊接，焊接要饱满无焊接缺陷，同时开启焊烟净化系统。此过程会产生颗粒物、噪声、固废。</w:t>
            </w:r>
          </w:p>
          <w:p w14:paraId="5D77736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cs="Times New Roman"/>
                <w:color w:val="auto"/>
                <w:kern w:val="0"/>
                <w:sz w:val="24"/>
                <w:szCs w:val="24"/>
                <w:highlight w:val="none"/>
                <w:lang w:val="en-US" w:eastAsia="zh-CN" w:bidi="ar"/>
              </w:rPr>
            </w:pPr>
            <w:r>
              <w:rPr>
                <w:rFonts w:hint="eastAsia" w:cs="Times New Roman"/>
                <w:color w:val="auto"/>
                <w:kern w:val="0"/>
                <w:sz w:val="24"/>
                <w:szCs w:val="24"/>
                <w:highlight w:val="none"/>
                <w:lang w:val="en-US" w:eastAsia="zh-CN" w:bidi="ar"/>
              </w:rPr>
              <w:t>（4）抛丸打磨</w:t>
            </w:r>
          </w:p>
          <w:p w14:paraId="0D549BD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抛丸</w:t>
            </w:r>
            <w:r>
              <w:rPr>
                <w:rFonts w:hint="eastAsia" w:cs="Times New Roman"/>
                <w:color w:val="auto"/>
                <w:kern w:val="0"/>
                <w:sz w:val="24"/>
                <w:szCs w:val="24"/>
                <w:highlight w:val="none"/>
                <w:lang w:val="en-US" w:eastAsia="zh-CN" w:bidi="ar"/>
              </w:rPr>
              <w:t>打磨</w:t>
            </w:r>
            <w:r>
              <w:rPr>
                <w:rFonts w:hint="default" w:ascii="Times New Roman" w:hAnsi="Times New Roman" w:eastAsia="宋体" w:cs="Times New Roman"/>
                <w:color w:val="auto"/>
                <w:kern w:val="0"/>
                <w:sz w:val="24"/>
                <w:szCs w:val="24"/>
                <w:highlight w:val="none"/>
                <w:lang w:val="en-US" w:eastAsia="zh-CN" w:bidi="ar"/>
              </w:rPr>
              <w:t>是去除金属表面浮锈</w:t>
            </w:r>
            <w:r>
              <w:rPr>
                <w:rFonts w:hint="eastAsia" w:cs="Times New Roman"/>
                <w:color w:val="auto"/>
                <w:kern w:val="0"/>
                <w:sz w:val="24"/>
                <w:szCs w:val="24"/>
                <w:highlight w:val="none"/>
                <w:lang w:val="en-US" w:eastAsia="zh-CN" w:bidi="ar"/>
              </w:rPr>
              <w:t>，以及</w:t>
            </w:r>
            <w:r>
              <w:rPr>
                <w:rFonts w:hint="default" w:ascii="Times New Roman" w:hAnsi="Times New Roman" w:eastAsia="宋体" w:cs="Times New Roman"/>
                <w:color w:val="auto"/>
                <w:kern w:val="0"/>
                <w:sz w:val="24"/>
                <w:szCs w:val="24"/>
                <w:highlight w:val="none"/>
                <w:lang w:val="en-US" w:eastAsia="zh-CN" w:bidi="ar"/>
              </w:rPr>
              <w:t>二保焊接飞溅，对二保抛丸未打掉的飞溅颗粒人工去除</w:t>
            </w:r>
            <w:r>
              <w:rPr>
                <w:rFonts w:hint="eastAsia"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同时提高喷塑附着力，保证防腐效果。</w:t>
            </w:r>
            <w:r>
              <w:rPr>
                <w:rFonts w:hint="eastAsia" w:cs="Times New Roman"/>
                <w:color w:val="auto"/>
                <w:kern w:val="0"/>
                <w:sz w:val="24"/>
                <w:szCs w:val="24"/>
                <w:highlight w:val="none"/>
                <w:lang w:val="en-US" w:eastAsia="zh-CN" w:bidi="ar"/>
              </w:rPr>
              <w:t>此过程会产生颗粒物、噪声、固废。</w:t>
            </w:r>
          </w:p>
          <w:p w14:paraId="788B294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cs="Times New Roman"/>
                <w:color w:val="auto"/>
                <w:kern w:val="0"/>
                <w:sz w:val="24"/>
                <w:szCs w:val="24"/>
                <w:highlight w:val="none"/>
                <w:lang w:val="en-US" w:eastAsia="zh-CN" w:bidi="ar"/>
              </w:rPr>
            </w:pPr>
            <w:r>
              <w:rPr>
                <w:rFonts w:hint="eastAsia" w:cs="Times New Roman"/>
                <w:color w:val="auto"/>
                <w:kern w:val="0"/>
                <w:sz w:val="24"/>
                <w:szCs w:val="24"/>
                <w:highlight w:val="none"/>
                <w:lang w:val="en-US" w:eastAsia="zh-CN" w:bidi="ar"/>
              </w:rPr>
              <w:t>（5）打压测漏</w:t>
            </w:r>
          </w:p>
          <w:p w14:paraId="02422F9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eastAsia" w:ascii="Times New Roman" w:hAnsi="Times New Roman" w:eastAsia="宋体" w:cs="Times New Roman"/>
                <w:color w:val="auto"/>
                <w:kern w:val="0"/>
                <w:sz w:val="24"/>
                <w:szCs w:val="24"/>
                <w:highlight w:val="none"/>
                <w:lang w:val="en-US" w:eastAsia="zh-CN" w:bidi="ar"/>
              </w:rPr>
              <w:t>为保证产品结构密封耐压性进行气压打压测试，检验是否有焊接缺陷，保证产品的安全可靠性及性能的稳定。</w:t>
            </w:r>
            <w:r>
              <w:rPr>
                <w:rFonts w:hint="eastAsia" w:cs="Times New Roman"/>
                <w:color w:val="auto"/>
                <w:kern w:val="0"/>
                <w:sz w:val="24"/>
                <w:szCs w:val="24"/>
                <w:highlight w:val="none"/>
                <w:lang w:val="en-US" w:eastAsia="zh-CN" w:bidi="ar"/>
              </w:rPr>
              <w:t>未满足要求的半成品回到焊接工序进行补充焊接。</w:t>
            </w:r>
          </w:p>
          <w:p w14:paraId="62F3893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cs="Times New Roman"/>
                <w:color w:val="auto"/>
                <w:kern w:val="0"/>
                <w:sz w:val="24"/>
                <w:szCs w:val="24"/>
                <w:highlight w:val="none"/>
                <w:lang w:val="en-US" w:eastAsia="zh-CN" w:bidi="ar"/>
              </w:rPr>
            </w:pPr>
            <w:r>
              <w:rPr>
                <w:rFonts w:hint="eastAsia" w:cs="Times New Roman"/>
                <w:color w:val="auto"/>
                <w:kern w:val="0"/>
                <w:sz w:val="24"/>
                <w:szCs w:val="24"/>
                <w:highlight w:val="none"/>
                <w:lang w:val="en-US" w:eastAsia="zh-CN" w:bidi="ar"/>
              </w:rPr>
              <w:t>（6）除锈吹灰</w:t>
            </w:r>
          </w:p>
          <w:p w14:paraId="2539B56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eastAsia" w:ascii="Times New Roman" w:hAnsi="Times New Roman" w:eastAsia="宋体" w:cs="Times New Roman"/>
                <w:color w:val="auto"/>
                <w:kern w:val="0"/>
                <w:sz w:val="24"/>
                <w:szCs w:val="24"/>
                <w:highlight w:val="none"/>
                <w:lang w:val="en-US" w:eastAsia="zh-CN" w:bidi="ar"/>
              </w:rPr>
              <w:t>采用激光除锈对设备表面再次清理，去除轻微浮锈和灰尘，保证喷塑的附着力达到喷塑防腐的最佳效果</w:t>
            </w:r>
            <w:r>
              <w:rPr>
                <w:rFonts w:hint="eastAsia" w:cs="Times New Roman"/>
                <w:color w:val="auto"/>
                <w:kern w:val="0"/>
                <w:sz w:val="24"/>
                <w:szCs w:val="24"/>
                <w:highlight w:val="none"/>
                <w:lang w:val="en-US" w:eastAsia="zh-CN" w:bidi="ar"/>
              </w:rPr>
              <w:t>。</w:t>
            </w:r>
            <w:r>
              <w:rPr>
                <w:rFonts w:hint="eastAsia" w:cs="Times New Roman"/>
                <w:color w:val="auto"/>
                <w:kern w:val="0"/>
                <w:sz w:val="24"/>
                <w:szCs w:val="24"/>
                <w:highlight w:val="none"/>
                <w:lang w:val="en-US" w:eastAsia="zh-CN" w:bidi="ar"/>
              </w:rPr>
              <w:fldChar w:fldCharType="begin"/>
            </w:r>
            <w:r>
              <w:rPr>
                <w:rFonts w:hint="eastAsia" w:cs="Times New Roman"/>
                <w:color w:val="auto"/>
                <w:kern w:val="0"/>
                <w:sz w:val="24"/>
                <w:szCs w:val="24"/>
                <w:highlight w:val="none"/>
                <w:lang w:val="en-US" w:eastAsia="zh-CN" w:bidi="ar"/>
              </w:rPr>
              <w:instrText xml:space="preserve"> HYPERLINK "https://wenku.baidu.com/view/1e33b7fe7cd5360cba1aa8114431b90d6d858970.html" \t "https://cn.bing.com/_blank" </w:instrText>
            </w:r>
            <w:r>
              <w:rPr>
                <w:rFonts w:hint="eastAsia" w:cs="Times New Roman"/>
                <w:color w:val="auto"/>
                <w:kern w:val="0"/>
                <w:sz w:val="24"/>
                <w:szCs w:val="24"/>
                <w:highlight w:val="none"/>
                <w:lang w:val="en-US" w:eastAsia="zh-CN" w:bidi="ar"/>
              </w:rPr>
              <w:fldChar w:fldCharType="separate"/>
            </w:r>
            <w:r>
              <w:rPr>
                <w:rFonts w:hint="eastAsia" w:cs="Times New Roman"/>
                <w:color w:val="auto"/>
                <w:kern w:val="0"/>
                <w:sz w:val="24"/>
                <w:szCs w:val="24"/>
                <w:highlight w:val="none"/>
                <w:lang w:val="en-US" w:eastAsia="zh-CN" w:bidi="ar"/>
              </w:rPr>
              <w:t>激光除锈利用激光高能量的特性，将激光束聚焦在金属表面的锈层上，通过激光与金属表面的相互作用，产生高温和高能量，使锈层瞬间升温并膨胀，最终从金属表面脱落。</w:t>
            </w:r>
            <w:r>
              <w:rPr>
                <w:rFonts w:hint="eastAsia" w:cs="Times New Roman"/>
                <w:color w:val="auto"/>
                <w:kern w:val="0"/>
                <w:sz w:val="24"/>
                <w:szCs w:val="24"/>
                <w:highlight w:val="none"/>
                <w:lang w:val="en-US" w:eastAsia="zh-CN" w:bidi="ar"/>
              </w:rPr>
              <w:fldChar w:fldCharType="end"/>
            </w:r>
            <w:r>
              <w:rPr>
                <w:rFonts w:hint="eastAsia" w:cs="Times New Roman"/>
                <w:color w:val="auto"/>
                <w:kern w:val="0"/>
                <w:sz w:val="24"/>
                <w:szCs w:val="24"/>
                <w:highlight w:val="none"/>
                <w:lang w:val="en-US" w:eastAsia="zh-CN" w:bidi="ar"/>
              </w:rPr>
              <w:t>此过程会产生除锈粉尘，但产生量极小，因此不做定量分析。</w:t>
            </w:r>
          </w:p>
          <w:p w14:paraId="63D8CBF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cs="Times New Roman"/>
                <w:color w:val="auto"/>
                <w:kern w:val="0"/>
                <w:sz w:val="24"/>
                <w:szCs w:val="24"/>
                <w:highlight w:val="none"/>
                <w:lang w:val="en-US" w:eastAsia="zh-CN" w:bidi="ar"/>
              </w:rPr>
            </w:pPr>
            <w:r>
              <w:rPr>
                <w:rFonts w:hint="eastAsia" w:cs="Times New Roman"/>
                <w:color w:val="auto"/>
                <w:kern w:val="0"/>
                <w:sz w:val="24"/>
                <w:szCs w:val="24"/>
                <w:highlight w:val="none"/>
                <w:lang w:val="en-US" w:eastAsia="zh-CN" w:bidi="ar"/>
              </w:rPr>
              <w:t>（7）静电喷塑</w:t>
            </w:r>
          </w:p>
          <w:p w14:paraId="3E55FB5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eastAsia" w:ascii="Times New Roman" w:hAnsi="Times New Roman" w:eastAsia="宋体" w:cs="Times New Roman"/>
                <w:color w:val="auto"/>
                <w:kern w:val="0"/>
                <w:sz w:val="24"/>
                <w:szCs w:val="24"/>
                <w:highlight w:val="none"/>
                <w:lang w:val="en-US" w:eastAsia="zh-CN" w:bidi="ar"/>
              </w:rPr>
              <w:t>采用静电喷塑工艺对设备外表面进行</w:t>
            </w:r>
            <w:r>
              <w:rPr>
                <w:rFonts w:hint="eastAsia" w:cs="Times New Roman"/>
                <w:color w:val="auto"/>
                <w:kern w:val="0"/>
                <w:sz w:val="24"/>
                <w:szCs w:val="24"/>
                <w:highlight w:val="none"/>
                <w:lang w:val="en-US" w:eastAsia="zh-CN" w:bidi="ar"/>
              </w:rPr>
              <w:t>均匀</w:t>
            </w:r>
            <w:r>
              <w:rPr>
                <w:rFonts w:hint="eastAsia" w:ascii="Times New Roman" w:hAnsi="Times New Roman" w:eastAsia="宋体" w:cs="Times New Roman"/>
                <w:color w:val="auto"/>
                <w:kern w:val="0"/>
                <w:sz w:val="24"/>
                <w:szCs w:val="24"/>
                <w:highlight w:val="none"/>
                <w:lang w:val="en-US" w:eastAsia="zh-CN" w:bidi="ar"/>
              </w:rPr>
              <w:t>覆盖，再通过高温烘烤将塑粉融化粘合在设备金属表面起到美观及防腐作用。</w:t>
            </w:r>
            <w:r>
              <w:rPr>
                <w:rFonts w:hint="eastAsia" w:cs="Times New Roman"/>
                <w:color w:val="auto"/>
                <w:kern w:val="0"/>
                <w:sz w:val="24"/>
                <w:szCs w:val="24"/>
                <w:highlight w:val="none"/>
                <w:lang w:val="en-US" w:eastAsia="zh-CN" w:bidi="ar"/>
              </w:rPr>
              <w:t>此过程中，喷塑会产生粉尘颗粒物，烘干时会产生VOCs。</w:t>
            </w:r>
          </w:p>
          <w:p w14:paraId="56ADFD93">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cs="Times New Roman"/>
                <w:color w:val="auto"/>
                <w:kern w:val="0"/>
                <w:sz w:val="24"/>
                <w:szCs w:val="24"/>
                <w:highlight w:val="none"/>
                <w:lang w:val="en-US" w:eastAsia="zh-CN" w:bidi="ar"/>
              </w:rPr>
            </w:pPr>
            <w:r>
              <w:rPr>
                <w:rFonts w:hint="eastAsia" w:ascii="Times New Roman" w:hAnsi="Times New Roman" w:eastAsia="宋体" w:cs="Times New Roman"/>
                <w:color w:val="auto"/>
                <w:kern w:val="0"/>
                <w:sz w:val="24"/>
                <w:szCs w:val="24"/>
                <w:highlight w:val="none"/>
                <w:lang w:val="en-US" w:eastAsia="zh-CN" w:bidi="ar"/>
              </w:rPr>
              <w:t>（</w:t>
            </w:r>
            <w:r>
              <w:rPr>
                <w:rFonts w:hint="eastAsia" w:cs="Times New Roman"/>
                <w:color w:val="auto"/>
                <w:kern w:val="0"/>
                <w:sz w:val="24"/>
                <w:szCs w:val="24"/>
                <w:highlight w:val="none"/>
                <w:lang w:val="en-US" w:eastAsia="zh-CN" w:bidi="ar"/>
              </w:rPr>
              <w:t>8</w:t>
            </w:r>
            <w:r>
              <w:rPr>
                <w:rFonts w:hint="eastAsia" w:ascii="Times New Roman" w:hAnsi="Times New Roman" w:eastAsia="宋体" w:cs="Times New Roman"/>
                <w:color w:val="auto"/>
                <w:kern w:val="0"/>
                <w:sz w:val="24"/>
                <w:szCs w:val="24"/>
                <w:highlight w:val="none"/>
                <w:lang w:val="en-US" w:eastAsia="zh-CN" w:bidi="ar"/>
              </w:rPr>
              <w:t>）</w:t>
            </w:r>
            <w:r>
              <w:rPr>
                <w:rFonts w:hint="eastAsia" w:cs="Times New Roman"/>
                <w:color w:val="auto"/>
                <w:kern w:val="0"/>
                <w:sz w:val="24"/>
                <w:szCs w:val="24"/>
                <w:highlight w:val="none"/>
                <w:lang w:val="en-US" w:eastAsia="zh-CN" w:bidi="ar"/>
              </w:rPr>
              <w:t>检验入库</w:t>
            </w:r>
          </w:p>
          <w:p w14:paraId="54A31C4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cs="Times New Roman"/>
                <w:color w:val="auto"/>
                <w:kern w:val="0"/>
                <w:sz w:val="24"/>
                <w:szCs w:val="24"/>
                <w:highlight w:val="none"/>
                <w:lang w:val="en-US" w:eastAsia="zh-CN" w:bidi="ar"/>
              </w:rPr>
            </w:pPr>
            <w:r>
              <w:rPr>
                <w:rFonts w:hint="eastAsia" w:cs="Times New Roman"/>
                <w:color w:val="auto"/>
                <w:kern w:val="0"/>
                <w:sz w:val="24"/>
                <w:szCs w:val="24"/>
                <w:highlight w:val="none"/>
                <w:lang w:val="en-US" w:eastAsia="zh-CN" w:bidi="ar"/>
              </w:rPr>
              <w:t>设备在喷塑室晾干后经检验合格进入成品库待售。</w:t>
            </w:r>
          </w:p>
          <w:p w14:paraId="37247C9E">
            <w:pPr>
              <w:keepNext w:val="0"/>
              <w:keepLines w:val="0"/>
              <w:pageBreakBefore w:val="0"/>
              <w:kinsoku/>
              <w:wordWrap/>
              <w:overflowPunct/>
              <w:topLinePunct/>
              <w:autoSpaceDE/>
              <w:autoSpaceDN/>
              <w:bidi w:val="0"/>
              <w:adjustRightInd/>
              <w:snapToGrid/>
              <w:spacing w:line="360" w:lineRule="auto"/>
              <w:textAlignment w:val="auto"/>
              <w:rPr>
                <w:b/>
                <w:bCs/>
                <w:color w:val="auto"/>
                <w:sz w:val="24"/>
                <w:highlight w:val="none"/>
              </w:rPr>
            </w:pPr>
            <w:r>
              <w:rPr>
                <w:rFonts w:hint="eastAsia"/>
                <w:b/>
                <w:bCs/>
                <w:color w:val="auto"/>
                <w:sz w:val="24"/>
                <w:highlight w:val="none"/>
                <w:lang w:val="en-US" w:eastAsia="zh-CN"/>
              </w:rPr>
              <w:t>2.</w:t>
            </w:r>
            <w:r>
              <w:rPr>
                <w:rFonts w:hint="eastAsia"/>
                <w:b/>
                <w:bCs/>
                <w:color w:val="auto"/>
                <w:sz w:val="24"/>
                <w:highlight w:val="none"/>
              </w:rPr>
              <w:t>运营期产排污节点</w:t>
            </w:r>
          </w:p>
          <w:p w14:paraId="2B068350">
            <w:pPr>
              <w:keepNext w:val="0"/>
              <w:keepLines w:val="0"/>
              <w:pageBreakBefore w:val="0"/>
              <w:kinsoku/>
              <w:wordWrap/>
              <w:overflowPunct/>
              <w:autoSpaceDE/>
              <w:autoSpaceDN/>
              <w:bidi w:val="0"/>
              <w:adjustRightInd/>
              <w:snapToGrid/>
              <w:spacing w:line="360" w:lineRule="auto"/>
              <w:ind w:firstLine="480" w:firstLineChars="200"/>
              <w:textAlignment w:val="auto"/>
              <w:rPr>
                <w:color w:val="auto"/>
                <w:sz w:val="24"/>
                <w:highlight w:val="none"/>
              </w:rPr>
            </w:pPr>
            <w:r>
              <w:rPr>
                <w:rFonts w:hint="eastAsia"/>
                <w:color w:val="auto"/>
                <w:sz w:val="24"/>
                <w:highlight w:val="none"/>
              </w:rPr>
              <w:t>本项目产排污情况见表</w:t>
            </w:r>
            <w:r>
              <w:rPr>
                <w:rFonts w:hint="eastAsia"/>
                <w:color w:val="auto"/>
                <w:sz w:val="24"/>
                <w:highlight w:val="none"/>
                <w:lang w:val="en-US" w:eastAsia="zh-CN"/>
              </w:rPr>
              <w:t>2-6</w:t>
            </w:r>
            <w:r>
              <w:rPr>
                <w:rFonts w:hint="eastAsia"/>
                <w:color w:val="auto"/>
                <w:sz w:val="24"/>
                <w:highlight w:val="none"/>
              </w:rPr>
              <w:t>。</w:t>
            </w:r>
          </w:p>
          <w:p w14:paraId="6CDC94CF">
            <w:pPr>
              <w:pStyle w:val="41"/>
              <w:spacing w:line="520" w:lineRule="exact"/>
              <w:ind w:firstLine="0" w:firstLineChars="0"/>
              <w:rPr>
                <w:rFonts w:hint="default"/>
                <w:color w:val="auto"/>
                <w:highlight w:val="none"/>
              </w:rPr>
            </w:pPr>
            <w:r>
              <w:rPr>
                <w:color w:val="auto"/>
                <w:highlight w:val="none"/>
              </w:rPr>
              <w:t>表</w:t>
            </w:r>
            <w:r>
              <w:rPr>
                <w:rFonts w:hint="default" w:ascii="Times New Roman" w:hAnsi="Times New Roman" w:eastAsia="宋体" w:cs="Times New Roman"/>
                <w:color w:val="auto"/>
                <w:highlight w:val="none"/>
                <w:lang w:val="en-US" w:eastAsia="zh-CN"/>
              </w:rPr>
              <w:t>2-6</w:t>
            </w:r>
            <w:r>
              <w:rPr>
                <w:rFonts w:hint="default" w:ascii="Times New Roman" w:hAnsi="Times New Roman" w:eastAsia="宋体" w:cs="Times New Roman"/>
                <w:color w:val="auto"/>
                <w:highlight w:val="none"/>
              </w:rPr>
              <w:t xml:space="preserve"> </w:t>
            </w:r>
            <w:r>
              <w:rPr>
                <w:color w:val="auto"/>
                <w:highlight w:val="none"/>
              </w:rPr>
              <w:t xml:space="preserve">   本项目产排污环节一览表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439"/>
              <w:gridCol w:w="2462"/>
              <w:gridCol w:w="2519"/>
            </w:tblGrid>
            <w:tr w14:paraId="1BF0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72" w:type="pct"/>
                  <w:tcBorders>
                    <w:tl2br w:val="nil"/>
                    <w:tr2bl w:val="nil"/>
                  </w:tcBorders>
                  <w:vAlign w:val="center"/>
                </w:tcPr>
                <w:p w14:paraId="69682FC1">
                  <w:pPr>
                    <w:adjustRightInd w:val="0"/>
                    <w:snapToGrid w:val="0"/>
                    <w:jc w:val="center"/>
                    <w:rPr>
                      <w:b/>
                      <w:color w:val="auto"/>
                      <w:kern w:val="0"/>
                      <w:szCs w:val="21"/>
                      <w:highlight w:val="none"/>
                    </w:rPr>
                  </w:pPr>
                  <w:r>
                    <w:rPr>
                      <w:b/>
                      <w:color w:val="auto"/>
                      <w:kern w:val="0"/>
                      <w:szCs w:val="21"/>
                      <w:highlight w:val="none"/>
                    </w:rPr>
                    <w:t>项目</w:t>
                  </w:r>
                </w:p>
              </w:tc>
              <w:tc>
                <w:tcPr>
                  <w:tcW w:w="1488" w:type="pct"/>
                  <w:tcBorders>
                    <w:tl2br w:val="nil"/>
                    <w:tr2bl w:val="nil"/>
                  </w:tcBorders>
                  <w:vAlign w:val="center"/>
                </w:tcPr>
                <w:p w14:paraId="56379052">
                  <w:pPr>
                    <w:adjustRightInd w:val="0"/>
                    <w:snapToGrid w:val="0"/>
                    <w:jc w:val="center"/>
                    <w:rPr>
                      <w:b/>
                      <w:color w:val="auto"/>
                      <w:kern w:val="0"/>
                      <w:szCs w:val="21"/>
                      <w:highlight w:val="none"/>
                    </w:rPr>
                  </w:pPr>
                  <w:r>
                    <w:rPr>
                      <w:rFonts w:hint="eastAsia"/>
                      <w:b/>
                      <w:color w:val="auto"/>
                      <w:kern w:val="0"/>
                      <w:szCs w:val="21"/>
                      <w:highlight w:val="none"/>
                    </w:rPr>
                    <w:t>污染名称</w:t>
                  </w:r>
                </w:p>
              </w:tc>
              <w:tc>
                <w:tcPr>
                  <w:tcW w:w="1502" w:type="pct"/>
                  <w:tcBorders>
                    <w:tl2br w:val="nil"/>
                    <w:tr2bl w:val="nil"/>
                  </w:tcBorders>
                  <w:vAlign w:val="center"/>
                </w:tcPr>
                <w:p w14:paraId="5013AB7A">
                  <w:pPr>
                    <w:adjustRightInd w:val="0"/>
                    <w:snapToGrid w:val="0"/>
                    <w:jc w:val="center"/>
                    <w:rPr>
                      <w:b/>
                      <w:color w:val="auto"/>
                      <w:kern w:val="0"/>
                      <w:szCs w:val="21"/>
                      <w:highlight w:val="none"/>
                    </w:rPr>
                  </w:pPr>
                  <w:r>
                    <w:rPr>
                      <w:rFonts w:hint="eastAsia"/>
                      <w:b/>
                      <w:color w:val="auto"/>
                      <w:kern w:val="0"/>
                      <w:szCs w:val="21"/>
                      <w:highlight w:val="none"/>
                    </w:rPr>
                    <w:t>产生工序</w:t>
                  </w:r>
                </w:p>
              </w:tc>
              <w:tc>
                <w:tcPr>
                  <w:tcW w:w="1537" w:type="pct"/>
                  <w:tcBorders>
                    <w:tl2br w:val="nil"/>
                    <w:tr2bl w:val="nil"/>
                  </w:tcBorders>
                  <w:vAlign w:val="center"/>
                </w:tcPr>
                <w:p w14:paraId="41B836E2">
                  <w:pPr>
                    <w:adjustRightInd w:val="0"/>
                    <w:snapToGrid w:val="0"/>
                    <w:jc w:val="center"/>
                    <w:rPr>
                      <w:b/>
                      <w:color w:val="auto"/>
                      <w:kern w:val="0"/>
                      <w:szCs w:val="21"/>
                      <w:highlight w:val="none"/>
                    </w:rPr>
                  </w:pPr>
                  <w:r>
                    <w:rPr>
                      <w:rFonts w:hint="eastAsia"/>
                      <w:b/>
                      <w:color w:val="auto"/>
                      <w:kern w:val="0"/>
                      <w:szCs w:val="21"/>
                      <w:highlight w:val="none"/>
                    </w:rPr>
                    <w:t>主要污染因子</w:t>
                  </w:r>
                </w:p>
              </w:tc>
            </w:tr>
            <w:tr w14:paraId="3D1EC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vMerge w:val="restart"/>
                  <w:tcBorders>
                    <w:tl2br w:val="nil"/>
                    <w:tr2bl w:val="nil"/>
                  </w:tcBorders>
                  <w:vAlign w:val="center"/>
                </w:tcPr>
                <w:p w14:paraId="1D324F31">
                  <w:pPr>
                    <w:adjustRightInd w:val="0"/>
                    <w:snapToGrid w:val="0"/>
                    <w:jc w:val="center"/>
                    <w:rPr>
                      <w:color w:val="auto"/>
                      <w:szCs w:val="21"/>
                      <w:highlight w:val="none"/>
                    </w:rPr>
                  </w:pPr>
                  <w:r>
                    <w:rPr>
                      <w:rFonts w:hint="eastAsia"/>
                      <w:color w:val="auto"/>
                      <w:szCs w:val="21"/>
                      <w:highlight w:val="none"/>
                    </w:rPr>
                    <w:t>废气</w:t>
                  </w:r>
                </w:p>
              </w:tc>
              <w:tc>
                <w:tcPr>
                  <w:tcW w:w="2426" w:type="dxa"/>
                  <w:tcBorders>
                    <w:tl2br w:val="nil"/>
                    <w:tr2bl w:val="nil"/>
                  </w:tcBorders>
                  <w:vAlign w:val="center"/>
                </w:tcPr>
                <w:p w14:paraId="6D47BF31">
                  <w:pPr>
                    <w:pStyle w:val="48"/>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olor w:val="auto"/>
                      <w:szCs w:val="21"/>
                      <w:highlight w:val="none"/>
                      <w:lang w:val="en-US" w:eastAsia="zh-CN"/>
                    </w:rPr>
                  </w:pPr>
                  <w:r>
                    <w:rPr>
                      <w:rFonts w:hint="eastAsia" w:cs="Times New Roman"/>
                      <w:color w:val="auto"/>
                      <w:highlight w:val="none"/>
                      <w:lang w:val="en-US" w:eastAsia="zh-CN"/>
                    </w:rPr>
                    <w:t>原材料加工车间</w:t>
                  </w:r>
                </w:p>
              </w:tc>
              <w:tc>
                <w:tcPr>
                  <w:tcW w:w="1502" w:type="pct"/>
                  <w:tcBorders>
                    <w:tl2br w:val="nil"/>
                    <w:tr2bl w:val="nil"/>
                  </w:tcBorders>
                  <w:vAlign w:val="center"/>
                </w:tcPr>
                <w:p w14:paraId="3A7C547C">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下料</w:t>
                  </w:r>
                </w:p>
              </w:tc>
              <w:tc>
                <w:tcPr>
                  <w:tcW w:w="1537" w:type="pct"/>
                  <w:tcBorders>
                    <w:tl2br w:val="nil"/>
                    <w:tr2bl w:val="nil"/>
                  </w:tcBorders>
                  <w:vAlign w:val="center"/>
                </w:tcPr>
                <w:p w14:paraId="0D0D0BD4">
                  <w:pPr>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颗粒物</w:t>
                  </w:r>
                </w:p>
              </w:tc>
            </w:tr>
            <w:tr w14:paraId="6D66E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vMerge w:val="continue"/>
                  <w:tcBorders>
                    <w:tl2br w:val="nil"/>
                    <w:tr2bl w:val="nil"/>
                  </w:tcBorders>
                  <w:vAlign w:val="center"/>
                </w:tcPr>
                <w:p w14:paraId="3E600702">
                  <w:pPr>
                    <w:adjustRightInd w:val="0"/>
                    <w:snapToGrid w:val="0"/>
                    <w:jc w:val="center"/>
                    <w:rPr>
                      <w:color w:val="auto"/>
                      <w:szCs w:val="21"/>
                      <w:highlight w:val="none"/>
                    </w:rPr>
                  </w:pPr>
                </w:p>
              </w:tc>
              <w:tc>
                <w:tcPr>
                  <w:tcW w:w="2426" w:type="dxa"/>
                  <w:tcBorders>
                    <w:tl2br w:val="nil"/>
                    <w:tr2bl w:val="nil"/>
                  </w:tcBorders>
                  <w:vAlign w:val="center"/>
                </w:tcPr>
                <w:p w14:paraId="4B6CD18A">
                  <w:pPr>
                    <w:pStyle w:val="48"/>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auto"/>
                      <w:szCs w:val="21"/>
                      <w:highlight w:val="none"/>
                    </w:rPr>
                  </w:pPr>
                  <w:r>
                    <w:rPr>
                      <w:rFonts w:hint="eastAsia" w:cs="Times New Roman"/>
                      <w:color w:val="auto"/>
                      <w:highlight w:val="none"/>
                      <w:lang w:val="en-US" w:eastAsia="zh-CN"/>
                    </w:rPr>
                    <w:t>配装车间</w:t>
                  </w:r>
                </w:p>
              </w:tc>
              <w:tc>
                <w:tcPr>
                  <w:tcW w:w="1502" w:type="pct"/>
                  <w:tcBorders>
                    <w:tl2br w:val="nil"/>
                    <w:tr2bl w:val="nil"/>
                  </w:tcBorders>
                  <w:vAlign w:val="center"/>
                </w:tcPr>
                <w:p w14:paraId="05CA62D1">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焊接</w:t>
                  </w:r>
                </w:p>
              </w:tc>
              <w:tc>
                <w:tcPr>
                  <w:tcW w:w="1537" w:type="pct"/>
                  <w:tcBorders>
                    <w:tl2br w:val="nil"/>
                    <w:tr2bl w:val="nil"/>
                  </w:tcBorders>
                  <w:vAlign w:val="center"/>
                </w:tcPr>
                <w:p w14:paraId="1A3880F9">
                  <w:pPr>
                    <w:adjustRightInd w:val="0"/>
                    <w:snapToGrid w:val="0"/>
                    <w:jc w:val="center"/>
                    <w:rPr>
                      <w:bCs/>
                      <w:color w:val="auto"/>
                      <w:szCs w:val="21"/>
                      <w:highlight w:val="none"/>
                    </w:rPr>
                  </w:pPr>
                  <w:r>
                    <w:rPr>
                      <w:rFonts w:hint="eastAsia"/>
                      <w:color w:val="auto"/>
                      <w:szCs w:val="21"/>
                      <w:highlight w:val="none"/>
                      <w:lang w:val="en-US" w:eastAsia="zh-CN"/>
                    </w:rPr>
                    <w:t>颗粒物</w:t>
                  </w:r>
                </w:p>
              </w:tc>
            </w:tr>
            <w:tr w14:paraId="045C9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vMerge w:val="continue"/>
                  <w:tcBorders>
                    <w:tl2br w:val="nil"/>
                    <w:tr2bl w:val="nil"/>
                  </w:tcBorders>
                  <w:vAlign w:val="center"/>
                </w:tcPr>
                <w:p w14:paraId="7CAD8C33">
                  <w:pPr>
                    <w:adjustRightInd w:val="0"/>
                    <w:snapToGrid w:val="0"/>
                    <w:jc w:val="center"/>
                    <w:rPr>
                      <w:color w:val="auto"/>
                      <w:szCs w:val="21"/>
                      <w:highlight w:val="none"/>
                    </w:rPr>
                  </w:pPr>
                </w:p>
              </w:tc>
              <w:tc>
                <w:tcPr>
                  <w:tcW w:w="2426" w:type="dxa"/>
                  <w:tcBorders>
                    <w:tl2br w:val="nil"/>
                    <w:tr2bl w:val="nil"/>
                  </w:tcBorders>
                  <w:vAlign w:val="center"/>
                </w:tcPr>
                <w:p w14:paraId="520C3DCD">
                  <w:pPr>
                    <w:pStyle w:val="48"/>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olor w:val="auto"/>
                      <w:szCs w:val="21"/>
                      <w:highlight w:val="none"/>
                      <w:lang w:val="en-US" w:eastAsia="zh-CN"/>
                    </w:rPr>
                  </w:pPr>
                  <w:r>
                    <w:rPr>
                      <w:rFonts w:hint="eastAsia" w:cs="Times New Roman"/>
                      <w:color w:val="auto"/>
                      <w:highlight w:val="none"/>
                      <w:lang w:val="en-US" w:eastAsia="zh-CN"/>
                    </w:rPr>
                    <w:t>机电一体化车间</w:t>
                  </w:r>
                </w:p>
              </w:tc>
              <w:tc>
                <w:tcPr>
                  <w:tcW w:w="1502" w:type="pct"/>
                  <w:tcBorders>
                    <w:tl2br w:val="nil"/>
                    <w:tr2bl w:val="nil"/>
                  </w:tcBorders>
                  <w:vAlign w:val="center"/>
                </w:tcPr>
                <w:p w14:paraId="7657FD6E">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抛丸打磨</w:t>
                  </w:r>
                </w:p>
              </w:tc>
              <w:tc>
                <w:tcPr>
                  <w:tcW w:w="1537" w:type="pct"/>
                  <w:tcBorders>
                    <w:tl2br w:val="nil"/>
                    <w:tr2bl w:val="nil"/>
                  </w:tcBorders>
                  <w:vAlign w:val="center"/>
                </w:tcPr>
                <w:p w14:paraId="344F4710">
                  <w:pPr>
                    <w:adjustRightInd w:val="0"/>
                    <w:snapToGrid w:val="0"/>
                    <w:jc w:val="center"/>
                    <w:rPr>
                      <w:rFonts w:hint="eastAsia"/>
                      <w:color w:val="auto"/>
                      <w:highlight w:val="none"/>
                    </w:rPr>
                  </w:pPr>
                  <w:r>
                    <w:rPr>
                      <w:rFonts w:hint="eastAsia"/>
                      <w:color w:val="auto"/>
                      <w:szCs w:val="21"/>
                      <w:highlight w:val="none"/>
                      <w:lang w:val="en-US" w:eastAsia="zh-CN"/>
                    </w:rPr>
                    <w:t>颗粒物</w:t>
                  </w:r>
                </w:p>
              </w:tc>
            </w:tr>
            <w:tr w14:paraId="258B3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vMerge w:val="continue"/>
                  <w:tcBorders>
                    <w:tl2br w:val="nil"/>
                    <w:tr2bl w:val="nil"/>
                  </w:tcBorders>
                  <w:vAlign w:val="center"/>
                </w:tcPr>
                <w:p w14:paraId="681B46FF">
                  <w:pPr>
                    <w:adjustRightInd w:val="0"/>
                    <w:snapToGrid w:val="0"/>
                    <w:jc w:val="center"/>
                    <w:rPr>
                      <w:color w:val="auto"/>
                      <w:szCs w:val="21"/>
                      <w:highlight w:val="none"/>
                    </w:rPr>
                  </w:pPr>
                </w:p>
              </w:tc>
              <w:tc>
                <w:tcPr>
                  <w:tcW w:w="2426" w:type="dxa"/>
                  <w:tcBorders>
                    <w:tl2br w:val="nil"/>
                    <w:tr2bl w:val="nil"/>
                  </w:tcBorders>
                  <w:vAlign w:val="center"/>
                </w:tcPr>
                <w:p w14:paraId="3810350E">
                  <w:pPr>
                    <w:pStyle w:val="48"/>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olor w:val="auto"/>
                      <w:szCs w:val="21"/>
                      <w:highlight w:val="none"/>
                      <w:lang w:val="en-US" w:eastAsia="zh-CN"/>
                    </w:rPr>
                  </w:pPr>
                  <w:r>
                    <w:rPr>
                      <w:rFonts w:hint="eastAsia" w:cs="Times New Roman"/>
                      <w:color w:val="auto"/>
                      <w:highlight w:val="none"/>
                      <w:lang w:val="en-US" w:eastAsia="zh-CN"/>
                    </w:rPr>
                    <w:t>机械精加工车间</w:t>
                  </w:r>
                </w:p>
              </w:tc>
              <w:tc>
                <w:tcPr>
                  <w:tcW w:w="1502" w:type="pct"/>
                  <w:tcBorders>
                    <w:tl2br w:val="nil"/>
                    <w:tr2bl w:val="nil"/>
                  </w:tcBorders>
                  <w:vAlign w:val="center"/>
                </w:tcPr>
                <w:p w14:paraId="522F5F11">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静电喷塑</w:t>
                  </w:r>
                </w:p>
              </w:tc>
              <w:tc>
                <w:tcPr>
                  <w:tcW w:w="1537" w:type="pct"/>
                  <w:tcBorders>
                    <w:tl2br w:val="nil"/>
                    <w:tr2bl w:val="nil"/>
                  </w:tcBorders>
                  <w:vAlign w:val="center"/>
                </w:tcPr>
                <w:p w14:paraId="4163D634">
                  <w:pPr>
                    <w:adjustRightInd w:val="0"/>
                    <w:snapToGrid w:val="0"/>
                    <w:jc w:val="center"/>
                    <w:rPr>
                      <w:rFonts w:hint="default"/>
                      <w:color w:val="auto"/>
                      <w:highlight w:val="none"/>
                      <w:lang w:val="en-US"/>
                    </w:rPr>
                  </w:pPr>
                  <w:r>
                    <w:rPr>
                      <w:rFonts w:hint="eastAsia"/>
                      <w:color w:val="auto"/>
                      <w:szCs w:val="21"/>
                      <w:highlight w:val="none"/>
                      <w:lang w:val="en-US" w:eastAsia="zh-CN"/>
                    </w:rPr>
                    <w:t>颗粒物、VOCs</w:t>
                  </w:r>
                </w:p>
              </w:tc>
            </w:tr>
            <w:tr w14:paraId="2EA65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vMerge w:val="continue"/>
                  <w:tcBorders>
                    <w:tl2br w:val="nil"/>
                    <w:tr2bl w:val="nil"/>
                  </w:tcBorders>
                  <w:vAlign w:val="center"/>
                </w:tcPr>
                <w:p w14:paraId="7115E7FC">
                  <w:pPr>
                    <w:adjustRightInd w:val="0"/>
                    <w:snapToGrid w:val="0"/>
                    <w:jc w:val="center"/>
                    <w:rPr>
                      <w:color w:val="auto"/>
                      <w:szCs w:val="21"/>
                      <w:highlight w:val="none"/>
                    </w:rPr>
                  </w:pPr>
                </w:p>
              </w:tc>
              <w:tc>
                <w:tcPr>
                  <w:tcW w:w="1488" w:type="pct"/>
                  <w:tcBorders>
                    <w:tl2br w:val="nil"/>
                    <w:tr2bl w:val="nil"/>
                  </w:tcBorders>
                  <w:vAlign w:val="center"/>
                </w:tcPr>
                <w:p w14:paraId="753941C7">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污水处理站废气</w:t>
                  </w:r>
                </w:p>
              </w:tc>
              <w:tc>
                <w:tcPr>
                  <w:tcW w:w="1502" w:type="pct"/>
                  <w:tcBorders>
                    <w:tl2br w:val="nil"/>
                    <w:tr2bl w:val="nil"/>
                  </w:tcBorders>
                  <w:vAlign w:val="center"/>
                </w:tcPr>
                <w:p w14:paraId="33371384">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污水处理</w:t>
                  </w:r>
                </w:p>
              </w:tc>
              <w:tc>
                <w:tcPr>
                  <w:tcW w:w="1537" w:type="pct"/>
                  <w:tcBorders>
                    <w:tl2br w:val="nil"/>
                    <w:tr2bl w:val="nil"/>
                  </w:tcBorders>
                  <w:vAlign w:val="center"/>
                </w:tcPr>
                <w:p w14:paraId="040B9061">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臭气</w:t>
                  </w:r>
                </w:p>
              </w:tc>
            </w:tr>
            <w:tr w14:paraId="5352C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vMerge w:val="continue"/>
                  <w:tcBorders>
                    <w:tl2br w:val="nil"/>
                    <w:tr2bl w:val="nil"/>
                  </w:tcBorders>
                  <w:vAlign w:val="center"/>
                </w:tcPr>
                <w:p w14:paraId="0863B8B8">
                  <w:pPr>
                    <w:adjustRightInd w:val="0"/>
                    <w:snapToGrid w:val="0"/>
                    <w:jc w:val="center"/>
                    <w:rPr>
                      <w:color w:val="auto"/>
                      <w:szCs w:val="21"/>
                      <w:highlight w:val="none"/>
                    </w:rPr>
                  </w:pPr>
                </w:p>
              </w:tc>
              <w:tc>
                <w:tcPr>
                  <w:tcW w:w="1488" w:type="pct"/>
                  <w:tcBorders>
                    <w:tl2br w:val="nil"/>
                    <w:tr2bl w:val="nil"/>
                  </w:tcBorders>
                  <w:vAlign w:val="center"/>
                </w:tcPr>
                <w:p w14:paraId="24B57D42">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食堂油烟</w:t>
                  </w:r>
                </w:p>
              </w:tc>
              <w:tc>
                <w:tcPr>
                  <w:tcW w:w="1502" w:type="pct"/>
                  <w:tcBorders>
                    <w:tl2br w:val="nil"/>
                    <w:tr2bl w:val="nil"/>
                  </w:tcBorders>
                  <w:vAlign w:val="center"/>
                </w:tcPr>
                <w:p w14:paraId="7A17532B">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食堂</w:t>
                  </w:r>
                </w:p>
              </w:tc>
              <w:tc>
                <w:tcPr>
                  <w:tcW w:w="1537" w:type="pct"/>
                  <w:tcBorders>
                    <w:tl2br w:val="nil"/>
                    <w:tr2bl w:val="nil"/>
                  </w:tcBorders>
                  <w:vAlign w:val="center"/>
                </w:tcPr>
                <w:p w14:paraId="343BBC6E">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油烟</w:t>
                  </w:r>
                </w:p>
              </w:tc>
            </w:tr>
            <w:tr w14:paraId="2C62C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vMerge w:val="restart"/>
                  <w:tcBorders>
                    <w:tl2br w:val="nil"/>
                    <w:tr2bl w:val="nil"/>
                  </w:tcBorders>
                  <w:vAlign w:val="center"/>
                </w:tcPr>
                <w:p w14:paraId="6BFA4B36">
                  <w:pPr>
                    <w:adjustRightInd w:val="0"/>
                    <w:snapToGrid w:val="0"/>
                    <w:jc w:val="center"/>
                    <w:rPr>
                      <w:color w:val="auto"/>
                      <w:szCs w:val="21"/>
                      <w:highlight w:val="none"/>
                    </w:rPr>
                  </w:pPr>
                  <w:r>
                    <w:rPr>
                      <w:color w:val="auto"/>
                      <w:szCs w:val="21"/>
                      <w:highlight w:val="none"/>
                    </w:rPr>
                    <w:t>废水</w:t>
                  </w:r>
                </w:p>
              </w:tc>
              <w:tc>
                <w:tcPr>
                  <w:tcW w:w="1488" w:type="pct"/>
                  <w:tcBorders>
                    <w:tl2br w:val="nil"/>
                    <w:tr2bl w:val="nil"/>
                  </w:tcBorders>
                  <w:vAlign w:val="center"/>
                </w:tcPr>
                <w:p w14:paraId="59AA26CA">
                  <w:pPr>
                    <w:adjustRightInd w:val="0"/>
                    <w:snapToGrid w:val="0"/>
                    <w:jc w:val="center"/>
                    <w:rPr>
                      <w:color w:val="auto"/>
                      <w:szCs w:val="21"/>
                      <w:highlight w:val="none"/>
                    </w:rPr>
                  </w:pPr>
                  <w:r>
                    <w:rPr>
                      <w:color w:val="auto"/>
                      <w:szCs w:val="21"/>
                      <w:highlight w:val="none"/>
                    </w:rPr>
                    <w:t>生活污水</w:t>
                  </w:r>
                </w:p>
              </w:tc>
              <w:tc>
                <w:tcPr>
                  <w:tcW w:w="1502" w:type="pct"/>
                  <w:tcBorders>
                    <w:tl2br w:val="nil"/>
                    <w:tr2bl w:val="nil"/>
                  </w:tcBorders>
                  <w:vAlign w:val="center"/>
                </w:tcPr>
                <w:p w14:paraId="35E01A23">
                  <w:pPr>
                    <w:adjustRightInd w:val="0"/>
                    <w:snapToGrid w:val="0"/>
                    <w:jc w:val="center"/>
                    <w:rPr>
                      <w:color w:val="auto"/>
                      <w:szCs w:val="21"/>
                      <w:highlight w:val="none"/>
                    </w:rPr>
                  </w:pPr>
                  <w:r>
                    <w:rPr>
                      <w:color w:val="auto"/>
                      <w:szCs w:val="21"/>
                      <w:highlight w:val="none"/>
                    </w:rPr>
                    <w:t>员工生活</w:t>
                  </w:r>
                </w:p>
              </w:tc>
              <w:tc>
                <w:tcPr>
                  <w:tcW w:w="1537" w:type="pct"/>
                  <w:tcBorders>
                    <w:tl2br w:val="nil"/>
                    <w:tr2bl w:val="nil"/>
                  </w:tcBorders>
                  <w:vAlign w:val="center"/>
                </w:tcPr>
                <w:p w14:paraId="253FA801">
                  <w:pPr>
                    <w:adjustRightInd w:val="0"/>
                    <w:snapToGrid w:val="0"/>
                    <w:jc w:val="center"/>
                    <w:rPr>
                      <w:rFonts w:hint="default" w:eastAsia="宋体"/>
                      <w:color w:val="auto"/>
                      <w:szCs w:val="21"/>
                      <w:highlight w:val="none"/>
                      <w:lang w:val="en-US" w:eastAsia="zh-CN"/>
                    </w:rPr>
                  </w:pPr>
                  <w:r>
                    <w:rPr>
                      <w:color w:val="auto"/>
                      <w:szCs w:val="21"/>
                      <w:highlight w:val="none"/>
                    </w:rPr>
                    <w:t>COD、</w:t>
                  </w:r>
                  <w:r>
                    <w:rPr>
                      <w:rFonts w:hint="eastAsia"/>
                      <w:color w:val="auto"/>
                      <w:szCs w:val="21"/>
                      <w:highlight w:val="none"/>
                    </w:rPr>
                    <w:t>B</w:t>
                  </w:r>
                  <w:r>
                    <w:rPr>
                      <w:color w:val="auto"/>
                      <w:szCs w:val="21"/>
                      <w:highlight w:val="none"/>
                    </w:rPr>
                    <w:t>OD</w:t>
                  </w:r>
                  <w:r>
                    <w:rPr>
                      <w:rFonts w:hint="eastAsia"/>
                      <w:color w:val="auto"/>
                      <w:szCs w:val="21"/>
                      <w:highlight w:val="none"/>
                      <w:vertAlign w:val="subscript"/>
                    </w:rPr>
                    <w:t>5</w:t>
                  </w:r>
                  <w:r>
                    <w:rPr>
                      <w:color w:val="auto"/>
                      <w:szCs w:val="21"/>
                      <w:highlight w:val="none"/>
                    </w:rPr>
                    <w:t>、SS、NH</w:t>
                  </w:r>
                  <w:r>
                    <w:rPr>
                      <w:color w:val="auto"/>
                      <w:szCs w:val="21"/>
                      <w:highlight w:val="none"/>
                      <w:vertAlign w:val="subscript"/>
                    </w:rPr>
                    <w:t>3</w:t>
                  </w:r>
                  <w:r>
                    <w:rPr>
                      <w:color w:val="auto"/>
                      <w:szCs w:val="21"/>
                      <w:highlight w:val="none"/>
                    </w:rPr>
                    <w:t>-N</w:t>
                  </w:r>
                </w:p>
              </w:tc>
            </w:tr>
            <w:tr w14:paraId="05465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vMerge w:val="continue"/>
                  <w:tcBorders>
                    <w:tl2br w:val="nil"/>
                    <w:tr2bl w:val="nil"/>
                  </w:tcBorders>
                  <w:vAlign w:val="center"/>
                </w:tcPr>
                <w:p w14:paraId="3B352935">
                  <w:pPr>
                    <w:adjustRightInd w:val="0"/>
                    <w:snapToGrid w:val="0"/>
                    <w:jc w:val="center"/>
                    <w:rPr>
                      <w:color w:val="auto"/>
                      <w:szCs w:val="21"/>
                      <w:highlight w:val="none"/>
                    </w:rPr>
                  </w:pPr>
                </w:p>
              </w:tc>
              <w:tc>
                <w:tcPr>
                  <w:tcW w:w="1488" w:type="pct"/>
                  <w:tcBorders>
                    <w:tl2br w:val="nil"/>
                    <w:tr2bl w:val="nil"/>
                  </w:tcBorders>
                  <w:vAlign w:val="center"/>
                </w:tcPr>
                <w:p w14:paraId="5D43BFCD">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产品检验用水</w:t>
                  </w:r>
                </w:p>
              </w:tc>
              <w:tc>
                <w:tcPr>
                  <w:tcW w:w="1502" w:type="pct"/>
                  <w:tcBorders>
                    <w:tl2br w:val="nil"/>
                    <w:tr2bl w:val="nil"/>
                  </w:tcBorders>
                  <w:vAlign w:val="center"/>
                </w:tcPr>
                <w:p w14:paraId="2753F966">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产品检验</w:t>
                  </w:r>
                </w:p>
              </w:tc>
              <w:tc>
                <w:tcPr>
                  <w:tcW w:w="1537" w:type="pct"/>
                  <w:tcBorders>
                    <w:tl2br w:val="nil"/>
                    <w:tr2bl w:val="nil"/>
                  </w:tcBorders>
                  <w:vAlign w:val="center"/>
                </w:tcPr>
                <w:p w14:paraId="2411FA76">
                  <w:pPr>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w:t>
                  </w:r>
                </w:p>
              </w:tc>
            </w:tr>
            <w:tr w14:paraId="69D16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vMerge w:val="restart"/>
                  <w:tcBorders>
                    <w:tl2br w:val="nil"/>
                    <w:tr2bl w:val="nil"/>
                  </w:tcBorders>
                  <w:vAlign w:val="center"/>
                </w:tcPr>
                <w:p w14:paraId="03DD96B8">
                  <w:pPr>
                    <w:adjustRightInd w:val="0"/>
                    <w:snapToGrid w:val="0"/>
                    <w:jc w:val="center"/>
                    <w:rPr>
                      <w:color w:val="auto"/>
                      <w:szCs w:val="21"/>
                      <w:highlight w:val="none"/>
                    </w:rPr>
                  </w:pPr>
                  <w:r>
                    <w:rPr>
                      <w:color w:val="auto"/>
                      <w:szCs w:val="21"/>
                      <w:highlight w:val="none"/>
                    </w:rPr>
                    <w:t>固废</w:t>
                  </w:r>
                </w:p>
              </w:tc>
              <w:tc>
                <w:tcPr>
                  <w:tcW w:w="1488" w:type="pct"/>
                  <w:tcBorders>
                    <w:tl2br w:val="nil"/>
                    <w:tr2bl w:val="nil"/>
                  </w:tcBorders>
                  <w:vAlign w:val="center"/>
                </w:tcPr>
                <w:p w14:paraId="550DD0A7">
                  <w:pPr>
                    <w:pStyle w:val="33"/>
                    <w:keepNext w:val="0"/>
                    <w:keepLines w:val="0"/>
                    <w:pageBreakBefore w:val="0"/>
                    <w:widowControl w:val="0"/>
                    <w:kinsoku/>
                    <w:wordWrap/>
                    <w:overflowPunct/>
                    <w:topLinePunct w:val="0"/>
                    <w:autoSpaceDE/>
                    <w:autoSpaceDN/>
                    <w:bidi w:val="0"/>
                    <w:spacing w:beforeLines="0" w:afterLines="0" w:line="240" w:lineRule="auto"/>
                    <w:ind w:left="0" w:leftChars="0" w:firstLine="0" w:firstLineChars="0"/>
                    <w:textAlignment w:val="auto"/>
                    <w:rPr>
                      <w:rFonts w:hint="eastAsia" w:eastAsia="宋体"/>
                      <w:color w:val="auto"/>
                      <w:szCs w:val="21"/>
                      <w:highlight w:val="none"/>
                      <w:lang w:val="en-US" w:eastAsia="zh-CN"/>
                    </w:rPr>
                  </w:pPr>
                  <w:r>
                    <w:rPr>
                      <w:rFonts w:hint="default" w:ascii="Times New Roman" w:hAnsi="Times New Roman" w:cs="Times New Roman"/>
                      <w:color w:val="auto"/>
                      <w:szCs w:val="21"/>
                      <w:highlight w:val="none"/>
                    </w:rPr>
                    <w:t>边角料</w:t>
                  </w:r>
                </w:p>
              </w:tc>
              <w:tc>
                <w:tcPr>
                  <w:tcW w:w="1502" w:type="pct"/>
                  <w:tcBorders>
                    <w:tl2br w:val="nil"/>
                    <w:tr2bl w:val="nil"/>
                  </w:tcBorders>
                  <w:vAlign w:val="center"/>
                </w:tcPr>
                <w:p w14:paraId="2AE74F62">
                  <w:pPr>
                    <w:pStyle w:val="33"/>
                    <w:keepNext w:val="0"/>
                    <w:keepLines w:val="0"/>
                    <w:pageBreakBefore w:val="0"/>
                    <w:widowControl w:val="0"/>
                    <w:kinsoku/>
                    <w:wordWrap/>
                    <w:overflowPunct/>
                    <w:topLinePunct w:val="0"/>
                    <w:autoSpaceDE/>
                    <w:autoSpaceDN/>
                    <w:bidi w:val="0"/>
                    <w:spacing w:beforeLines="0" w:afterLines="0" w:line="240" w:lineRule="auto"/>
                    <w:ind w:left="0" w:leftChars="0" w:firstLine="0" w:firstLineChars="0"/>
                    <w:textAlignment w:val="auto"/>
                    <w:rPr>
                      <w:color w:val="auto"/>
                      <w:szCs w:val="21"/>
                      <w:highlight w:val="none"/>
                    </w:rPr>
                  </w:pPr>
                  <w:r>
                    <w:rPr>
                      <w:rFonts w:hint="default" w:ascii="Times New Roman" w:hAnsi="Times New Roman" w:cs="Times New Roman"/>
                      <w:color w:val="auto"/>
                      <w:szCs w:val="21"/>
                      <w:highlight w:val="none"/>
                    </w:rPr>
                    <w:t>下料、机加工工序</w:t>
                  </w:r>
                </w:p>
              </w:tc>
              <w:tc>
                <w:tcPr>
                  <w:tcW w:w="1537" w:type="pct"/>
                  <w:tcBorders>
                    <w:tl2br w:val="nil"/>
                    <w:tr2bl w:val="nil"/>
                  </w:tcBorders>
                  <w:vAlign w:val="center"/>
                </w:tcPr>
                <w:p w14:paraId="760D8F2E">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废铁边角料</w:t>
                  </w:r>
                </w:p>
              </w:tc>
            </w:tr>
            <w:tr w14:paraId="1FBDA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vMerge w:val="continue"/>
                  <w:tcBorders>
                    <w:tl2br w:val="nil"/>
                    <w:tr2bl w:val="nil"/>
                  </w:tcBorders>
                  <w:vAlign w:val="center"/>
                </w:tcPr>
                <w:p w14:paraId="403C63D8">
                  <w:pPr>
                    <w:adjustRightInd w:val="0"/>
                    <w:snapToGrid w:val="0"/>
                    <w:jc w:val="center"/>
                    <w:rPr>
                      <w:color w:val="auto"/>
                      <w:szCs w:val="21"/>
                      <w:highlight w:val="none"/>
                    </w:rPr>
                  </w:pPr>
                </w:p>
              </w:tc>
              <w:tc>
                <w:tcPr>
                  <w:tcW w:w="1488" w:type="pct"/>
                  <w:tcBorders>
                    <w:tl2br w:val="nil"/>
                    <w:tr2bl w:val="nil"/>
                  </w:tcBorders>
                  <w:vAlign w:val="center"/>
                </w:tcPr>
                <w:p w14:paraId="5CD5F9E8">
                  <w:pPr>
                    <w:pStyle w:val="33"/>
                    <w:keepNext w:val="0"/>
                    <w:keepLines w:val="0"/>
                    <w:pageBreakBefore w:val="0"/>
                    <w:widowControl w:val="0"/>
                    <w:kinsoku/>
                    <w:wordWrap/>
                    <w:overflowPunct/>
                    <w:topLinePunct w:val="0"/>
                    <w:autoSpaceDE/>
                    <w:autoSpaceDN/>
                    <w:bidi w:val="0"/>
                    <w:spacing w:beforeLines="0" w:afterLines="0" w:line="240" w:lineRule="auto"/>
                    <w:ind w:left="0" w:leftChars="0" w:firstLine="0" w:firstLineChars="0"/>
                    <w:textAlignment w:val="auto"/>
                    <w:rPr>
                      <w:rFonts w:hint="default" w:eastAsia="宋体"/>
                      <w:color w:val="auto"/>
                      <w:szCs w:val="21"/>
                      <w:highlight w:val="none"/>
                      <w:lang w:val="en-US" w:eastAsia="zh-CN"/>
                    </w:rPr>
                  </w:pPr>
                  <w:r>
                    <w:rPr>
                      <w:rFonts w:hint="default" w:ascii="Times New Roman" w:hAnsi="Times New Roman" w:cs="Times New Roman"/>
                      <w:color w:val="auto"/>
                      <w:szCs w:val="21"/>
                      <w:highlight w:val="none"/>
                    </w:rPr>
                    <w:t>废焊渣</w:t>
                  </w:r>
                </w:p>
              </w:tc>
              <w:tc>
                <w:tcPr>
                  <w:tcW w:w="1502" w:type="pct"/>
                  <w:tcBorders>
                    <w:tl2br w:val="nil"/>
                    <w:tr2bl w:val="nil"/>
                  </w:tcBorders>
                  <w:vAlign w:val="center"/>
                </w:tcPr>
                <w:p w14:paraId="3F319AA3">
                  <w:pPr>
                    <w:pStyle w:val="33"/>
                    <w:keepNext w:val="0"/>
                    <w:keepLines w:val="0"/>
                    <w:pageBreakBefore w:val="0"/>
                    <w:widowControl w:val="0"/>
                    <w:kinsoku/>
                    <w:wordWrap/>
                    <w:overflowPunct/>
                    <w:topLinePunct w:val="0"/>
                    <w:autoSpaceDE/>
                    <w:autoSpaceDN/>
                    <w:bidi w:val="0"/>
                    <w:spacing w:beforeLines="0" w:afterLines="0" w:line="240" w:lineRule="auto"/>
                    <w:ind w:left="0" w:leftChars="0" w:firstLine="0" w:firstLineChars="0"/>
                    <w:textAlignment w:val="auto"/>
                    <w:rPr>
                      <w:rFonts w:hint="default" w:eastAsia="宋体"/>
                      <w:color w:val="auto"/>
                      <w:szCs w:val="21"/>
                      <w:highlight w:val="none"/>
                      <w:lang w:val="en-US" w:eastAsia="zh-CN"/>
                    </w:rPr>
                  </w:pPr>
                  <w:r>
                    <w:rPr>
                      <w:rFonts w:hint="default" w:ascii="Times New Roman" w:hAnsi="Times New Roman" w:cs="Times New Roman"/>
                      <w:color w:val="auto"/>
                      <w:szCs w:val="21"/>
                      <w:highlight w:val="none"/>
                    </w:rPr>
                    <w:t>焊接工序</w:t>
                  </w:r>
                </w:p>
              </w:tc>
              <w:tc>
                <w:tcPr>
                  <w:tcW w:w="1537" w:type="pct"/>
                  <w:tcBorders>
                    <w:tl2br w:val="nil"/>
                    <w:tr2bl w:val="nil"/>
                  </w:tcBorders>
                  <w:vAlign w:val="center"/>
                </w:tcPr>
                <w:p w14:paraId="6FDE36F2">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铁屑</w:t>
                  </w:r>
                </w:p>
              </w:tc>
            </w:tr>
            <w:tr w14:paraId="0375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vMerge w:val="continue"/>
                  <w:tcBorders>
                    <w:tl2br w:val="nil"/>
                    <w:tr2bl w:val="nil"/>
                  </w:tcBorders>
                  <w:vAlign w:val="center"/>
                </w:tcPr>
                <w:p w14:paraId="41375E72">
                  <w:pPr>
                    <w:adjustRightInd w:val="0"/>
                    <w:snapToGrid w:val="0"/>
                    <w:jc w:val="center"/>
                    <w:rPr>
                      <w:color w:val="auto"/>
                      <w:szCs w:val="21"/>
                      <w:highlight w:val="none"/>
                    </w:rPr>
                  </w:pPr>
                </w:p>
              </w:tc>
              <w:tc>
                <w:tcPr>
                  <w:tcW w:w="1488" w:type="pct"/>
                  <w:tcBorders>
                    <w:tl2br w:val="nil"/>
                    <w:tr2bl w:val="nil"/>
                  </w:tcBorders>
                  <w:vAlign w:val="center"/>
                </w:tcPr>
                <w:p w14:paraId="0BC5BD80">
                  <w:pPr>
                    <w:pStyle w:val="33"/>
                    <w:keepNext w:val="0"/>
                    <w:keepLines w:val="0"/>
                    <w:pageBreakBefore w:val="0"/>
                    <w:widowControl w:val="0"/>
                    <w:kinsoku/>
                    <w:wordWrap/>
                    <w:overflowPunct/>
                    <w:topLinePunct w:val="0"/>
                    <w:autoSpaceDE/>
                    <w:autoSpaceDN/>
                    <w:bidi w:val="0"/>
                    <w:spacing w:beforeLines="0" w:afterLines="0" w:line="240" w:lineRule="auto"/>
                    <w:ind w:left="0" w:leftChars="0" w:firstLine="0" w:firstLineChars="0"/>
                    <w:textAlignment w:val="auto"/>
                    <w:rPr>
                      <w:rFonts w:hint="default"/>
                      <w:color w:val="auto"/>
                      <w:szCs w:val="21"/>
                      <w:highlight w:val="none"/>
                      <w:lang w:val="en-US" w:eastAsia="zh-CN"/>
                    </w:rPr>
                  </w:pPr>
                  <w:r>
                    <w:rPr>
                      <w:rFonts w:hint="default" w:ascii="Times New Roman" w:hAnsi="Times New Roman" w:cs="Times New Roman"/>
                      <w:color w:val="auto"/>
                      <w:szCs w:val="21"/>
                      <w:highlight w:val="none"/>
                    </w:rPr>
                    <w:t>除尘器收集的粉尘</w:t>
                  </w:r>
                </w:p>
              </w:tc>
              <w:tc>
                <w:tcPr>
                  <w:tcW w:w="1502" w:type="pct"/>
                  <w:tcBorders>
                    <w:tl2br w:val="nil"/>
                    <w:tr2bl w:val="nil"/>
                  </w:tcBorders>
                  <w:vAlign w:val="center"/>
                </w:tcPr>
                <w:p w14:paraId="224FF65D">
                  <w:pPr>
                    <w:pStyle w:val="33"/>
                    <w:keepNext w:val="0"/>
                    <w:keepLines w:val="0"/>
                    <w:pageBreakBefore w:val="0"/>
                    <w:widowControl w:val="0"/>
                    <w:kinsoku/>
                    <w:wordWrap/>
                    <w:overflowPunct/>
                    <w:topLinePunct w:val="0"/>
                    <w:autoSpaceDE/>
                    <w:autoSpaceDN/>
                    <w:bidi w:val="0"/>
                    <w:spacing w:beforeLines="0" w:afterLines="0" w:line="240" w:lineRule="auto"/>
                    <w:ind w:left="0" w:leftChars="0" w:firstLine="0" w:firstLineChars="0"/>
                    <w:textAlignment w:val="auto"/>
                    <w:rPr>
                      <w:rFonts w:hint="default"/>
                      <w:color w:val="auto"/>
                      <w:szCs w:val="21"/>
                      <w:highlight w:val="none"/>
                      <w:lang w:val="en-US" w:eastAsia="zh-CN"/>
                    </w:rPr>
                  </w:pPr>
                  <w:r>
                    <w:rPr>
                      <w:rFonts w:hint="default" w:ascii="Times New Roman" w:hAnsi="Times New Roman" w:cs="Times New Roman"/>
                      <w:color w:val="auto"/>
                      <w:szCs w:val="21"/>
                      <w:highlight w:val="none"/>
                    </w:rPr>
                    <w:t>废气处理</w:t>
                  </w:r>
                </w:p>
              </w:tc>
              <w:tc>
                <w:tcPr>
                  <w:tcW w:w="1537" w:type="pct"/>
                  <w:tcBorders>
                    <w:tl2br w:val="nil"/>
                    <w:tr2bl w:val="nil"/>
                  </w:tcBorders>
                  <w:vAlign w:val="center"/>
                </w:tcPr>
                <w:p w14:paraId="3ED963B1">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铁屑</w:t>
                  </w:r>
                </w:p>
              </w:tc>
            </w:tr>
            <w:tr w14:paraId="0C6F0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vMerge w:val="continue"/>
                  <w:tcBorders>
                    <w:tl2br w:val="nil"/>
                    <w:tr2bl w:val="nil"/>
                  </w:tcBorders>
                  <w:vAlign w:val="center"/>
                </w:tcPr>
                <w:p w14:paraId="3C7F29A3">
                  <w:pPr>
                    <w:adjustRightInd w:val="0"/>
                    <w:snapToGrid w:val="0"/>
                    <w:jc w:val="center"/>
                    <w:rPr>
                      <w:color w:val="auto"/>
                      <w:szCs w:val="21"/>
                      <w:highlight w:val="none"/>
                    </w:rPr>
                  </w:pPr>
                </w:p>
              </w:tc>
              <w:tc>
                <w:tcPr>
                  <w:tcW w:w="2426" w:type="dxa"/>
                  <w:tcBorders>
                    <w:tl2br w:val="nil"/>
                    <w:tr2bl w:val="nil"/>
                  </w:tcBorders>
                  <w:vAlign w:val="center"/>
                </w:tcPr>
                <w:p w14:paraId="267C0DA5">
                  <w:pPr>
                    <w:pStyle w:val="47"/>
                    <w:keepNext w:val="0"/>
                    <w:keepLines w:val="0"/>
                    <w:pageBreakBefore w:val="0"/>
                    <w:widowControl w:val="0"/>
                    <w:kinsoku/>
                    <w:wordWrap/>
                    <w:overflowPunct/>
                    <w:autoSpaceDE/>
                    <w:autoSpaceDN/>
                    <w:bidi w:val="0"/>
                    <w:ind w:firstLine="0" w:firstLineChars="0"/>
                    <w:textAlignment w:val="auto"/>
                    <w:rPr>
                      <w:rFonts w:hint="default" w:eastAsia="宋体"/>
                      <w:color w:val="auto"/>
                      <w:szCs w:val="21"/>
                      <w:highlight w:val="none"/>
                      <w:lang w:val="en-US" w:eastAsia="zh-CN"/>
                    </w:rPr>
                  </w:pPr>
                  <w:r>
                    <w:rPr>
                      <w:rFonts w:hint="default" w:ascii="Times New Roman" w:hAnsi="Times New Roman" w:cs="Times New Roman"/>
                      <w:color w:val="auto"/>
                      <w:kern w:val="0"/>
                      <w:sz w:val="21"/>
                      <w:szCs w:val="21"/>
                      <w:highlight w:val="none"/>
                    </w:rPr>
                    <w:t>废活性炭</w:t>
                  </w:r>
                </w:p>
              </w:tc>
              <w:tc>
                <w:tcPr>
                  <w:tcW w:w="2449" w:type="dxa"/>
                  <w:vMerge w:val="restart"/>
                  <w:tcBorders>
                    <w:tl2br w:val="nil"/>
                    <w:tr2bl w:val="nil"/>
                  </w:tcBorders>
                  <w:vAlign w:val="center"/>
                </w:tcPr>
                <w:p w14:paraId="1223E6A6">
                  <w:pPr>
                    <w:pStyle w:val="33"/>
                    <w:keepNext w:val="0"/>
                    <w:keepLines w:val="0"/>
                    <w:pageBreakBefore w:val="0"/>
                    <w:widowControl w:val="0"/>
                    <w:kinsoku/>
                    <w:wordWrap/>
                    <w:overflowPunct/>
                    <w:autoSpaceDE/>
                    <w:autoSpaceDN/>
                    <w:bidi w:val="0"/>
                    <w:spacing w:beforeLines="0" w:afterLines="0" w:line="240" w:lineRule="auto"/>
                    <w:ind w:left="0" w:leftChars="0" w:firstLine="0" w:firstLineChars="0"/>
                    <w:textAlignment w:val="auto"/>
                    <w:rPr>
                      <w:rFonts w:hint="default" w:eastAsia="宋体"/>
                      <w:color w:val="auto"/>
                      <w:szCs w:val="21"/>
                      <w:highlight w:val="none"/>
                      <w:lang w:val="en-US" w:eastAsia="zh-CN"/>
                    </w:rPr>
                  </w:pPr>
                  <w:r>
                    <w:rPr>
                      <w:rFonts w:hint="default" w:ascii="Times New Roman" w:hAnsi="Times New Roman" w:cs="Times New Roman"/>
                      <w:color w:val="auto"/>
                      <w:sz w:val="21"/>
                      <w:szCs w:val="21"/>
                      <w:highlight w:val="none"/>
                    </w:rPr>
                    <w:t>废气处理装置</w:t>
                  </w:r>
                </w:p>
              </w:tc>
              <w:tc>
                <w:tcPr>
                  <w:tcW w:w="2506" w:type="dxa"/>
                  <w:tcBorders>
                    <w:tl2br w:val="nil"/>
                    <w:tr2bl w:val="nil"/>
                  </w:tcBorders>
                  <w:vAlign w:val="center"/>
                </w:tcPr>
                <w:p w14:paraId="442156D1">
                  <w:pPr>
                    <w:pStyle w:val="47"/>
                    <w:keepNext w:val="0"/>
                    <w:keepLines w:val="0"/>
                    <w:pageBreakBefore w:val="0"/>
                    <w:widowControl w:val="0"/>
                    <w:kinsoku/>
                    <w:wordWrap/>
                    <w:overflowPunct/>
                    <w:autoSpaceDE/>
                    <w:autoSpaceDN/>
                    <w:bidi w:val="0"/>
                    <w:ind w:firstLine="0" w:firstLineChars="0"/>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0"/>
                      <w:sz w:val="21"/>
                      <w:szCs w:val="21"/>
                      <w:highlight w:val="none"/>
                    </w:rPr>
                    <w:t>废活性炭</w:t>
                  </w:r>
                </w:p>
              </w:tc>
            </w:tr>
            <w:tr w14:paraId="46ECB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vMerge w:val="continue"/>
                  <w:tcBorders>
                    <w:tl2br w:val="nil"/>
                    <w:tr2bl w:val="nil"/>
                  </w:tcBorders>
                  <w:vAlign w:val="center"/>
                </w:tcPr>
                <w:p w14:paraId="40F49A2E">
                  <w:pPr>
                    <w:adjustRightInd w:val="0"/>
                    <w:snapToGrid w:val="0"/>
                    <w:jc w:val="center"/>
                    <w:rPr>
                      <w:color w:val="auto"/>
                      <w:szCs w:val="21"/>
                      <w:highlight w:val="none"/>
                    </w:rPr>
                  </w:pPr>
                </w:p>
              </w:tc>
              <w:tc>
                <w:tcPr>
                  <w:tcW w:w="2426" w:type="dxa"/>
                  <w:tcBorders>
                    <w:tl2br w:val="nil"/>
                    <w:tr2bl w:val="nil"/>
                  </w:tcBorders>
                  <w:vAlign w:val="center"/>
                </w:tcPr>
                <w:p w14:paraId="1C9E2851">
                  <w:pPr>
                    <w:pStyle w:val="47"/>
                    <w:keepNext w:val="0"/>
                    <w:keepLines w:val="0"/>
                    <w:pageBreakBefore w:val="0"/>
                    <w:widowControl w:val="0"/>
                    <w:kinsoku/>
                    <w:wordWrap/>
                    <w:overflowPunct/>
                    <w:autoSpaceDE/>
                    <w:autoSpaceDN/>
                    <w:bidi w:val="0"/>
                    <w:ind w:firstLine="0" w:firstLineChars="0"/>
                    <w:textAlignment w:val="auto"/>
                    <w:rPr>
                      <w:rFonts w:hint="default" w:eastAsia="宋体"/>
                      <w:color w:val="auto"/>
                      <w:szCs w:val="21"/>
                      <w:highlight w:val="none"/>
                      <w:lang w:val="en-US" w:eastAsia="zh-CN"/>
                    </w:rPr>
                  </w:pPr>
                  <w:r>
                    <w:rPr>
                      <w:rFonts w:hint="default" w:ascii="Times New Roman" w:hAnsi="Times New Roman" w:cs="Times New Roman"/>
                      <w:color w:val="auto"/>
                      <w:sz w:val="21"/>
                      <w:szCs w:val="21"/>
                      <w:highlight w:val="none"/>
                    </w:rPr>
                    <w:t>废催化剂</w:t>
                  </w:r>
                </w:p>
              </w:tc>
              <w:tc>
                <w:tcPr>
                  <w:tcW w:w="1502" w:type="pct"/>
                  <w:vMerge w:val="continue"/>
                  <w:tcBorders>
                    <w:tl2br w:val="nil"/>
                    <w:tr2bl w:val="nil"/>
                  </w:tcBorders>
                  <w:vAlign w:val="center"/>
                </w:tcPr>
                <w:p w14:paraId="0A6CD36E">
                  <w:pPr>
                    <w:adjustRightInd w:val="0"/>
                    <w:snapToGrid w:val="0"/>
                    <w:jc w:val="center"/>
                    <w:rPr>
                      <w:rFonts w:hint="default" w:eastAsia="宋体"/>
                      <w:color w:val="auto"/>
                      <w:szCs w:val="21"/>
                      <w:highlight w:val="none"/>
                      <w:lang w:val="en-US" w:eastAsia="zh-CN"/>
                    </w:rPr>
                  </w:pPr>
                </w:p>
              </w:tc>
              <w:tc>
                <w:tcPr>
                  <w:tcW w:w="2506" w:type="dxa"/>
                  <w:tcBorders>
                    <w:tl2br w:val="nil"/>
                    <w:tr2bl w:val="nil"/>
                  </w:tcBorders>
                  <w:vAlign w:val="center"/>
                </w:tcPr>
                <w:p w14:paraId="46F4475E">
                  <w:pPr>
                    <w:pStyle w:val="47"/>
                    <w:keepNext w:val="0"/>
                    <w:keepLines w:val="0"/>
                    <w:pageBreakBefore w:val="0"/>
                    <w:widowControl w:val="0"/>
                    <w:kinsoku/>
                    <w:wordWrap/>
                    <w:overflowPunct/>
                    <w:autoSpaceDE/>
                    <w:autoSpaceDN/>
                    <w:bidi w:val="0"/>
                    <w:ind w:firstLine="0" w:firstLineChars="0"/>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废催化剂</w:t>
                  </w:r>
                </w:p>
              </w:tc>
            </w:tr>
            <w:tr w14:paraId="32519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vMerge w:val="continue"/>
                  <w:tcBorders>
                    <w:tl2br w:val="nil"/>
                    <w:tr2bl w:val="nil"/>
                  </w:tcBorders>
                  <w:vAlign w:val="center"/>
                </w:tcPr>
                <w:p w14:paraId="54195B5E">
                  <w:pPr>
                    <w:adjustRightInd w:val="0"/>
                    <w:snapToGrid w:val="0"/>
                    <w:jc w:val="center"/>
                    <w:rPr>
                      <w:color w:val="auto"/>
                      <w:szCs w:val="21"/>
                      <w:highlight w:val="none"/>
                    </w:rPr>
                  </w:pPr>
                </w:p>
              </w:tc>
              <w:tc>
                <w:tcPr>
                  <w:tcW w:w="2426" w:type="dxa"/>
                  <w:tcBorders>
                    <w:tl2br w:val="nil"/>
                    <w:tr2bl w:val="nil"/>
                  </w:tcBorders>
                  <w:vAlign w:val="center"/>
                </w:tcPr>
                <w:p w14:paraId="74ADF0C1">
                  <w:pPr>
                    <w:pStyle w:val="47"/>
                    <w:keepNext w:val="0"/>
                    <w:keepLines w:val="0"/>
                    <w:pageBreakBefore w:val="0"/>
                    <w:widowControl w:val="0"/>
                    <w:kinsoku/>
                    <w:wordWrap/>
                    <w:overflowPunct/>
                    <w:autoSpaceDE/>
                    <w:autoSpaceDN/>
                    <w:bidi w:val="0"/>
                    <w:ind w:firstLine="0" w:firstLineChars="0"/>
                    <w:textAlignment w:val="auto"/>
                    <w:rPr>
                      <w:rFonts w:hint="eastAsia"/>
                      <w:color w:val="auto"/>
                      <w:szCs w:val="21"/>
                      <w:highlight w:val="none"/>
                      <w:lang w:val="en-US" w:eastAsia="zh-CN"/>
                    </w:rPr>
                  </w:pPr>
                  <w:r>
                    <w:rPr>
                      <w:rFonts w:hint="default" w:ascii="Times New Roman" w:hAnsi="Times New Roman" w:cs="Times New Roman"/>
                      <w:color w:val="auto"/>
                      <w:kern w:val="0"/>
                      <w:sz w:val="21"/>
                      <w:szCs w:val="21"/>
                      <w:highlight w:val="none"/>
                    </w:rPr>
                    <w:t>废润滑油</w:t>
                  </w:r>
                </w:p>
              </w:tc>
              <w:tc>
                <w:tcPr>
                  <w:tcW w:w="2449" w:type="dxa"/>
                  <w:vMerge w:val="restart"/>
                  <w:tcBorders>
                    <w:tl2br w:val="nil"/>
                    <w:tr2bl w:val="nil"/>
                  </w:tcBorders>
                  <w:vAlign w:val="center"/>
                </w:tcPr>
                <w:p w14:paraId="33BBC466">
                  <w:pPr>
                    <w:pStyle w:val="33"/>
                    <w:keepNext w:val="0"/>
                    <w:keepLines w:val="0"/>
                    <w:pageBreakBefore w:val="0"/>
                    <w:widowControl w:val="0"/>
                    <w:kinsoku/>
                    <w:wordWrap/>
                    <w:overflowPunct/>
                    <w:autoSpaceDE/>
                    <w:autoSpaceDN/>
                    <w:bidi w:val="0"/>
                    <w:spacing w:beforeLines="0" w:afterLines="0" w:line="240" w:lineRule="auto"/>
                    <w:ind w:left="0" w:leftChars="0" w:firstLine="0" w:firstLineChars="0"/>
                    <w:textAlignment w:val="auto"/>
                    <w:rPr>
                      <w:rFonts w:hint="default" w:eastAsia="宋体"/>
                      <w:color w:val="auto"/>
                      <w:szCs w:val="21"/>
                      <w:highlight w:val="none"/>
                      <w:lang w:val="en-US" w:eastAsia="zh-CN"/>
                    </w:rPr>
                  </w:pPr>
                  <w:r>
                    <w:rPr>
                      <w:rFonts w:hint="default" w:ascii="Times New Roman" w:hAnsi="Times New Roman" w:cs="Times New Roman"/>
                      <w:color w:val="auto"/>
                      <w:sz w:val="21"/>
                      <w:szCs w:val="21"/>
                      <w:highlight w:val="none"/>
                    </w:rPr>
                    <w:t>机械设备维修</w:t>
                  </w:r>
                </w:p>
              </w:tc>
              <w:tc>
                <w:tcPr>
                  <w:tcW w:w="2506" w:type="dxa"/>
                  <w:tcBorders>
                    <w:tl2br w:val="nil"/>
                    <w:tr2bl w:val="nil"/>
                  </w:tcBorders>
                  <w:vAlign w:val="center"/>
                </w:tcPr>
                <w:p w14:paraId="1D21039C">
                  <w:pPr>
                    <w:pStyle w:val="47"/>
                    <w:keepNext w:val="0"/>
                    <w:keepLines w:val="0"/>
                    <w:pageBreakBefore w:val="0"/>
                    <w:widowControl w:val="0"/>
                    <w:kinsoku/>
                    <w:wordWrap/>
                    <w:overflowPunct/>
                    <w:autoSpaceDE/>
                    <w:autoSpaceDN/>
                    <w:bidi w:val="0"/>
                    <w:ind w:firstLine="0" w:firstLineChars="0"/>
                    <w:textAlignment w:val="auto"/>
                    <w:rPr>
                      <w:rFonts w:hint="eastAsia"/>
                      <w:color w:val="auto"/>
                      <w:szCs w:val="21"/>
                      <w:highlight w:val="none"/>
                      <w:lang w:val="en-US" w:eastAsia="zh-CN"/>
                    </w:rPr>
                  </w:pPr>
                  <w:r>
                    <w:rPr>
                      <w:rFonts w:hint="default" w:ascii="Times New Roman" w:hAnsi="Times New Roman" w:cs="Times New Roman"/>
                      <w:color w:val="auto"/>
                      <w:kern w:val="0"/>
                      <w:sz w:val="21"/>
                      <w:szCs w:val="21"/>
                      <w:highlight w:val="none"/>
                    </w:rPr>
                    <w:t>废润滑油</w:t>
                  </w:r>
                </w:p>
              </w:tc>
            </w:tr>
            <w:tr w14:paraId="535D3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vMerge w:val="continue"/>
                  <w:tcBorders>
                    <w:tl2br w:val="nil"/>
                    <w:tr2bl w:val="nil"/>
                  </w:tcBorders>
                  <w:vAlign w:val="center"/>
                </w:tcPr>
                <w:p w14:paraId="39914A4A">
                  <w:pPr>
                    <w:adjustRightInd w:val="0"/>
                    <w:snapToGrid w:val="0"/>
                    <w:jc w:val="center"/>
                    <w:rPr>
                      <w:color w:val="auto"/>
                      <w:szCs w:val="21"/>
                      <w:highlight w:val="none"/>
                    </w:rPr>
                  </w:pPr>
                </w:p>
              </w:tc>
              <w:tc>
                <w:tcPr>
                  <w:tcW w:w="2426" w:type="dxa"/>
                  <w:tcBorders>
                    <w:tl2br w:val="nil"/>
                    <w:tr2bl w:val="nil"/>
                  </w:tcBorders>
                  <w:vAlign w:val="center"/>
                </w:tcPr>
                <w:p w14:paraId="20A05AE9">
                  <w:pPr>
                    <w:pStyle w:val="47"/>
                    <w:keepNext w:val="0"/>
                    <w:keepLines w:val="0"/>
                    <w:pageBreakBefore w:val="0"/>
                    <w:widowControl w:val="0"/>
                    <w:kinsoku/>
                    <w:wordWrap/>
                    <w:overflowPunct/>
                    <w:autoSpaceDE/>
                    <w:autoSpaceDN/>
                    <w:bidi w:val="0"/>
                    <w:ind w:firstLine="0" w:firstLineChars="0"/>
                    <w:textAlignment w:val="auto"/>
                    <w:rPr>
                      <w:rFonts w:hint="default" w:eastAsia="宋体"/>
                      <w:color w:val="auto"/>
                      <w:szCs w:val="21"/>
                      <w:highlight w:val="none"/>
                      <w:lang w:val="en-US" w:eastAsia="zh-CN"/>
                    </w:rPr>
                  </w:pPr>
                  <w:r>
                    <w:rPr>
                      <w:rFonts w:hint="default" w:ascii="Times New Roman" w:hAnsi="Times New Roman" w:cs="Times New Roman"/>
                      <w:color w:val="auto"/>
                      <w:kern w:val="0"/>
                      <w:sz w:val="21"/>
                      <w:szCs w:val="21"/>
                      <w:highlight w:val="none"/>
                    </w:rPr>
                    <w:t>废润滑油桶</w:t>
                  </w:r>
                </w:p>
              </w:tc>
              <w:tc>
                <w:tcPr>
                  <w:tcW w:w="1502" w:type="pct"/>
                  <w:vMerge w:val="continue"/>
                  <w:tcBorders>
                    <w:tl2br w:val="nil"/>
                    <w:tr2bl w:val="nil"/>
                  </w:tcBorders>
                  <w:vAlign w:val="center"/>
                </w:tcPr>
                <w:p w14:paraId="31324A36">
                  <w:pPr>
                    <w:adjustRightInd w:val="0"/>
                    <w:snapToGrid w:val="0"/>
                    <w:jc w:val="center"/>
                    <w:rPr>
                      <w:rFonts w:hint="default" w:eastAsia="宋体"/>
                      <w:color w:val="auto"/>
                      <w:szCs w:val="21"/>
                      <w:highlight w:val="none"/>
                      <w:lang w:val="en-US" w:eastAsia="zh-CN"/>
                    </w:rPr>
                  </w:pPr>
                </w:p>
              </w:tc>
              <w:tc>
                <w:tcPr>
                  <w:tcW w:w="2506" w:type="dxa"/>
                  <w:tcBorders>
                    <w:tl2br w:val="nil"/>
                    <w:tr2bl w:val="nil"/>
                  </w:tcBorders>
                  <w:vAlign w:val="center"/>
                </w:tcPr>
                <w:p w14:paraId="39DA1C4A">
                  <w:pPr>
                    <w:pStyle w:val="47"/>
                    <w:keepNext w:val="0"/>
                    <w:keepLines w:val="0"/>
                    <w:pageBreakBefore w:val="0"/>
                    <w:widowControl w:val="0"/>
                    <w:kinsoku/>
                    <w:wordWrap/>
                    <w:overflowPunct/>
                    <w:autoSpaceDE/>
                    <w:autoSpaceDN/>
                    <w:bidi w:val="0"/>
                    <w:ind w:firstLine="0" w:firstLineChars="0"/>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0"/>
                      <w:sz w:val="21"/>
                      <w:szCs w:val="21"/>
                      <w:highlight w:val="none"/>
                    </w:rPr>
                    <w:t>废润滑油桶</w:t>
                  </w:r>
                </w:p>
              </w:tc>
            </w:tr>
            <w:tr w14:paraId="0B267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vMerge w:val="continue"/>
                  <w:tcBorders>
                    <w:tl2br w:val="nil"/>
                    <w:tr2bl w:val="nil"/>
                  </w:tcBorders>
                  <w:vAlign w:val="center"/>
                </w:tcPr>
                <w:p w14:paraId="74E43A45">
                  <w:pPr>
                    <w:adjustRightInd w:val="0"/>
                    <w:snapToGrid w:val="0"/>
                    <w:jc w:val="center"/>
                    <w:rPr>
                      <w:color w:val="auto"/>
                      <w:szCs w:val="21"/>
                      <w:highlight w:val="none"/>
                    </w:rPr>
                  </w:pPr>
                </w:p>
              </w:tc>
              <w:tc>
                <w:tcPr>
                  <w:tcW w:w="1488" w:type="pct"/>
                  <w:tcBorders>
                    <w:tl2br w:val="nil"/>
                    <w:tr2bl w:val="nil"/>
                  </w:tcBorders>
                  <w:vAlign w:val="center"/>
                </w:tcPr>
                <w:p w14:paraId="427EF1DF">
                  <w:pPr>
                    <w:adjustRightInd w:val="0"/>
                    <w:snapToGrid w:val="0"/>
                    <w:jc w:val="center"/>
                    <w:rPr>
                      <w:color w:val="auto"/>
                      <w:szCs w:val="21"/>
                      <w:highlight w:val="none"/>
                    </w:rPr>
                  </w:pPr>
                  <w:r>
                    <w:rPr>
                      <w:color w:val="auto"/>
                      <w:szCs w:val="21"/>
                      <w:highlight w:val="none"/>
                    </w:rPr>
                    <w:t>生活垃圾</w:t>
                  </w:r>
                </w:p>
              </w:tc>
              <w:tc>
                <w:tcPr>
                  <w:tcW w:w="1502" w:type="pct"/>
                  <w:tcBorders>
                    <w:tl2br w:val="nil"/>
                    <w:tr2bl w:val="nil"/>
                  </w:tcBorders>
                  <w:vAlign w:val="center"/>
                </w:tcPr>
                <w:p w14:paraId="09066405">
                  <w:pPr>
                    <w:adjustRightInd w:val="0"/>
                    <w:snapToGrid w:val="0"/>
                    <w:jc w:val="center"/>
                    <w:rPr>
                      <w:color w:val="auto"/>
                      <w:szCs w:val="21"/>
                      <w:highlight w:val="none"/>
                    </w:rPr>
                  </w:pPr>
                  <w:r>
                    <w:rPr>
                      <w:color w:val="auto"/>
                      <w:szCs w:val="21"/>
                      <w:highlight w:val="none"/>
                    </w:rPr>
                    <w:t>员工生活</w:t>
                  </w:r>
                </w:p>
              </w:tc>
              <w:tc>
                <w:tcPr>
                  <w:tcW w:w="1537" w:type="pct"/>
                  <w:tcBorders>
                    <w:tl2br w:val="nil"/>
                    <w:tr2bl w:val="nil"/>
                  </w:tcBorders>
                  <w:vAlign w:val="center"/>
                </w:tcPr>
                <w:p w14:paraId="707063DE">
                  <w:pPr>
                    <w:adjustRightInd w:val="0"/>
                    <w:snapToGrid w:val="0"/>
                    <w:jc w:val="center"/>
                    <w:rPr>
                      <w:color w:val="auto"/>
                      <w:szCs w:val="21"/>
                      <w:highlight w:val="none"/>
                    </w:rPr>
                  </w:pPr>
                  <w:r>
                    <w:rPr>
                      <w:color w:val="auto"/>
                      <w:szCs w:val="21"/>
                      <w:highlight w:val="none"/>
                    </w:rPr>
                    <w:t>生活垃圾</w:t>
                  </w:r>
                </w:p>
              </w:tc>
            </w:tr>
            <w:tr w14:paraId="18D32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tcBorders>
                    <w:tl2br w:val="nil"/>
                    <w:tr2bl w:val="nil"/>
                  </w:tcBorders>
                  <w:vAlign w:val="center"/>
                </w:tcPr>
                <w:p w14:paraId="2A7C3E7A">
                  <w:pPr>
                    <w:adjustRightInd w:val="0"/>
                    <w:snapToGrid w:val="0"/>
                    <w:jc w:val="center"/>
                    <w:rPr>
                      <w:color w:val="auto"/>
                      <w:szCs w:val="21"/>
                      <w:highlight w:val="none"/>
                    </w:rPr>
                  </w:pPr>
                  <w:r>
                    <w:rPr>
                      <w:color w:val="auto"/>
                      <w:szCs w:val="21"/>
                      <w:highlight w:val="none"/>
                    </w:rPr>
                    <w:t>噪声</w:t>
                  </w:r>
                </w:p>
              </w:tc>
              <w:tc>
                <w:tcPr>
                  <w:tcW w:w="4527" w:type="pct"/>
                  <w:gridSpan w:val="3"/>
                  <w:tcBorders>
                    <w:tl2br w:val="nil"/>
                    <w:tr2bl w:val="nil"/>
                  </w:tcBorders>
                  <w:vAlign w:val="center"/>
                </w:tcPr>
                <w:p w14:paraId="202EAEFD">
                  <w:pPr>
                    <w:adjustRightInd w:val="0"/>
                    <w:snapToGrid w:val="0"/>
                    <w:jc w:val="center"/>
                    <w:rPr>
                      <w:color w:val="auto"/>
                      <w:szCs w:val="21"/>
                      <w:highlight w:val="none"/>
                    </w:rPr>
                  </w:pPr>
                  <w:r>
                    <w:rPr>
                      <w:color w:val="auto"/>
                      <w:szCs w:val="21"/>
                      <w:highlight w:val="none"/>
                    </w:rPr>
                    <w:t>主要来源于</w:t>
                  </w:r>
                  <w:r>
                    <w:rPr>
                      <w:rFonts w:hint="eastAsia"/>
                      <w:color w:val="auto"/>
                      <w:szCs w:val="21"/>
                      <w:highlight w:val="none"/>
                      <w:lang w:val="en-US" w:eastAsia="zh-CN"/>
                    </w:rPr>
                    <w:t>电焊机、空压机、切割机</w:t>
                  </w:r>
                  <w:r>
                    <w:rPr>
                      <w:color w:val="auto"/>
                      <w:szCs w:val="21"/>
                      <w:highlight w:val="none"/>
                    </w:rPr>
                    <w:t>等设备运行时产生的噪声</w:t>
                  </w:r>
                </w:p>
              </w:tc>
            </w:tr>
          </w:tbl>
          <w:p w14:paraId="143DBB10">
            <w:pPr>
              <w:pStyle w:val="8"/>
              <w:rPr>
                <w:rFonts w:hint="default"/>
                <w:color w:val="auto"/>
                <w:lang w:val="en-US" w:eastAsia="zh-CN"/>
              </w:rPr>
            </w:pPr>
          </w:p>
        </w:tc>
      </w:tr>
      <w:tr w14:paraId="35424D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90" w:hRule="atLeast"/>
          <w:jc w:val="center"/>
        </w:trPr>
        <w:tc>
          <w:tcPr>
            <w:tcW w:w="683" w:type="dxa"/>
            <w:vAlign w:val="center"/>
          </w:tcPr>
          <w:p w14:paraId="76B46807">
            <w:pPr>
              <w:pStyle w:val="23"/>
              <w:adjustRightInd w:val="0"/>
              <w:snapToGrid w:val="0"/>
              <w:spacing w:before="0" w:beforeAutospacing="0" w:after="0" w:afterAutospacing="0"/>
              <w:jc w:val="center"/>
              <w:rPr>
                <w:rFonts w:cs="宋体"/>
                <w:color w:val="auto"/>
                <w:sz w:val="21"/>
                <w:szCs w:val="21"/>
                <w:highlight w:val="none"/>
              </w:rPr>
            </w:pPr>
            <w:r>
              <w:rPr>
                <w:rFonts w:hint="eastAsia" w:cs="宋体"/>
                <w:bCs/>
                <w:color w:val="auto"/>
                <w:kern w:val="2"/>
                <w:sz w:val="21"/>
                <w:szCs w:val="21"/>
                <w:highlight w:val="none"/>
              </w:rPr>
              <w:t>与项目有关的原有环境污染问题</w:t>
            </w:r>
          </w:p>
        </w:tc>
        <w:tc>
          <w:tcPr>
            <w:tcW w:w="8377" w:type="dxa"/>
            <w:vAlign w:val="top"/>
          </w:tcPr>
          <w:p w14:paraId="47B683A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本项目在</w:t>
            </w:r>
            <w:r>
              <w:rPr>
                <w:rFonts w:hint="eastAsia" w:ascii="Times New Roman" w:hAnsi="Times New Roman" w:eastAsia="宋体" w:cs="Times New Roman"/>
                <w:color w:val="auto"/>
                <w:kern w:val="2"/>
                <w:sz w:val="24"/>
                <w:szCs w:val="24"/>
                <w:highlight w:val="none"/>
                <w:lang w:val="en-US" w:eastAsia="zh-CN" w:bidi="zh-CN"/>
              </w:rPr>
              <w:t>新疆</w:t>
            </w:r>
            <w:r>
              <w:rPr>
                <w:rFonts w:hint="eastAsia" w:cs="Times New Roman"/>
                <w:color w:val="auto"/>
                <w:kern w:val="2"/>
                <w:sz w:val="24"/>
                <w:szCs w:val="24"/>
                <w:highlight w:val="none"/>
                <w:lang w:val="en-US" w:eastAsia="zh-CN" w:bidi="zh-CN"/>
              </w:rPr>
              <w:t>昌吉回族自治州昌吉市大西渠镇闽昌工业园区</w:t>
            </w:r>
            <w:r>
              <w:rPr>
                <w:rFonts w:hint="default" w:ascii="Times New Roman" w:hAnsi="Times New Roman" w:eastAsia="宋体" w:cs="Times New Roman"/>
                <w:color w:val="auto"/>
                <w:kern w:val="0"/>
                <w:sz w:val="24"/>
                <w:szCs w:val="24"/>
                <w:highlight w:val="none"/>
                <w:lang w:val="en-US" w:eastAsia="zh-CN" w:bidi="ar"/>
              </w:rPr>
              <w:t>，项目属于新建项目。</w:t>
            </w:r>
            <w:r>
              <w:rPr>
                <w:rFonts w:hint="default" w:ascii="Times New Roman" w:hAnsi="Times New Roman" w:cs="Times New Roman"/>
                <w:color w:val="auto"/>
                <w:kern w:val="0"/>
                <w:sz w:val="24"/>
                <w:szCs w:val="24"/>
                <w:highlight w:val="none"/>
                <w:lang w:val="en-US" w:eastAsia="zh-CN" w:bidi="ar"/>
              </w:rPr>
              <w:t>根据现场勘察，项目区</w:t>
            </w:r>
            <w:r>
              <w:rPr>
                <w:rFonts w:hint="eastAsia" w:cs="Times New Roman"/>
                <w:color w:val="auto"/>
                <w:kern w:val="2"/>
                <w:sz w:val="24"/>
                <w:szCs w:val="24"/>
                <w:highlight w:val="none"/>
                <w:lang w:val="en-US" w:eastAsia="zh-CN" w:bidi="zh-CN"/>
              </w:rPr>
              <w:t>目前</w:t>
            </w:r>
            <w:r>
              <w:rPr>
                <w:rFonts w:hint="eastAsia" w:ascii="Times New Roman" w:hAnsi="Times New Roman" w:cs="Times New Roman"/>
                <w:color w:val="auto"/>
                <w:kern w:val="0"/>
                <w:sz w:val="24"/>
                <w:szCs w:val="24"/>
                <w:highlight w:val="none"/>
                <w:lang w:val="en-US" w:eastAsia="zh-CN" w:bidi="ar"/>
              </w:rPr>
              <w:t>堆放有</w:t>
            </w:r>
            <w:r>
              <w:rPr>
                <w:rFonts w:hint="eastAsia" w:cs="Times New Roman"/>
                <w:color w:val="auto"/>
                <w:kern w:val="0"/>
                <w:sz w:val="24"/>
                <w:szCs w:val="24"/>
                <w:highlight w:val="none"/>
                <w:lang w:val="en-US" w:eastAsia="zh-CN" w:bidi="ar"/>
              </w:rPr>
              <w:t>约110间空置房，为前企业产品，空置房无污染物产生，对场地无环境影响</w:t>
            </w:r>
            <w:r>
              <w:rPr>
                <w:rFonts w:hint="default" w:ascii="Times New Roman" w:hAnsi="Times New Roman" w:eastAsia="宋体" w:cs="Times New Roman"/>
                <w:color w:val="auto"/>
                <w:kern w:val="0"/>
                <w:sz w:val="24"/>
                <w:szCs w:val="24"/>
                <w:highlight w:val="none"/>
                <w:lang w:val="en-US" w:eastAsia="zh-CN" w:bidi="ar"/>
              </w:rPr>
              <w:t>。</w:t>
            </w:r>
            <w:r>
              <w:rPr>
                <w:rFonts w:ascii="Times New Roman" w:hAnsi="Times New Roman" w:eastAsia="宋体" w:cs="Times New Roman"/>
                <w:color w:val="auto"/>
                <w:kern w:val="0"/>
                <w:sz w:val="24"/>
                <w:szCs w:val="24"/>
                <w:highlight w:val="none"/>
                <w:lang w:val="en-US" w:eastAsia="zh-CN" w:bidi="ar-SA"/>
              </w:rPr>
              <w:t>本项目为新建项目，</w:t>
            </w:r>
            <w:r>
              <w:rPr>
                <w:rFonts w:hint="eastAsia" w:ascii="Times New Roman" w:hAnsi="Times New Roman" w:eastAsia="宋体" w:cs="Times New Roman"/>
                <w:color w:val="auto"/>
                <w:kern w:val="0"/>
                <w:sz w:val="24"/>
                <w:szCs w:val="24"/>
                <w:highlight w:val="none"/>
                <w:lang w:val="en-US" w:eastAsia="zh-CN" w:bidi="ar-SA"/>
              </w:rPr>
              <w:t>不存在原有环境污染问题。</w:t>
            </w:r>
            <w:r>
              <w:rPr>
                <w:rFonts w:hint="default" w:ascii="Times New Roman" w:hAnsi="Times New Roman" w:eastAsia="宋体" w:cs="Times New Roman"/>
                <w:color w:val="auto"/>
                <w:kern w:val="0"/>
                <w:sz w:val="24"/>
                <w:szCs w:val="24"/>
                <w:highlight w:val="none"/>
                <w:lang w:val="en-US" w:eastAsia="zh-CN" w:bidi="ar"/>
              </w:rPr>
              <w:t>无遗留环境问题，</w:t>
            </w:r>
            <w:r>
              <w:rPr>
                <w:rFonts w:hint="eastAsia" w:cs="Times New Roman"/>
                <w:color w:val="auto"/>
                <w:kern w:val="0"/>
                <w:sz w:val="24"/>
                <w:szCs w:val="24"/>
                <w:highlight w:val="none"/>
                <w:lang w:val="en-US" w:eastAsia="zh-CN" w:bidi="ar"/>
              </w:rPr>
              <w:t>空置房将于2025年3月31日前由前企业拉运走，不产生废气、废水、固体废物，仅在拉运时产生少量噪声，拉运结束立刻消失，不会对本项目建设产生影响</w:t>
            </w:r>
            <w:r>
              <w:rPr>
                <w:rFonts w:hint="default" w:ascii="Times New Roman" w:hAnsi="Times New Roman" w:eastAsia="宋体" w:cs="Times New Roman"/>
                <w:color w:val="auto"/>
                <w:kern w:val="0"/>
                <w:sz w:val="24"/>
                <w:szCs w:val="24"/>
                <w:highlight w:val="none"/>
                <w:lang w:val="en-US" w:eastAsia="zh-CN" w:bidi="ar"/>
              </w:rPr>
              <w:t>。</w:t>
            </w:r>
          </w:p>
          <w:p w14:paraId="4D14942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14:paraId="13796BC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14:paraId="20D9A38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14:paraId="6730135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14:paraId="2468AEA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14:paraId="66B7375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14:paraId="36DD11D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14:paraId="6E37EA6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14:paraId="7E609E9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14:paraId="4A7A9B4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14:paraId="6686FB5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14:paraId="58E4707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14:paraId="3BD159C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14:paraId="74E79D3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14:paraId="657B0B4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tc>
      </w:tr>
    </w:tbl>
    <w:p w14:paraId="422B5228">
      <w:pPr>
        <w:pStyle w:val="23"/>
        <w:jc w:val="center"/>
        <w:rPr>
          <w:rFonts w:ascii="黑体" w:hAnsi="黑体" w:eastAsia="黑体"/>
          <w:snapToGrid w:val="0"/>
          <w:color w:val="auto"/>
          <w:sz w:val="36"/>
          <w:szCs w:val="36"/>
          <w:highlight w:val="none"/>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1B61F64A">
      <w:pPr>
        <w:pStyle w:val="23"/>
        <w:jc w:val="center"/>
        <w:outlineLvl w:val="0"/>
        <w:rPr>
          <w:rFonts w:ascii="黑体" w:hAnsi="黑体" w:eastAsia="黑体"/>
          <w:snapToGrid w:val="0"/>
          <w:color w:val="auto"/>
          <w:sz w:val="30"/>
          <w:szCs w:val="30"/>
          <w:highlight w:val="none"/>
        </w:rPr>
      </w:pPr>
      <w:r>
        <w:rPr>
          <w:rFonts w:hint="eastAsia" w:ascii="黑体" w:hAnsi="黑体" w:eastAsia="黑体"/>
          <w:snapToGrid w:val="0"/>
          <w:color w:val="auto"/>
          <w:sz w:val="30"/>
          <w:szCs w:val="30"/>
          <w:highlight w:val="none"/>
        </w:rPr>
        <w:t>三、区域环境质量现状、环境保护目标及评价标准</w:t>
      </w:r>
    </w:p>
    <w:tbl>
      <w:tblPr>
        <w:tblStyle w:val="26"/>
        <w:tblW w:w="89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8190"/>
      </w:tblGrid>
      <w:tr w14:paraId="5D059B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800" w:type="dxa"/>
            <w:vAlign w:val="center"/>
          </w:tcPr>
          <w:p w14:paraId="368405CB">
            <w:pPr>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区域</w:t>
            </w:r>
          </w:p>
          <w:p w14:paraId="2A0F2654">
            <w:pPr>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环境</w:t>
            </w:r>
          </w:p>
          <w:p w14:paraId="133E94D1">
            <w:pPr>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质量</w:t>
            </w:r>
          </w:p>
          <w:p w14:paraId="737714F6">
            <w:pPr>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现状</w:t>
            </w:r>
          </w:p>
        </w:tc>
        <w:tc>
          <w:tcPr>
            <w:tcW w:w="8190" w:type="dxa"/>
            <w:vAlign w:val="top"/>
          </w:tcPr>
          <w:p w14:paraId="61CAC023">
            <w:pPr>
              <w:pStyle w:val="6"/>
              <w:spacing w:line="360" w:lineRule="auto"/>
              <w:jc w:val="both"/>
              <w:outlineLvl w:val="1"/>
              <w:rPr>
                <w:rFonts w:hint="default" w:ascii="Times New Roman" w:hAnsi="Times New Roman" w:eastAsia="宋体" w:cs="Times New Roman"/>
                <w:b/>
                <w:bCs/>
                <w:color w:val="auto"/>
                <w:sz w:val="24"/>
                <w:szCs w:val="24"/>
                <w:highlight w:val="none"/>
              </w:rPr>
            </w:pPr>
            <w:r>
              <w:rPr>
                <w:rFonts w:hint="eastAsia"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rPr>
              <w:t>大气环境质量现状</w:t>
            </w:r>
          </w:p>
          <w:p w14:paraId="2335266F">
            <w:pPr>
              <w:widowControl/>
              <w:spacing w:line="360" w:lineRule="auto"/>
              <w:ind w:firstLine="48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根据《环境影响评价技术导则大气环境》(HJ2.2-2018)要求，采用</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基于互联网的环境影响评价技术服务平台</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提供的数据，本次评价选择离本项目相对较近的</w:t>
            </w:r>
            <w:r>
              <w:rPr>
                <w:rFonts w:hint="eastAsia" w:ascii="宋体" w:hAnsi="宋体" w:eastAsia="宋体" w:cs="宋体"/>
                <w:color w:val="auto"/>
                <w:sz w:val="24"/>
                <w:szCs w:val="24"/>
                <w:highlight w:val="none"/>
              </w:rPr>
              <w:t>昌吉市监测站点（市站）发布</w:t>
            </w:r>
            <w:r>
              <w:rPr>
                <w:rFonts w:hint="default" w:ascii="Times New Roman" w:hAnsi="Times New Roman" w:eastAsia="宋体" w:cs="Times New Roman"/>
                <w:color w:val="auto"/>
                <w:sz w:val="24"/>
                <w:szCs w:val="24"/>
                <w:highlight w:val="none"/>
              </w:rPr>
              <w:t>的2023年空气质量状</w:t>
            </w:r>
            <w:r>
              <w:rPr>
                <w:rFonts w:hint="eastAsia" w:ascii="宋体" w:hAnsi="宋体" w:eastAsia="宋体" w:cs="宋体"/>
                <w:color w:val="auto"/>
                <w:sz w:val="24"/>
                <w:szCs w:val="24"/>
                <w:highlight w:val="none"/>
              </w:rPr>
              <w:t>况数据，</w:t>
            </w:r>
            <w:r>
              <w:rPr>
                <w:rFonts w:hint="default" w:ascii="Times New Roman" w:hAnsi="Times New Roman" w:eastAsia="宋体" w:cs="Times New Roman"/>
                <w:color w:val="auto"/>
                <w:sz w:val="24"/>
                <w:szCs w:val="24"/>
                <w:highlight w:val="none"/>
              </w:rPr>
              <w:t>作为本项目环境空气现状评价基本污染物SO</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、NO</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、PM</w:t>
            </w:r>
            <w:r>
              <w:rPr>
                <w:rFonts w:hint="default" w:ascii="Times New Roman" w:hAnsi="Times New Roman" w:eastAsia="宋体" w:cs="Times New Roman"/>
                <w:color w:val="auto"/>
                <w:sz w:val="24"/>
                <w:szCs w:val="24"/>
                <w:highlight w:val="none"/>
                <w:vertAlign w:val="subscript"/>
              </w:rPr>
              <w:t>10</w:t>
            </w:r>
            <w:r>
              <w:rPr>
                <w:rFonts w:hint="default" w:ascii="Times New Roman" w:hAnsi="Times New Roman" w:eastAsia="宋体" w:cs="Times New Roman"/>
                <w:color w:val="auto"/>
                <w:sz w:val="24"/>
                <w:szCs w:val="24"/>
                <w:highlight w:val="none"/>
              </w:rPr>
              <w:t>、PM</w:t>
            </w:r>
            <w:r>
              <w:rPr>
                <w:rFonts w:hint="default" w:ascii="Times New Roman" w:hAnsi="Times New Roman" w:eastAsia="宋体" w:cs="Times New Roman"/>
                <w:color w:val="auto"/>
                <w:sz w:val="24"/>
                <w:szCs w:val="24"/>
                <w:highlight w:val="none"/>
                <w:vertAlign w:val="subscript"/>
              </w:rPr>
              <w:t>2.5</w:t>
            </w:r>
            <w:r>
              <w:rPr>
                <w:rFonts w:hint="default" w:ascii="Times New Roman" w:hAnsi="Times New Roman" w:eastAsia="宋体" w:cs="Times New Roman"/>
                <w:color w:val="auto"/>
                <w:sz w:val="24"/>
                <w:szCs w:val="24"/>
                <w:highlight w:val="none"/>
              </w:rPr>
              <w:t>、CO和O</w:t>
            </w:r>
            <w:r>
              <w:rPr>
                <w:rFonts w:hint="default" w:ascii="Times New Roman" w:hAnsi="Times New Roman" w:eastAsia="宋体" w:cs="Times New Roman"/>
                <w:color w:val="auto"/>
                <w:sz w:val="24"/>
                <w:szCs w:val="24"/>
                <w:highlight w:val="none"/>
                <w:vertAlign w:val="subscript"/>
              </w:rPr>
              <w:t>3</w:t>
            </w:r>
            <w:r>
              <w:rPr>
                <w:rFonts w:hint="default" w:ascii="Times New Roman" w:hAnsi="Times New Roman" w:eastAsia="宋体" w:cs="Times New Roman"/>
                <w:color w:val="auto"/>
                <w:sz w:val="24"/>
                <w:szCs w:val="24"/>
                <w:highlight w:val="none"/>
              </w:rPr>
              <w:t>的数据来源。</w:t>
            </w:r>
          </w:p>
          <w:p w14:paraId="17F27CC7">
            <w:pPr>
              <w:pStyle w:val="7"/>
              <w:bidi w:val="0"/>
              <w:spacing w:line="360" w:lineRule="auto"/>
              <w:jc w:val="both"/>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lang w:val="en-US" w:eastAsia="zh-CN"/>
              </w:rPr>
              <w:t>.1项目所在预期环境质量达标情况</w:t>
            </w:r>
          </w:p>
          <w:p w14:paraId="693164B7">
            <w:pPr>
              <w:spacing w:line="360" w:lineRule="auto"/>
              <w:ind w:firstLine="48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（1）评价标准</w:t>
            </w:r>
          </w:p>
          <w:p w14:paraId="7F43BB4F">
            <w:pPr>
              <w:spacing w:line="360" w:lineRule="auto"/>
              <w:ind w:firstLine="48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根据本项目所在区域的环境功能区划，</w:t>
            </w:r>
            <w:r>
              <w:rPr>
                <w:rFonts w:hint="default" w:ascii="Times New Roman" w:hAnsi="Times New Roman" w:eastAsia="宋体" w:cs="Times New Roman"/>
                <w:color w:val="auto"/>
                <w:sz w:val="24"/>
                <w:szCs w:val="24"/>
                <w:highlight w:val="none"/>
                <w:lang w:val="en-US" w:eastAsia="zh-CN"/>
              </w:rPr>
              <w:t>基本因子</w:t>
            </w:r>
            <w:r>
              <w:rPr>
                <w:rFonts w:hint="default" w:ascii="Times New Roman" w:hAnsi="Times New Roman" w:eastAsia="宋体" w:cs="Times New Roman"/>
                <w:color w:val="auto"/>
                <w:sz w:val="24"/>
                <w:szCs w:val="24"/>
                <w:highlight w:val="none"/>
              </w:rPr>
              <w:t>SO</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、NO</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、PM</w:t>
            </w:r>
            <w:r>
              <w:rPr>
                <w:rFonts w:hint="default" w:ascii="Times New Roman" w:hAnsi="Times New Roman" w:eastAsia="宋体" w:cs="Times New Roman"/>
                <w:color w:val="auto"/>
                <w:sz w:val="24"/>
                <w:szCs w:val="24"/>
                <w:highlight w:val="none"/>
                <w:vertAlign w:val="subscript"/>
              </w:rPr>
              <w:t>10</w:t>
            </w:r>
            <w:r>
              <w:rPr>
                <w:rFonts w:hint="default" w:ascii="Times New Roman" w:hAnsi="Times New Roman" w:eastAsia="宋体" w:cs="Times New Roman"/>
                <w:color w:val="auto"/>
                <w:sz w:val="24"/>
                <w:szCs w:val="24"/>
                <w:highlight w:val="none"/>
              </w:rPr>
              <w:t>、PM</w:t>
            </w:r>
            <w:r>
              <w:rPr>
                <w:rFonts w:hint="default" w:ascii="Times New Roman" w:hAnsi="Times New Roman" w:eastAsia="宋体" w:cs="Times New Roman"/>
                <w:color w:val="auto"/>
                <w:sz w:val="24"/>
                <w:szCs w:val="24"/>
                <w:highlight w:val="none"/>
                <w:vertAlign w:val="subscript"/>
              </w:rPr>
              <w:t>2.5</w:t>
            </w:r>
            <w:r>
              <w:rPr>
                <w:rFonts w:hint="default" w:ascii="Times New Roman" w:hAnsi="Times New Roman" w:eastAsia="宋体" w:cs="Times New Roman"/>
                <w:color w:val="auto"/>
                <w:sz w:val="24"/>
                <w:szCs w:val="24"/>
                <w:highlight w:val="none"/>
              </w:rPr>
              <w:t>、TSP、CO</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O</w:t>
            </w:r>
            <w:r>
              <w:rPr>
                <w:rFonts w:hint="default" w:ascii="Times New Roman" w:hAnsi="Times New Roman" w:eastAsia="宋体" w:cs="Times New Roman"/>
                <w:color w:val="auto"/>
                <w:sz w:val="24"/>
                <w:szCs w:val="24"/>
                <w:highlight w:val="none"/>
                <w:vertAlign w:val="subscript"/>
              </w:rPr>
              <w:t>3</w:t>
            </w:r>
            <w:r>
              <w:rPr>
                <w:rFonts w:hint="default" w:ascii="Times New Roman" w:hAnsi="Times New Roman" w:eastAsia="宋体" w:cs="Times New Roman"/>
                <w:color w:val="auto"/>
                <w:sz w:val="24"/>
                <w:szCs w:val="24"/>
                <w:highlight w:val="none"/>
                <w:lang w:val="en-US" w:eastAsia="zh-CN"/>
              </w:rPr>
              <w:t>和特征因子TSP</w:t>
            </w:r>
            <w:r>
              <w:rPr>
                <w:rFonts w:hint="default" w:ascii="Times New Roman" w:hAnsi="Times New Roman" w:eastAsia="宋体" w:cs="Times New Roman"/>
                <w:color w:val="auto"/>
                <w:sz w:val="24"/>
                <w:szCs w:val="24"/>
                <w:highlight w:val="none"/>
              </w:rPr>
              <w:t>执行《环境空气质量标准》（GB3095-2012）中二级标准。</w:t>
            </w:r>
          </w:p>
          <w:p w14:paraId="20501307">
            <w:pPr>
              <w:spacing w:line="360" w:lineRule="auto"/>
              <w:ind w:firstLine="48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（2）评价方法</w:t>
            </w:r>
          </w:p>
          <w:p w14:paraId="0A5426BF">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2"/>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基本污染物按照《环境空气质量评价技术规范（试行）》</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HJ663-2013</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中各评价项目的年评价指标进行判定。年评价指标中的年均浓度和相应百分位数24h平均或8h平均质量浓度满足GB3095中浓度限值要求的即为达标。对于超标的污染物，计算其超标倍数和超标率。</w:t>
            </w:r>
          </w:p>
          <w:p w14:paraId="43A5DCA4">
            <w:pPr>
              <w:spacing w:line="360" w:lineRule="auto"/>
              <w:ind w:firstLine="48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空气质量达标区判定结果见表3-1。</w:t>
            </w:r>
          </w:p>
          <w:p w14:paraId="587E257D">
            <w:pPr>
              <w:pStyle w:val="49"/>
              <w:rPr>
                <w:b/>
                <w:bCs/>
                <w:color w:val="auto"/>
                <w:highlight w:val="none"/>
              </w:rPr>
            </w:pPr>
            <w:r>
              <w:rPr>
                <w:color w:val="auto"/>
                <w:highlight w:val="none"/>
              </w:rPr>
              <w:t>表</w:t>
            </w:r>
            <w:r>
              <w:rPr>
                <w:rFonts w:hint="eastAsia"/>
                <w:color w:val="auto"/>
                <w:highlight w:val="none"/>
              </w:rPr>
              <w:t>3</w:t>
            </w:r>
            <w:r>
              <w:rPr>
                <w:color w:val="auto"/>
                <w:highlight w:val="none"/>
              </w:rPr>
              <w:t>-1</w:t>
            </w:r>
            <w:r>
              <w:rPr>
                <w:rFonts w:hint="eastAsia"/>
                <w:color w:val="auto"/>
                <w:highlight w:val="none"/>
                <w:lang w:val="en-US" w:eastAsia="zh-CN"/>
              </w:rPr>
              <w:t xml:space="preserve">    </w:t>
            </w:r>
            <w:r>
              <w:rPr>
                <w:color w:val="auto"/>
                <w:highlight w:val="none"/>
              </w:rPr>
              <w:t>区域空气质量现状评价表</w:t>
            </w:r>
          </w:p>
          <w:tbl>
            <w:tblPr>
              <w:tblStyle w:val="26"/>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987"/>
              <w:gridCol w:w="2530"/>
              <w:gridCol w:w="1774"/>
              <w:gridCol w:w="1691"/>
              <w:gridCol w:w="989"/>
            </w:tblGrid>
            <w:tr w14:paraId="4BBCCF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676" w:type="pct"/>
                  <w:vMerge w:val="restart"/>
                  <w:tcBorders>
                    <w:tl2br w:val="nil"/>
                    <w:tr2bl w:val="nil"/>
                  </w:tcBorders>
                  <w:noWrap/>
                  <w:vAlign w:val="center"/>
                </w:tcPr>
                <w:p w14:paraId="5B53E078">
                  <w:pPr>
                    <w:pStyle w:val="5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评价因子</w:t>
                  </w:r>
                </w:p>
              </w:tc>
              <w:tc>
                <w:tcPr>
                  <w:tcW w:w="1358" w:type="pct"/>
                  <w:vMerge w:val="restart"/>
                  <w:tcBorders>
                    <w:tl2br w:val="nil"/>
                    <w:tr2bl w:val="nil"/>
                  </w:tcBorders>
                  <w:noWrap/>
                  <w:vAlign w:val="center"/>
                </w:tcPr>
                <w:p w14:paraId="3B80044A">
                  <w:pPr>
                    <w:pStyle w:val="5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平均时段</w:t>
                  </w:r>
                </w:p>
              </w:tc>
              <w:tc>
                <w:tcPr>
                  <w:tcW w:w="1169" w:type="pct"/>
                  <w:tcBorders>
                    <w:tl2br w:val="nil"/>
                    <w:tr2bl w:val="nil"/>
                  </w:tcBorders>
                  <w:noWrap/>
                  <w:vAlign w:val="center"/>
                </w:tcPr>
                <w:p w14:paraId="6575A489">
                  <w:pPr>
                    <w:pStyle w:val="5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现状浓度/</w:t>
                  </w:r>
                </w:p>
              </w:tc>
              <w:tc>
                <w:tcPr>
                  <w:tcW w:w="1117" w:type="pct"/>
                  <w:tcBorders>
                    <w:tl2br w:val="nil"/>
                    <w:tr2bl w:val="nil"/>
                  </w:tcBorders>
                  <w:noWrap/>
                  <w:vAlign w:val="center"/>
                </w:tcPr>
                <w:p w14:paraId="460865BD">
                  <w:pPr>
                    <w:pStyle w:val="5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标准限值/</w:t>
                  </w:r>
                </w:p>
              </w:tc>
              <w:tc>
                <w:tcPr>
                  <w:tcW w:w="677" w:type="pct"/>
                  <w:vMerge w:val="restart"/>
                  <w:tcBorders>
                    <w:tl2br w:val="nil"/>
                    <w:tr2bl w:val="nil"/>
                  </w:tcBorders>
                  <w:noWrap/>
                  <w:vAlign w:val="center"/>
                </w:tcPr>
                <w:p w14:paraId="675EC772">
                  <w:pPr>
                    <w:pStyle w:val="5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达标情况</w:t>
                  </w:r>
                </w:p>
              </w:tc>
            </w:tr>
            <w:tr w14:paraId="1B906E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676" w:type="pct"/>
                  <w:vMerge w:val="continue"/>
                  <w:tcBorders>
                    <w:tl2br w:val="nil"/>
                    <w:tr2bl w:val="nil"/>
                  </w:tcBorders>
                  <w:noWrap/>
                  <w:vAlign w:val="center"/>
                </w:tcPr>
                <w:p w14:paraId="3205D82E">
                  <w:pPr>
                    <w:pStyle w:val="5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Cs w:val="21"/>
                      <w:highlight w:val="none"/>
                    </w:rPr>
                  </w:pPr>
                </w:p>
              </w:tc>
              <w:tc>
                <w:tcPr>
                  <w:tcW w:w="1358" w:type="pct"/>
                  <w:vMerge w:val="continue"/>
                  <w:tcBorders>
                    <w:tl2br w:val="nil"/>
                    <w:tr2bl w:val="nil"/>
                  </w:tcBorders>
                  <w:noWrap/>
                  <w:vAlign w:val="center"/>
                </w:tcPr>
                <w:p w14:paraId="72CECB84">
                  <w:pPr>
                    <w:pStyle w:val="5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Cs w:val="21"/>
                      <w:highlight w:val="none"/>
                    </w:rPr>
                  </w:pPr>
                </w:p>
              </w:tc>
              <w:tc>
                <w:tcPr>
                  <w:tcW w:w="1169" w:type="pct"/>
                  <w:tcBorders>
                    <w:tl2br w:val="nil"/>
                    <w:tr2bl w:val="nil"/>
                  </w:tcBorders>
                  <w:noWrap/>
                  <w:vAlign w:val="center"/>
                </w:tcPr>
                <w:p w14:paraId="7633C1CD">
                  <w:pPr>
                    <w:pStyle w:val="5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（μg/m³）</w:t>
                  </w:r>
                </w:p>
              </w:tc>
              <w:tc>
                <w:tcPr>
                  <w:tcW w:w="1117" w:type="pct"/>
                  <w:tcBorders>
                    <w:tl2br w:val="nil"/>
                    <w:tr2bl w:val="nil"/>
                  </w:tcBorders>
                  <w:noWrap/>
                  <w:vAlign w:val="center"/>
                </w:tcPr>
                <w:p w14:paraId="3C4C4AD9">
                  <w:pPr>
                    <w:pStyle w:val="5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（μg/m³）</w:t>
                  </w:r>
                </w:p>
              </w:tc>
              <w:tc>
                <w:tcPr>
                  <w:tcW w:w="677" w:type="pct"/>
                  <w:vMerge w:val="continue"/>
                  <w:tcBorders>
                    <w:tl2br w:val="nil"/>
                    <w:tr2bl w:val="nil"/>
                  </w:tcBorders>
                  <w:noWrap/>
                  <w:vAlign w:val="center"/>
                </w:tcPr>
                <w:p w14:paraId="5DCF53FA">
                  <w:pPr>
                    <w:pStyle w:val="5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Cs w:val="21"/>
                      <w:highlight w:val="none"/>
                    </w:rPr>
                  </w:pPr>
                </w:p>
              </w:tc>
            </w:tr>
            <w:tr w14:paraId="0E184D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676" w:type="pct"/>
                  <w:tcBorders>
                    <w:tl2br w:val="nil"/>
                    <w:tr2bl w:val="nil"/>
                  </w:tcBorders>
                  <w:noWrap/>
                  <w:vAlign w:val="center"/>
                </w:tcPr>
                <w:p w14:paraId="5EF32C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rPr>
                    <w:t>SO</w:t>
                  </w:r>
                  <w:r>
                    <w:rPr>
                      <w:rFonts w:hint="default" w:ascii="Times New Roman" w:hAnsi="Times New Roman" w:eastAsia="宋体" w:cs="Times New Roman"/>
                      <w:color w:val="auto"/>
                      <w:sz w:val="21"/>
                      <w:szCs w:val="21"/>
                      <w:highlight w:val="none"/>
                      <w:vertAlign w:val="subscript"/>
                    </w:rPr>
                    <w:t>2</w:t>
                  </w:r>
                </w:p>
              </w:tc>
              <w:tc>
                <w:tcPr>
                  <w:tcW w:w="1358" w:type="pct"/>
                  <w:tcBorders>
                    <w:tl2br w:val="nil"/>
                    <w:tr2bl w:val="nil"/>
                  </w:tcBorders>
                  <w:noWrap/>
                  <w:vAlign w:val="center"/>
                </w:tcPr>
                <w:p w14:paraId="6AB5F4CA">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b w:val="0"/>
                      <w:bCs w:val="0"/>
                      <w:color w:val="auto"/>
                      <w:sz w:val="21"/>
                      <w:szCs w:val="21"/>
                      <w:highlight w:val="none"/>
                    </w:rPr>
                    <w:t>年平均质量浓度</w:t>
                  </w:r>
                </w:p>
              </w:tc>
              <w:tc>
                <w:tcPr>
                  <w:tcW w:w="1169" w:type="pct"/>
                  <w:tcBorders>
                    <w:tl2br w:val="nil"/>
                    <w:tr2bl w:val="nil"/>
                  </w:tcBorders>
                  <w:noWrap/>
                  <w:vAlign w:val="center"/>
                </w:tcPr>
                <w:p w14:paraId="3EA7209E">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b w:val="0"/>
                      <w:bCs w:val="0"/>
                      <w:color w:val="auto"/>
                      <w:sz w:val="21"/>
                      <w:szCs w:val="21"/>
                      <w:highlight w:val="none"/>
                    </w:rPr>
                    <w:t>7</w:t>
                  </w:r>
                </w:p>
              </w:tc>
              <w:tc>
                <w:tcPr>
                  <w:tcW w:w="1117" w:type="pct"/>
                  <w:tcBorders>
                    <w:tl2br w:val="nil"/>
                    <w:tr2bl w:val="nil"/>
                  </w:tcBorders>
                  <w:noWrap/>
                  <w:vAlign w:val="center"/>
                </w:tcPr>
                <w:p w14:paraId="608995DE">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b w:val="0"/>
                      <w:bCs w:val="0"/>
                      <w:color w:val="auto"/>
                      <w:sz w:val="21"/>
                      <w:szCs w:val="21"/>
                      <w:highlight w:val="none"/>
                    </w:rPr>
                    <w:t>60</w:t>
                  </w:r>
                </w:p>
              </w:tc>
              <w:tc>
                <w:tcPr>
                  <w:tcW w:w="677" w:type="pct"/>
                  <w:tcBorders>
                    <w:tl2br w:val="nil"/>
                    <w:tr2bl w:val="nil"/>
                  </w:tcBorders>
                  <w:noWrap/>
                  <w:vAlign w:val="center"/>
                </w:tcPr>
                <w:p w14:paraId="2E19403B">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b w:val="0"/>
                      <w:bCs w:val="0"/>
                      <w:color w:val="auto"/>
                      <w:sz w:val="21"/>
                      <w:szCs w:val="21"/>
                      <w:highlight w:val="none"/>
                    </w:rPr>
                    <w:t>达标</w:t>
                  </w:r>
                </w:p>
              </w:tc>
            </w:tr>
            <w:tr w14:paraId="24708C9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676" w:type="pct"/>
                  <w:tcBorders>
                    <w:tl2br w:val="nil"/>
                    <w:tr2bl w:val="nil"/>
                  </w:tcBorders>
                  <w:noWrap/>
                  <w:vAlign w:val="center"/>
                </w:tcPr>
                <w:p w14:paraId="432EA3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rPr>
                    <w:t>NO</w:t>
                  </w:r>
                  <w:r>
                    <w:rPr>
                      <w:rFonts w:hint="default" w:ascii="Times New Roman" w:hAnsi="Times New Roman" w:eastAsia="宋体" w:cs="Times New Roman"/>
                      <w:color w:val="auto"/>
                      <w:sz w:val="21"/>
                      <w:szCs w:val="21"/>
                      <w:highlight w:val="none"/>
                      <w:vertAlign w:val="subscript"/>
                    </w:rPr>
                    <w:t>2</w:t>
                  </w:r>
                </w:p>
              </w:tc>
              <w:tc>
                <w:tcPr>
                  <w:tcW w:w="1358" w:type="pct"/>
                  <w:tcBorders>
                    <w:tl2br w:val="nil"/>
                    <w:tr2bl w:val="nil"/>
                  </w:tcBorders>
                  <w:noWrap/>
                  <w:vAlign w:val="center"/>
                </w:tcPr>
                <w:p w14:paraId="2B438AA5">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b w:val="0"/>
                      <w:bCs w:val="0"/>
                      <w:color w:val="auto"/>
                      <w:sz w:val="21"/>
                      <w:szCs w:val="21"/>
                      <w:highlight w:val="none"/>
                    </w:rPr>
                    <w:t>年平均质量浓度</w:t>
                  </w:r>
                </w:p>
              </w:tc>
              <w:tc>
                <w:tcPr>
                  <w:tcW w:w="1169" w:type="pct"/>
                  <w:tcBorders>
                    <w:tl2br w:val="nil"/>
                    <w:tr2bl w:val="nil"/>
                  </w:tcBorders>
                  <w:noWrap/>
                  <w:vAlign w:val="center"/>
                </w:tcPr>
                <w:p w14:paraId="7172832A">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b w:val="0"/>
                      <w:bCs w:val="0"/>
                      <w:color w:val="auto"/>
                      <w:sz w:val="21"/>
                      <w:szCs w:val="21"/>
                      <w:highlight w:val="none"/>
                    </w:rPr>
                    <w:t>32</w:t>
                  </w:r>
                </w:p>
              </w:tc>
              <w:tc>
                <w:tcPr>
                  <w:tcW w:w="1117" w:type="pct"/>
                  <w:tcBorders>
                    <w:tl2br w:val="nil"/>
                    <w:tr2bl w:val="nil"/>
                  </w:tcBorders>
                  <w:noWrap/>
                  <w:vAlign w:val="center"/>
                </w:tcPr>
                <w:p w14:paraId="326712AC">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b w:val="0"/>
                      <w:bCs w:val="0"/>
                      <w:color w:val="auto"/>
                      <w:sz w:val="21"/>
                      <w:szCs w:val="21"/>
                      <w:highlight w:val="none"/>
                    </w:rPr>
                    <w:t>40</w:t>
                  </w:r>
                </w:p>
              </w:tc>
              <w:tc>
                <w:tcPr>
                  <w:tcW w:w="677" w:type="pct"/>
                  <w:tcBorders>
                    <w:tl2br w:val="nil"/>
                    <w:tr2bl w:val="nil"/>
                  </w:tcBorders>
                  <w:noWrap/>
                  <w:vAlign w:val="center"/>
                </w:tcPr>
                <w:p w14:paraId="22376529">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b w:val="0"/>
                      <w:bCs w:val="0"/>
                      <w:color w:val="auto"/>
                      <w:sz w:val="21"/>
                      <w:szCs w:val="21"/>
                      <w:highlight w:val="none"/>
                    </w:rPr>
                    <w:t>达标</w:t>
                  </w:r>
                </w:p>
              </w:tc>
            </w:tr>
            <w:tr w14:paraId="18793A1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676" w:type="pct"/>
                  <w:tcBorders>
                    <w:tl2br w:val="nil"/>
                    <w:tr2bl w:val="nil"/>
                  </w:tcBorders>
                  <w:noWrap/>
                  <w:vAlign w:val="center"/>
                </w:tcPr>
                <w:p w14:paraId="653443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 w:val="21"/>
                      <w:szCs w:val="21"/>
                      <w:highlight w:val="none"/>
                    </w:rPr>
                    <w:t>PM</w:t>
                  </w:r>
                  <w:r>
                    <w:rPr>
                      <w:rFonts w:hint="default" w:ascii="Times New Roman" w:hAnsi="Times New Roman" w:eastAsia="宋体" w:cs="Times New Roman"/>
                      <w:color w:val="auto"/>
                      <w:sz w:val="21"/>
                      <w:szCs w:val="21"/>
                      <w:highlight w:val="none"/>
                      <w:vertAlign w:val="subscript"/>
                    </w:rPr>
                    <w:t>10</w:t>
                  </w:r>
                </w:p>
              </w:tc>
              <w:tc>
                <w:tcPr>
                  <w:tcW w:w="1358" w:type="pct"/>
                  <w:tcBorders>
                    <w:tl2br w:val="nil"/>
                    <w:tr2bl w:val="nil"/>
                  </w:tcBorders>
                  <w:noWrap/>
                  <w:vAlign w:val="center"/>
                </w:tcPr>
                <w:p w14:paraId="55AE7430">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b w:val="0"/>
                      <w:bCs w:val="0"/>
                      <w:color w:val="auto"/>
                      <w:sz w:val="21"/>
                      <w:szCs w:val="21"/>
                      <w:highlight w:val="none"/>
                    </w:rPr>
                    <w:t>年平均质量浓度</w:t>
                  </w:r>
                </w:p>
              </w:tc>
              <w:tc>
                <w:tcPr>
                  <w:tcW w:w="1169" w:type="pct"/>
                  <w:tcBorders>
                    <w:tl2br w:val="nil"/>
                    <w:tr2bl w:val="nil"/>
                  </w:tcBorders>
                  <w:noWrap/>
                  <w:vAlign w:val="center"/>
                </w:tcPr>
                <w:p w14:paraId="21972EB2">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b w:val="0"/>
                      <w:bCs w:val="0"/>
                      <w:color w:val="auto"/>
                      <w:sz w:val="21"/>
                      <w:szCs w:val="21"/>
                      <w:highlight w:val="none"/>
                    </w:rPr>
                    <w:t>83</w:t>
                  </w:r>
                </w:p>
              </w:tc>
              <w:tc>
                <w:tcPr>
                  <w:tcW w:w="1117" w:type="pct"/>
                  <w:tcBorders>
                    <w:tl2br w:val="nil"/>
                    <w:tr2bl w:val="nil"/>
                  </w:tcBorders>
                  <w:noWrap/>
                  <w:vAlign w:val="center"/>
                </w:tcPr>
                <w:p w14:paraId="04670D4D">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b w:val="0"/>
                      <w:bCs w:val="0"/>
                      <w:color w:val="auto"/>
                      <w:sz w:val="21"/>
                      <w:szCs w:val="21"/>
                      <w:highlight w:val="none"/>
                    </w:rPr>
                    <w:t>70</w:t>
                  </w:r>
                </w:p>
              </w:tc>
              <w:tc>
                <w:tcPr>
                  <w:tcW w:w="677" w:type="pct"/>
                  <w:tcBorders>
                    <w:tl2br w:val="nil"/>
                    <w:tr2bl w:val="nil"/>
                  </w:tcBorders>
                  <w:noWrap/>
                  <w:vAlign w:val="center"/>
                </w:tcPr>
                <w:p w14:paraId="744EA8D3">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b w:val="0"/>
                      <w:bCs w:val="0"/>
                      <w:color w:val="auto"/>
                      <w:sz w:val="21"/>
                      <w:szCs w:val="21"/>
                      <w:highlight w:val="none"/>
                    </w:rPr>
                    <w:t>超标</w:t>
                  </w:r>
                </w:p>
              </w:tc>
            </w:tr>
            <w:tr w14:paraId="559F20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676" w:type="pct"/>
                  <w:tcBorders>
                    <w:tl2br w:val="nil"/>
                    <w:tr2bl w:val="nil"/>
                  </w:tcBorders>
                  <w:noWrap/>
                  <w:vAlign w:val="center"/>
                </w:tcPr>
                <w:p w14:paraId="7FDAB5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rPr>
                    <w:t>PM</w:t>
                  </w:r>
                  <w:r>
                    <w:rPr>
                      <w:rFonts w:hint="default" w:ascii="Times New Roman" w:hAnsi="Times New Roman" w:eastAsia="宋体" w:cs="Times New Roman"/>
                      <w:color w:val="auto"/>
                      <w:sz w:val="21"/>
                      <w:szCs w:val="21"/>
                      <w:highlight w:val="none"/>
                      <w:vertAlign w:val="subscript"/>
                    </w:rPr>
                    <w:t>2.5</w:t>
                  </w:r>
                </w:p>
              </w:tc>
              <w:tc>
                <w:tcPr>
                  <w:tcW w:w="1358" w:type="pct"/>
                  <w:tcBorders>
                    <w:tl2br w:val="nil"/>
                    <w:tr2bl w:val="nil"/>
                  </w:tcBorders>
                  <w:noWrap/>
                  <w:vAlign w:val="center"/>
                </w:tcPr>
                <w:p w14:paraId="36D7F9D3">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b w:val="0"/>
                      <w:bCs w:val="0"/>
                      <w:color w:val="auto"/>
                      <w:sz w:val="21"/>
                      <w:szCs w:val="21"/>
                      <w:highlight w:val="none"/>
                    </w:rPr>
                    <w:t>年平均质量浓度</w:t>
                  </w:r>
                </w:p>
              </w:tc>
              <w:tc>
                <w:tcPr>
                  <w:tcW w:w="1169" w:type="pct"/>
                  <w:tcBorders>
                    <w:tl2br w:val="nil"/>
                    <w:tr2bl w:val="nil"/>
                  </w:tcBorders>
                  <w:noWrap/>
                  <w:vAlign w:val="center"/>
                </w:tcPr>
                <w:p w14:paraId="0CA6A0F3">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b w:val="0"/>
                      <w:bCs w:val="0"/>
                      <w:color w:val="auto"/>
                      <w:sz w:val="21"/>
                      <w:szCs w:val="21"/>
                      <w:highlight w:val="none"/>
                    </w:rPr>
                    <w:t>48</w:t>
                  </w:r>
                </w:p>
              </w:tc>
              <w:tc>
                <w:tcPr>
                  <w:tcW w:w="1117" w:type="pct"/>
                  <w:tcBorders>
                    <w:tl2br w:val="nil"/>
                    <w:tr2bl w:val="nil"/>
                  </w:tcBorders>
                  <w:noWrap/>
                  <w:vAlign w:val="center"/>
                </w:tcPr>
                <w:p w14:paraId="27609156">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b w:val="0"/>
                      <w:bCs w:val="0"/>
                      <w:color w:val="auto"/>
                      <w:sz w:val="21"/>
                      <w:szCs w:val="21"/>
                      <w:highlight w:val="none"/>
                    </w:rPr>
                    <w:t>35</w:t>
                  </w:r>
                </w:p>
              </w:tc>
              <w:tc>
                <w:tcPr>
                  <w:tcW w:w="677" w:type="pct"/>
                  <w:tcBorders>
                    <w:tl2br w:val="nil"/>
                    <w:tr2bl w:val="nil"/>
                  </w:tcBorders>
                  <w:noWrap/>
                  <w:vAlign w:val="center"/>
                </w:tcPr>
                <w:p w14:paraId="601EFD8D">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b w:val="0"/>
                      <w:bCs w:val="0"/>
                      <w:color w:val="auto"/>
                      <w:sz w:val="21"/>
                      <w:szCs w:val="21"/>
                      <w:highlight w:val="none"/>
                    </w:rPr>
                    <w:t>超标</w:t>
                  </w:r>
                </w:p>
              </w:tc>
            </w:tr>
            <w:tr w14:paraId="070434F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676" w:type="pct"/>
                  <w:tcBorders>
                    <w:tl2br w:val="nil"/>
                    <w:tr2bl w:val="nil"/>
                  </w:tcBorders>
                  <w:noWrap/>
                  <w:vAlign w:val="center"/>
                </w:tcPr>
                <w:p w14:paraId="75BF3F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rPr>
                    <w:t>CO</w:t>
                  </w:r>
                </w:p>
              </w:tc>
              <w:tc>
                <w:tcPr>
                  <w:tcW w:w="1358" w:type="pct"/>
                  <w:tcBorders>
                    <w:tl2br w:val="nil"/>
                    <w:tr2bl w:val="nil"/>
                  </w:tcBorders>
                  <w:noWrap/>
                  <w:vAlign w:val="center"/>
                </w:tcPr>
                <w:p w14:paraId="51CA654C">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b w:val="0"/>
                      <w:bCs w:val="0"/>
                      <w:color w:val="auto"/>
                      <w:sz w:val="21"/>
                      <w:szCs w:val="21"/>
                      <w:highlight w:val="none"/>
                    </w:rPr>
                    <w:t>日平均第95百分位数</w:t>
                  </w:r>
                </w:p>
              </w:tc>
              <w:tc>
                <w:tcPr>
                  <w:tcW w:w="1169" w:type="pct"/>
                  <w:tcBorders>
                    <w:tl2br w:val="nil"/>
                    <w:tr2bl w:val="nil"/>
                  </w:tcBorders>
                  <w:noWrap/>
                  <w:vAlign w:val="center"/>
                </w:tcPr>
                <w:p w14:paraId="6836505C">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b w:val="0"/>
                      <w:bCs w:val="0"/>
                      <w:color w:val="auto"/>
                      <w:sz w:val="21"/>
                      <w:szCs w:val="21"/>
                      <w:highlight w:val="none"/>
                    </w:rPr>
                    <w:t>2200</w:t>
                  </w:r>
                </w:p>
              </w:tc>
              <w:tc>
                <w:tcPr>
                  <w:tcW w:w="1117" w:type="pct"/>
                  <w:tcBorders>
                    <w:tl2br w:val="nil"/>
                    <w:tr2bl w:val="nil"/>
                  </w:tcBorders>
                  <w:noWrap/>
                  <w:vAlign w:val="center"/>
                </w:tcPr>
                <w:p w14:paraId="5BF184E5">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b w:val="0"/>
                      <w:bCs w:val="0"/>
                      <w:color w:val="auto"/>
                      <w:sz w:val="21"/>
                      <w:szCs w:val="21"/>
                      <w:highlight w:val="none"/>
                    </w:rPr>
                    <w:t>4000</w:t>
                  </w:r>
                </w:p>
              </w:tc>
              <w:tc>
                <w:tcPr>
                  <w:tcW w:w="677" w:type="pct"/>
                  <w:tcBorders>
                    <w:tl2br w:val="nil"/>
                    <w:tr2bl w:val="nil"/>
                  </w:tcBorders>
                  <w:noWrap/>
                  <w:vAlign w:val="center"/>
                </w:tcPr>
                <w:p w14:paraId="13B86D6F">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b w:val="0"/>
                      <w:bCs w:val="0"/>
                      <w:color w:val="auto"/>
                      <w:sz w:val="21"/>
                      <w:szCs w:val="21"/>
                      <w:highlight w:val="none"/>
                    </w:rPr>
                    <w:t>达标</w:t>
                  </w:r>
                </w:p>
              </w:tc>
            </w:tr>
            <w:tr w14:paraId="4116FC8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676" w:type="pct"/>
                  <w:tcBorders>
                    <w:tl2br w:val="nil"/>
                    <w:tr2bl w:val="nil"/>
                  </w:tcBorders>
                  <w:noWrap/>
                  <w:vAlign w:val="center"/>
                </w:tcPr>
                <w:p w14:paraId="758614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rPr>
                    <w:t>O</w:t>
                  </w:r>
                  <w:r>
                    <w:rPr>
                      <w:rFonts w:hint="default" w:ascii="Times New Roman" w:hAnsi="Times New Roman" w:eastAsia="宋体" w:cs="Times New Roman"/>
                      <w:color w:val="auto"/>
                      <w:sz w:val="21"/>
                      <w:szCs w:val="21"/>
                      <w:highlight w:val="none"/>
                      <w:vertAlign w:val="subscript"/>
                    </w:rPr>
                    <w:t>3</w:t>
                  </w:r>
                </w:p>
              </w:tc>
              <w:tc>
                <w:tcPr>
                  <w:tcW w:w="1358" w:type="pct"/>
                  <w:tcBorders>
                    <w:tl2br w:val="nil"/>
                    <w:tr2bl w:val="nil"/>
                  </w:tcBorders>
                  <w:noWrap/>
                  <w:vAlign w:val="center"/>
                </w:tcPr>
                <w:p w14:paraId="6EE1CB23">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b w:val="0"/>
                      <w:bCs w:val="0"/>
                      <w:color w:val="auto"/>
                      <w:sz w:val="21"/>
                      <w:szCs w:val="21"/>
                      <w:highlight w:val="none"/>
                    </w:rPr>
                    <w:t>最大8h平均第90百分位数</w:t>
                  </w:r>
                </w:p>
              </w:tc>
              <w:tc>
                <w:tcPr>
                  <w:tcW w:w="1169" w:type="pct"/>
                  <w:tcBorders>
                    <w:tl2br w:val="nil"/>
                    <w:tr2bl w:val="nil"/>
                  </w:tcBorders>
                  <w:noWrap/>
                  <w:vAlign w:val="center"/>
                </w:tcPr>
                <w:p w14:paraId="725605B9">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b w:val="0"/>
                      <w:bCs w:val="0"/>
                      <w:color w:val="auto"/>
                      <w:sz w:val="21"/>
                      <w:szCs w:val="21"/>
                      <w:highlight w:val="none"/>
                    </w:rPr>
                    <w:t>143</w:t>
                  </w:r>
                </w:p>
              </w:tc>
              <w:tc>
                <w:tcPr>
                  <w:tcW w:w="1117" w:type="pct"/>
                  <w:tcBorders>
                    <w:tl2br w:val="nil"/>
                    <w:tr2bl w:val="nil"/>
                  </w:tcBorders>
                  <w:noWrap/>
                  <w:vAlign w:val="center"/>
                </w:tcPr>
                <w:p w14:paraId="36161540">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b w:val="0"/>
                      <w:bCs w:val="0"/>
                      <w:color w:val="auto"/>
                      <w:sz w:val="21"/>
                      <w:szCs w:val="21"/>
                      <w:highlight w:val="none"/>
                    </w:rPr>
                    <w:t>160</w:t>
                  </w:r>
                </w:p>
              </w:tc>
              <w:tc>
                <w:tcPr>
                  <w:tcW w:w="677" w:type="pct"/>
                  <w:tcBorders>
                    <w:tl2br w:val="nil"/>
                    <w:tr2bl w:val="nil"/>
                  </w:tcBorders>
                  <w:noWrap/>
                  <w:vAlign w:val="center"/>
                </w:tcPr>
                <w:p w14:paraId="0E4ABD64">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b w:val="0"/>
                      <w:bCs w:val="0"/>
                      <w:color w:val="auto"/>
                      <w:sz w:val="21"/>
                      <w:szCs w:val="21"/>
                      <w:highlight w:val="none"/>
                    </w:rPr>
                    <w:t>达标</w:t>
                  </w:r>
                </w:p>
              </w:tc>
            </w:tr>
          </w:tbl>
          <w:p w14:paraId="2B8338E5">
            <w:pPr>
              <w:spacing w:line="360" w:lineRule="auto"/>
              <w:ind w:firstLine="480"/>
              <w:jc w:val="both"/>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由监测结果表明：项目所在区域SO</w:t>
            </w:r>
            <w:r>
              <w:rPr>
                <w:rFonts w:hint="default" w:ascii="Times New Roman" w:hAnsi="Times New Roman" w:eastAsia="宋体" w:cs="Times New Roman"/>
                <w:color w:val="auto"/>
                <w:sz w:val="24"/>
                <w:szCs w:val="24"/>
                <w:highlight w:val="none"/>
                <w:vertAlign w:val="subscript"/>
                <w:lang w:val="en-US" w:eastAsia="zh-CN"/>
              </w:rPr>
              <w:t>2</w:t>
            </w:r>
            <w:r>
              <w:rPr>
                <w:rFonts w:hint="default" w:ascii="Times New Roman" w:hAnsi="Times New Roman" w:eastAsia="宋体" w:cs="Times New Roman"/>
                <w:color w:val="auto"/>
                <w:sz w:val="24"/>
                <w:szCs w:val="24"/>
                <w:highlight w:val="none"/>
                <w:lang w:val="en-US" w:eastAsia="zh-CN"/>
              </w:rPr>
              <w:t>、NO</w:t>
            </w:r>
            <w:r>
              <w:rPr>
                <w:rFonts w:hint="default" w:ascii="Times New Roman" w:hAnsi="Times New Roman" w:eastAsia="宋体" w:cs="Times New Roman"/>
                <w:color w:val="auto"/>
                <w:sz w:val="24"/>
                <w:szCs w:val="24"/>
                <w:highlight w:val="none"/>
                <w:vertAlign w:val="subscript"/>
                <w:lang w:val="en-US" w:eastAsia="zh-CN"/>
              </w:rPr>
              <w:t>2</w:t>
            </w:r>
            <w:r>
              <w:rPr>
                <w:rFonts w:hint="default" w:ascii="Times New Roman" w:hAnsi="Times New Roman" w:eastAsia="宋体" w:cs="Times New Roman"/>
                <w:color w:val="auto"/>
                <w:sz w:val="24"/>
                <w:szCs w:val="24"/>
                <w:highlight w:val="none"/>
                <w:lang w:val="en-US" w:eastAsia="zh-CN"/>
              </w:rPr>
              <w:t>年均浓度、O</w:t>
            </w:r>
            <w:r>
              <w:rPr>
                <w:rFonts w:hint="default" w:ascii="Times New Roman" w:hAnsi="Times New Roman" w:eastAsia="宋体" w:cs="Times New Roman"/>
                <w:color w:val="auto"/>
                <w:sz w:val="24"/>
                <w:szCs w:val="24"/>
                <w:highlight w:val="none"/>
                <w:vertAlign w:val="subscript"/>
                <w:lang w:val="en-US" w:eastAsia="zh-CN"/>
              </w:rPr>
              <w:t>3</w:t>
            </w:r>
            <w:r>
              <w:rPr>
                <w:rFonts w:hint="default" w:ascii="Times New Roman" w:hAnsi="Times New Roman" w:eastAsia="宋体" w:cs="Times New Roman"/>
                <w:color w:val="auto"/>
                <w:sz w:val="24"/>
                <w:szCs w:val="24"/>
                <w:highlight w:val="none"/>
                <w:lang w:val="en-US" w:eastAsia="zh-CN"/>
              </w:rPr>
              <w:t>日8小时最大平均第90百分位数平均浓度、CO日平均第95百分位数平均浓度均满足《环境空气质量标准》（GB3095-2012）的二级标准要求；PM</w:t>
            </w:r>
            <w:r>
              <w:rPr>
                <w:rFonts w:hint="default" w:ascii="Times New Roman" w:hAnsi="Times New Roman" w:eastAsia="宋体" w:cs="Times New Roman"/>
                <w:color w:val="auto"/>
                <w:sz w:val="24"/>
                <w:szCs w:val="24"/>
                <w:highlight w:val="none"/>
                <w:vertAlign w:val="subscript"/>
                <w:lang w:val="en-US" w:eastAsia="zh-CN"/>
              </w:rPr>
              <w:t>2.5</w:t>
            </w:r>
            <w:r>
              <w:rPr>
                <w:rFonts w:hint="default" w:ascii="Times New Roman" w:hAnsi="Times New Roman" w:eastAsia="宋体" w:cs="Times New Roman"/>
                <w:color w:val="auto"/>
                <w:sz w:val="24"/>
                <w:szCs w:val="24"/>
                <w:highlight w:val="none"/>
                <w:lang w:val="en-US" w:eastAsia="zh-CN"/>
              </w:rPr>
              <w:t>、PM</w:t>
            </w:r>
            <w:r>
              <w:rPr>
                <w:rFonts w:hint="default" w:ascii="Times New Roman" w:hAnsi="Times New Roman" w:eastAsia="宋体" w:cs="Times New Roman"/>
                <w:color w:val="auto"/>
                <w:sz w:val="24"/>
                <w:szCs w:val="24"/>
                <w:highlight w:val="none"/>
                <w:vertAlign w:val="subscript"/>
                <w:lang w:val="en-US" w:eastAsia="zh-CN"/>
              </w:rPr>
              <w:t>10</w:t>
            </w:r>
            <w:r>
              <w:rPr>
                <w:rFonts w:hint="default" w:ascii="Times New Roman" w:hAnsi="Times New Roman" w:eastAsia="宋体" w:cs="Times New Roman"/>
                <w:color w:val="auto"/>
                <w:sz w:val="24"/>
                <w:szCs w:val="24"/>
                <w:highlight w:val="none"/>
                <w:lang w:val="en-US" w:eastAsia="zh-CN"/>
              </w:rPr>
              <w:t>的年评价指标均为超标。因此本项目所在区域为不达标区域。</w:t>
            </w:r>
          </w:p>
          <w:p w14:paraId="094BB4F4">
            <w:pPr>
              <w:spacing w:line="360" w:lineRule="auto"/>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bCs/>
                <w:color w:val="auto"/>
                <w:sz w:val="24"/>
                <w:szCs w:val="24"/>
                <w:highlight w:val="none"/>
              </w:rPr>
              <w:t>1.2其他污染物补充监测</w:t>
            </w:r>
          </w:p>
          <w:p w14:paraId="076BDD29">
            <w:pPr>
              <w:spacing w:line="360" w:lineRule="auto"/>
              <w:ind w:firstLine="480" w:firstLineChars="200"/>
              <w:rPr>
                <w:rFonts w:hint="default" w:ascii="Times New Roman" w:hAnsi="Times New Roman" w:cs="Times New Roman"/>
                <w:color w:val="auto"/>
                <w:sz w:val="24"/>
                <w:highlight w:val="none"/>
                <w:lang w:val="en-US" w:eastAsia="zh-CN"/>
              </w:rPr>
            </w:pPr>
            <w:r>
              <w:rPr>
                <w:rFonts w:hint="default" w:ascii="Times New Roman" w:hAnsi="Times New Roman" w:eastAsia="宋体" w:cs="Times New Roman"/>
                <w:snapToGrid w:val="0"/>
                <w:color w:val="auto"/>
                <w:kern w:val="0"/>
                <w:sz w:val="24"/>
                <w:szCs w:val="24"/>
                <w:highlight w:val="none"/>
              </w:rPr>
              <w:t>本项目涉及的大气污染物评价因子为</w:t>
            </w:r>
            <w:r>
              <w:rPr>
                <w:rFonts w:hint="default" w:ascii="Times New Roman" w:hAnsi="Times New Roman" w:cs="Times New Roman"/>
                <w:color w:val="auto"/>
                <w:sz w:val="24"/>
                <w:szCs w:val="24"/>
                <w:highlight w:val="none"/>
                <w:lang w:val="en-US" w:eastAsia="zh-CN"/>
              </w:rPr>
              <w:t>颗粒物</w:t>
            </w:r>
            <w:r>
              <w:rPr>
                <w:rFonts w:hint="default" w:ascii="Times New Roman" w:hAnsi="Times New Roman" w:eastAsia="宋体" w:cs="Times New Roman"/>
                <w:color w:val="auto"/>
                <w:sz w:val="24"/>
                <w:szCs w:val="24"/>
                <w:highlight w:val="none"/>
              </w:rPr>
              <w:t>，根据《建设项目环境影响报告表编制技术指南（污染影响类）</w:t>
            </w:r>
            <w:r>
              <w:rPr>
                <w:rFonts w:hint="eastAsia" w:cs="Times New Roman"/>
                <w:color w:val="auto"/>
                <w:sz w:val="24"/>
                <w:szCs w:val="24"/>
                <w:highlight w:val="none"/>
                <w:lang w:eastAsia="zh-CN"/>
              </w:rPr>
              <w:t>（试行）》</w:t>
            </w:r>
            <w:r>
              <w:rPr>
                <w:rFonts w:hint="default" w:ascii="Times New Roman" w:hAnsi="Times New Roman" w:eastAsia="宋体" w:cs="Times New Roman"/>
                <w:color w:val="auto"/>
                <w:sz w:val="24"/>
                <w:szCs w:val="24"/>
                <w:highlight w:val="none"/>
              </w:rPr>
              <w:t>中相关规定及本项目厂址周围情况，</w:t>
            </w:r>
            <w:r>
              <w:rPr>
                <w:rFonts w:hint="default" w:ascii="Times New Roman" w:hAnsi="Times New Roman" w:eastAsia="宋体" w:cs="Times New Roman"/>
                <w:color w:val="auto"/>
                <w:sz w:val="24"/>
                <w:highlight w:val="none"/>
              </w:rPr>
              <w:t>本次评价大气现状监测数据</w:t>
            </w:r>
            <w:r>
              <w:rPr>
                <w:rFonts w:hint="default" w:ascii="Times New Roman" w:hAnsi="Times New Roman" w:cs="Times New Roman"/>
                <w:color w:val="auto"/>
                <w:sz w:val="24"/>
                <w:highlight w:val="none"/>
                <w:lang w:val="en-US" w:eastAsia="zh-CN"/>
              </w:rPr>
              <w:t>颗粒物数据来源于</w:t>
            </w:r>
            <w:r>
              <w:rPr>
                <w:rFonts w:hint="default" w:ascii="Times New Roman" w:hAnsi="Times New Roman" w:cs="Times New Roman"/>
                <w:color w:val="auto"/>
                <w:sz w:val="24"/>
                <w:highlight w:val="none"/>
                <w:lang w:eastAsia="zh-CN"/>
              </w:rPr>
              <w:t>《</w:t>
            </w:r>
            <w:r>
              <w:rPr>
                <w:rFonts w:hint="default" w:ascii="Times New Roman" w:hAnsi="Times New Roman" w:eastAsia="宋体" w:cs="Times New Roman"/>
                <w:color w:val="auto"/>
                <w:sz w:val="24"/>
                <w:highlight w:val="none"/>
              </w:rPr>
              <w:t>年综合利用15万</w:t>
            </w:r>
            <w:r>
              <w:rPr>
                <w:rFonts w:hint="eastAsia" w:cs="Times New Roman"/>
                <w:color w:val="auto"/>
                <w:sz w:val="24"/>
                <w:highlight w:val="none"/>
                <w:lang w:val="en-US" w:eastAsia="zh-CN"/>
              </w:rPr>
              <w:t>吨脱硫石膏</w:t>
            </w:r>
            <w:r>
              <w:rPr>
                <w:rFonts w:hint="default" w:ascii="Times New Roman" w:hAnsi="Times New Roman" w:eastAsia="宋体" w:cs="Times New Roman"/>
                <w:color w:val="auto"/>
                <w:sz w:val="24"/>
                <w:highlight w:val="none"/>
              </w:rPr>
              <w:t>生产30万吨建筑石膏砂浆项目</w:t>
            </w:r>
            <w:r>
              <w:rPr>
                <w:rFonts w:hint="default"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于20</w:t>
            </w:r>
            <w:r>
              <w:rPr>
                <w:rFonts w:hint="eastAsia" w:cs="Times New Roman"/>
                <w:color w:val="auto"/>
                <w:sz w:val="24"/>
                <w:szCs w:val="24"/>
                <w:highlight w:val="none"/>
                <w:lang w:val="en-US" w:eastAsia="zh-CN"/>
              </w:rPr>
              <w:t>23</w:t>
            </w:r>
            <w:r>
              <w:rPr>
                <w:rFonts w:hint="default" w:ascii="Times New Roman" w:hAnsi="Times New Roman" w:eastAsia="宋体" w:cs="Times New Roman"/>
                <w:color w:val="auto"/>
                <w:sz w:val="24"/>
                <w:szCs w:val="24"/>
                <w:highlight w:val="none"/>
              </w:rPr>
              <w:t>年</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月</w:t>
            </w:r>
            <w:r>
              <w:rPr>
                <w:rFonts w:hint="eastAsia"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日</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月</w:t>
            </w:r>
            <w:r>
              <w:rPr>
                <w:rFonts w:hint="default" w:ascii="Times New Roman" w:hAnsi="Times New Roman"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rPr>
              <w:t>日</w:t>
            </w:r>
            <w:r>
              <w:rPr>
                <w:rFonts w:hint="default" w:ascii="Times New Roman" w:hAnsi="Times New Roman" w:cs="Times New Roman"/>
                <w:color w:val="auto"/>
                <w:sz w:val="24"/>
                <w:szCs w:val="24"/>
                <w:highlight w:val="none"/>
                <w:lang w:val="en-US" w:eastAsia="zh-CN"/>
              </w:rPr>
              <w:t>的</w:t>
            </w:r>
            <w:r>
              <w:rPr>
                <w:rFonts w:hint="default" w:ascii="Times New Roman" w:hAnsi="Times New Roman" w:eastAsia="宋体" w:cs="Times New Roman"/>
                <w:color w:val="auto"/>
                <w:sz w:val="24"/>
                <w:szCs w:val="24"/>
                <w:highlight w:val="none"/>
              </w:rPr>
              <w:t>监测数据，</w:t>
            </w:r>
            <w:r>
              <w:rPr>
                <w:rFonts w:hint="eastAsia" w:cs="Times New Roman"/>
                <w:color w:val="auto"/>
                <w:sz w:val="24"/>
                <w:szCs w:val="24"/>
                <w:highlight w:val="none"/>
                <w:lang w:val="en-US" w:eastAsia="zh-CN"/>
              </w:rPr>
              <w:t>距离</w:t>
            </w:r>
            <w:r>
              <w:rPr>
                <w:rFonts w:hint="default" w:ascii="Times New Roman" w:hAnsi="Times New Roman"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rPr>
              <w:t>项目区</w:t>
            </w:r>
            <w:r>
              <w:rPr>
                <w:rFonts w:hint="eastAsia" w:cs="Times New Roman"/>
                <w:color w:val="auto"/>
                <w:sz w:val="24"/>
                <w:szCs w:val="24"/>
                <w:highlight w:val="none"/>
                <w:lang w:val="en-US" w:eastAsia="zh-CN"/>
              </w:rPr>
              <w:t>约4.8</w:t>
            </w:r>
            <w:r>
              <w:rPr>
                <w:rFonts w:hint="default" w:ascii="Times New Roman" w:hAnsi="Times New Roman" w:cs="Times New Roman"/>
                <w:color w:val="auto"/>
                <w:sz w:val="24"/>
                <w:szCs w:val="24"/>
                <w:highlight w:val="none"/>
                <w:lang w:val="en-US" w:eastAsia="zh-CN"/>
              </w:rPr>
              <w:t>k</w:t>
            </w:r>
            <w:r>
              <w:rPr>
                <w:rFonts w:hint="default" w:ascii="Times New Roman" w:hAnsi="Times New Roman" w:eastAsia="宋体" w:cs="Times New Roman"/>
                <w:color w:val="auto"/>
                <w:sz w:val="24"/>
                <w:szCs w:val="24"/>
                <w:highlight w:val="none"/>
              </w:rPr>
              <w:t>m处</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符合区域环境质量现状要求中引用建设项目周边5km范围内近3年的现有监测数据。</w:t>
            </w:r>
            <w:r>
              <w:rPr>
                <w:rFonts w:hint="default" w:ascii="Times New Roman" w:hAnsi="Times New Roman" w:cs="Times New Roman"/>
                <w:color w:val="auto"/>
                <w:sz w:val="24"/>
                <w:szCs w:val="24"/>
                <w:highlight w:val="none"/>
                <w:lang w:val="en-US" w:eastAsia="zh-CN"/>
              </w:rPr>
              <w:t>监测</w:t>
            </w:r>
            <w:r>
              <w:rPr>
                <w:rFonts w:hint="default" w:ascii="Times New Roman" w:hAnsi="Times New Roman" w:cs="Times New Roman"/>
                <w:color w:val="auto"/>
                <w:sz w:val="24"/>
                <w:highlight w:val="none"/>
                <w:lang w:val="en-US" w:eastAsia="zh-CN"/>
              </w:rPr>
              <w:t>报告见附件</w:t>
            </w:r>
            <w:r>
              <w:rPr>
                <w:rFonts w:hint="eastAsia" w:cs="Times New Roman"/>
                <w:color w:val="auto"/>
                <w:sz w:val="24"/>
                <w:highlight w:val="none"/>
                <w:lang w:val="en-US" w:eastAsia="zh-CN"/>
              </w:rPr>
              <w:t>。</w:t>
            </w:r>
          </w:p>
          <w:p w14:paraId="0542881B">
            <w:pPr>
              <w:spacing w:line="360" w:lineRule="auto"/>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监测项目：</w:t>
            </w:r>
            <w:r>
              <w:rPr>
                <w:rFonts w:hint="eastAsia" w:ascii="Times New Roman" w:hAnsi="Times New Roman" w:cs="Times New Roman"/>
                <w:b w:val="0"/>
                <w:bCs w:val="0"/>
                <w:color w:val="auto"/>
                <w:sz w:val="24"/>
                <w:highlight w:val="none"/>
                <w:lang w:val="en-US" w:eastAsia="zh-CN"/>
              </w:rPr>
              <w:t>总悬浮</w:t>
            </w:r>
            <w:r>
              <w:rPr>
                <w:rFonts w:hint="default" w:ascii="Times New Roman" w:hAnsi="Times New Roman" w:cs="Times New Roman"/>
                <w:b w:val="0"/>
                <w:bCs w:val="0"/>
                <w:color w:val="auto"/>
                <w:sz w:val="24"/>
                <w:highlight w:val="none"/>
                <w:lang w:val="en-US" w:eastAsia="zh-CN"/>
              </w:rPr>
              <w:t>颗粒物</w:t>
            </w:r>
          </w:p>
          <w:p w14:paraId="10E9A1EA">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各项目的采样及分析方法均按照国家环保局颁布的《空气和废气监测分析方法</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环境监测技术规范》中的有关规定执行。</w:t>
            </w:r>
          </w:p>
          <w:p w14:paraId="0C29E6FD">
            <w:pPr>
              <w:spacing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default" w:ascii="Times New Roman" w:hAnsi="Times New Roman" w:eastAsia="宋体" w:cs="Times New Roman"/>
                <w:b/>
                <w:bCs/>
                <w:color w:val="auto"/>
                <w:sz w:val="21"/>
                <w:szCs w:val="21"/>
                <w:highlight w:val="none"/>
                <w:lang w:val="en-US" w:eastAsia="zh-CN"/>
              </w:rPr>
              <w:t>3-</w:t>
            </w:r>
            <w:r>
              <w:rPr>
                <w:rFonts w:hint="eastAsia" w:cs="Times New Roman"/>
                <w:b/>
                <w:bCs/>
                <w:color w:val="auto"/>
                <w:sz w:val="21"/>
                <w:szCs w:val="21"/>
                <w:highlight w:val="none"/>
                <w:lang w:val="en-US" w:eastAsia="zh-CN"/>
              </w:rPr>
              <w:t>2</w:t>
            </w:r>
            <w:r>
              <w:rPr>
                <w:rFonts w:hint="default" w:ascii="Times New Roman" w:hAnsi="Times New Roman" w:eastAsia="宋体" w:cs="Times New Roman"/>
                <w:b/>
                <w:bCs/>
                <w:color w:val="auto"/>
                <w:sz w:val="21"/>
                <w:szCs w:val="21"/>
                <w:highlight w:val="none"/>
              </w:rPr>
              <w:t xml:space="preserve">     大气监测采样及分析方法</w:t>
            </w:r>
          </w:p>
          <w:tbl>
            <w:tblPr>
              <w:tblStyle w:val="27"/>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558"/>
              <w:gridCol w:w="3930"/>
              <w:gridCol w:w="1753"/>
            </w:tblGrid>
            <w:tr w14:paraId="33A3A5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458" w:type="pct"/>
                  <w:tcBorders>
                    <w:bottom w:val="single" w:color="auto" w:sz="12" w:space="0"/>
                  </w:tcBorders>
                  <w:noWrap w:val="0"/>
                  <w:vAlign w:val="center"/>
                </w:tcPr>
                <w:p w14:paraId="319B7DA9">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编号</w:t>
                  </w:r>
                </w:p>
              </w:tc>
              <w:tc>
                <w:tcPr>
                  <w:tcW w:w="977" w:type="pct"/>
                  <w:tcBorders>
                    <w:bottom w:val="single" w:color="auto" w:sz="12" w:space="0"/>
                  </w:tcBorders>
                  <w:noWrap w:val="0"/>
                  <w:vAlign w:val="center"/>
                </w:tcPr>
                <w:p w14:paraId="64689691">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项目名称</w:t>
                  </w:r>
                </w:p>
              </w:tc>
              <w:tc>
                <w:tcPr>
                  <w:tcW w:w="2464" w:type="pct"/>
                  <w:tcBorders>
                    <w:bottom w:val="single" w:color="auto" w:sz="12" w:space="0"/>
                  </w:tcBorders>
                  <w:noWrap w:val="0"/>
                  <w:vAlign w:val="center"/>
                </w:tcPr>
                <w:p w14:paraId="34EEEC01">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分析方法</w:t>
                  </w:r>
                </w:p>
              </w:tc>
              <w:tc>
                <w:tcPr>
                  <w:tcW w:w="1099" w:type="pct"/>
                  <w:tcBorders>
                    <w:bottom w:val="single" w:color="auto" w:sz="12" w:space="0"/>
                  </w:tcBorders>
                  <w:noWrap w:val="0"/>
                  <w:vAlign w:val="center"/>
                </w:tcPr>
                <w:p w14:paraId="0F6F4BB8">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方法来源</w:t>
                  </w:r>
                </w:p>
              </w:tc>
            </w:tr>
            <w:tr w14:paraId="6E69F9B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8" w:type="pct"/>
                  <w:tcBorders>
                    <w:top w:val="single" w:color="auto" w:sz="12" w:space="0"/>
                  </w:tcBorders>
                  <w:noWrap w:val="0"/>
                  <w:vAlign w:val="center"/>
                </w:tcPr>
                <w:p w14:paraId="6DF3FC6C">
                  <w:pPr>
                    <w:spacing w:line="240" w:lineRule="auto"/>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w:t>
                  </w:r>
                </w:p>
              </w:tc>
              <w:tc>
                <w:tcPr>
                  <w:tcW w:w="977" w:type="pct"/>
                  <w:tcBorders>
                    <w:top w:val="single" w:color="auto" w:sz="12" w:space="0"/>
                  </w:tcBorders>
                  <w:noWrap w:val="0"/>
                  <w:vAlign w:val="center"/>
                </w:tcPr>
                <w:p w14:paraId="2D2D6F13">
                  <w:pPr>
                    <w:spacing w:line="240" w:lineRule="auto"/>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b w:val="0"/>
                      <w:bCs w:val="0"/>
                      <w:color w:val="auto"/>
                      <w:sz w:val="21"/>
                      <w:szCs w:val="21"/>
                      <w:highlight w:val="none"/>
                      <w:lang w:val="en-US" w:eastAsia="zh-CN"/>
                    </w:rPr>
                    <w:t>总悬浮</w:t>
                  </w:r>
                  <w:r>
                    <w:rPr>
                      <w:rFonts w:hint="default" w:ascii="Times New Roman" w:hAnsi="Times New Roman" w:cs="Times New Roman"/>
                      <w:b w:val="0"/>
                      <w:bCs w:val="0"/>
                      <w:color w:val="auto"/>
                      <w:sz w:val="21"/>
                      <w:szCs w:val="21"/>
                      <w:highlight w:val="none"/>
                      <w:lang w:val="en-US" w:eastAsia="zh-CN"/>
                    </w:rPr>
                    <w:t>颗粒物</w:t>
                  </w:r>
                </w:p>
              </w:tc>
              <w:tc>
                <w:tcPr>
                  <w:tcW w:w="2464" w:type="pct"/>
                  <w:tcBorders>
                    <w:top w:val="single" w:color="auto" w:sz="12" w:space="0"/>
                  </w:tcBorders>
                  <w:noWrap w:val="0"/>
                  <w:vAlign w:val="center"/>
                </w:tcPr>
                <w:p w14:paraId="3419CCC5">
                  <w:pPr>
                    <w:spacing w:line="240" w:lineRule="auto"/>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环境空气 总悬浮颗粒物的测定 重量法</w:t>
                  </w:r>
                </w:p>
              </w:tc>
              <w:tc>
                <w:tcPr>
                  <w:tcW w:w="1099" w:type="pct"/>
                  <w:tcBorders>
                    <w:top w:val="single" w:color="auto" w:sz="12" w:space="0"/>
                  </w:tcBorders>
                  <w:noWrap w:val="0"/>
                  <w:vAlign w:val="center"/>
                </w:tcPr>
                <w:p w14:paraId="5B77732F">
                  <w:pPr>
                    <w:spacing w:line="240" w:lineRule="auto"/>
                    <w:jc w:val="center"/>
                    <w:rPr>
                      <w:rFonts w:hint="default" w:ascii="Times New Roman" w:hAnsi="Times New Roman" w:eastAsia="宋体" w:cs="Times New Roman"/>
                      <w:color w:val="auto"/>
                      <w:szCs w:val="18"/>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GB/T15432-1995</w:t>
                  </w:r>
                </w:p>
              </w:tc>
            </w:tr>
          </w:tbl>
          <w:p w14:paraId="238EE257">
            <w:pPr>
              <w:spacing w:line="360" w:lineRule="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1.2.1评价标准</w:t>
            </w:r>
          </w:p>
          <w:p w14:paraId="5B5427A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24"/>
                <w:szCs w:val="24"/>
                <w:highlight w:val="none"/>
                <w:lang w:val="en-US" w:eastAsia="zh-CN" w:bidi="ar"/>
              </w:rPr>
              <w:t>根据本项目所在区域的环境功能区划，执行《环境空气质量标准》 （GB3095-2012）中的二级标准。（</w:t>
            </w:r>
            <w:r>
              <w:rPr>
                <w:rFonts w:hint="default" w:ascii="Times New Roman" w:hAnsi="Times New Roman" w:eastAsia="宋体" w:cs="Times New Roman"/>
                <w:color w:val="auto"/>
                <w:sz w:val="24"/>
                <w:szCs w:val="24"/>
                <w:highlight w:val="none"/>
                <w:lang w:val="en-US" w:eastAsia="zh-CN"/>
              </w:rPr>
              <w:t>颗粒物</w:t>
            </w:r>
            <w:r>
              <w:rPr>
                <w:rFonts w:hint="default" w:ascii="Times New Roman" w:hAnsi="Times New Roman" w:eastAsia="宋体" w:cs="Times New Roman"/>
                <w:color w:val="auto"/>
                <w:sz w:val="24"/>
                <w:szCs w:val="24"/>
                <w:highlight w:val="none"/>
              </w:rPr>
              <w:t>环境空气质量标准：</w:t>
            </w:r>
            <w:r>
              <w:rPr>
                <w:rFonts w:hint="default" w:ascii="Times New Roman" w:hAnsi="Times New Roman" w:cs="Times New Roman"/>
                <w:color w:val="auto"/>
                <w:sz w:val="24"/>
                <w:szCs w:val="24"/>
                <w:highlight w:val="none"/>
                <w:lang w:val="en-US" w:eastAsia="zh-CN"/>
              </w:rPr>
              <w:t>0.3</w:t>
            </w:r>
            <w:r>
              <w:rPr>
                <w:rFonts w:hint="default" w:ascii="Times New Roman" w:hAnsi="Times New Roman" w:eastAsia="宋体" w:cs="Times New Roman"/>
                <w:color w:val="auto"/>
                <w:sz w:val="24"/>
                <w:szCs w:val="24"/>
                <w:highlight w:val="none"/>
              </w:rPr>
              <w:t>mg/m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cs="Times New Roman"/>
                <w:color w:val="auto"/>
                <w:sz w:val="24"/>
                <w:szCs w:val="24"/>
                <w:highlight w:val="none"/>
                <w:vertAlign w:val="baseline"/>
                <w:lang w:eastAsia="zh-CN"/>
              </w:rPr>
              <w:t>）</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kern w:val="0"/>
                <w:sz w:val="24"/>
                <w:szCs w:val="24"/>
                <w:highlight w:val="none"/>
                <w:lang w:val="en-US" w:eastAsia="zh-CN" w:bidi="ar"/>
              </w:rPr>
              <w:t>环境空气质量标准限值见表 3-</w:t>
            </w:r>
            <w:r>
              <w:rPr>
                <w:rFonts w:hint="eastAsia" w:cs="Times New Roman"/>
                <w:color w:val="auto"/>
                <w:kern w:val="0"/>
                <w:sz w:val="24"/>
                <w:szCs w:val="24"/>
                <w:highlight w:val="none"/>
                <w:lang w:val="en-US" w:eastAsia="zh-CN" w:bidi="ar"/>
              </w:rPr>
              <w:t>3</w:t>
            </w:r>
            <w:r>
              <w:rPr>
                <w:rFonts w:hint="default" w:ascii="Times New Roman" w:hAnsi="Times New Roman" w:eastAsia="宋体" w:cs="Times New Roman"/>
                <w:color w:val="auto"/>
                <w:kern w:val="0"/>
                <w:sz w:val="24"/>
                <w:szCs w:val="24"/>
                <w:highlight w:val="none"/>
                <w:lang w:val="en-US" w:eastAsia="zh-CN" w:bidi="ar"/>
              </w:rPr>
              <w:t>。</w:t>
            </w:r>
          </w:p>
          <w:p w14:paraId="242E384B">
            <w:pPr>
              <w:keepNext w:val="0"/>
              <w:keepLines w:val="0"/>
              <w:widowControl/>
              <w:suppressLineNumbers w:val="0"/>
              <w:jc w:val="center"/>
              <w:rPr>
                <w:rFonts w:hint="default" w:ascii="Times New Roman" w:hAnsi="Times New Roman" w:cs="Times New Roman"/>
                <w:color w:val="auto"/>
                <w:highlight w:val="none"/>
              </w:rPr>
            </w:pPr>
            <w:r>
              <w:rPr>
                <w:rFonts w:hint="default" w:ascii="Times New Roman" w:hAnsi="Times New Roman" w:eastAsia="宋体" w:cs="Times New Roman"/>
                <w:b/>
                <w:bCs/>
                <w:color w:val="auto"/>
                <w:kern w:val="0"/>
                <w:sz w:val="20"/>
                <w:szCs w:val="20"/>
                <w:highlight w:val="none"/>
                <w:lang w:val="en-US" w:eastAsia="zh-CN" w:bidi="ar"/>
              </w:rPr>
              <w:t>表 3-</w:t>
            </w:r>
            <w:r>
              <w:rPr>
                <w:rFonts w:hint="eastAsia" w:cs="Times New Roman"/>
                <w:b/>
                <w:bCs/>
                <w:color w:val="auto"/>
                <w:kern w:val="0"/>
                <w:sz w:val="20"/>
                <w:szCs w:val="20"/>
                <w:highlight w:val="none"/>
                <w:lang w:val="en-US" w:eastAsia="zh-CN" w:bidi="ar"/>
              </w:rPr>
              <w:t>3</w:t>
            </w:r>
            <w:r>
              <w:rPr>
                <w:rFonts w:hint="default" w:ascii="Times New Roman" w:hAnsi="Times New Roman" w:eastAsia="宋体" w:cs="Times New Roman"/>
                <w:b/>
                <w:bCs/>
                <w:color w:val="auto"/>
                <w:kern w:val="0"/>
                <w:sz w:val="20"/>
                <w:szCs w:val="20"/>
                <w:highlight w:val="none"/>
                <w:lang w:val="en-US" w:eastAsia="zh-CN" w:bidi="ar"/>
              </w:rPr>
              <w:t xml:space="preserve">   《环境空气质量标准》（GB3095-2012）中的二级标准</w:t>
            </w:r>
          </w:p>
          <w:tbl>
            <w:tblPr>
              <w:tblStyle w:val="27"/>
              <w:tblW w:w="499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985"/>
              <w:gridCol w:w="3987"/>
            </w:tblGrid>
            <w:tr w14:paraId="093855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99" w:type="pct"/>
                  <w:tcBorders>
                    <w:tl2br w:val="nil"/>
                    <w:tr2bl w:val="nil"/>
                  </w:tcBorders>
                  <w:noWrap w:val="0"/>
                  <w:vAlign w:val="center"/>
                </w:tcPr>
                <w:p w14:paraId="5BD953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w:t>
                  </w:r>
                </w:p>
              </w:tc>
              <w:tc>
                <w:tcPr>
                  <w:tcW w:w="2500" w:type="pct"/>
                  <w:tcBorders>
                    <w:tl2br w:val="nil"/>
                    <w:tr2bl w:val="nil"/>
                  </w:tcBorders>
                  <w:noWrap w:val="0"/>
                  <w:vAlign w:val="center"/>
                </w:tcPr>
                <w:p w14:paraId="0157D7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标准值（</w:t>
                  </w:r>
                  <w:r>
                    <w:rPr>
                      <w:rFonts w:hint="default" w:ascii="Times New Roman" w:hAnsi="Times New Roman" w:cs="Times New Roman"/>
                      <w:b/>
                      <w:bCs/>
                      <w:color w:val="auto"/>
                      <w:sz w:val="21"/>
                      <w:szCs w:val="21"/>
                      <w:highlight w:val="none"/>
                      <w:lang w:val="en-US" w:eastAsia="zh-CN"/>
                    </w:rPr>
                    <w:t>m</w:t>
                  </w:r>
                  <w:r>
                    <w:rPr>
                      <w:rFonts w:hint="default" w:ascii="Times New Roman" w:hAnsi="Times New Roman" w:eastAsia="宋体" w:cs="Times New Roman"/>
                      <w:b/>
                      <w:bCs/>
                      <w:color w:val="auto"/>
                      <w:sz w:val="21"/>
                      <w:szCs w:val="21"/>
                      <w:highlight w:val="none"/>
                    </w:rPr>
                    <w:t>g/m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w:t>
                  </w:r>
                </w:p>
              </w:tc>
            </w:tr>
            <w:tr w14:paraId="57611B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499" w:type="pct"/>
                  <w:tcBorders>
                    <w:tl2br w:val="nil"/>
                    <w:tr2bl w:val="nil"/>
                  </w:tcBorders>
                  <w:noWrap w:val="0"/>
                  <w:vAlign w:val="center"/>
                </w:tcPr>
                <w:p w14:paraId="0D8C12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2500" w:type="pct"/>
                  <w:tcBorders>
                    <w:tl2br w:val="nil"/>
                    <w:tr2bl w:val="nil"/>
                  </w:tcBorders>
                  <w:noWrap w:val="0"/>
                  <w:vAlign w:val="center"/>
                </w:tcPr>
                <w:p w14:paraId="3BBFE2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0.3</w:t>
                  </w:r>
                </w:p>
              </w:tc>
            </w:tr>
          </w:tbl>
          <w:p w14:paraId="797A3129">
            <w:pPr>
              <w:spacing w:line="360" w:lineRule="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1.2.2评价方法</w:t>
            </w:r>
          </w:p>
          <w:p w14:paraId="1BAC2521">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本次环境空气质量现状评价采用各取值时间最大占标率和超标率评价达标情况，最大占标率计算公式为：</w:t>
            </w:r>
          </w:p>
          <w:p w14:paraId="5A645F14">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计算公式为：</w:t>
            </w:r>
          </w:p>
          <w:p w14:paraId="0ECB4133">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kern w:val="0"/>
                <w:sz w:val="24"/>
                <w:szCs w:val="24"/>
                <w:highlight w:val="none"/>
              </w:rPr>
              <w:object>
                <v:shape id="_x0000_i1025" o:spt="75" type="#_x0000_t75" style="height:33.35pt;width:89.05pt;" o:ole="t" filled="f" o:preferrelative="t" stroked="f" coordsize="21600,21600">
                  <v:path/>
                  <v:fill on="f" focussize="0,0"/>
                  <v:stroke on="f"/>
                  <v:imagedata r:id="rId10" o:title=""/>
                  <o:lock v:ext="edit" aspectratio="t"/>
                  <w10:wrap type="none"/>
                  <w10:anchorlock/>
                </v:shape>
                <o:OLEObject Type="Embed" ProgID="Equation.AxMath" ShapeID="_x0000_i1025" DrawAspect="Content" ObjectID="_1468075725" r:id="rId9">
                  <o:LockedField>false</o:LockedField>
                </o:OLEObject>
              </w:object>
            </w:r>
          </w:p>
          <w:p w14:paraId="7672AE12">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式中：P</w:t>
            </w:r>
            <w:r>
              <w:rPr>
                <w:rFonts w:hint="default" w:ascii="Times New Roman" w:hAnsi="Times New Roman" w:eastAsia="宋体" w:cs="Times New Roman"/>
                <w:color w:val="auto"/>
                <w:sz w:val="24"/>
                <w:highlight w:val="none"/>
                <w:vertAlign w:val="subscript"/>
              </w:rPr>
              <w:t>i</w:t>
            </w:r>
            <w:r>
              <w:rPr>
                <w:rFonts w:hint="default" w:ascii="Times New Roman" w:hAnsi="Times New Roman" w:eastAsia="宋体" w:cs="Times New Roman"/>
                <w:color w:val="auto"/>
                <w:sz w:val="24"/>
                <w:highlight w:val="none"/>
              </w:rPr>
              <w:t>—污染物i的单项污染指数；</w:t>
            </w:r>
          </w:p>
          <w:p w14:paraId="127963F4">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C</w:t>
            </w:r>
            <w:r>
              <w:rPr>
                <w:rFonts w:hint="default" w:ascii="Times New Roman" w:hAnsi="Times New Roman" w:eastAsia="宋体" w:cs="Times New Roman"/>
                <w:color w:val="auto"/>
                <w:sz w:val="24"/>
                <w:highlight w:val="none"/>
                <w:vertAlign w:val="subscript"/>
              </w:rPr>
              <w:t>i</w:t>
            </w:r>
            <w:r>
              <w:rPr>
                <w:rFonts w:hint="default" w:ascii="Times New Roman" w:hAnsi="Times New Roman" w:eastAsia="宋体" w:cs="Times New Roman"/>
                <w:color w:val="auto"/>
                <w:sz w:val="24"/>
                <w:highlight w:val="none"/>
              </w:rPr>
              <w:t>—污染物i的实测浓度值（mg/</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highlight w:val="none"/>
              </w:rPr>
              <w:t>）；</w:t>
            </w:r>
          </w:p>
          <w:p w14:paraId="0ED8FB2C">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C</w:t>
            </w:r>
            <w:r>
              <w:rPr>
                <w:rFonts w:hint="default" w:ascii="Times New Roman" w:hAnsi="Times New Roman" w:eastAsia="宋体" w:cs="Times New Roman"/>
                <w:color w:val="auto"/>
                <w:sz w:val="24"/>
                <w:highlight w:val="none"/>
                <w:vertAlign w:val="subscript"/>
              </w:rPr>
              <w:t>oi</w:t>
            </w:r>
            <w:r>
              <w:rPr>
                <w:rFonts w:hint="default" w:ascii="Times New Roman" w:hAnsi="Times New Roman" w:eastAsia="宋体" w:cs="Times New Roman"/>
                <w:color w:val="auto"/>
                <w:sz w:val="24"/>
                <w:highlight w:val="none"/>
              </w:rPr>
              <w:t>—污染物i的评价标准（mg/</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highlight w:val="none"/>
              </w:rPr>
              <w:t>）。</w:t>
            </w:r>
          </w:p>
          <w:p w14:paraId="6302DAC0">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根据评价计算，可以得出浓度占标率（P</w:t>
            </w:r>
            <w:r>
              <w:rPr>
                <w:rFonts w:hint="default" w:ascii="Times New Roman" w:hAnsi="Times New Roman" w:eastAsia="宋体" w:cs="Times New Roman"/>
                <w:color w:val="auto"/>
                <w:sz w:val="24"/>
                <w:highlight w:val="none"/>
                <w:vertAlign w:val="subscript"/>
              </w:rPr>
              <w:t>i</w:t>
            </w:r>
            <w:r>
              <w:rPr>
                <w:rFonts w:hint="default" w:ascii="Times New Roman" w:hAnsi="Times New Roman" w:eastAsia="宋体" w:cs="Times New Roman"/>
                <w:color w:val="auto"/>
                <w:sz w:val="24"/>
                <w:highlight w:val="none"/>
              </w:rPr>
              <w:t>），依照P</w:t>
            </w:r>
            <w:r>
              <w:rPr>
                <w:rFonts w:hint="default" w:ascii="Times New Roman" w:hAnsi="Times New Roman" w:eastAsia="宋体" w:cs="Times New Roman"/>
                <w:color w:val="auto"/>
                <w:sz w:val="24"/>
                <w:highlight w:val="none"/>
                <w:vertAlign w:val="subscript"/>
              </w:rPr>
              <w:t>i</w:t>
            </w:r>
            <w:r>
              <w:rPr>
                <w:rFonts w:hint="default" w:ascii="Times New Roman" w:hAnsi="Times New Roman" w:eastAsia="宋体" w:cs="Times New Roman"/>
                <w:color w:val="auto"/>
                <w:sz w:val="24"/>
                <w:highlight w:val="none"/>
              </w:rPr>
              <w:t>值的大小，分别确定其污染程度。当P</w:t>
            </w:r>
            <w:r>
              <w:rPr>
                <w:rFonts w:hint="default" w:ascii="Times New Roman" w:hAnsi="Times New Roman" w:eastAsia="宋体" w:cs="Times New Roman"/>
                <w:color w:val="auto"/>
                <w:sz w:val="24"/>
                <w:highlight w:val="none"/>
                <w:vertAlign w:val="subscript"/>
              </w:rPr>
              <w:t>i</w:t>
            </w:r>
            <w:r>
              <w:rPr>
                <w:rFonts w:hint="default" w:ascii="Times New Roman" w:hAnsi="Times New Roman" w:eastAsia="宋体" w:cs="Times New Roman"/>
                <w:color w:val="auto"/>
                <w:sz w:val="24"/>
                <w:highlight w:val="none"/>
              </w:rPr>
              <w:t xml:space="preserve"> ＜100%时，表示大气中该污染物浓度不超标；当P</w:t>
            </w:r>
            <w:r>
              <w:rPr>
                <w:rFonts w:hint="default" w:ascii="Times New Roman" w:hAnsi="Times New Roman" w:eastAsia="宋体" w:cs="Times New Roman"/>
                <w:color w:val="auto"/>
                <w:sz w:val="24"/>
                <w:highlight w:val="none"/>
                <w:vertAlign w:val="subscript"/>
              </w:rPr>
              <w:t>i</w:t>
            </w:r>
            <w:r>
              <w:rPr>
                <w:rFonts w:hint="default" w:ascii="Times New Roman" w:hAnsi="Times New Roman" w:eastAsia="宋体" w:cs="Times New Roman"/>
                <w:color w:val="auto"/>
                <w:sz w:val="24"/>
                <w:highlight w:val="none"/>
              </w:rPr>
              <w:t>≥100%时，表示大气中该污染物浓度超过评价标准。</w:t>
            </w:r>
          </w:p>
          <w:p w14:paraId="254603B1">
            <w:pPr>
              <w:spacing w:line="360" w:lineRule="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1.2.3监测结果及分析</w:t>
            </w:r>
          </w:p>
          <w:p w14:paraId="334405CA">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本次监测</w:t>
            </w:r>
            <w:r>
              <w:rPr>
                <w:rFonts w:hint="eastAsia" w:cs="Times New Roman"/>
                <w:color w:val="auto"/>
                <w:sz w:val="24"/>
                <w:highlight w:val="none"/>
                <w:lang w:val="en-US" w:eastAsia="zh-CN"/>
              </w:rPr>
              <w:t>总悬浮</w:t>
            </w:r>
            <w:r>
              <w:rPr>
                <w:rFonts w:hint="default" w:ascii="Times New Roman" w:hAnsi="Times New Roman" w:cs="Times New Roman"/>
                <w:color w:val="auto"/>
                <w:sz w:val="24"/>
                <w:highlight w:val="none"/>
                <w:lang w:val="en-US" w:eastAsia="zh-CN"/>
              </w:rPr>
              <w:t>颗粒物</w:t>
            </w:r>
            <w:r>
              <w:rPr>
                <w:rFonts w:hint="default" w:ascii="Times New Roman" w:hAnsi="Times New Roman" w:eastAsia="宋体" w:cs="Times New Roman"/>
                <w:color w:val="auto"/>
                <w:sz w:val="24"/>
                <w:highlight w:val="none"/>
              </w:rPr>
              <w:t>小时平均浓度统计结果见表</w:t>
            </w:r>
            <w:r>
              <w:rPr>
                <w:rFonts w:hint="default" w:ascii="Times New Roman" w:hAnsi="Times New Roman" w:eastAsia="宋体" w:cs="Times New Roman"/>
                <w:color w:val="auto"/>
                <w:sz w:val="24"/>
                <w:highlight w:val="none"/>
                <w:lang w:val="en-US" w:eastAsia="zh-CN"/>
              </w:rPr>
              <w:t>3-</w:t>
            </w:r>
            <w:r>
              <w:rPr>
                <w:rFonts w:hint="eastAsia" w:cs="Times New Roman"/>
                <w:color w:val="auto"/>
                <w:sz w:val="24"/>
                <w:highlight w:val="none"/>
                <w:lang w:val="en-US" w:eastAsia="zh-CN"/>
              </w:rPr>
              <w:t>4</w:t>
            </w:r>
            <w:r>
              <w:rPr>
                <w:rFonts w:hint="default" w:ascii="Times New Roman" w:hAnsi="Times New Roman" w:eastAsia="宋体" w:cs="Times New Roman"/>
                <w:color w:val="auto"/>
                <w:sz w:val="24"/>
                <w:highlight w:val="none"/>
              </w:rPr>
              <w:t>。</w:t>
            </w:r>
          </w:p>
          <w:p w14:paraId="0A85DBCE">
            <w:pPr>
              <w:spacing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default" w:ascii="Times New Roman" w:hAnsi="Times New Roman" w:eastAsia="宋体" w:cs="Times New Roman"/>
                <w:b/>
                <w:bCs/>
                <w:color w:val="auto"/>
                <w:sz w:val="21"/>
                <w:szCs w:val="21"/>
                <w:highlight w:val="none"/>
                <w:lang w:val="en-US" w:eastAsia="zh-CN"/>
              </w:rPr>
              <w:t>3-</w:t>
            </w:r>
            <w:r>
              <w:rPr>
                <w:rFonts w:hint="eastAsia" w:cs="Times New Roman"/>
                <w:b/>
                <w:bCs/>
                <w:color w:val="auto"/>
                <w:sz w:val="21"/>
                <w:szCs w:val="21"/>
                <w:highlight w:val="none"/>
                <w:lang w:val="en-US" w:eastAsia="zh-CN"/>
              </w:rPr>
              <w:t>4</w:t>
            </w:r>
            <w:r>
              <w:rPr>
                <w:rFonts w:hint="default" w:ascii="Times New Roman" w:hAnsi="Times New Roman" w:eastAsia="宋体" w:cs="Times New Roman"/>
                <w:b/>
                <w:bCs/>
                <w:color w:val="auto"/>
                <w:sz w:val="21"/>
                <w:szCs w:val="21"/>
                <w:highlight w:val="none"/>
              </w:rPr>
              <w:t xml:space="preserve">    </w:t>
            </w:r>
            <w:r>
              <w:rPr>
                <w:rFonts w:hint="default" w:ascii="Times New Roman" w:hAnsi="Times New Roman" w:cs="Times New Roman"/>
                <w:b/>
                <w:bCs/>
                <w:color w:val="auto"/>
                <w:sz w:val="21"/>
                <w:szCs w:val="21"/>
                <w:highlight w:val="none"/>
                <w:lang w:val="en-US" w:eastAsia="zh-CN"/>
              </w:rPr>
              <w:t>颗粒物</w:t>
            </w:r>
            <w:r>
              <w:rPr>
                <w:rFonts w:hint="default" w:ascii="Times New Roman" w:hAnsi="Times New Roman" w:eastAsia="宋体" w:cs="Times New Roman"/>
                <w:b/>
                <w:bCs/>
                <w:color w:val="auto"/>
                <w:sz w:val="21"/>
                <w:szCs w:val="21"/>
                <w:highlight w:val="none"/>
              </w:rPr>
              <w:t>环境空气质量现状监测结果       单位：mg/</w:t>
            </w:r>
            <w:r>
              <w:rPr>
                <w:rFonts w:hint="default" w:ascii="Times New Roman" w:hAnsi="Times New Roman" w:eastAsia="宋体" w:cs="Times New Roman"/>
                <w:color w:val="auto"/>
                <w:sz w:val="22"/>
                <w:szCs w:val="22"/>
                <w:highlight w:val="none"/>
              </w:rPr>
              <w:t>m</w:t>
            </w:r>
            <w:r>
              <w:rPr>
                <w:rFonts w:hint="default" w:ascii="Times New Roman" w:hAnsi="Times New Roman" w:eastAsia="宋体" w:cs="Times New Roman"/>
                <w:color w:val="auto"/>
                <w:sz w:val="22"/>
                <w:szCs w:val="22"/>
                <w:highlight w:val="none"/>
                <w:vertAlign w:val="superscript"/>
              </w:rPr>
              <w:t>3</w:t>
            </w:r>
          </w:p>
          <w:tbl>
            <w:tblPr>
              <w:tblStyle w:val="27"/>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48"/>
              <w:gridCol w:w="1937"/>
              <w:gridCol w:w="2197"/>
              <w:gridCol w:w="1989"/>
            </w:tblGrid>
            <w:tr w14:paraId="72681F7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59" w:type="pct"/>
                  <w:vMerge w:val="restart"/>
                  <w:noWrap w:val="0"/>
                  <w:vAlign w:val="center"/>
                </w:tcPr>
                <w:p w14:paraId="51DAC382">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监测点位名称</w:t>
                  </w:r>
                </w:p>
              </w:tc>
              <w:tc>
                <w:tcPr>
                  <w:tcW w:w="1215" w:type="pct"/>
                  <w:vMerge w:val="restart"/>
                  <w:noWrap w:val="0"/>
                  <w:vAlign w:val="center"/>
                </w:tcPr>
                <w:p w14:paraId="52973CF2">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监测时间</w:t>
                  </w:r>
                </w:p>
              </w:tc>
              <w:tc>
                <w:tcPr>
                  <w:tcW w:w="2625" w:type="pct"/>
                  <w:gridSpan w:val="2"/>
                  <w:noWrap w:val="0"/>
                  <w:vAlign w:val="center"/>
                </w:tcPr>
                <w:p w14:paraId="77FD5740">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监测项目结果</w:t>
                  </w:r>
                </w:p>
              </w:tc>
            </w:tr>
            <w:tr w14:paraId="38D5BC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59" w:type="pct"/>
                  <w:vMerge w:val="continue"/>
                  <w:tcBorders>
                    <w:bottom w:val="single" w:color="auto" w:sz="12" w:space="0"/>
                  </w:tcBorders>
                  <w:noWrap w:val="0"/>
                  <w:vAlign w:val="center"/>
                </w:tcPr>
                <w:p w14:paraId="29B445B7">
                  <w:pPr>
                    <w:spacing w:line="240" w:lineRule="atLeast"/>
                    <w:jc w:val="center"/>
                    <w:rPr>
                      <w:rFonts w:hint="default" w:ascii="Times New Roman" w:hAnsi="Times New Roman" w:eastAsia="宋体" w:cs="Times New Roman"/>
                      <w:b/>
                      <w:color w:val="auto"/>
                      <w:highlight w:val="none"/>
                    </w:rPr>
                  </w:pPr>
                </w:p>
              </w:tc>
              <w:tc>
                <w:tcPr>
                  <w:tcW w:w="1215" w:type="pct"/>
                  <w:vMerge w:val="continue"/>
                  <w:tcBorders>
                    <w:bottom w:val="single" w:color="auto" w:sz="12" w:space="0"/>
                  </w:tcBorders>
                  <w:noWrap w:val="0"/>
                  <w:vAlign w:val="center"/>
                </w:tcPr>
                <w:p w14:paraId="0BEAF67B">
                  <w:pPr>
                    <w:spacing w:line="240" w:lineRule="atLeast"/>
                    <w:jc w:val="center"/>
                    <w:rPr>
                      <w:rFonts w:hint="default" w:ascii="Times New Roman" w:hAnsi="Times New Roman" w:eastAsia="宋体" w:cs="Times New Roman"/>
                      <w:b/>
                      <w:color w:val="auto"/>
                      <w:highlight w:val="none"/>
                    </w:rPr>
                  </w:pPr>
                </w:p>
              </w:tc>
              <w:tc>
                <w:tcPr>
                  <w:tcW w:w="1378" w:type="pct"/>
                  <w:tcBorders>
                    <w:bottom w:val="single" w:color="auto" w:sz="12" w:space="0"/>
                  </w:tcBorders>
                  <w:noWrap w:val="0"/>
                  <w:vAlign w:val="center"/>
                </w:tcPr>
                <w:p w14:paraId="004C4FD0">
                  <w:pPr>
                    <w:spacing w:line="240" w:lineRule="atLeast"/>
                    <w:jc w:val="center"/>
                    <w:rPr>
                      <w:rFonts w:hint="default" w:ascii="Times New Roman" w:hAnsi="Times New Roman" w:eastAsia="宋体" w:cs="Times New Roman"/>
                      <w:b/>
                      <w:color w:val="auto"/>
                      <w:highlight w:val="none"/>
                      <w:lang w:eastAsia="zh-CN"/>
                    </w:rPr>
                  </w:pPr>
                  <w:r>
                    <w:rPr>
                      <w:rFonts w:hint="default" w:ascii="Times New Roman" w:hAnsi="Times New Roman" w:cs="Times New Roman"/>
                      <w:b/>
                      <w:color w:val="auto"/>
                      <w:highlight w:val="none"/>
                      <w:lang w:val="en-US" w:eastAsia="zh-CN"/>
                    </w:rPr>
                    <w:t>颗粒物</w:t>
                  </w:r>
                </w:p>
              </w:tc>
              <w:tc>
                <w:tcPr>
                  <w:tcW w:w="1247" w:type="pct"/>
                  <w:tcBorders>
                    <w:bottom w:val="single" w:color="auto" w:sz="12" w:space="0"/>
                  </w:tcBorders>
                  <w:noWrap w:val="0"/>
                  <w:vAlign w:val="center"/>
                </w:tcPr>
                <w:p w14:paraId="3559332E">
                  <w:pPr>
                    <w:spacing w:line="240" w:lineRule="atLeast"/>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P</w:t>
                  </w:r>
                  <w:r>
                    <w:rPr>
                      <w:rFonts w:hint="default" w:ascii="Times New Roman" w:hAnsi="Times New Roman" w:eastAsia="宋体" w:cs="Times New Roman"/>
                      <w:b/>
                      <w:color w:val="auto"/>
                      <w:highlight w:val="none"/>
                      <w:vertAlign w:val="subscript"/>
                    </w:rPr>
                    <w:t>i</w:t>
                  </w:r>
                </w:p>
              </w:tc>
            </w:tr>
            <w:tr w14:paraId="6AAA3F0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59" w:type="pct"/>
                  <w:vMerge w:val="restart"/>
                  <w:tcBorders>
                    <w:top w:val="single" w:color="auto" w:sz="12" w:space="0"/>
                  </w:tcBorders>
                  <w:noWrap w:val="0"/>
                  <w:vAlign w:val="center"/>
                </w:tcPr>
                <w:p w14:paraId="7633C985">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1#项目区上风向</w:t>
                  </w:r>
                </w:p>
              </w:tc>
              <w:tc>
                <w:tcPr>
                  <w:tcW w:w="1215" w:type="pct"/>
                  <w:tcBorders>
                    <w:top w:val="single" w:color="auto" w:sz="12" w:space="0"/>
                  </w:tcBorders>
                  <w:noWrap w:val="0"/>
                  <w:vAlign w:val="center"/>
                </w:tcPr>
                <w:p w14:paraId="595E5CAB">
                  <w:pPr>
                    <w:spacing w:line="240" w:lineRule="atLeas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202</w:t>
                  </w:r>
                  <w:r>
                    <w:rPr>
                      <w:rFonts w:hint="eastAsia" w:cs="Times New Roman"/>
                      <w:color w:val="auto"/>
                      <w:highlight w:val="none"/>
                      <w:lang w:val="en-US" w:eastAsia="zh-CN"/>
                    </w:rPr>
                    <w:t>3</w:t>
                  </w:r>
                  <w:r>
                    <w:rPr>
                      <w:rFonts w:hint="default" w:ascii="Times New Roman" w:hAnsi="Times New Roman" w:cs="Times New Roman"/>
                      <w:color w:val="auto"/>
                      <w:highlight w:val="none"/>
                      <w:lang w:val="en-US" w:eastAsia="zh-CN"/>
                    </w:rPr>
                    <w:t>.</w:t>
                  </w:r>
                  <w:r>
                    <w:rPr>
                      <w:rFonts w:hint="eastAsia" w:cs="Times New Roman"/>
                      <w:color w:val="auto"/>
                      <w:highlight w:val="none"/>
                      <w:lang w:val="en-US" w:eastAsia="zh-CN"/>
                    </w:rPr>
                    <w:t>5</w:t>
                  </w:r>
                  <w:r>
                    <w:rPr>
                      <w:rFonts w:hint="default" w:ascii="Times New Roman" w:hAnsi="Times New Roman" w:cs="Times New Roman"/>
                      <w:color w:val="auto"/>
                      <w:highlight w:val="none"/>
                      <w:lang w:val="en-US" w:eastAsia="zh-CN"/>
                    </w:rPr>
                    <w:t>.</w:t>
                  </w:r>
                  <w:r>
                    <w:rPr>
                      <w:rFonts w:hint="eastAsia" w:cs="Times New Roman"/>
                      <w:color w:val="auto"/>
                      <w:highlight w:val="none"/>
                      <w:lang w:val="en-US" w:eastAsia="zh-CN"/>
                    </w:rPr>
                    <w:t>4~5.5</w:t>
                  </w:r>
                </w:p>
              </w:tc>
              <w:tc>
                <w:tcPr>
                  <w:tcW w:w="1378" w:type="pct"/>
                  <w:tcBorders>
                    <w:top w:val="single" w:color="auto" w:sz="12" w:space="0"/>
                  </w:tcBorders>
                  <w:noWrap w:val="0"/>
                  <w:vAlign w:val="center"/>
                </w:tcPr>
                <w:p w14:paraId="0092C8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highlight w:val="none"/>
                      <w:lang w:val="en-US"/>
                    </w:rPr>
                  </w:pPr>
                  <w:r>
                    <w:rPr>
                      <w:rFonts w:hint="default" w:ascii="Times New Roman" w:hAnsi="Times New Roman" w:eastAsia="宋体" w:cs="Times New Roman"/>
                      <w:i w:val="0"/>
                      <w:iCs w:val="0"/>
                      <w:color w:val="auto"/>
                      <w:kern w:val="0"/>
                      <w:sz w:val="21"/>
                      <w:szCs w:val="21"/>
                      <w:highlight w:val="none"/>
                      <w:u w:val="none"/>
                      <w:lang w:val="en-US" w:eastAsia="zh-CN" w:bidi="ar"/>
                    </w:rPr>
                    <w:t>0.</w:t>
                  </w:r>
                  <w:r>
                    <w:rPr>
                      <w:rFonts w:hint="eastAsia" w:cs="Times New Roman"/>
                      <w:i w:val="0"/>
                      <w:iCs w:val="0"/>
                      <w:color w:val="auto"/>
                      <w:kern w:val="0"/>
                      <w:sz w:val="21"/>
                      <w:szCs w:val="21"/>
                      <w:highlight w:val="none"/>
                      <w:u w:val="none"/>
                      <w:lang w:val="en-US" w:eastAsia="zh-CN" w:bidi="ar"/>
                    </w:rPr>
                    <w:t>151</w:t>
                  </w:r>
                </w:p>
              </w:tc>
              <w:tc>
                <w:tcPr>
                  <w:tcW w:w="1247" w:type="pct"/>
                  <w:tcBorders>
                    <w:top w:val="single" w:color="auto" w:sz="12" w:space="0"/>
                  </w:tcBorders>
                  <w:noWrap w:val="0"/>
                  <w:vAlign w:val="center"/>
                </w:tcPr>
                <w:p w14:paraId="11D036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50.3</w:t>
                  </w:r>
                </w:p>
              </w:tc>
            </w:tr>
            <w:tr w14:paraId="67388AB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59" w:type="pct"/>
                  <w:vMerge w:val="continue"/>
                  <w:noWrap w:val="0"/>
                  <w:vAlign w:val="center"/>
                </w:tcPr>
                <w:p w14:paraId="051E3E4C">
                  <w:pPr>
                    <w:spacing w:line="240" w:lineRule="atLeast"/>
                    <w:jc w:val="center"/>
                    <w:rPr>
                      <w:rFonts w:hint="default" w:ascii="Times New Roman" w:hAnsi="Times New Roman" w:eastAsia="宋体" w:cs="Times New Roman"/>
                      <w:color w:val="auto"/>
                      <w:highlight w:val="none"/>
                    </w:rPr>
                  </w:pPr>
                </w:p>
              </w:tc>
              <w:tc>
                <w:tcPr>
                  <w:tcW w:w="1215" w:type="pct"/>
                  <w:noWrap w:val="0"/>
                  <w:vAlign w:val="center"/>
                </w:tcPr>
                <w:p w14:paraId="7BE66792">
                  <w:pPr>
                    <w:spacing w:line="240" w:lineRule="atLeas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202</w:t>
                  </w:r>
                  <w:r>
                    <w:rPr>
                      <w:rFonts w:hint="eastAsia" w:cs="Times New Roman"/>
                      <w:color w:val="auto"/>
                      <w:highlight w:val="none"/>
                      <w:lang w:val="en-US" w:eastAsia="zh-CN"/>
                    </w:rPr>
                    <w:t>3</w:t>
                  </w:r>
                  <w:r>
                    <w:rPr>
                      <w:rFonts w:hint="default" w:ascii="Times New Roman" w:hAnsi="Times New Roman" w:cs="Times New Roman"/>
                      <w:color w:val="auto"/>
                      <w:highlight w:val="none"/>
                      <w:lang w:val="en-US" w:eastAsia="zh-CN"/>
                    </w:rPr>
                    <w:t>.</w:t>
                  </w:r>
                  <w:r>
                    <w:rPr>
                      <w:rFonts w:hint="eastAsia" w:cs="Times New Roman"/>
                      <w:color w:val="auto"/>
                      <w:highlight w:val="none"/>
                      <w:lang w:val="en-US" w:eastAsia="zh-CN"/>
                    </w:rPr>
                    <w:t>5</w:t>
                  </w:r>
                  <w:r>
                    <w:rPr>
                      <w:rFonts w:hint="default" w:ascii="Times New Roman" w:hAnsi="Times New Roman" w:cs="Times New Roman"/>
                      <w:color w:val="auto"/>
                      <w:highlight w:val="none"/>
                      <w:lang w:val="en-US" w:eastAsia="zh-CN"/>
                    </w:rPr>
                    <w:t>.</w:t>
                  </w:r>
                  <w:r>
                    <w:rPr>
                      <w:rFonts w:hint="eastAsia" w:cs="Times New Roman"/>
                      <w:color w:val="auto"/>
                      <w:highlight w:val="none"/>
                      <w:lang w:val="en-US" w:eastAsia="zh-CN"/>
                    </w:rPr>
                    <w:t>5~5.6</w:t>
                  </w:r>
                </w:p>
              </w:tc>
              <w:tc>
                <w:tcPr>
                  <w:tcW w:w="1378" w:type="pct"/>
                  <w:noWrap w:val="0"/>
                  <w:vAlign w:val="center"/>
                </w:tcPr>
                <w:p w14:paraId="3773B2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highlight w:val="none"/>
                      <w:lang w:val="en-US"/>
                    </w:rPr>
                  </w:pPr>
                  <w:r>
                    <w:rPr>
                      <w:rFonts w:hint="default" w:ascii="Times New Roman" w:hAnsi="Times New Roman" w:eastAsia="宋体" w:cs="Times New Roman"/>
                      <w:i w:val="0"/>
                      <w:iCs w:val="0"/>
                      <w:color w:val="auto"/>
                      <w:kern w:val="0"/>
                      <w:sz w:val="21"/>
                      <w:szCs w:val="21"/>
                      <w:highlight w:val="none"/>
                      <w:u w:val="none"/>
                      <w:lang w:val="en-US" w:eastAsia="zh-CN" w:bidi="ar"/>
                    </w:rPr>
                    <w:t>0.</w:t>
                  </w:r>
                  <w:r>
                    <w:rPr>
                      <w:rFonts w:hint="eastAsia" w:cs="Times New Roman"/>
                      <w:i w:val="0"/>
                      <w:iCs w:val="0"/>
                      <w:color w:val="auto"/>
                      <w:kern w:val="0"/>
                      <w:sz w:val="21"/>
                      <w:szCs w:val="21"/>
                      <w:highlight w:val="none"/>
                      <w:u w:val="none"/>
                      <w:lang w:val="en-US" w:eastAsia="zh-CN" w:bidi="ar"/>
                    </w:rPr>
                    <w:t>160</w:t>
                  </w:r>
                </w:p>
              </w:tc>
              <w:tc>
                <w:tcPr>
                  <w:tcW w:w="1247" w:type="pct"/>
                  <w:noWrap w:val="0"/>
                  <w:vAlign w:val="center"/>
                </w:tcPr>
                <w:p w14:paraId="461D25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highlight w:val="none"/>
                      <w:lang w:val="en-US"/>
                    </w:rPr>
                  </w:pPr>
                  <w:r>
                    <w:rPr>
                      <w:rFonts w:hint="eastAsia" w:cs="Times New Roman"/>
                      <w:i w:val="0"/>
                      <w:iCs w:val="0"/>
                      <w:color w:val="auto"/>
                      <w:kern w:val="0"/>
                      <w:sz w:val="21"/>
                      <w:szCs w:val="21"/>
                      <w:highlight w:val="none"/>
                      <w:u w:val="none"/>
                      <w:lang w:val="en-US" w:eastAsia="zh-CN" w:bidi="ar"/>
                    </w:rPr>
                    <w:t>53.3</w:t>
                  </w:r>
                </w:p>
              </w:tc>
            </w:tr>
            <w:tr w14:paraId="390A8D4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59" w:type="pct"/>
                  <w:vMerge w:val="continue"/>
                  <w:noWrap w:val="0"/>
                  <w:vAlign w:val="center"/>
                </w:tcPr>
                <w:p w14:paraId="16B5F418">
                  <w:pPr>
                    <w:spacing w:line="240" w:lineRule="atLeast"/>
                    <w:jc w:val="center"/>
                    <w:rPr>
                      <w:rFonts w:hint="default" w:ascii="Times New Roman" w:hAnsi="Times New Roman" w:eastAsia="宋体" w:cs="Times New Roman"/>
                      <w:color w:val="auto"/>
                      <w:highlight w:val="none"/>
                    </w:rPr>
                  </w:pPr>
                </w:p>
              </w:tc>
              <w:tc>
                <w:tcPr>
                  <w:tcW w:w="1215" w:type="pct"/>
                  <w:noWrap w:val="0"/>
                  <w:vAlign w:val="center"/>
                </w:tcPr>
                <w:p w14:paraId="1757347B">
                  <w:pPr>
                    <w:spacing w:line="240" w:lineRule="atLeas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202</w:t>
                  </w:r>
                  <w:r>
                    <w:rPr>
                      <w:rFonts w:hint="eastAsia" w:cs="Times New Roman"/>
                      <w:color w:val="auto"/>
                      <w:highlight w:val="none"/>
                      <w:lang w:val="en-US" w:eastAsia="zh-CN"/>
                    </w:rPr>
                    <w:t>3</w:t>
                  </w:r>
                  <w:r>
                    <w:rPr>
                      <w:rFonts w:hint="default" w:ascii="Times New Roman" w:hAnsi="Times New Roman" w:cs="Times New Roman"/>
                      <w:color w:val="auto"/>
                      <w:highlight w:val="none"/>
                      <w:lang w:val="en-US" w:eastAsia="zh-CN"/>
                    </w:rPr>
                    <w:t>.</w:t>
                  </w:r>
                  <w:r>
                    <w:rPr>
                      <w:rFonts w:hint="eastAsia" w:cs="Times New Roman"/>
                      <w:color w:val="auto"/>
                      <w:highlight w:val="none"/>
                      <w:lang w:val="en-US" w:eastAsia="zh-CN"/>
                    </w:rPr>
                    <w:t>5</w:t>
                  </w:r>
                  <w:r>
                    <w:rPr>
                      <w:rFonts w:hint="default" w:ascii="Times New Roman" w:hAnsi="Times New Roman" w:cs="Times New Roman"/>
                      <w:color w:val="auto"/>
                      <w:highlight w:val="none"/>
                      <w:lang w:val="en-US" w:eastAsia="zh-CN"/>
                    </w:rPr>
                    <w:t>.</w:t>
                  </w:r>
                  <w:r>
                    <w:rPr>
                      <w:rFonts w:hint="eastAsia" w:cs="Times New Roman"/>
                      <w:color w:val="auto"/>
                      <w:highlight w:val="none"/>
                      <w:lang w:val="en-US" w:eastAsia="zh-CN"/>
                    </w:rPr>
                    <w:t>6~5.7</w:t>
                  </w:r>
                </w:p>
              </w:tc>
              <w:tc>
                <w:tcPr>
                  <w:tcW w:w="1378" w:type="pct"/>
                  <w:noWrap w:val="0"/>
                  <w:vAlign w:val="center"/>
                </w:tcPr>
                <w:p w14:paraId="4A0757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highlight w:val="none"/>
                      <w:lang w:val="en-US"/>
                    </w:rPr>
                  </w:pPr>
                  <w:r>
                    <w:rPr>
                      <w:rFonts w:hint="default" w:ascii="Times New Roman" w:hAnsi="Times New Roman" w:eastAsia="宋体" w:cs="Times New Roman"/>
                      <w:i w:val="0"/>
                      <w:iCs w:val="0"/>
                      <w:color w:val="auto"/>
                      <w:kern w:val="0"/>
                      <w:sz w:val="21"/>
                      <w:szCs w:val="21"/>
                      <w:highlight w:val="none"/>
                      <w:u w:val="none"/>
                      <w:lang w:val="en-US" w:eastAsia="zh-CN" w:bidi="ar"/>
                    </w:rPr>
                    <w:t>0.</w:t>
                  </w:r>
                  <w:r>
                    <w:rPr>
                      <w:rFonts w:hint="eastAsia" w:cs="Times New Roman"/>
                      <w:i w:val="0"/>
                      <w:iCs w:val="0"/>
                      <w:color w:val="auto"/>
                      <w:kern w:val="0"/>
                      <w:sz w:val="21"/>
                      <w:szCs w:val="21"/>
                      <w:highlight w:val="none"/>
                      <w:u w:val="none"/>
                      <w:lang w:val="en-US" w:eastAsia="zh-CN" w:bidi="ar"/>
                    </w:rPr>
                    <w:t>142</w:t>
                  </w:r>
                </w:p>
              </w:tc>
              <w:tc>
                <w:tcPr>
                  <w:tcW w:w="1247" w:type="pct"/>
                  <w:noWrap w:val="0"/>
                  <w:vAlign w:val="center"/>
                </w:tcPr>
                <w:p w14:paraId="13CE37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highlight w:val="none"/>
                      <w:lang w:val="en-US"/>
                    </w:rPr>
                  </w:pPr>
                  <w:r>
                    <w:rPr>
                      <w:rFonts w:hint="eastAsia" w:cs="Times New Roman"/>
                      <w:i w:val="0"/>
                      <w:iCs w:val="0"/>
                      <w:color w:val="auto"/>
                      <w:kern w:val="0"/>
                      <w:sz w:val="21"/>
                      <w:szCs w:val="21"/>
                      <w:highlight w:val="none"/>
                      <w:u w:val="none"/>
                      <w:lang w:val="en-US" w:eastAsia="zh-CN" w:bidi="ar"/>
                    </w:rPr>
                    <w:t>47.3</w:t>
                  </w:r>
                </w:p>
              </w:tc>
            </w:tr>
            <w:tr w14:paraId="0017AD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74" w:type="pct"/>
                  <w:gridSpan w:val="2"/>
                  <w:noWrap w:val="0"/>
                  <w:vAlign w:val="center"/>
                </w:tcPr>
                <w:p w14:paraId="101D4B32">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标准值</w:t>
                  </w:r>
                </w:p>
              </w:tc>
              <w:tc>
                <w:tcPr>
                  <w:tcW w:w="2625" w:type="pct"/>
                  <w:gridSpan w:val="2"/>
                  <w:noWrap w:val="0"/>
                  <w:vAlign w:val="center"/>
                </w:tcPr>
                <w:p w14:paraId="0B1E27C5">
                  <w:pPr>
                    <w:spacing w:line="240" w:lineRule="atLeast"/>
                    <w:jc w:val="center"/>
                    <w:rPr>
                      <w:rFonts w:hint="default" w:ascii="Times New Roman" w:hAnsi="Times New Roman" w:eastAsia="宋体" w:cs="Times New Roman"/>
                      <w:color w:val="auto"/>
                      <w:highlight w:val="none"/>
                      <w:lang w:val="en-US"/>
                    </w:rPr>
                  </w:pPr>
                  <w:r>
                    <w:rPr>
                      <w:rFonts w:hint="default" w:ascii="Times New Roman" w:hAnsi="Times New Roman" w:cs="Times New Roman"/>
                      <w:color w:val="auto"/>
                      <w:highlight w:val="none"/>
                      <w:lang w:val="en-US" w:eastAsia="zh-CN"/>
                    </w:rPr>
                    <w:t>0.3</w:t>
                  </w:r>
                </w:p>
              </w:tc>
            </w:tr>
            <w:tr w14:paraId="4FCFDF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74" w:type="pct"/>
                  <w:gridSpan w:val="2"/>
                  <w:noWrap w:val="0"/>
                  <w:vAlign w:val="center"/>
                </w:tcPr>
                <w:p w14:paraId="5F4633C3">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日均值超标率（%）</w:t>
                  </w:r>
                </w:p>
              </w:tc>
              <w:tc>
                <w:tcPr>
                  <w:tcW w:w="2625" w:type="pct"/>
                  <w:gridSpan w:val="2"/>
                  <w:noWrap w:val="0"/>
                  <w:vAlign w:val="center"/>
                </w:tcPr>
                <w:p w14:paraId="6D0D06CB">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0</w:t>
                  </w:r>
                </w:p>
              </w:tc>
            </w:tr>
            <w:tr w14:paraId="3937879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374" w:type="pct"/>
                  <w:gridSpan w:val="2"/>
                  <w:noWrap w:val="0"/>
                  <w:vAlign w:val="center"/>
                </w:tcPr>
                <w:p w14:paraId="1C44C27A">
                  <w:pPr>
                    <w:spacing w:line="240" w:lineRule="atLeas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最大浓度值占标率（%）</w:t>
                  </w:r>
                </w:p>
              </w:tc>
              <w:tc>
                <w:tcPr>
                  <w:tcW w:w="2625" w:type="pct"/>
                  <w:gridSpan w:val="2"/>
                  <w:noWrap w:val="0"/>
                  <w:vAlign w:val="center"/>
                </w:tcPr>
                <w:p w14:paraId="3E5446EC">
                  <w:pPr>
                    <w:spacing w:line="240" w:lineRule="atLeast"/>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53.3</w:t>
                  </w:r>
                </w:p>
              </w:tc>
            </w:tr>
          </w:tbl>
          <w:p w14:paraId="5E79EBBF">
            <w:pPr>
              <w:spacing w:line="360" w:lineRule="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1.2.4现状监测结果分析</w:t>
            </w:r>
          </w:p>
          <w:p w14:paraId="43397015">
            <w:pPr>
              <w:spacing w:line="360" w:lineRule="auto"/>
              <w:ind w:firstLine="480" w:firstLineChars="200"/>
              <w:rPr>
                <w:rFonts w:hint="default" w:ascii="Times New Roman" w:hAnsi="Times New Roman" w:eastAsia="宋体"/>
                <w:color w:val="auto"/>
                <w:sz w:val="24"/>
                <w:highlight w:val="none"/>
                <w:lang w:val="en-US" w:eastAsia="zh-CN"/>
              </w:rPr>
            </w:pPr>
            <w:r>
              <w:rPr>
                <w:rFonts w:hint="default" w:ascii="Times New Roman" w:hAnsi="Times New Roman" w:eastAsia="宋体" w:cs="Times New Roman"/>
                <w:color w:val="auto"/>
                <w:sz w:val="24"/>
                <w:highlight w:val="none"/>
              </w:rPr>
              <w:t>对照表</w:t>
            </w:r>
            <w:r>
              <w:rPr>
                <w:rFonts w:hint="default" w:ascii="Times New Roman" w:hAnsi="Times New Roman" w:eastAsia="宋体" w:cs="Times New Roman"/>
                <w:color w:val="auto"/>
                <w:sz w:val="24"/>
                <w:highlight w:val="none"/>
                <w:lang w:val="en-US" w:eastAsia="zh-CN"/>
              </w:rPr>
              <w:t>3-5</w:t>
            </w:r>
            <w:r>
              <w:rPr>
                <w:rFonts w:hint="default" w:ascii="Times New Roman" w:hAnsi="Times New Roman" w:eastAsia="宋体" w:cs="Times New Roman"/>
                <w:color w:val="auto"/>
                <w:sz w:val="24"/>
                <w:highlight w:val="none"/>
              </w:rPr>
              <w:t>环境空气质量标准，由表</w:t>
            </w:r>
            <w:r>
              <w:rPr>
                <w:rFonts w:hint="default" w:ascii="Times New Roman" w:hAnsi="Times New Roman" w:eastAsia="宋体" w:cs="Times New Roman"/>
                <w:color w:val="auto"/>
                <w:sz w:val="24"/>
                <w:highlight w:val="none"/>
                <w:lang w:val="en-US" w:eastAsia="zh-CN"/>
              </w:rPr>
              <w:t>3-5</w:t>
            </w:r>
            <w:r>
              <w:rPr>
                <w:rFonts w:hint="default" w:ascii="Times New Roman" w:hAnsi="Times New Roman" w:eastAsia="宋体" w:cs="Times New Roman"/>
                <w:color w:val="auto"/>
                <w:sz w:val="24"/>
                <w:highlight w:val="none"/>
              </w:rPr>
              <w:t>看出：评价区域内大气环境监测结果表明，</w:t>
            </w:r>
            <w:r>
              <w:rPr>
                <w:rFonts w:hint="eastAsia" w:cs="Times New Roman"/>
                <w:color w:val="auto"/>
                <w:sz w:val="24"/>
                <w:highlight w:val="none"/>
                <w:lang w:val="en-US" w:eastAsia="zh-CN"/>
              </w:rPr>
              <w:t>总悬浮</w:t>
            </w:r>
            <w:r>
              <w:rPr>
                <w:rFonts w:hint="default" w:ascii="Times New Roman" w:hAnsi="Times New Roman" w:eastAsia="宋体" w:cs="Times New Roman"/>
                <w:color w:val="auto"/>
                <w:sz w:val="24"/>
                <w:highlight w:val="none"/>
                <w:lang w:val="en-US" w:eastAsia="zh-CN"/>
              </w:rPr>
              <w:t>颗粒物符合</w:t>
            </w:r>
            <w:r>
              <w:rPr>
                <w:rFonts w:hint="default" w:ascii="Times New Roman" w:hAnsi="Times New Roman" w:eastAsia="宋体" w:cs="Times New Roman"/>
                <w:color w:val="auto"/>
                <w:sz w:val="24"/>
                <w:highlight w:val="none"/>
              </w:rPr>
              <w:t>《环境空气质量标准》（GB3095-2012）中二级标准质量标准日均值</w:t>
            </w:r>
            <w:r>
              <w:rPr>
                <w:rFonts w:hint="default" w:ascii="Times New Roman" w:hAnsi="Times New Roman" w:cs="Times New Roman"/>
                <w:color w:val="auto"/>
                <w:sz w:val="24"/>
                <w:highlight w:val="none"/>
                <w:lang w:val="en-US" w:eastAsia="zh-CN"/>
              </w:rPr>
              <w:t>0.3</w:t>
            </w:r>
            <w:r>
              <w:rPr>
                <w:rFonts w:hint="default" w:ascii="Times New Roman" w:hAnsi="Times New Roman" w:eastAsia="宋体" w:cs="Times New Roman"/>
                <w:color w:val="auto"/>
                <w:sz w:val="24"/>
                <w:highlight w:val="none"/>
              </w:rPr>
              <w:t>mg/</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highlight w:val="none"/>
              </w:rPr>
              <w:t>。其污染物有一定环境容量，本项目实施后在落实各项环保措施情况下，</w:t>
            </w:r>
            <w:r>
              <w:rPr>
                <w:rFonts w:hint="eastAsia" w:cs="Times New Roman"/>
                <w:color w:val="auto"/>
                <w:sz w:val="24"/>
                <w:highlight w:val="none"/>
                <w:lang w:val="en-US" w:eastAsia="zh-CN"/>
              </w:rPr>
              <w:t>项目区环境空气质量良好。</w:t>
            </w:r>
          </w:p>
          <w:p w14:paraId="3481FA7A">
            <w:pPr>
              <w:pStyle w:val="6"/>
              <w:spacing w:line="360" w:lineRule="auto"/>
              <w:jc w:val="both"/>
              <w:outlineLvl w:val="1"/>
              <w:rPr>
                <w:rFonts w:hint="default" w:ascii="Times New Roman" w:hAnsi="Times New Roman" w:eastAsia="宋体" w:cs="Times New Roman"/>
                <w:b/>
                <w:bCs/>
                <w:color w:val="auto"/>
                <w:sz w:val="24"/>
                <w:szCs w:val="24"/>
                <w:highlight w:val="none"/>
              </w:rPr>
            </w:pPr>
            <w:r>
              <w:rPr>
                <w:rFonts w:hint="eastAsia"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水环境质量现状调查与评价</w:t>
            </w:r>
          </w:p>
          <w:p w14:paraId="1ED0893A">
            <w:pPr>
              <w:keepNext/>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both"/>
              <w:textAlignment w:val="auto"/>
              <w:outlineLvl w:val="2"/>
              <w:rPr>
                <w:rFonts w:hint="default" w:ascii="Times New Roman" w:hAnsi="Times New Roman" w:eastAsia="宋体" w:cs="Times New Roman"/>
                <w:b w:val="0"/>
                <w:bCs/>
                <w:color w:val="auto"/>
                <w:kern w:val="2"/>
                <w:sz w:val="24"/>
                <w:szCs w:val="24"/>
                <w:highlight w:val="none"/>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本项目厂界500m范围内无地表水环境敏感目标，项目运营期</w:t>
            </w:r>
            <w:r>
              <w:rPr>
                <w:rFonts w:hint="eastAsia" w:cs="Times New Roman"/>
                <w:b w:val="0"/>
                <w:bCs/>
                <w:color w:val="auto"/>
                <w:kern w:val="2"/>
                <w:sz w:val="24"/>
                <w:szCs w:val="24"/>
                <w:highlight w:val="none"/>
                <w:lang w:val="en-US" w:eastAsia="zh-CN" w:bidi="ar-SA"/>
              </w:rPr>
              <w:t>不产生</w:t>
            </w:r>
            <w:r>
              <w:rPr>
                <w:rFonts w:hint="default" w:ascii="Times New Roman" w:hAnsi="Times New Roman" w:eastAsia="宋体" w:cs="Times New Roman"/>
                <w:b w:val="0"/>
                <w:bCs/>
                <w:color w:val="auto"/>
                <w:kern w:val="2"/>
                <w:sz w:val="24"/>
                <w:szCs w:val="24"/>
                <w:highlight w:val="none"/>
                <w:lang w:val="en-US" w:eastAsia="zh-CN" w:bidi="ar-SA"/>
              </w:rPr>
              <w:t>生产废水；生活污水集中收集，</w:t>
            </w:r>
            <w:r>
              <w:rPr>
                <w:rFonts w:hint="eastAsia" w:cs="Times New Roman"/>
                <w:b w:val="0"/>
                <w:bCs/>
                <w:color w:val="auto"/>
                <w:kern w:val="2"/>
                <w:sz w:val="24"/>
                <w:szCs w:val="24"/>
                <w:highlight w:val="none"/>
                <w:lang w:val="en-US" w:eastAsia="zh-CN" w:bidi="ar-SA"/>
              </w:rPr>
              <w:t>经污水管网排</w:t>
            </w:r>
            <w:r>
              <w:rPr>
                <w:rFonts w:hint="default" w:ascii="Times New Roman" w:hAnsi="Times New Roman" w:eastAsia="宋体" w:cs="Times New Roman"/>
                <w:b w:val="0"/>
                <w:bCs/>
                <w:color w:val="auto"/>
                <w:kern w:val="2"/>
                <w:sz w:val="24"/>
                <w:szCs w:val="24"/>
                <w:highlight w:val="none"/>
                <w:lang w:val="en-US" w:eastAsia="zh-CN" w:bidi="ar-SA"/>
              </w:rPr>
              <w:t>至</w:t>
            </w:r>
            <w:r>
              <w:rPr>
                <w:rFonts w:hint="eastAsia" w:cs="Times New Roman"/>
                <w:b w:val="0"/>
                <w:bCs/>
                <w:color w:val="auto"/>
                <w:kern w:val="2"/>
                <w:sz w:val="24"/>
                <w:szCs w:val="24"/>
                <w:highlight w:val="none"/>
                <w:lang w:val="en-US" w:eastAsia="zh-CN" w:bidi="ar-SA"/>
              </w:rPr>
              <w:t>昌吉市城北污水处理厂，不外排，因此</w:t>
            </w:r>
            <w:r>
              <w:rPr>
                <w:rFonts w:hint="default" w:ascii="Times New Roman" w:hAnsi="Times New Roman" w:eastAsia="宋体" w:cs="Times New Roman"/>
                <w:b w:val="0"/>
                <w:bCs/>
                <w:color w:val="auto"/>
                <w:kern w:val="2"/>
                <w:sz w:val="24"/>
                <w:szCs w:val="24"/>
                <w:highlight w:val="none"/>
                <w:lang w:val="en-US" w:eastAsia="zh-CN" w:bidi="ar-SA"/>
              </w:rPr>
              <w:t>与本项目周边的地表水不发生直接的水力联系。本项目无生产废水，生活废水</w:t>
            </w:r>
            <w:r>
              <w:rPr>
                <w:rFonts w:hint="eastAsia" w:cs="Times New Roman"/>
                <w:b w:val="0"/>
                <w:bCs/>
                <w:color w:val="auto"/>
                <w:kern w:val="2"/>
                <w:sz w:val="24"/>
                <w:szCs w:val="24"/>
                <w:highlight w:val="none"/>
                <w:lang w:val="en-US" w:eastAsia="zh-CN" w:bidi="ar-SA"/>
              </w:rPr>
              <w:t>经污水管网排</w:t>
            </w:r>
            <w:r>
              <w:rPr>
                <w:rFonts w:hint="default" w:ascii="Times New Roman" w:hAnsi="Times New Roman" w:eastAsia="宋体" w:cs="Times New Roman"/>
                <w:b w:val="0"/>
                <w:bCs/>
                <w:color w:val="auto"/>
                <w:kern w:val="2"/>
                <w:sz w:val="24"/>
                <w:szCs w:val="24"/>
                <w:highlight w:val="none"/>
                <w:lang w:val="en-US" w:eastAsia="zh-CN" w:bidi="ar-SA"/>
              </w:rPr>
              <w:t>至</w:t>
            </w:r>
            <w:r>
              <w:rPr>
                <w:rFonts w:hint="eastAsia" w:cs="Times New Roman"/>
                <w:b w:val="0"/>
                <w:bCs/>
                <w:color w:val="auto"/>
                <w:kern w:val="2"/>
                <w:sz w:val="24"/>
                <w:szCs w:val="24"/>
                <w:highlight w:val="none"/>
                <w:lang w:val="en-US" w:eastAsia="zh-CN" w:bidi="ar-SA"/>
              </w:rPr>
              <w:t>昌吉市城北污水处理厂</w:t>
            </w:r>
            <w:r>
              <w:rPr>
                <w:rFonts w:hint="default" w:ascii="Times New Roman" w:hAnsi="Times New Roman" w:eastAsia="宋体" w:cs="Times New Roman"/>
                <w:b w:val="0"/>
                <w:bCs/>
                <w:color w:val="auto"/>
                <w:kern w:val="2"/>
                <w:sz w:val="24"/>
                <w:szCs w:val="24"/>
                <w:highlight w:val="none"/>
                <w:lang w:val="en-US" w:eastAsia="zh-CN" w:bidi="ar-SA"/>
              </w:rPr>
              <w:t>，</w:t>
            </w:r>
            <w:r>
              <w:rPr>
                <w:rFonts w:hint="eastAsia" w:cs="Times New Roman"/>
                <w:b w:val="0"/>
                <w:bCs/>
                <w:color w:val="auto"/>
                <w:kern w:val="2"/>
                <w:sz w:val="24"/>
                <w:szCs w:val="24"/>
                <w:highlight w:val="none"/>
                <w:lang w:val="en-US" w:eastAsia="zh-CN" w:bidi="ar-SA"/>
              </w:rPr>
              <w:t>不外排，</w:t>
            </w:r>
            <w:r>
              <w:rPr>
                <w:rFonts w:hint="default" w:ascii="Times New Roman" w:hAnsi="Times New Roman" w:eastAsia="宋体" w:cs="Times New Roman"/>
                <w:b w:val="0"/>
                <w:bCs/>
                <w:color w:val="auto"/>
                <w:kern w:val="2"/>
                <w:sz w:val="24"/>
                <w:szCs w:val="24"/>
                <w:highlight w:val="none"/>
                <w:lang w:val="en-US" w:eastAsia="zh-CN" w:bidi="ar-SA"/>
              </w:rPr>
              <w:t>故不进行地表水环境现状调查。</w:t>
            </w:r>
          </w:p>
          <w:p w14:paraId="04359A5E">
            <w:pPr>
              <w:pStyle w:val="6"/>
              <w:spacing w:line="360" w:lineRule="auto"/>
              <w:jc w:val="both"/>
              <w:outlineLvl w:val="1"/>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3</w:t>
            </w:r>
            <w:r>
              <w:rPr>
                <w:rFonts w:hint="eastAsia" w:cs="Times New Roman"/>
                <w:b/>
                <w:bCs/>
                <w:color w:val="auto"/>
                <w:sz w:val="24"/>
                <w:szCs w:val="24"/>
                <w:highlight w:val="none"/>
                <w:lang w:val="en-US" w:eastAsia="zh-CN"/>
              </w:rPr>
              <w:t>.</w:t>
            </w:r>
            <w:r>
              <w:rPr>
                <w:rFonts w:hint="default" w:ascii="Times New Roman" w:hAnsi="Times New Roman" w:eastAsia="宋体" w:cs="Times New Roman"/>
                <w:b/>
                <w:bCs/>
                <w:color w:val="auto"/>
                <w:sz w:val="24"/>
                <w:szCs w:val="24"/>
                <w:highlight w:val="none"/>
              </w:rPr>
              <w:t>噪声环境质量现状与评价</w:t>
            </w:r>
          </w:p>
          <w:p w14:paraId="454BA0BF">
            <w:pPr>
              <w:spacing w:line="360" w:lineRule="auto"/>
              <w:ind w:firstLine="48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依据《建设项目环境影响报告表编制技术指南（污染影响类）</w:t>
            </w:r>
            <w:r>
              <w:rPr>
                <w:rFonts w:hint="eastAsia" w:cs="Times New Roman"/>
                <w:color w:val="auto"/>
                <w:sz w:val="24"/>
                <w:szCs w:val="24"/>
                <w:highlight w:val="none"/>
                <w:lang w:eastAsia="zh-CN"/>
              </w:rPr>
              <w:t>（试行）》</w:t>
            </w:r>
            <w:r>
              <w:rPr>
                <w:rFonts w:hint="default" w:ascii="Times New Roman" w:hAnsi="Times New Roman" w:eastAsia="宋体" w:cs="Times New Roman"/>
                <w:color w:val="auto"/>
                <w:sz w:val="24"/>
                <w:szCs w:val="24"/>
                <w:highlight w:val="none"/>
              </w:rPr>
              <w:t xml:space="preserve"> 中区域环境质量现状评价要求：厂界外周边50m范围内存在声环境保护目标的建设项目，应监测保护目标声环境质量现状并评价达标情况。根据现场勘查，项目厂界外周边50m范围内无声环境保护目标，因此本项目可不开展声环境现状调查与评价。</w:t>
            </w:r>
          </w:p>
          <w:p w14:paraId="6EF68F2E">
            <w:pPr>
              <w:pStyle w:val="6"/>
              <w:pageBreakBefore w:val="0"/>
              <w:widowControl w:val="0"/>
              <w:kinsoku/>
              <w:wordWrap/>
              <w:overflowPunct/>
              <w:topLinePunct w:val="0"/>
              <w:autoSpaceDE/>
              <w:autoSpaceDN/>
              <w:bidi w:val="0"/>
              <w:adjustRightInd/>
              <w:snapToGrid/>
              <w:spacing w:beforeLines="0" w:afterLines="0" w:line="360" w:lineRule="auto"/>
              <w:jc w:val="both"/>
              <w:textAlignment w:val="auto"/>
              <w:outlineLvl w:val="1"/>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4</w:t>
            </w:r>
            <w:r>
              <w:rPr>
                <w:rFonts w:hint="eastAsia" w:cs="Times New Roman"/>
                <w:b/>
                <w:bCs/>
                <w:color w:val="auto"/>
                <w:sz w:val="24"/>
                <w:szCs w:val="24"/>
                <w:highlight w:val="none"/>
                <w:lang w:val="en-US" w:eastAsia="zh-CN"/>
              </w:rPr>
              <w:t>.</w:t>
            </w:r>
            <w:r>
              <w:rPr>
                <w:rFonts w:hint="default" w:ascii="Times New Roman" w:hAnsi="Times New Roman" w:eastAsia="宋体" w:cs="Times New Roman"/>
                <w:b/>
                <w:bCs/>
                <w:color w:val="auto"/>
                <w:sz w:val="24"/>
                <w:szCs w:val="24"/>
                <w:highlight w:val="none"/>
              </w:rPr>
              <w:t>生态环境</w:t>
            </w:r>
          </w:p>
          <w:p w14:paraId="653EFFFE">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color w:val="auto"/>
                <w:kern w:val="2"/>
                <w:sz w:val="24"/>
                <w:szCs w:val="24"/>
                <w:highlight w:val="none"/>
                <w:lang w:val="en-US" w:eastAsia="zh-CN" w:bidi="ar-SA"/>
              </w:rPr>
            </w:pPr>
            <w:r>
              <w:rPr>
                <w:bCs/>
                <w:color w:val="auto"/>
                <w:sz w:val="24"/>
                <w:highlight w:val="none"/>
              </w:rPr>
              <w:t>根据《建设项目环境影响报告表编制技术指南（污染影响类）</w:t>
            </w:r>
            <w:r>
              <w:rPr>
                <w:rFonts w:hint="eastAsia"/>
                <w:bCs/>
                <w:color w:val="auto"/>
                <w:sz w:val="24"/>
                <w:highlight w:val="none"/>
                <w:lang w:eastAsia="zh-CN"/>
              </w:rPr>
              <w:t>（试行）》</w:t>
            </w:r>
            <w:r>
              <w:rPr>
                <w:bCs/>
                <w:color w:val="auto"/>
                <w:sz w:val="24"/>
                <w:highlight w:val="none"/>
              </w:rPr>
              <w:t>中规定，产业园区外建设项目新增用地且用地范围内含有生态环境保护目标是，应进行生态现状调查。</w:t>
            </w:r>
            <w:r>
              <w:rPr>
                <w:rFonts w:hint="default" w:ascii="Times New Roman" w:hAnsi="Times New Roman" w:eastAsia="宋体" w:cs="Times New Roman"/>
                <w:b w:val="0"/>
                <w:bCs/>
                <w:color w:val="auto"/>
                <w:kern w:val="2"/>
                <w:sz w:val="24"/>
                <w:szCs w:val="24"/>
                <w:highlight w:val="none"/>
                <w:lang w:val="en-US" w:eastAsia="zh-CN" w:bidi="ar-SA"/>
              </w:rPr>
              <w:t>本项目建设位于</w:t>
            </w:r>
            <w:r>
              <w:rPr>
                <w:rFonts w:hint="eastAsia" w:cs="Times New Roman"/>
                <w:b w:val="0"/>
                <w:bCs/>
                <w:color w:val="auto"/>
                <w:kern w:val="2"/>
                <w:sz w:val="24"/>
                <w:szCs w:val="24"/>
                <w:highlight w:val="none"/>
                <w:lang w:val="en-US" w:eastAsia="zh-CN" w:bidi="ar-SA"/>
              </w:rPr>
              <w:t>工业园区</w:t>
            </w:r>
            <w:r>
              <w:rPr>
                <w:rFonts w:hint="default" w:ascii="Times New Roman" w:hAnsi="Times New Roman" w:eastAsia="宋体" w:cs="Times New Roman"/>
                <w:b w:val="0"/>
                <w:bCs/>
                <w:color w:val="auto"/>
                <w:kern w:val="2"/>
                <w:sz w:val="24"/>
                <w:szCs w:val="24"/>
                <w:highlight w:val="none"/>
                <w:lang w:val="en-US" w:eastAsia="zh-CN" w:bidi="ar-SA"/>
              </w:rPr>
              <w:t>，</w:t>
            </w:r>
            <w:r>
              <w:rPr>
                <w:rFonts w:hint="eastAsia" w:cs="Times New Roman"/>
                <w:b w:val="0"/>
                <w:bCs/>
                <w:color w:val="auto"/>
                <w:kern w:val="2"/>
                <w:sz w:val="24"/>
                <w:szCs w:val="24"/>
                <w:highlight w:val="none"/>
                <w:lang w:val="en-US" w:eastAsia="zh-CN" w:bidi="ar-SA"/>
              </w:rPr>
              <w:t>因此无需进行生态现状调查</w:t>
            </w:r>
            <w:r>
              <w:rPr>
                <w:rFonts w:hint="default" w:ascii="Times New Roman" w:hAnsi="Times New Roman" w:eastAsia="宋体" w:cs="Times New Roman"/>
                <w:b w:val="0"/>
                <w:bCs/>
                <w:color w:val="auto"/>
                <w:kern w:val="2"/>
                <w:sz w:val="24"/>
                <w:szCs w:val="24"/>
                <w:highlight w:val="none"/>
                <w:lang w:val="en-US" w:eastAsia="zh-CN" w:bidi="ar-SA"/>
              </w:rPr>
              <w:t>。</w:t>
            </w:r>
          </w:p>
          <w:p w14:paraId="0E7024A8">
            <w:pPr>
              <w:pageBreakBefore w:val="0"/>
              <w:widowControl w:val="0"/>
              <w:kinsoku/>
              <w:wordWrap/>
              <w:overflowPunct/>
              <w:topLinePunct w:val="0"/>
              <w:autoSpaceDE/>
              <w:autoSpaceDN/>
              <w:bidi w:val="0"/>
              <w:adjustRightInd/>
              <w:snapToGrid/>
              <w:spacing w:line="360" w:lineRule="auto"/>
              <w:jc w:val="both"/>
              <w:textAlignment w:val="auto"/>
              <w:rPr>
                <w:b/>
                <w:bCs w:val="0"/>
                <w:color w:val="auto"/>
                <w:sz w:val="24"/>
                <w:szCs w:val="24"/>
                <w:highlight w:val="none"/>
              </w:rPr>
            </w:pPr>
            <w:r>
              <w:rPr>
                <w:rFonts w:hint="eastAsia" w:cs="Times New Roman"/>
                <w:b/>
                <w:bCs w:val="0"/>
                <w:color w:val="auto"/>
                <w:kern w:val="2"/>
                <w:sz w:val="24"/>
                <w:szCs w:val="24"/>
                <w:highlight w:val="none"/>
                <w:lang w:val="en-US" w:eastAsia="zh-CN" w:bidi="ar-SA"/>
              </w:rPr>
              <w:t>5.</w:t>
            </w:r>
            <w:r>
              <w:rPr>
                <w:rFonts w:hint="eastAsia"/>
                <w:b/>
                <w:bCs w:val="0"/>
                <w:color w:val="auto"/>
                <w:sz w:val="24"/>
                <w:szCs w:val="24"/>
                <w:highlight w:val="none"/>
              </w:rPr>
              <w:t>地下水</w:t>
            </w:r>
            <w:r>
              <w:rPr>
                <w:rFonts w:hint="eastAsia"/>
                <w:b/>
                <w:bCs w:val="0"/>
                <w:color w:val="auto"/>
                <w:sz w:val="24"/>
                <w:szCs w:val="24"/>
                <w:highlight w:val="none"/>
                <w:lang w:val="en-US" w:eastAsia="zh-CN"/>
              </w:rPr>
              <w:t>、</w:t>
            </w:r>
            <w:r>
              <w:rPr>
                <w:rFonts w:hint="eastAsia"/>
                <w:b/>
                <w:bCs w:val="0"/>
                <w:color w:val="auto"/>
                <w:sz w:val="24"/>
                <w:szCs w:val="24"/>
                <w:highlight w:val="none"/>
              </w:rPr>
              <w:t>土壤环境</w:t>
            </w:r>
          </w:p>
          <w:p w14:paraId="176E65EC">
            <w:pPr>
              <w:pStyle w:val="16"/>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color w:val="auto"/>
                <w:sz w:val="24"/>
                <w:szCs w:val="24"/>
                <w:highlight w:val="none"/>
              </w:rPr>
            </w:pPr>
            <w:r>
              <w:rPr>
                <w:color w:val="auto"/>
                <w:sz w:val="24"/>
                <w:szCs w:val="24"/>
                <w:highlight w:val="none"/>
              </w:rPr>
              <w:t>根据《建设项目环境影响报告表编制技术指南（污染影响类）（试行）》，地下水与土壤环境原则上不进行现状调查，</w:t>
            </w:r>
          </w:p>
          <w:p w14:paraId="3A317A41">
            <w:pPr>
              <w:pStyle w:val="16"/>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color w:val="auto"/>
                <w:sz w:val="24"/>
                <w:szCs w:val="24"/>
                <w:highlight w:val="none"/>
                <w:lang w:val="en-US" w:eastAsia="zh-CN"/>
              </w:rPr>
            </w:pPr>
            <w:r>
              <w:rPr>
                <w:rFonts w:hint="default" w:ascii="Times New Roman" w:hAnsi="Times New Roman" w:cs="Times New Roman"/>
                <w:color w:val="auto"/>
                <w:sz w:val="24"/>
                <w:highlight w:val="none"/>
              </w:rPr>
              <w:t>本项目厂界外500m范围内不涉及地下水集中式饮用水水源和热水、矿泉水、温泉等特殊地下水资源等地下水环境敏感目标。</w:t>
            </w:r>
            <w:r>
              <w:rPr>
                <w:rFonts w:hint="eastAsia"/>
                <w:color w:val="auto"/>
                <w:sz w:val="24"/>
                <w:szCs w:val="24"/>
                <w:highlight w:val="none"/>
                <w:lang w:val="en-US" w:eastAsia="zh-CN"/>
              </w:rPr>
              <w:t>本项目不产生生产废水，生活污水经污水管网排至昌吉市城北污水处理厂。</w:t>
            </w:r>
          </w:p>
          <w:p w14:paraId="63C3E03D">
            <w:pPr>
              <w:pStyle w:val="16"/>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kern w:val="0"/>
                <w:szCs w:val="21"/>
                <w:highlight w:val="none"/>
                <w:lang w:val="en-US" w:eastAsia="zh-CN"/>
              </w:rPr>
            </w:pPr>
            <w:r>
              <w:rPr>
                <w:rFonts w:hint="default" w:ascii="Times New Roman" w:hAnsi="Times New Roman" w:cs="Times New Roman"/>
                <w:color w:val="auto"/>
                <w:sz w:val="24"/>
                <w:highlight w:val="none"/>
              </w:rPr>
              <w:t>本项目可能对地下水和土壤产生影响的区域为生产车间和危废</w:t>
            </w:r>
            <w:r>
              <w:rPr>
                <w:rFonts w:hint="default" w:ascii="Times New Roman" w:hAnsi="Times New Roman" w:cs="Times New Roman"/>
                <w:color w:val="auto"/>
                <w:sz w:val="24"/>
                <w:highlight w:val="none"/>
                <w:lang w:eastAsia="zh-CN"/>
              </w:rPr>
              <w:t>暂存库</w:t>
            </w:r>
            <w:r>
              <w:rPr>
                <w:rFonts w:hint="default" w:ascii="Times New Roman" w:hAnsi="Times New Roman" w:cs="Times New Roman"/>
                <w:color w:val="auto"/>
                <w:sz w:val="24"/>
                <w:highlight w:val="none"/>
              </w:rPr>
              <w:t>，项目各区域均采取防渗等措施，</w:t>
            </w:r>
            <w:r>
              <w:rPr>
                <w:rFonts w:hint="eastAsia"/>
                <w:color w:val="auto"/>
                <w:sz w:val="24"/>
                <w:szCs w:val="24"/>
                <w:highlight w:val="none"/>
                <w:lang w:val="en-US" w:eastAsia="zh-CN"/>
              </w:rPr>
              <w:t>因此</w:t>
            </w:r>
            <w:r>
              <w:rPr>
                <w:color w:val="auto"/>
                <w:sz w:val="24"/>
                <w:szCs w:val="24"/>
                <w:highlight w:val="none"/>
              </w:rPr>
              <w:t>本项目不存在地下水与土壤污染途径，故不进行现状监测。</w:t>
            </w:r>
            <w:r>
              <w:rPr>
                <w:rFonts w:hint="eastAsia"/>
                <w:color w:val="auto"/>
                <w:sz w:val="24"/>
                <w:szCs w:val="24"/>
                <w:highlight w:val="none"/>
              </w:rPr>
              <w:t>不进行地下水</w:t>
            </w:r>
            <w:r>
              <w:rPr>
                <w:rFonts w:hint="eastAsia"/>
                <w:color w:val="auto"/>
                <w:sz w:val="24"/>
                <w:szCs w:val="24"/>
                <w:highlight w:val="none"/>
                <w:lang w:val="en-US" w:eastAsia="zh-CN"/>
              </w:rPr>
              <w:t>与土壤</w:t>
            </w:r>
            <w:r>
              <w:rPr>
                <w:rFonts w:hint="eastAsia"/>
                <w:color w:val="auto"/>
                <w:sz w:val="24"/>
                <w:szCs w:val="24"/>
                <w:highlight w:val="none"/>
              </w:rPr>
              <w:t>环境</w:t>
            </w:r>
            <w:r>
              <w:rPr>
                <w:rFonts w:hint="eastAsia"/>
                <w:color w:val="auto"/>
                <w:sz w:val="24"/>
                <w:szCs w:val="24"/>
                <w:highlight w:val="none"/>
                <w:lang w:val="en-US" w:eastAsia="zh-CN"/>
              </w:rPr>
              <w:t>调查</w:t>
            </w:r>
            <w:r>
              <w:rPr>
                <w:rFonts w:hint="eastAsia"/>
                <w:color w:val="auto"/>
                <w:sz w:val="24"/>
                <w:szCs w:val="24"/>
                <w:highlight w:val="none"/>
              </w:rPr>
              <w:t>。</w:t>
            </w:r>
          </w:p>
        </w:tc>
      </w:tr>
      <w:tr w14:paraId="35A416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3" w:hRule="atLeast"/>
          <w:jc w:val="center"/>
        </w:trPr>
        <w:tc>
          <w:tcPr>
            <w:tcW w:w="800" w:type="dxa"/>
            <w:vAlign w:val="center"/>
          </w:tcPr>
          <w:p w14:paraId="6743A4EF">
            <w:pPr>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环境</w:t>
            </w:r>
          </w:p>
          <w:p w14:paraId="0B536D5F">
            <w:pPr>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保护</w:t>
            </w:r>
          </w:p>
          <w:p w14:paraId="058989E0">
            <w:pPr>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目标</w:t>
            </w:r>
          </w:p>
        </w:tc>
        <w:tc>
          <w:tcPr>
            <w:tcW w:w="8190" w:type="dxa"/>
            <w:vAlign w:val="top"/>
          </w:tcPr>
          <w:p w14:paraId="79352FBE">
            <w:pPr>
              <w:pStyle w:val="6"/>
              <w:pageBreakBefore w:val="0"/>
              <w:widowControl w:val="0"/>
              <w:numPr>
                <w:ilvl w:val="0"/>
                <w:numId w:val="0"/>
              </w:numPr>
              <w:kinsoku/>
              <w:wordWrap/>
              <w:overflowPunct/>
              <w:topLinePunct w:val="0"/>
              <w:bidi w:val="0"/>
              <w:snapToGrid/>
              <w:spacing w:beforeLines="0" w:afterLines="0" w:line="360" w:lineRule="auto"/>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lang w:val="en-US" w:eastAsia="zh-CN"/>
              </w:rPr>
              <w:t>大气环境</w:t>
            </w:r>
          </w:p>
          <w:p w14:paraId="1BC1ED37">
            <w:pPr>
              <w:pStyle w:val="22"/>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根据现场调查，本项目</w:t>
            </w:r>
            <w:r>
              <w:rPr>
                <w:rFonts w:hint="default" w:ascii="Times New Roman" w:hAnsi="Times New Roman" w:eastAsia="宋体" w:cs="Times New Roman"/>
                <w:color w:val="auto"/>
                <w:sz w:val="24"/>
                <w:szCs w:val="24"/>
                <w:highlight w:val="none"/>
              </w:rPr>
              <w:t>厂界外</w:t>
            </w:r>
            <w:r>
              <w:rPr>
                <w:rFonts w:hint="default" w:ascii="Times New Roman" w:hAnsi="Times New Roman" w:eastAsia="宋体" w:cs="Times New Roman"/>
                <w:color w:val="auto"/>
                <w:sz w:val="24"/>
                <w:szCs w:val="24"/>
                <w:highlight w:val="none"/>
                <w:lang w:val="en-US" w:eastAsia="zh-CN"/>
              </w:rPr>
              <w:t>500m范围内无自然保护区、风景名胜区、居住区、文化区和农村地区中人群较集中的区域等环境敏感区。</w:t>
            </w:r>
          </w:p>
          <w:p w14:paraId="484765CB">
            <w:pPr>
              <w:pStyle w:val="22"/>
              <w:pageBreakBefore w:val="0"/>
              <w:widowControl w:val="0"/>
              <w:kinsoku/>
              <w:wordWrap/>
              <w:overflowPunct/>
              <w:topLinePunct w:val="0"/>
              <w:bidi w:val="0"/>
              <w:snapToGrid/>
              <w:spacing w:line="360" w:lineRule="auto"/>
              <w:ind w:left="0" w:leftChars="0" w:firstLine="0" w:firstLineChars="0"/>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val="en-US" w:eastAsia="zh-CN"/>
              </w:rPr>
              <w:t>声环境</w:t>
            </w:r>
          </w:p>
          <w:p w14:paraId="5AB54CF7">
            <w:pPr>
              <w:pStyle w:val="22"/>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本项目厂界外50m范围内无声环境保护目标。</w:t>
            </w:r>
          </w:p>
          <w:p w14:paraId="09E5213C">
            <w:pPr>
              <w:pStyle w:val="6"/>
              <w:pageBreakBefore w:val="0"/>
              <w:widowControl w:val="0"/>
              <w:numPr>
                <w:ilvl w:val="0"/>
                <w:numId w:val="0"/>
              </w:numPr>
              <w:kinsoku/>
              <w:wordWrap/>
              <w:overflowPunct/>
              <w:topLinePunct w:val="0"/>
              <w:bidi w:val="0"/>
              <w:snapToGrid/>
              <w:spacing w:beforeLines="0" w:afterLines="0" w:line="360" w:lineRule="auto"/>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val="en-US" w:eastAsia="zh-CN"/>
              </w:rPr>
              <w:t>地下水环境</w:t>
            </w:r>
          </w:p>
          <w:p w14:paraId="68DDBEA4">
            <w:pPr>
              <w:pStyle w:val="22"/>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本项目厂界外500米范围内无地下水集中式饮用水水源和热水、矿泉水、温泉等特殊地下水资源。</w:t>
            </w:r>
          </w:p>
          <w:p w14:paraId="77B480D9">
            <w:pPr>
              <w:pStyle w:val="6"/>
              <w:pageBreakBefore w:val="0"/>
              <w:widowControl w:val="0"/>
              <w:numPr>
                <w:ilvl w:val="0"/>
                <w:numId w:val="0"/>
              </w:numPr>
              <w:kinsoku/>
              <w:wordWrap/>
              <w:overflowPunct/>
              <w:topLinePunct w:val="0"/>
              <w:bidi w:val="0"/>
              <w:snapToGrid/>
              <w:spacing w:beforeLines="0" w:afterLines="0" w:line="360" w:lineRule="auto"/>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4.</w:t>
            </w:r>
            <w:r>
              <w:rPr>
                <w:rFonts w:hint="default" w:ascii="Times New Roman" w:hAnsi="Times New Roman" w:eastAsia="宋体" w:cs="Times New Roman"/>
                <w:b/>
                <w:bCs/>
                <w:color w:val="auto"/>
                <w:sz w:val="24"/>
                <w:szCs w:val="24"/>
                <w:highlight w:val="none"/>
                <w:lang w:val="en-US" w:eastAsia="zh-CN"/>
              </w:rPr>
              <w:t>生态环境</w:t>
            </w:r>
          </w:p>
          <w:p w14:paraId="0CE2146E">
            <w:pPr>
              <w:pStyle w:val="34"/>
              <w:pageBreakBefore w:val="0"/>
              <w:widowControl w:val="0"/>
              <w:kinsoku/>
              <w:wordWrap/>
              <w:overflowPunct/>
              <w:topLinePunct w:val="0"/>
              <w:bidi w:val="0"/>
              <w:snapToGrid/>
              <w:spacing w:line="360" w:lineRule="auto"/>
              <w:ind w:firstLine="480" w:firstLineChars="200"/>
              <w:jc w:val="both"/>
              <w:textAlignment w:val="auto"/>
              <w:rPr>
                <w:rFonts w:hint="default" w:ascii="宋体" w:hAnsi="宋体" w:eastAsia="宋体" w:cs="宋体"/>
                <w:color w:val="auto"/>
                <w:kern w:val="0"/>
                <w:szCs w:val="21"/>
                <w:highlight w:val="none"/>
                <w:lang w:val="en-US" w:eastAsia="zh-CN"/>
              </w:rPr>
            </w:pPr>
            <w:r>
              <w:rPr>
                <w:rFonts w:hint="default" w:ascii="Times New Roman" w:hAnsi="Times New Roman" w:eastAsia="宋体" w:cs="Times New Roman"/>
                <w:color w:val="auto"/>
                <w:sz w:val="24"/>
                <w:szCs w:val="24"/>
                <w:highlight w:val="none"/>
                <w:lang w:val="en-US" w:eastAsia="zh-CN"/>
              </w:rPr>
              <w:t>本项目位于</w:t>
            </w:r>
            <w:r>
              <w:rPr>
                <w:rFonts w:hint="eastAsia" w:ascii="Times New Roman" w:cs="Times New Roman"/>
                <w:color w:val="auto"/>
                <w:sz w:val="24"/>
                <w:szCs w:val="24"/>
                <w:highlight w:val="none"/>
                <w:lang w:val="en-US" w:eastAsia="zh-CN"/>
              </w:rPr>
              <w:t>昌吉市大西渠镇闽昌工业园区</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cs="Times New Roman"/>
                <w:color w:val="auto"/>
                <w:sz w:val="24"/>
                <w:highlight w:val="none"/>
              </w:rPr>
              <w:t>项目选址占地为工业用地。根据《建设项目环境影响报告表编制技术指南》（污染影响类），项目占地场地厂界外500m范围内无敏感目标。</w:t>
            </w:r>
            <w:r>
              <w:rPr>
                <w:rFonts w:hint="eastAsia" w:ascii="Times New Roman" w:cs="Times New Roman"/>
                <w:color w:val="auto"/>
                <w:sz w:val="24"/>
                <w:highlight w:val="none"/>
                <w:lang w:val="en-US" w:eastAsia="zh-CN"/>
              </w:rPr>
              <w:t>距离</w:t>
            </w:r>
            <w:r>
              <w:rPr>
                <w:rFonts w:hint="default" w:ascii="Times New Roman" w:hAnsi="Times New Roman" w:cs="Times New Roman"/>
                <w:color w:val="auto"/>
                <w:kern w:val="0"/>
                <w:sz w:val="24"/>
                <w:highlight w:val="none"/>
              </w:rPr>
              <w:t>周围</w:t>
            </w:r>
            <w:r>
              <w:rPr>
                <w:rFonts w:hint="eastAsia" w:ascii="Times New Roman" w:cs="Times New Roman"/>
                <w:color w:val="auto"/>
                <w:kern w:val="0"/>
                <w:sz w:val="24"/>
                <w:highlight w:val="none"/>
                <w:lang w:val="en-US" w:eastAsia="zh-CN"/>
              </w:rPr>
              <w:t>最近的农田约240m，且不位于农田上风向，与农田无水力联系，因此不会对农田造成生态环境影响。</w:t>
            </w:r>
          </w:p>
        </w:tc>
      </w:tr>
      <w:tr w14:paraId="62DE4D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0" w:hRule="atLeast"/>
          <w:jc w:val="center"/>
        </w:trPr>
        <w:tc>
          <w:tcPr>
            <w:tcW w:w="800" w:type="dxa"/>
            <w:tcMar>
              <w:left w:w="28" w:type="dxa"/>
              <w:right w:w="28" w:type="dxa"/>
            </w:tcMar>
            <w:vAlign w:val="center"/>
          </w:tcPr>
          <w:p w14:paraId="2497C480">
            <w:pPr>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污染</w:t>
            </w:r>
          </w:p>
          <w:p w14:paraId="31AAED36">
            <w:pPr>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物排</w:t>
            </w:r>
          </w:p>
          <w:p w14:paraId="0A9A089D">
            <w:pPr>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放控</w:t>
            </w:r>
          </w:p>
          <w:p w14:paraId="46F67514">
            <w:pPr>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制标</w:t>
            </w:r>
          </w:p>
          <w:p w14:paraId="1EFEC528">
            <w:pPr>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准</w:t>
            </w:r>
          </w:p>
        </w:tc>
        <w:tc>
          <w:tcPr>
            <w:tcW w:w="8190" w:type="dxa"/>
            <w:vAlign w:val="center"/>
          </w:tcPr>
          <w:p w14:paraId="2B29806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kern w:val="0"/>
                <w:sz w:val="24"/>
                <w:szCs w:val="24"/>
                <w:highlight w:val="none"/>
                <w:lang w:val="en-US" w:eastAsia="zh-CN" w:bidi="ar"/>
              </w:rPr>
              <w:t>1.</w:t>
            </w:r>
            <w:r>
              <w:rPr>
                <w:rFonts w:hint="default" w:ascii="Times New Roman" w:hAnsi="Times New Roman" w:eastAsia="宋体" w:cs="Times New Roman"/>
                <w:b/>
                <w:bCs/>
                <w:color w:val="auto"/>
                <w:kern w:val="0"/>
                <w:sz w:val="24"/>
                <w:szCs w:val="24"/>
                <w:highlight w:val="none"/>
                <w:lang w:val="en-US" w:eastAsia="zh-CN" w:bidi="ar"/>
              </w:rPr>
              <w:t>大气污染物排放标准</w:t>
            </w:r>
          </w:p>
          <w:p w14:paraId="335C7CC1">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①有组织颗粒物（</w:t>
            </w:r>
            <w:r>
              <w:rPr>
                <w:rFonts w:hint="eastAsia" w:cs="Times New Roman"/>
                <w:color w:val="auto"/>
                <w:kern w:val="2"/>
                <w:sz w:val="24"/>
                <w:szCs w:val="24"/>
                <w:highlight w:val="none"/>
                <w:lang w:val="en-US" w:eastAsia="zh-CN" w:bidi="ar-SA"/>
              </w:rPr>
              <w:t>下料</w:t>
            </w:r>
            <w:r>
              <w:rPr>
                <w:rFonts w:hint="default" w:ascii="Times New Roman" w:hAnsi="Times New Roman" w:eastAsia="宋体" w:cs="Times New Roman"/>
                <w:color w:val="auto"/>
                <w:kern w:val="2"/>
                <w:sz w:val="24"/>
                <w:szCs w:val="24"/>
                <w:highlight w:val="none"/>
                <w:lang w:val="en-US" w:eastAsia="zh-CN" w:bidi="ar-SA"/>
              </w:rPr>
              <w:t>切割、抛丸</w:t>
            </w:r>
            <w:r>
              <w:rPr>
                <w:rFonts w:hint="eastAsia" w:cs="Times New Roman"/>
                <w:color w:val="auto"/>
                <w:kern w:val="2"/>
                <w:sz w:val="24"/>
                <w:szCs w:val="24"/>
                <w:highlight w:val="none"/>
                <w:lang w:val="en-US" w:eastAsia="zh-CN" w:bidi="ar-SA"/>
              </w:rPr>
              <w:t>、喷塑</w:t>
            </w:r>
            <w:r>
              <w:rPr>
                <w:rFonts w:hint="default" w:ascii="Times New Roman" w:hAnsi="Times New Roman" w:eastAsia="宋体" w:cs="Times New Roman"/>
                <w:color w:val="auto"/>
                <w:kern w:val="2"/>
                <w:sz w:val="24"/>
                <w:szCs w:val="24"/>
                <w:highlight w:val="none"/>
                <w:lang w:val="en-US" w:eastAsia="zh-CN" w:bidi="ar-SA"/>
              </w:rPr>
              <w:t>工序）与有组织有机废气（喷</w:t>
            </w:r>
            <w:r>
              <w:rPr>
                <w:rFonts w:hint="eastAsia" w:cs="Times New Roman"/>
                <w:color w:val="auto"/>
                <w:kern w:val="2"/>
                <w:sz w:val="24"/>
                <w:szCs w:val="24"/>
                <w:highlight w:val="none"/>
                <w:lang w:val="en-US" w:eastAsia="zh-CN" w:bidi="ar-SA"/>
              </w:rPr>
              <w:t>塑</w:t>
            </w:r>
            <w:r>
              <w:rPr>
                <w:rFonts w:hint="default" w:ascii="Times New Roman" w:hAnsi="Times New Roman" w:eastAsia="宋体" w:cs="Times New Roman"/>
                <w:color w:val="auto"/>
                <w:kern w:val="2"/>
                <w:sz w:val="24"/>
                <w:szCs w:val="24"/>
                <w:highlight w:val="none"/>
                <w:lang w:val="en-US" w:eastAsia="zh-CN" w:bidi="ar-SA"/>
              </w:rPr>
              <w:t>后烘干工序）执行《大气污染物综合排放标准》（GB16297-1996）中表2新污染源大气污染物排放限值；</w:t>
            </w:r>
          </w:p>
          <w:p w14:paraId="30CC9CB3">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②</w:t>
            </w:r>
            <w:r>
              <w:rPr>
                <w:rFonts w:hint="default" w:ascii="Times New Roman" w:hAnsi="Times New Roman" w:eastAsia="宋体" w:cs="Times New Roman"/>
                <w:color w:val="auto"/>
                <w:kern w:val="2"/>
                <w:sz w:val="24"/>
                <w:szCs w:val="24"/>
                <w:highlight w:val="none"/>
                <w:lang w:val="en-US" w:eastAsia="zh-CN" w:bidi="ar-SA"/>
              </w:rPr>
              <w:t>有组织有机废气（喷</w:t>
            </w:r>
            <w:r>
              <w:rPr>
                <w:rFonts w:hint="eastAsia" w:cs="Times New Roman"/>
                <w:color w:val="auto"/>
                <w:kern w:val="2"/>
                <w:sz w:val="24"/>
                <w:szCs w:val="24"/>
                <w:highlight w:val="none"/>
                <w:lang w:val="en-US" w:eastAsia="zh-CN" w:bidi="ar-SA"/>
              </w:rPr>
              <w:t>塑</w:t>
            </w:r>
            <w:r>
              <w:rPr>
                <w:rFonts w:hint="default" w:ascii="Times New Roman" w:hAnsi="Times New Roman" w:eastAsia="宋体" w:cs="Times New Roman"/>
                <w:color w:val="auto"/>
                <w:kern w:val="2"/>
                <w:sz w:val="24"/>
                <w:szCs w:val="24"/>
                <w:highlight w:val="none"/>
                <w:lang w:val="en-US" w:eastAsia="zh-CN" w:bidi="ar-SA"/>
              </w:rPr>
              <w:t>后烘干工序）执行《重污染天气重点行业应急减排措施制定技术指南》表39-1 A级企业排放限值</w:t>
            </w:r>
            <w:r>
              <w:rPr>
                <w:rFonts w:hint="eastAsia" w:ascii="Times New Roman" w:hAnsi="Times New Roman" w:eastAsia="宋体" w:cs="Times New Roman"/>
                <w:color w:val="auto"/>
                <w:kern w:val="2"/>
                <w:sz w:val="24"/>
                <w:szCs w:val="24"/>
                <w:highlight w:val="none"/>
                <w:lang w:val="en-US" w:eastAsia="zh-CN" w:bidi="ar-SA"/>
              </w:rPr>
              <w:t>。</w:t>
            </w:r>
          </w:p>
          <w:p w14:paraId="16C4DA43">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③</w:t>
            </w:r>
            <w:r>
              <w:rPr>
                <w:rFonts w:hint="default" w:ascii="Times New Roman" w:hAnsi="Times New Roman" w:eastAsia="宋体" w:cs="Times New Roman"/>
                <w:color w:val="auto"/>
                <w:kern w:val="2"/>
                <w:sz w:val="24"/>
                <w:szCs w:val="24"/>
                <w:highlight w:val="none"/>
                <w:lang w:val="en-US" w:eastAsia="zh-CN" w:bidi="ar-SA"/>
              </w:rPr>
              <w:t>厂房内无组织VOCs执行《挥发性有机物无组织排放控制标准》（GB37822-2019）表A.1中特别排放限值</w:t>
            </w:r>
          </w:p>
          <w:p w14:paraId="41015C51">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④</w:t>
            </w:r>
            <w:r>
              <w:rPr>
                <w:rFonts w:hint="default" w:ascii="Times New Roman" w:hAnsi="Times New Roman" w:eastAsia="宋体" w:cs="Times New Roman"/>
                <w:color w:val="auto"/>
                <w:kern w:val="2"/>
                <w:sz w:val="24"/>
                <w:szCs w:val="24"/>
                <w:highlight w:val="none"/>
                <w:lang w:val="en-US" w:eastAsia="zh-CN" w:bidi="ar-SA"/>
              </w:rPr>
              <w:t>厂界无组织VOCs、颗粒物执行《大气污染物综合排放标准》（GB16297-1996）中表2新污染源大气污染物排放限值中无组织排放监控浓度限值要求。具体排放标准限值见表3-</w:t>
            </w:r>
            <w:r>
              <w:rPr>
                <w:rFonts w:hint="eastAsia" w:cs="Times New Roman"/>
                <w:color w:val="auto"/>
                <w:kern w:val="2"/>
                <w:sz w:val="24"/>
                <w:szCs w:val="24"/>
                <w:highlight w:val="none"/>
                <w:lang w:val="en-US" w:eastAsia="zh-CN" w:bidi="ar-SA"/>
              </w:rPr>
              <w:t>5</w:t>
            </w:r>
            <w:r>
              <w:rPr>
                <w:rFonts w:hint="default" w:ascii="Times New Roman" w:hAnsi="Times New Roman" w:eastAsia="宋体" w:cs="Times New Roman"/>
                <w:color w:val="auto"/>
                <w:kern w:val="2"/>
                <w:sz w:val="24"/>
                <w:szCs w:val="24"/>
                <w:highlight w:val="none"/>
                <w:lang w:val="en-US" w:eastAsia="zh-CN" w:bidi="ar-SA"/>
              </w:rPr>
              <w:t>。</w:t>
            </w:r>
          </w:p>
          <w:p w14:paraId="62F03FFC">
            <w:pPr>
              <w:pStyle w:val="1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cs="Times New Roman"/>
                <w:b/>
                <w:bCs/>
                <w:color w:val="auto"/>
                <w:sz w:val="22"/>
                <w:szCs w:val="22"/>
                <w:highlight w:val="none"/>
              </w:rPr>
            </w:pPr>
            <w:r>
              <w:rPr>
                <w:rFonts w:hint="default" w:ascii="Times New Roman" w:hAnsi="Times New Roman" w:cs="Times New Roman"/>
                <w:b/>
                <w:bCs/>
                <w:color w:val="auto"/>
                <w:sz w:val="22"/>
                <w:szCs w:val="22"/>
                <w:highlight w:val="none"/>
              </w:rPr>
              <w:t>表3-</w:t>
            </w:r>
            <w:r>
              <w:rPr>
                <w:rFonts w:hint="eastAsia" w:ascii="Times New Roman" w:hAnsi="Times New Roman" w:cs="Times New Roman"/>
                <w:b/>
                <w:bCs/>
                <w:color w:val="auto"/>
                <w:sz w:val="22"/>
                <w:szCs w:val="22"/>
                <w:highlight w:val="none"/>
                <w:lang w:val="en-US" w:eastAsia="zh-CN"/>
              </w:rPr>
              <w:t>5</w:t>
            </w:r>
            <w:r>
              <w:rPr>
                <w:rFonts w:hint="default" w:ascii="Times New Roman" w:hAnsi="Times New Roman" w:cs="Times New Roman"/>
                <w:b/>
                <w:bCs/>
                <w:color w:val="auto"/>
                <w:sz w:val="22"/>
                <w:szCs w:val="22"/>
                <w:highlight w:val="none"/>
              </w:rPr>
              <w:t xml:space="preserve">    大气污染物排放标准限值一览表</w:t>
            </w:r>
          </w:p>
          <w:tbl>
            <w:tblPr>
              <w:tblStyle w:val="26"/>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10"/>
              <w:gridCol w:w="1063"/>
              <w:gridCol w:w="935"/>
              <w:gridCol w:w="2534"/>
              <w:gridCol w:w="2132"/>
            </w:tblGrid>
            <w:tr w14:paraId="784780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1" w:type="pct"/>
                  <w:noWrap w:val="0"/>
                  <w:vAlign w:val="center"/>
                </w:tcPr>
                <w:p w14:paraId="619496C5">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生产过程</w:t>
                  </w:r>
                </w:p>
              </w:tc>
              <w:tc>
                <w:tcPr>
                  <w:tcW w:w="666" w:type="pct"/>
                  <w:noWrap w:val="0"/>
                  <w:vAlign w:val="center"/>
                </w:tcPr>
                <w:p w14:paraId="3A012518">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污染源</w:t>
                  </w:r>
                </w:p>
              </w:tc>
              <w:tc>
                <w:tcPr>
                  <w:tcW w:w="586" w:type="pct"/>
                  <w:noWrap w:val="0"/>
                  <w:vAlign w:val="center"/>
                </w:tcPr>
                <w:p w14:paraId="0E15DD15">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项目</w:t>
                  </w:r>
                </w:p>
              </w:tc>
              <w:tc>
                <w:tcPr>
                  <w:tcW w:w="1588" w:type="pct"/>
                  <w:noWrap w:val="0"/>
                  <w:vAlign w:val="center"/>
                </w:tcPr>
                <w:p w14:paraId="42636091">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标准值</w:t>
                  </w:r>
                </w:p>
              </w:tc>
              <w:tc>
                <w:tcPr>
                  <w:tcW w:w="1336" w:type="pct"/>
                  <w:noWrap w:val="0"/>
                  <w:vAlign w:val="center"/>
                </w:tcPr>
                <w:p w14:paraId="4C5FC012">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标准来源</w:t>
                  </w:r>
                </w:p>
              </w:tc>
            </w:tr>
            <w:tr w14:paraId="7505D69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1" w:type="pct"/>
                  <w:noWrap w:val="0"/>
                  <w:vAlign w:val="center"/>
                </w:tcPr>
                <w:p w14:paraId="11F0C676">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切割下料</w:t>
                  </w:r>
                </w:p>
              </w:tc>
              <w:tc>
                <w:tcPr>
                  <w:tcW w:w="666" w:type="pct"/>
                  <w:noWrap w:val="0"/>
                  <w:vAlign w:val="center"/>
                </w:tcPr>
                <w:p w14:paraId="3998A606">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DA001</w:t>
                  </w:r>
                </w:p>
              </w:tc>
              <w:tc>
                <w:tcPr>
                  <w:tcW w:w="586" w:type="pct"/>
                  <w:noWrap w:val="0"/>
                  <w:vAlign w:val="center"/>
                </w:tcPr>
                <w:p w14:paraId="03586065">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颗粒物</w:t>
                  </w:r>
                </w:p>
              </w:tc>
              <w:tc>
                <w:tcPr>
                  <w:tcW w:w="1588" w:type="pct"/>
                  <w:noWrap w:val="0"/>
                  <w:vAlign w:val="center"/>
                </w:tcPr>
                <w:p w14:paraId="721F03D0">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15m排气筒3.5kg/h，120mg/m</w:t>
                  </w:r>
                  <w:r>
                    <w:rPr>
                      <w:rFonts w:hint="default" w:ascii="Times New Roman" w:hAnsi="Times New Roman" w:cs="Times New Roman"/>
                      <w:color w:val="auto"/>
                      <w:sz w:val="21"/>
                      <w:szCs w:val="21"/>
                      <w:highlight w:val="none"/>
                      <w:vertAlign w:val="superscript"/>
                    </w:rPr>
                    <w:t>3</w:t>
                  </w:r>
                </w:p>
              </w:tc>
              <w:tc>
                <w:tcPr>
                  <w:tcW w:w="1336" w:type="pct"/>
                  <w:vMerge w:val="restart"/>
                  <w:noWrap w:val="0"/>
                  <w:vAlign w:val="center"/>
                </w:tcPr>
                <w:p w14:paraId="2E2B0923">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sz w:val="21"/>
                      <w:szCs w:val="21"/>
                      <w:highlight w:val="none"/>
                    </w:rPr>
                    <w:t>《大气污染物综合排放标准》（GB16297-1996）中表2新污染源大气污染物排放限值</w:t>
                  </w:r>
                </w:p>
              </w:tc>
            </w:tr>
            <w:tr w14:paraId="562735F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1" w:type="pct"/>
                  <w:noWrap w:val="0"/>
                  <w:vAlign w:val="center"/>
                </w:tcPr>
                <w:p w14:paraId="6D1CBF0B">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抛丸</w:t>
                  </w:r>
                  <w:r>
                    <w:rPr>
                      <w:rFonts w:hint="eastAsia" w:ascii="Times New Roman" w:hAnsi="Times New Roman" w:cs="Times New Roman"/>
                      <w:color w:val="auto"/>
                      <w:kern w:val="0"/>
                      <w:sz w:val="21"/>
                      <w:szCs w:val="21"/>
                      <w:highlight w:val="none"/>
                      <w:lang w:val="en-US" w:eastAsia="zh-CN"/>
                    </w:rPr>
                    <w:t>打磨</w:t>
                  </w:r>
                </w:p>
              </w:tc>
              <w:tc>
                <w:tcPr>
                  <w:tcW w:w="666" w:type="pct"/>
                  <w:noWrap w:val="0"/>
                  <w:vAlign w:val="center"/>
                </w:tcPr>
                <w:p w14:paraId="2AA42E1A">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DA002</w:t>
                  </w:r>
                </w:p>
              </w:tc>
              <w:tc>
                <w:tcPr>
                  <w:tcW w:w="586" w:type="pct"/>
                  <w:noWrap w:val="0"/>
                  <w:vAlign w:val="center"/>
                </w:tcPr>
                <w:p w14:paraId="5B2B0BDA">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颗粒物</w:t>
                  </w:r>
                </w:p>
              </w:tc>
              <w:tc>
                <w:tcPr>
                  <w:tcW w:w="1588" w:type="pct"/>
                  <w:noWrap w:val="0"/>
                  <w:vAlign w:val="center"/>
                </w:tcPr>
                <w:p w14:paraId="3D698C85">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sz w:val="21"/>
                      <w:szCs w:val="21"/>
                      <w:highlight w:val="none"/>
                    </w:rPr>
                    <w:t>15m排气筒3.5kg/h，120mg/m</w:t>
                  </w:r>
                  <w:r>
                    <w:rPr>
                      <w:rFonts w:hint="default" w:ascii="Times New Roman" w:hAnsi="Times New Roman" w:cs="Times New Roman"/>
                      <w:color w:val="auto"/>
                      <w:sz w:val="21"/>
                      <w:szCs w:val="21"/>
                      <w:highlight w:val="none"/>
                      <w:vertAlign w:val="superscript"/>
                    </w:rPr>
                    <w:t>3</w:t>
                  </w:r>
                </w:p>
              </w:tc>
              <w:tc>
                <w:tcPr>
                  <w:tcW w:w="1336" w:type="pct"/>
                  <w:vMerge w:val="continue"/>
                  <w:noWrap w:val="0"/>
                  <w:vAlign w:val="center"/>
                </w:tcPr>
                <w:p w14:paraId="3892CD49">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p>
              </w:tc>
            </w:tr>
            <w:tr w14:paraId="382306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1" w:type="pct"/>
                  <w:vMerge w:val="restart"/>
                  <w:noWrap w:val="0"/>
                  <w:vAlign w:val="center"/>
                </w:tcPr>
                <w:p w14:paraId="22789BED">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r>
                    <w:rPr>
                      <w:rFonts w:hint="eastAsia" w:ascii="Times New Roman" w:hAnsi="Times New Roman" w:cs="Times New Roman"/>
                      <w:color w:val="auto"/>
                      <w:kern w:val="0"/>
                      <w:sz w:val="21"/>
                      <w:szCs w:val="21"/>
                      <w:highlight w:val="none"/>
                      <w:lang w:val="en-US" w:eastAsia="zh-CN"/>
                    </w:rPr>
                    <w:t>喷塑</w:t>
                  </w:r>
                  <w:r>
                    <w:rPr>
                      <w:rFonts w:hint="default" w:ascii="Times New Roman" w:hAnsi="Times New Roman" w:cs="Times New Roman"/>
                      <w:color w:val="auto"/>
                      <w:kern w:val="0"/>
                      <w:sz w:val="21"/>
                      <w:szCs w:val="21"/>
                      <w:highlight w:val="none"/>
                    </w:rPr>
                    <w:t>、烘干工序</w:t>
                  </w:r>
                </w:p>
              </w:tc>
              <w:tc>
                <w:tcPr>
                  <w:tcW w:w="666" w:type="pct"/>
                  <w:vMerge w:val="restart"/>
                  <w:noWrap w:val="0"/>
                  <w:vAlign w:val="center"/>
                </w:tcPr>
                <w:p w14:paraId="2FF1AA1D">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DA003</w:t>
                  </w:r>
                </w:p>
              </w:tc>
              <w:tc>
                <w:tcPr>
                  <w:tcW w:w="586" w:type="pct"/>
                  <w:noWrap w:val="0"/>
                  <w:vAlign w:val="center"/>
                </w:tcPr>
                <w:p w14:paraId="6E6D4F40">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eastAsia"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rPr>
                    <w:t>颗粒物</w:t>
                  </w:r>
                </w:p>
              </w:tc>
              <w:tc>
                <w:tcPr>
                  <w:tcW w:w="1588" w:type="pct"/>
                  <w:noWrap w:val="0"/>
                  <w:vAlign w:val="center"/>
                </w:tcPr>
                <w:p w14:paraId="5CCA165E">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sz w:val="21"/>
                      <w:szCs w:val="21"/>
                      <w:highlight w:val="none"/>
                    </w:rPr>
                    <w:t>15m排气筒3.5kg/h，120mg/m</w:t>
                  </w:r>
                  <w:r>
                    <w:rPr>
                      <w:rFonts w:hint="default" w:ascii="Times New Roman" w:hAnsi="Times New Roman" w:cs="Times New Roman"/>
                      <w:color w:val="auto"/>
                      <w:sz w:val="21"/>
                      <w:szCs w:val="21"/>
                      <w:highlight w:val="none"/>
                      <w:vertAlign w:val="superscript"/>
                    </w:rPr>
                    <w:t>3</w:t>
                  </w:r>
                </w:p>
              </w:tc>
              <w:tc>
                <w:tcPr>
                  <w:tcW w:w="1336" w:type="pct"/>
                  <w:vMerge w:val="continue"/>
                  <w:noWrap w:val="0"/>
                  <w:vAlign w:val="center"/>
                </w:tcPr>
                <w:p w14:paraId="78B9DDCD">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p>
              </w:tc>
            </w:tr>
            <w:tr w14:paraId="550F35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1" w:type="pct"/>
                  <w:vMerge w:val="continue"/>
                  <w:noWrap w:val="0"/>
                  <w:vAlign w:val="center"/>
                </w:tcPr>
                <w:p w14:paraId="79B2629F">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p>
              </w:tc>
              <w:tc>
                <w:tcPr>
                  <w:tcW w:w="666" w:type="pct"/>
                  <w:vMerge w:val="continue"/>
                  <w:noWrap w:val="0"/>
                  <w:vAlign w:val="center"/>
                </w:tcPr>
                <w:p w14:paraId="3D3A642A">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p>
              </w:tc>
              <w:tc>
                <w:tcPr>
                  <w:tcW w:w="586" w:type="pct"/>
                  <w:noWrap w:val="0"/>
                  <w:vAlign w:val="center"/>
                </w:tcPr>
                <w:p w14:paraId="642C2407">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rPr>
                    <w:t>VOCs</w:t>
                  </w:r>
                </w:p>
              </w:tc>
              <w:tc>
                <w:tcPr>
                  <w:tcW w:w="1588" w:type="pct"/>
                  <w:noWrap w:val="0"/>
                  <w:vAlign w:val="center"/>
                </w:tcPr>
                <w:p w14:paraId="18DFF469">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lang w:val="en-US" w:eastAsia="zh-CN" w:bidi="ar-SA"/>
                    </w:rPr>
                  </w:pPr>
                  <w:r>
                    <w:rPr>
                      <w:rFonts w:hint="eastAsia" w:cs="Times New Roman"/>
                      <w:color w:val="auto"/>
                      <w:sz w:val="21"/>
                      <w:szCs w:val="21"/>
                      <w:highlight w:val="none"/>
                      <w:lang w:val="en-US" w:eastAsia="zh-CN"/>
                    </w:rPr>
                    <w:t>不大于3</w:t>
                  </w:r>
                  <w:r>
                    <w:rPr>
                      <w:rFonts w:hint="default" w:ascii="Times New Roman" w:hAnsi="Times New Roman" w:cs="Times New Roman"/>
                      <w:color w:val="auto"/>
                      <w:sz w:val="21"/>
                      <w:szCs w:val="21"/>
                      <w:highlight w:val="none"/>
                    </w:rPr>
                    <w:t>0mg/m</w:t>
                  </w:r>
                  <w:r>
                    <w:rPr>
                      <w:rFonts w:hint="default" w:ascii="Times New Roman" w:hAnsi="Times New Roman" w:cs="Times New Roman"/>
                      <w:color w:val="auto"/>
                      <w:sz w:val="21"/>
                      <w:szCs w:val="21"/>
                      <w:highlight w:val="none"/>
                      <w:vertAlign w:val="superscript"/>
                    </w:rPr>
                    <w:t>3</w:t>
                  </w:r>
                </w:p>
              </w:tc>
              <w:tc>
                <w:tcPr>
                  <w:tcW w:w="1336" w:type="pct"/>
                  <w:noWrap w:val="0"/>
                  <w:vAlign w:val="center"/>
                </w:tcPr>
                <w:p w14:paraId="64B7DE3A">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《重污染天气重点行业应急减排措施制定技术指南》表39-1 A级企业排放限值</w:t>
                  </w:r>
                </w:p>
              </w:tc>
            </w:tr>
            <w:tr w14:paraId="5497A9F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1" w:type="pct"/>
                  <w:vMerge w:val="restart"/>
                  <w:noWrap w:val="0"/>
                  <w:vAlign w:val="center"/>
                </w:tcPr>
                <w:p w14:paraId="17C43887">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无组织废气</w:t>
                  </w:r>
                </w:p>
              </w:tc>
              <w:tc>
                <w:tcPr>
                  <w:tcW w:w="666" w:type="pct"/>
                  <w:noWrap w:val="0"/>
                  <w:vAlign w:val="center"/>
                </w:tcPr>
                <w:p w14:paraId="16B8DC64">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无组织（厂区）</w:t>
                  </w:r>
                </w:p>
              </w:tc>
              <w:tc>
                <w:tcPr>
                  <w:tcW w:w="586" w:type="pct"/>
                  <w:noWrap w:val="0"/>
                  <w:vAlign w:val="center"/>
                </w:tcPr>
                <w:p w14:paraId="02A7A630">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VOCs</w:t>
                  </w:r>
                </w:p>
              </w:tc>
              <w:tc>
                <w:tcPr>
                  <w:tcW w:w="1588" w:type="pct"/>
                  <w:noWrap w:val="0"/>
                  <w:vAlign w:val="center"/>
                </w:tcPr>
                <w:p w14:paraId="2238FD29">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监控点处1h浓度平均值6.0mg/m³</w:t>
                  </w:r>
                </w:p>
                <w:p w14:paraId="79836452">
                  <w:pPr>
                    <w:pStyle w:val="12"/>
                    <w:keepNext w:val="0"/>
                    <w:keepLines w:val="0"/>
                    <w:pageBreakBefore w:val="0"/>
                    <w:kinsoku/>
                    <w:wordWrap/>
                    <w:overflowPunct/>
                    <w:topLinePunct w:val="0"/>
                    <w:autoSpaceDE/>
                    <w:autoSpaceDN/>
                    <w:bidi w:val="0"/>
                    <w:snapToGrid w:val="0"/>
                    <w:spacing w:before="0" w:after="0" w:line="240" w:lineRule="auto"/>
                    <w:ind w:right="0"/>
                    <w:textAlignment w:val="auto"/>
                    <w:rPr>
                      <w:rFonts w:hint="eastAsia" w:eastAsia="宋体"/>
                      <w:color w:val="auto"/>
                      <w:sz w:val="21"/>
                      <w:szCs w:val="21"/>
                      <w:highlight w:val="none"/>
                      <w:lang w:eastAsia="zh-CN"/>
                    </w:rPr>
                  </w:pPr>
                  <w:r>
                    <w:rPr>
                      <w:rFonts w:hint="eastAsia" w:ascii="Times New Roman" w:hAnsi="Times New Roman" w:eastAsia="宋体" w:cs="Times New Roman"/>
                      <w:color w:val="auto"/>
                      <w:kern w:val="0"/>
                      <w:sz w:val="21"/>
                      <w:szCs w:val="21"/>
                      <w:highlight w:val="none"/>
                      <w:lang w:val="en-US" w:eastAsia="zh-CN" w:bidi="ar-SA"/>
                    </w:rPr>
                    <w:t>（</w:t>
                  </w:r>
                  <w:r>
                    <w:rPr>
                      <w:rFonts w:hint="default" w:ascii="Times New Roman" w:hAnsi="Times New Roman" w:eastAsia="宋体" w:cs="Times New Roman"/>
                      <w:color w:val="auto"/>
                      <w:kern w:val="0"/>
                      <w:sz w:val="21"/>
                      <w:szCs w:val="21"/>
                      <w:highlight w:val="none"/>
                      <w:lang w:val="en-US" w:eastAsia="zh-CN" w:bidi="ar-SA"/>
                    </w:rPr>
                    <w:t>监控点设在车间门窗或生产装置外1m，距离地面1.5m以上位置处。</w:t>
                  </w:r>
                  <w:r>
                    <w:rPr>
                      <w:rFonts w:hint="eastAsia" w:ascii="Times New Roman" w:hAnsi="Times New Roman" w:eastAsia="宋体" w:cs="Times New Roman"/>
                      <w:color w:val="auto"/>
                      <w:kern w:val="0"/>
                      <w:sz w:val="21"/>
                      <w:szCs w:val="21"/>
                      <w:highlight w:val="none"/>
                      <w:lang w:val="en-US" w:eastAsia="zh-CN" w:bidi="ar-SA"/>
                    </w:rPr>
                    <w:t>）</w:t>
                  </w:r>
                </w:p>
              </w:tc>
              <w:tc>
                <w:tcPr>
                  <w:tcW w:w="1336" w:type="pct"/>
                  <w:noWrap w:val="0"/>
                  <w:vAlign w:val="center"/>
                </w:tcPr>
                <w:p w14:paraId="38D0C914">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r>
                    <w:rPr>
                      <w:rFonts w:hint="eastAsia" w:ascii="Times New Roman" w:hAnsi="Times New Roman" w:cs="Times New Roman"/>
                      <w:color w:val="auto"/>
                      <w:kern w:val="0"/>
                      <w:sz w:val="21"/>
                      <w:szCs w:val="21"/>
                      <w:highlight w:val="none"/>
                      <w:lang w:eastAsia="zh-CN"/>
                    </w:rPr>
                    <w:t>《</w:t>
                  </w:r>
                  <w:r>
                    <w:rPr>
                      <w:rFonts w:hint="default" w:ascii="Times New Roman" w:hAnsi="Times New Roman" w:cs="Times New Roman"/>
                      <w:color w:val="auto"/>
                      <w:kern w:val="0"/>
                      <w:sz w:val="21"/>
                      <w:szCs w:val="21"/>
                      <w:highlight w:val="none"/>
                    </w:rPr>
                    <w:t>挥发性有机物无组织排放控制标准》（GB37822-2019）表A.1中特别排放限值</w:t>
                  </w:r>
                </w:p>
              </w:tc>
            </w:tr>
            <w:tr w14:paraId="0F9B1A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1" w:type="pct"/>
                  <w:vMerge w:val="continue"/>
                  <w:noWrap w:val="0"/>
                  <w:vAlign w:val="center"/>
                </w:tcPr>
                <w:p w14:paraId="770637A0">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p>
              </w:tc>
              <w:tc>
                <w:tcPr>
                  <w:tcW w:w="666" w:type="pct"/>
                  <w:noWrap w:val="0"/>
                  <w:vAlign w:val="center"/>
                </w:tcPr>
                <w:p w14:paraId="15517CA4">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无组织（厂界）</w:t>
                  </w:r>
                </w:p>
              </w:tc>
              <w:tc>
                <w:tcPr>
                  <w:tcW w:w="586" w:type="pct"/>
                  <w:noWrap w:val="0"/>
                  <w:vAlign w:val="center"/>
                </w:tcPr>
                <w:p w14:paraId="51F95F81">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VOCs</w:t>
                  </w:r>
                </w:p>
              </w:tc>
              <w:tc>
                <w:tcPr>
                  <w:tcW w:w="1588" w:type="pct"/>
                  <w:noWrap w:val="0"/>
                  <w:vAlign w:val="center"/>
                </w:tcPr>
                <w:p w14:paraId="338BD00C">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4.0mg/m³</w:t>
                  </w:r>
                </w:p>
              </w:tc>
              <w:tc>
                <w:tcPr>
                  <w:tcW w:w="1336" w:type="pct"/>
                  <w:vMerge w:val="restart"/>
                  <w:noWrap w:val="0"/>
                  <w:vAlign w:val="center"/>
                </w:tcPr>
                <w:p w14:paraId="1384AF20">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《大气污染物综合排放标准》（GB16297-1996）</w:t>
                  </w:r>
                </w:p>
              </w:tc>
            </w:tr>
            <w:tr w14:paraId="0E8E21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1" w:type="pct"/>
                  <w:vMerge w:val="continue"/>
                  <w:noWrap w:val="0"/>
                  <w:vAlign w:val="center"/>
                </w:tcPr>
                <w:p w14:paraId="62D9B55E">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p>
              </w:tc>
              <w:tc>
                <w:tcPr>
                  <w:tcW w:w="666" w:type="pct"/>
                  <w:noWrap w:val="0"/>
                  <w:vAlign w:val="center"/>
                </w:tcPr>
                <w:p w14:paraId="492E0535">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无组织</w:t>
                  </w:r>
                </w:p>
              </w:tc>
              <w:tc>
                <w:tcPr>
                  <w:tcW w:w="586" w:type="pct"/>
                  <w:noWrap w:val="0"/>
                  <w:vAlign w:val="center"/>
                </w:tcPr>
                <w:p w14:paraId="152E088C">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颗粒物</w:t>
                  </w:r>
                </w:p>
              </w:tc>
              <w:tc>
                <w:tcPr>
                  <w:tcW w:w="1588" w:type="pct"/>
                  <w:noWrap w:val="0"/>
                  <w:vAlign w:val="center"/>
                </w:tcPr>
                <w:p w14:paraId="3E4C4C1A">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1.0mg/m³</w:t>
                  </w:r>
                </w:p>
              </w:tc>
              <w:tc>
                <w:tcPr>
                  <w:tcW w:w="1336" w:type="pct"/>
                  <w:vMerge w:val="continue"/>
                  <w:noWrap w:val="0"/>
                  <w:vAlign w:val="center"/>
                </w:tcPr>
                <w:p w14:paraId="01246366">
                  <w:pPr>
                    <w:keepNext w:val="0"/>
                    <w:keepLines w:val="0"/>
                    <w:pageBreakBefore w:val="0"/>
                    <w:kinsoku/>
                    <w:wordWrap/>
                    <w:overflowPunct/>
                    <w:topLinePunct w:val="0"/>
                    <w:autoSpaceDE/>
                    <w:autoSpaceDN/>
                    <w:bidi w:val="0"/>
                    <w:adjustRightInd w:val="0"/>
                    <w:snapToGrid w:val="0"/>
                    <w:spacing w:line="240" w:lineRule="auto"/>
                    <w:ind w:right="0"/>
                    <w:jc w:val="center"/>
                    <w:textAlignment w:val="auto"/>
                    <w:rPr>
                      <w:rFonts w:hint="default" w:ascii="Times New Roman" w:hAnsi="Times New Roman" w:cs="Times New Roman"/>
                      <w:color w:val="auto"/>
                      <w:kern w:val="0"/>
                      <w:sz w:val="21"/>
                      <w:szCs w:val="21"/>
                      <w:highlight w:val="none"/>
                    </w:rPr>
                  </w:pPr>
                </w:p>
              </w:tc>
            </w:tr>
          </w:tbl>
          <w:p w14:paraId="71589BAB">
            <w:pPr>
              <w:spacing w:line="360" w:lineRule="auto"/>
              <w:jc w:val="both"/>
              <w:rPr>
                <w:rFonts w:hint="default"/>
                <w:b/>
                <w:bCs/>
                <w:color w:val="auto"/>
                <w:sz w:val="24"/>
                <w:szCs w:val="32"/>
                <w:highlight w:val="none"/>
              </w:rPr>
            </w:pPr>
          </w:p>
          <w:p w14:paraId="3485B4E5">
            <w:pPr>
              <w:spacing w:line="360" w:lineRule="auto"/>
              <w:jc w:val="both"/>
              <w:rPr>
                <w:b/>
                <w:bCs/>
                <w:color w:val="auto"/>
                <w:sz w:val="24"/>
                <w:szCs w:val="32"/>
                <w:highlight w:val="none"/>
              </w:rPr>
            </w:pPr>
            <w:r>
              <w:rPr>
                <w:rFonts w:hint="default"/>
                <w:b/>
                <w:bCs/>
                <w:color w:val="auto"/>
                <w:sz w:val="24"/>
                <w:szCs w:val="32"/>
                <w:highlight w:val="none"/>
              </w:rPr>
              <w:t>2.</w:t>
            </w:r>
            <w:r>
              <w:rPr>
                <w:rFonts w:hint="eastAsia"/>
                <w:b/>
                <w:bCs/>
                <w:color w:val="auto"/>
                <w:sz w:val="24"/>
                <w:szCs w:val="32"/>
                <w:highlight w:val="none"/>
              </w:rPr>
              <w:t>废水排放执行标准</w:t>
            </w:r>
          </w:p>
          <w:p w14:paraId="7FC60A37">
            <w:pPr>
              <w:pStyle w:val="2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本项目生活污水直排</w:t>
            </w:r>
            <w:r>
              <w:rPr>
                <w:rFonts w:hint="eastAsia" w:ascii="Times New Roman" w:hAnsi="Times New Roman" w:eastAsia="宋体" w:cs="Times New Roman"/>
                <w:color w:val="auto"/>
                <w:kern w:val="2"/>
                <w:sz w:val="24"/>
                <w:szCs w:val="24"/>
                <w:highlight w:val="none"/>
                <w:lang w:val="en-US" w:eastAsia="zh-CN" w:bidi="ar-SA"/>
              </w:rPr>
              <w:t>污水管网</w:t>
            </w:r>
            <w:r>
              <w:rPr>
                <w:rFonts w:hint="default" w:ascii="Times New Roman" w:hAnsi="Times New Roman" w:eastAsia="宋体" w:cs="Times New Roman"/>
                <w:color w:val="auto"/>
                <w:kern w:val="2"/>
                <w:sz w:val="24"/>
                <w:szCs w:val="24"/>
                <w:highlight w:val="none"/>
                <w:lang w:val="en-US" w:eastAsia="zh-CN" w:bidi="ar-SA"/>
              </w:rPr>
              <w:t>，执行《污水综合排放标准》（GB8978-1996）三级标准，项目废水排放标准限值见表</w:t>
            </w:r>
            <w:r>
              <w:rPr>
                <w:rFonts w:hint="eastAsia" w:ascii="Times New Roman" w:hAnsi="Times New Roman" w:eastAsia="宋体" w:cs="Times New Roman"/>
                <w:color w:val="auto"/>
                <w:kern w:val="2"/>
                <w:sz w:val="24"/>
                <w:szCs w:val="24"/>
                <w:highlight w:val="none"/>
                <w:lang w:val="en-US" w:eastAsia="zh-CN" w:bidi="ar-SA"/>
              </w:rPr>
              <w:t>3-</w:t>
            </w:r>
            <w:r>
              <w:rPr>
                <w:rFonts w:hint="eastAsia" w:cs="Times New Roman"/>
                <w:color w:val="auto"/>
                <w:kern w:val="2"/>
                <w:sz w:val="24"/>
                <w:szCs w:val="24"/>
                <w:highlight w:val="none"/>
                <w:lang w:val="en-US" w:eastAsia="zh-CN" w:bidi="ar-SA"/>
              </w:rPr>
              <w:t>6</w:t>
            </w:r>
            <w:r>
              <w:rPr>
                <w:rFonts w:hint="default" w:ascii="Times New Roman" w:hAnsi="Times New Roman" w:eastAsia="宋体" w:cs="Times New Roman"/>
                <w:color w:val="auto"/>
                <w:kern w:val="2"/>
                <w:sz w:val="24"/>
                <w:szCs w:val="24"/>
                <w:highlight w:val="none"/>
                <w:lang w:val="en-US" w:eastAsia="zh-CN" w:bidi="ar-SA"/>
              </w:rPr>
              <w:t>。</w:t>
            </w:r>
          </w:p>
          <w:p w14:paraId="024FD414">
            <w:pPr>
              <w:pStyle w:val="12"/>
              <w:keepNext w:val="0"/>
              <w:keepLines w:val="0"/>
              <w:pageBreakBefore w:val="0"/>
              <w:widowControl w:val="0"/>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b/>
                <w:bCs/>
                <w:color w:val="auto"/>
                <w:sz w:val="22"/>
                <w:szCs w:val="22"/>
                <w:highlight w:val="none"/>
                <w:lang w:val="en-US" w:eastAsia="zh-CN"/>
              </w:rPr>
            </w:pPr>
            <w:r>
              <w:rPr>
                <w:rFonts w:hint="default" w:ascii="Times New Roman" w:hAnsi="Times New Roman" w:eastAsia="宋体" w:cs="Times New Roman"/>
                <w:b/>
                <w:bCs/>
                <w:color w:val="auto"/>
                <w:sz w:val="22"/>
                <w:szCs w:val="22"/>
                <w:highlight w:val="none"/>
                <w:lang w:val="en-US" w:eastAsia="zh-CN"/>
              </w:rPr>
              <w:t>表</w:t>
            </w:r>
            <w:r>
              <w:rPr>
                <w:rFonts w:hint="eastAsia" w:ascii="Times New Roman" w:hAnsi="Times New Roman" w:eastAsia="宋体" w:cs="Times New Roman"/>
                <w:b/>
                <w:bCs/>
                <w:color w:val="auto"/>
                <w:sz w:val="22"/>
                <w:szCs w:val="22"/>
                <w:highlight w:val="none"/>
                <w:lang w:val="en-US" w:eastAsia="zh-CN"/>
              </w:rPr>
              <w:t>3-</w:t>
            </w:r>
            <w:r>
              <w:rPr>
                <w:rFonts w:hint="eastAsia" w:ascii="Times New Roman" w:hAnsi="Times New Roman" w:cs="Times New Roman"/>
                <w:b/>
                <w:bCs/>
                <w:color w:val="auto"/>
                <w:sz w:val="22"/>
                <w:szCs w:val="22"/>
                <w:highlight w:val="none"/>
                <w:lang w:val="en-US" w:eastAsia="zh-CN"/>
              </w:rPr>
              <w:t>6</w:t>
            </w:r>
            <w:r>
              <w:rPr>
                <w:rFonts w:hint="default" w:ascii="Times New Roman" w:hAnsi="Times New Roman" w:eastAsia="宋体" w:cs="Times New Roman"/>
                <w:b/>
                <w:bCs/>
                <w:color w:val="auto"/>
                <w:sz w:val="22"/>
                <w:szCs w:val="22"/>
                <w:highlight w:val="none"/>
                <w:lang w:val="en-US" w:eastAsia="zh-CN"/>
              </w:rPr>
              <w:t xml:space="preserve">    本项目废水排放限值  单位：mg/L</w:t>
            </w:r>
          </w:p>
          <w:tbl>
            <w:tblPr>
              <w:tblStyle w:val="26"/>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93"/>
              <w:gridCol w:w="1561"/>
              <w:gridCol w:w="3692"/>
              <w:gridCol w:w="1425"/>
            </w:tblGrid>
            <w:tr w14:paraId="6CD2461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1" w:type="pct"/>
                  <w:tcBorders>
                    <w:bottom w:val="single" w:color="auto" w:sz="12" w:space="0"/>
                  </w:tcBorders>
                  <w:shd w:val="clear" w:color="auto" w:fill="auto"/>
                  <w:vAlign w:val="center"/>
                </w:tcPr>
                <w:p w14:paraId="01611817">
                  <w:pPr>
                    <w:pStyle w:val="25"/>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highlight w:val="none"/>
                      <w:lang w:val="en-US" w:eastAsia="zh-CN"/>
                    </w:rPr>
                  </w:pPr>
                  <w:r>
                    <w:rPr>
                      <w:rFonts w:hint="default"/>
                      <w:color w:val="auto"/>
                      <w:highlight w:val="none"/>
                      <w:lang w:val="en-US" w:eastAsia="zh-CN"/>
                    </w:rPr>
                    <w:t>废水类别</w:t>
                  </w:r>
                </w:p>
              </w:tc>
              <w:tc>
                <w:tcPr>
                  <w:tcW w:w="979" w:type="pct"/>
                  <w:tcBorders>
                    <w:bottom w:val="single" w:color="auto" w:sz="12" w:space="0"/>
                  </w:tcBorders>
                  <w:shd w:val="clear" w:color="auto" w:fill="auto"/>
                  <w:vAlign w:val="center"/>
                </w:tcPr>
                <w:p w14:paraId="2D8A78CE">
                  <w:pPr>
                    <w:pStyle w:val="25"/>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highlight w:val="none"/>
                      <w:lang w:val="en-US" w:eastAsia="zh-CN"/>
                    </w:rPr>
                  </w:pPr>
                  <w:r>
                    <w:rPr>
                      <w:rFonts w:hint="default"/>
                      <w:color w:val="auto"/>
                      <w:highlight w:val="none"/>
                      <w:lang w:val="en-US" w:eastAsia="zh-CN"/>
                    </w:rPr>
                    <w:t>污染物</w:t>
                  </w:r>
                </w:p>
              </w:tc>
              <w:tc>
                <w:tcPr>
                  <w:tcW w:w="2315" w:type="pct"/>
                  <w:tcBorders>
                    <w:bottom w:val="single" w:color="auto" w:sz="12" w:space="0"/>
                  </w:tcBorders>
                  <w:shd w:val="clear" w:color="auto" w:fill="auto"/>
                  <w:vAlign w:val="center"/>
                </w:tcPr>
                <w:p w14:paraId="6E734B09">
                  <w:pPr>
                    <w:pStyle w:val="25"/>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highlight w:val="none"/>
                      <w:lang w:val="en-US" w:eastAsia="zh-CN"/>
                    </w:rPr>
                  </w:pPr>
                  <w:r>
                    <w:rPr>
                      <w:rFonts w:hint="default"/>
                      <w:color w:val="auto"/>
                      <w:highlight w:val="none"/>
                      <w:lang w:val="en-US" w:eastAsia="zh-CN"/>
                    </w:rPr>
                    <w:t>标准</w:t>
                  </w:r>
                </w:p>
              </w:tc>
              <w:tc>
                <w:tcPr>
                  <w:tcW w:w="893" w:type="pct"/>
                  <w:tcBorders>
                    <w:bottom w:val="single" w:color="auto" w:sz="12" w:space="0"/>
                  </w:tcBorders>
                  <w:shd w:val="clear" w:color="auto" w:fill="auto"/>
                  <w:vAlign w:val="center"/>
                </w:tcPr>
                <w:p w14:paraId="34635BBD">
                  <w:pPr>
                    <w:pStyle w:val="25"/>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highlight w:val="none"/>
                      <w:lang w:val="en-US" w:eastAsia="zh-CN"/>
                    </w:rPr>
                  </w:pPr>
                  <w:r>
                    <w:rPr>
                      <w:rFonts w:hint="default"/>
                      <w:color w:val="auto"/>
                      <w:highlight w:val="none"/>
                      <w:lang w:val="en-US" w:eastAsia="zh-CN"/>
                    </w:rPr>
                    <w:t>限值</w:t>
                  </w:r>
                </w:p>
              </w:tc>
            </w:tr>
            <w:tr w14:paraId="6F8C1C9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1" w:type="pct"/>
                  <w:vMerge w:val="restart"/>
                  <w:tcBorders>
                    <w:top w:val="single" w:color="auto" w:sz="12" w:space="0"/>
                    <w:tl2br w:val="nil"/>
                    <w:tr2bl w:val="nil"/>
                  </w:tcBorders>
                  <w:shd w:val="clear" w:color="auto" w:fill="auto"/>
                  <w:vAlign w:val="center"/>
                </w:tcPr>
                <w:p w14:paraId="2724C44B">
                  <w:pPr>
                    <w:pStyle w:val="25"/>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highlight w:val="none"/>
                      <w:lang w:val="en-US" w:eastAsia="zh-CN"/>
                    </w:rPr>
                  </w:pPr>
                  <w:r>
                    <w:rPr>
                      <w:rFonts w:hint="default"/>
                      <w:color w:val="auto"/>
                      <w:highlight w:val="none"/>
                      <w:lang w:val="en-US" w:eastAsia="zh-CN"/>
                    </w:rPr>
                    <w:t>生活污水、锅炉软水制备废水</w:t>
                  </w:r>
                </w:p>
              </w:tc>
              <w:tc>
                <w:tcPr>
                  <w:tcW w:w="979" w:type="pct"/>
                  <w:tcBorders>
                    <w:top w:val="single" w:color="auto" w:sz="12" w:space="0"/>
                    <w:tl2br w:val="nil"/>
                    <w:tr2bl w:val="nil"/>
                  </w:tcBorders>
                  <w:shd w:val="clear" w:color="auto" w:fill="auto"/>
                  <w:vAlign w:val="center"/>
                </w:tcPr>
                <w:p w14:paraId="54AE6E79">
                  <w:pPr>
                    <w:pStyle w:val="25"/>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highlight w:val="none"/>
                      <w:lang w:val="en-US" w:eastAsia="zh-CN"/>
                    </w:rPr>
                  </w:pPr>
                  <w:r>
                    <w:rPr>
                      <w:rFonts w:hint="default"/>
                      <w:color w:val="auto"/>
                      <w:highlight w:val="none"/>
                      <w:lang w:val="en-US" w:eastAsia="zh-CN"/>
                    </w:rPr>
                    <w:t>CODcr</w:t>
                  </w:r>
                </w:p>
              </w:tc>
              <w:tc>
                <w:tcPr>
                  <w:tcW w:w="2315" w:type="pct"/>
                  <w:vMerge w:val="restart"/>
                  <w:tcBorders>
                    <w:top w:val="single" w:color="auto" w:sz="12" w:space="0"/>
                    <w:tl2br w:val="nil"/>
                    <w:tr2bl w:val="nil"/>
                  </w:tcBorders>
                  <w:shd w:val="clear" w:color="auto" w:fill="auto"/>
                  <w:vAlign w:val="center"/>
                </w:tcPr>
                <w:p w14:paraId="7C55DF14">
                  <w:pPr>
                    <w:pStyle w:val="25"/>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highlight w:val="none"/>
                      <w:lang w:val="en-US" w:eastAsia="zh-CN"/>
                    </w:rPr>
                  </w:pPr>
                  <w:r>
                    <w:rPr>
                      <w:rFonts w:hint="default"/>
                      <w:color w:val="auto"/>
                      <w:highlight w:val="none"/>
                      <w:lang w:val="en-US" w:eastAsia="zh-CN"/>
                    </w:rPr>
                    <w:t>《污水综合排放标准》（GB 8978-1996）表4中的三级标准</w:t>
                  </w:r>
                </w:p>
              </w:tc>
              <w:tc>
                <w:tcPr>
                  <w:tcW w:w="893" w:type="pct"/>
                  <w:tcBorders>
                    <w:top w:val="single" w:color="auto" w:sz="12" w:space="0"/>
                    <w:tl2br w:val="nil"/>
                    <w:tr2bl w:val="nil"/>
                  </w:tcBorders>
                  <w:shd w:val="clear" w:color="auto" w:fill="auto"/>
                  <w:vAlign w:val="center"/>
                </w:tcPr>
                <w:p w14:paraId="1267DCD5">
                  <w:pPr>
                    <w:pStyle w:val="25"/>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highlight w:val="none"/>
                      <w:lang w:val="en-US" w:eastAsia="zh-CN"/>
                    </w:rPr>
                  </w:pPr>
                  <w:r>
                    <w:rPr>
                      <w:rFonts w:hint="default"/>
                      <w:color w:val="auto"/>
                      <w:highlight w:val="none"/>
                      <w:lang w:val="en-US" w:eastAsia="zh-CN"/>
                    </w:rPr>
                    <w:t>500</w:t>
                  </w:r>
                </w:p>
              </w:tc>
            </w:tr>
            <w:tr w14:paraId="4A5E7CB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1" w:type="pct"/>
                  <w:vMerge w:val="continue"/>
                  <w:tcBorders>
                    <w:tl2br w:val="nil"/>
                    <w:tr2bl w:val="nil"/>
                  </w:tcBorders>
                  <w:shd w:val="clear" w:color="auto" w:fill="auto"/>
                  <w:vAlign w:val="center"/>
                </w:tcPr>
                <w:p w14:paraId="500C2A31">
                  <w:pPr>
                    <w:pStyle w:val="25"/>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highlight w:val="none"/>
                      <w:lang w:val="en-US" w:eastAsia="zh-CN"/>
                    </w:rPr>
                  </w:pPr>
                </w:p>
              </w:tc>
              <w:tc>
                <w:tcPr>
                  <w:tcW w:w="979" w:type="pct"/>
                  <w:tcBorders>
                    <w:tl2br w:val="nil"/>
                    <w:tr2bl w:val="nil"/>
                  </w:tcBorders>
                  <w:shd w:val="clear" w:color="auto" w:fill="auto"/>
                  <w:vAlign w:val="center"/>
                </w:tcPr>
                <w:p w14:paraId="563693FD">
                  <w:pPr>
                    <w:pStyle w:val="25"/>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highlight w:val="none"/>
                      <w:lang w:val="en-US" w:eastAsia="zh-CN"/>
                    </w:rPr>
                  </w:pPr>
                  <w:r>
                    <w:rPr>
                      <w:rFonts w:hint="default"/>
                      <w:color w:val="auto"/>
                      <w:highlight w:val="none"/>
                      <w:lang w:val="en-US" w:eastAsia="zh-CN"/>
                    </w:rPr>
                    <w:t>BOD</w:t>
                  </w:r>
                  <w:r>
                    <w:rPr>
                      <w:rFonts w:hint="default"/>
                      <w:color w:val="auto"/>
                      <w:highlight w:val="none"/>
                      <w:vertAlign w:val="subscript"/>
                      <w:lang w:val="en-US" w:eastAsia="zh-CN"/>
                    </w:rPr>
                    <w:t>5</w:t>
                  </w:r>
                </w:p>
              </w:tc>
              <w:tc>
                <w:tcPr>
                  <w:tcW w:w="2315" w:type="pct"/>
                  <w:vMerge w:val="continue"/>
                  <w:tcBorders>
                    <w:tl2br w:val="nil"/>
                    <w:tr2bl w:val="nil"/>
                  </w:tcBorders>
                  <w:shd w:val="clear" w:color="auto" w:fill="auto"/>
                  <w:vAlign w:val="center"/>
                </w:tcPr>
                <w:p w14:paraId="4B948D03">
                  <w:pPr>
                    <w:pStyle w:val="25"/>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highlight w:val="none"/>
                      <w:lang w:val="en-US" w:eastAsia="zh-CN"/>
                    </w:rPr>
                  </w:pPr>
                </w:p>
              </w:tc>
              <w:tc>
                <w:tcPr>
                  <w:tcW w:w="893" w:type="pct"/>
                  <w:tcBorders>
                    <w:tl2br w:val="nil"/>
                    <w:tr2bl w:val="nil"/>
                  </w:tcBorders>
                  <w:shd w:val="clear" w:color="auto" w:fill="auto"/>
                  <w:vAlign w:val="center"/>
                </w:tcPr>
                <w:p w14:paraId="66489E96">
                  <w:pPr>
                    <w:pStyle w:val="25"/>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highlight w:val="none"/>
                      <w:lang w:val="en-US" w:eastAsia="zh-CN"/>
                    </w:rPr>
                  </w:pPr>
                  <w:r>
                    <w:rPr>
                      <w:rFonts w:hint="default"/>
                      <w:color w:val="auto"/>
                      <w:highlight w:val="none"/>
                      <w:lang w:val="en-US" w:eastAsia="zh-CN"/>
                    </w:rPr>
                    <w:t>300</w:t>
                  </w:r>
                </w:p>
              </w:tc>
            </w:tr>
            <w:tr w14:paraId="2ED2BD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1" w:type="pct"/>
                  <w:vMerge w:val="continue"/>
                  <w:tcBorders>
                    <w:tl2br w:val="nil"/>
                    <w:tr2bl w:val="nil"/>
                  </w:tcBorders>
                  <w:shd w:val="clear" w:color="auto" w:fill="auto"/>
                  <w:vAlign w:val="center"/>
                </w:tcPr>
                <w:p w14:paraId="2834B0BE">
                  <w:pPr>
                    <w:pStyle w:val="25"/>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highlight w:val="none"/>
                      <w:lang w:val="en-US" w:eastAsia="zh-CN"/>
                    </w:rPr>
                  </w:pPr>
                </w:p>
              </w:tc>
              <w:tc>
                <w:tcPr>
                  <w:tcW w:w="979" w:type="pct"/>
                  <w:tcBorders>
                    <w:tl2br w:val="nil"/>
                    <w:tr2bl w:val="nil"/>
                  </w:tcBorders>
                  <w:shd w:val="clear" w:color="auto" w:fill="auto"/>
                  <w:vAlign w:val="center"/>
                </w:tcPr>
                <w:p w14:paraId="4414D3BD">
                  <w:pPr>
                    <w:pStyle w:val="25"/>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highlight w:val="none"/>
                      <w:lang w:val="en-US" w:eastAsia="zh-CN"/>
                    </w:rPr>
                  </w:pPr>
                  <w:r>
                    <w:rPr>
                      <w:rFonts w:hint="default"/>
                      <w:color w:val="auto"/>
                      <w:highlight w:val="none"/>
                      <w:lang w:val="en-US" w:eastAsia="zh-CN"/>
                    </w:rPr>
                    <w:t>NH</w:t>
                  </w:r>
                  <w:r>
                    <w:rPr>
                      <w:rFonts w:hint="default"/>
                      <w:color w:val="auto"/>
                      <w:highlight w:val="none"/>
                      <w:vertAlign w:val="subscript"/>
                      <w:lang w:val="en-US" w:eastAsia="zh-CN"/>
                    </w:rPr>
                    <w:t>3</w:t>
                  </w:r>
                  <w:r>
                    <w:rPr>
                      <w:rFonts w:hint="default"/>
                      <w:color w:val="auto"/>
                      <w:highlight w:val="none"/>
                      <w:lang w:val="en-US" w:eastAsia="zh-CN"/>
                    </w:rPr>
                    <w:t>-N</w:t>
                  </w:r>
                </w:p>
              </w:tc>
              <w:tc>
                <w:tcPr>
                  <w:tcW w:w="2315" w:type="pct"/>
                  <w:vMerge w:val="continue"/>
                  <w:tcBorders>
                    <w:tl2br w:val="nil"/>
                    <w:tr2bl w:val="nil"/>
                  </w:tcBorders>
                  <w:shd w:val="clear" w:color="auto" w:fill="auto"/>
                  <w:vAlign w:val="center"/>
                </w:tcPr>
                <w:p w14:paraId="3FBEC598">
                  <w:pPr>
                    <w:pStyle w:val="25"/>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highlight w:val="none"/>
                      <w:lang w:val="en-US" w:eastAsia="zh-CN"/>
                    </w:rPr>
                  </w:pPr>
                </w:p>
              </w:tc>
              <w:tc>
                <w:tcPr>
                  <w:tcW w:w="893" w:type="pct"/>
                  <w:tcBorders>
                    <w:tl2br w:val="nil"/>
                    <w:tr2bl w:val="nil"/>
                  </w:tcBorders>
                  <w:shd w:val="clear" w:color="auto" w:fill="auto"/>
                  <w:vAlign w:val="center"/>
                </w:tcPr>
                <w:p w14:paraId="4B045BB3">
                  <w:pPr>
                    <w:pStyle w:val="25"/>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highlight w:val="none"/>
                      <w:lang w:val="en-US" w:eastAsia="zh-CN"/>
                    </w:rPr>
                  </w:pPr>
                  <w:r>
                    <w:rPr>
                      <w:rFonts w:hint="default"/>
                      <w:color w:val="auto"/>
                      <w:highlight w:val="none"/>
                      <w:lang w:val="en-US" w:eastAsia="zh-CN"/>
                    </w:rPr>
                    <w:t>-</w:t>
                  </w:r>
                </w:p>
              </w:tc>
            </w:tr>
            <w:tr w14:paraId="1C874C2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1" w:type="pct"/>
                  <w:vMerge w:val="continue"/>
                  <w:tcBorders>
                    <w:tl2br w:val="nil"/>
                    <w:tr2bl w:val="nil"/>
                  </w:tcBorders>
                  <w:shd w:val="clear" w:color="auto" w:fill="auto"/>
                  <w:vAlign w:val="center"/>
                </w:tcPr>
                <w:p w14:paraId="04D58844">
                  <w:pPr>
                    <w:pStyle w:val="25"/>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highlight w:val="none"/>
                      <w:lang w:val="en-US" w:eastAsia="zh-CN"/>
                    </w:rPr>
                  </w:pPr>
                </w:p>
              </w:tc>
              <w:tc>
                <w:tcPr>
                  <w:tcW w:w="979" w:type="pct"/>
                  <w:tcBorders>
                    <w:tl2br w:val="nil"/>
                    <w:tr2bl w:val="nil"/>
                  </w:tcBorders>
                  <w:shd w:val="clear" w:color="auto" w:fill="auto"/>
                  <w:vAlign w:val="center"/>
                </w:tcPr>
                <w:p w14:paraId="02A30F71">
                  <w:pPr>
                    <w:pStyle w:val="25"/>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highlight w:val="none"/>
                      <w:lang w:val="en-US" w:eastAsia="zh-CN"/>
                    </w:rPr>
                  </w:pPr>
                  <w:r>
                    <w:rPr>
                      <w:rFonts w:hint="default"/>
                      <w:color w:val="auto"/>
                      <w:highlight w:val="none"/>
                      <w:lang w:val="en-US" w:eastAsia="zh-CN"/>
                    </w:rPr>
                    <w:t>SS</w:t>
                  </w:r>
                </w:p>
              </w:tc>
              <w:tc>
                <w:tcPr>
                  <w:tcW w:w="2315" w:type="pct"/>
                  <w:vMerge w:val="continue"/>
                  <w:tcBorders>
                    <w:tl2br w:val="nil"/>
                    <w:tr2bl w:val="nil"/>
                  </w:tcBorders>
                  <w:shd w:val="clear" w:color="auto" w:fill="auto"/>
                  <w:vAlign w:val="center"/>
                </w:tcPr>
                <w:p w14:paraId="31DADDE2">
                  <w:pPr>
                    <w:pStyle w:val="25"/>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highlight w:val="none"/>
                      <w:lang w:val="en-US" w:eastAsia="zh-CN"/>
                    </w:rPr>
                  </w:pPr>
                </w:p>
              </w:tc>
              <w:tc>
                <w:tcPr>
                  <w:tcW w:w="893" w:type="pct"/>
                  <w:tcBorders>
                    <w:tl2br w:val="nil"/>
                    <w:tr2bl w:val="nil"/>
                  </w:tcBorders>
                  <w:shd w:val="clear" w:color="auto" w:fill="auto"/>
                  <w:vAlign w:val="center"/>
                </w:tcPr>
                <w:p w14:paraId="7B83BC8E">
                  <w:pPr>
                    <w:pStyle w:val="25"/>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color w:val="auto"/>
                      <w:highlight w:val="none"/>
                      <w:lang w:val="en-US" w:eastAsia="zh-CN"/>
                    </w:rPr>
                  </w:pPr>
                  <w:r>
                    <w:rPr>
                      <w:rFonts w:hint="default"/>
                      <w:color w:val="auto"/>
                      <w:highlight w:val="none"/>
                      <w:lang w:val="en-US" w:eastAsia="zh-CN"/>
                    </w:rPr>
                    <w:t>400</w:t>
                  </w:r>
                </w:p>
              </w:tc>
            </w:tr>
          </w:tbl>
          <w:p w14:paraId="521FDE25">
            <w:pPr>
              <w:pStyle w:val="25"/>
              <w:rPr>
                <w:rFonts w:hint="default"/>
                <w:color w:val="auto"/>
                <w:highlight w:val="none"/>
                <w:lang w:val="en-US" w:eastAsia="zh-CN"/>
              </w:rPr>
            </w:pPr>
          </w:p>
          <w:p w14:paraId="7F75494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color w:val="auto"/>
                <w:sz w:val="24"/>
                <w:szCs w:val="24"/>
                <w:highlight w:val="none"/>
              </w:rPr>
            </w:pPr>
            <w:r>
              <w:rPr>
                <w:rFonts w:hint="default" w:cs="Times New Roman"/>
                <w:b/>
                <w:bCs/>
                <w:color w:val="auto"/>
                <w:kern w:val="0"/>
                <w:sz w:val="24"/>
                <w:szCs w:val="24"/>
                <w:highlight w:val="none"/>
                <w:lang w:eastAsia="zh-CN" w:bidi="ar"/>
              </w:rPr>
              <w:t>3</w:t>
            </w:r>
            <w:r>
              <w:rPr>
                <w:rFonts w:hint="eastAsia" w:ascii="Times New Roman" w:hAnsi="Times New Roman" w:eastAsia="宋体" w:cs="Times New Roman"/>
                <w:b/>
                <w:bCs/>
                <w:color w:val="auto"/>
                <w:kern w:val="0"/>
                <w:sz w:val="24"/>
                <w:szCs w:val="24"/>
                <w:highlight w:val="none"/>
                <w:lang w:val="en-US" w:eastAsia="zh-CN" w:bidi="ar"/>
              </w:rPr>
              <w:t>.</w:t>
            </w:r>
            <w:r>
              <w:rPr>
                <w:rFonts w:hint="default" w:ascii="Times New Roman" w:hAnsi="Times New Roman" w:eastAsia="宋体" w:cs="Times New Roman"/>
                <w:b/>
                <w:bCs/>
                <w:color w:val="auto"/>
                <w:kern w:val="0"/>
                <w:sz w:val="24"/>
                <w:szCs w:val="24"/>
                <w:highlight w:val="none"/>
                <w:lang w:val="en-US" w:eastAsia="zh-CN" w:bidi="ar"/>
              </w:rPr>
              <w:t>噪声排放标准</w:t>
            </w:r>
          </w:p>
          <w:p w14:paraId="0E114E49">
            <w:pPr>
              <w:autoSpaceDE w:val="0"/>
              <w:autoSpaceDN w:val="0"/>
              <w:adjustRightInd w:val="0"/>
              <w:snapToGrid w:val="0"/>
              <w:spacing w:line="360" w:lineRule="auto"/>
              <w:ind w:firstLine="480" w:firstLineChars="200"/>
              <w:rPr>
                <w:rFonts w:hint="default" w:ascii="Times New Roman" w:hAnsi="Times New Roman" w:eastAsia="宋体" w:cs="Times New Roman"/>
                <w:color w:val="auto"/>
                <w:kern w:val="0"/>
                <w:sz w:val="24"/>
                <w:highlight w:val="none"/>
              </w:rPr>
            </w:pPr>
            <w:r>
              <w:rPr>
                <w:rFonts w:hint="eastAsia" w:ascii="Times New Roman" w:hAnsi="Times New Roman" w:eastAsia="宋体" w:cs="Times New Roman"/>
                <w:color w:val="auto"/>
                <w:kern w:val="0"/>
                <w:sz w:val="24"/>
                <w:highlight w:val="none"/>
              </w:rPr>
              <w:t>本项目</w:t>
            </w:r>
            <w:r>
              <w:rPr>
                <w:rFonts w:ascii="Times New Roman" w:hAnsi="Times New Roman" w:eastAsia="宋体" w:cs="Times New Roman"/>
                <w:color w:val="auto"/>
                <w:kern w:val="0"/>
                <w:sz w:val="24"/>
                <w:highlight w:val="none"/>
              </w:rPr>
              <w:t>施</w:t>
            </w:r>
            <w:r>
              <w:rPr>
                <w:rFonts w:hint="default" w:ascii="Times New Roman" w:hAnsi="Times New Roman" w:eastAsia="宋体" w:cs="Times New Roman"/>
                <w:color w:val="auto"/>
                <w:kern w:val="0"/>
                <w:sz w:val="24"/>
                <w:highlight w:val="none"/>
              </w:rPr>
              <w:t>工期执行《建筑施工场界环境噪声排放标准》（GB12523-2011）标准，详见表3-</w:t>
            </w:r>
            <w:r>
              <w:rPr>
                <w:rFonts w:hint="default" w:ascii="Times New Roman" w:hAnsi="Times New Roman" w:cs="Times New Roman"/>
                <w:color w:val="auto"/>
                <w:kern w:val="0"/>
                <w:sz w:val="24"/>
                <w:highlight w:val="none"/>
                <w:lang w:val="en-US" w:eastAsia="zh-CN"/>
              </w:rPr>
              <w:t>7</w:t>
            </w:r>
            <w:r>
              <w:rPr>
                <w:rFonts w:hint="default" w:ascii="Times New Roman" w:hAnsi="Times New Roman" w:eastAsia="宋体" w:cs="Times New Roman"/>
                <w:color w:val="auto"/>
                <w:kern w:val="0"/>
                <w:sz w:val="24"/>
                <w:highlight w:val="none"/>
              </w:rPr>
              <w:t>；运营期厂界噪声执行《工业企业厂界环境噪声排放标准》（GB12348-2008）中</w:t>
            </w:r>
            <w:r>
              <w:rPr>
                <w:rFonts w:hint="default" w:ascii="Times New Roman" w:hAnsi="Times New Roman" w:cs="Times New Roman"/>
                <w:color w:val="auto"/>
                <w:kern w:val="0"/>
                <w:sz w:val="24"/>
                <w:highlight w:val="none"/>
                <w:lang w:val="en-US" w:eastAsia="zh-CN"/>
              </w:rPr>
              <w:t>3</w:t>
            </w:r>
            <w:r>
              <w:rPr>
                <w:rFonts w:hint="default" w:ascii="Times New Roman" w:hAnsi="Times New Roman" w:eastAsia="宋体" w:cs="Times New Roman"/>
                <w:color w:val="auto"/>
                <w:kern w:val="0"/>
                <w:sz w:val="24"/>
                <w:highlight w:val="none"/>
              </w:rPr>
              <w:t>类标准，见表3-</w:t>
            </w:r>
            <w:r>
              <w:rPr>
                <w:rFonts w:hint="eastAsia" w:ascii="Times New Roman" w:hAnsi="Times New Roman" w:cs="Times New Roman"/>
                <w:color w:val="auto"/>
                <w:kern w:val="0"/>
                <w:sz w:val="24"/>
                <w:highlight w:val="none"/>
                <w:lang w:val="en-US" w:eastAsia="zh-CN"/>
              </w:rPr>
              <w:t>8</w:t>
            </w:r>
            <w:r>
              <w:rPr>
                <w:rFonts w:hint="default" w:ascii="Times New Roman" w:hAnsi="Times New Roman" w:eastAsia="宋体" w:cs="Times New Roman"/>
                <w:color w:val="auto"/>
                <w:kern w:val="0"/>
                <w:sz w:val="24"/>
                <w:highlight w:val="none"/>
              </w:rPr>
              <w:t>。</w:t>
            </w:r>
          </w:p>
          <w:p w14:paraId="6E265954">
            <w:pPr>
              <w:pStyle w:val="41"/>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rPr>
              <w:t>表3-</w:t>
            </w:r>
            <w:r>
              <w:rPr>
                <w:rFonts w:hint="eastAsia" w:cs="Times New Roman"/>
                <w:color w:val="auto"/>
                <w:highlight w:val="none"/>
                <w:lang w:val="en-US" w:eastAsia="zh-CN"/>
              </w:rPr>
              <w:t>7</w:t>
            </w:r>
            <w:r>
              <w:rPr>
                <w:rFonts w:hint="eastAsia" w:ascii="Times New Roman" w:hAnsi="Times New Roman" w:eastAsia="宋体" w:cs="Times New Roman"/>
                <w:color w:val="auto"/>
                <w:highlight w:val="none"/>
              </w:rPr>
              <w:t xml:space="preserve">   建筑施工场界环境噪声排放限值</w:t>
            </w:r>
          </w:p>
          <w:tbl>
            <w:tblPr>
              <w:tblStyle w:val="26"/>
              <w:tblW w:w="5000" w:type="pct"/>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0" w:type="dxa"/>
                <w:bottom w:w="0" w:type="dxa"/>
                <w:right w:w="0" w:type="dxa"/>
              </w:tblCellMar>
            </w:tblPr>
            <w:tblGrid>
              <w:gridCol w:w="2189"/>
              <w:gridCol w:w="1874"/>
              <w:gridCol w:w="3911"/>
            </w:tblGrid>
            <w:tr w14:paraId="1B0326AD">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c>
                <w:tcPr>
                  <w:tcW w:w="2547" w:type="pct"/>
                  <w:gridSpan w:val="2"/>
                  <w:vAlign w:val="center"/>
                </w:tcPr>
                <w:p w14:paraId="59802031">
                  <w:pPr>
                    <w:widowControl/>
                    <w:adjustRightInd w:val="0"/>
                    <w:snapToGrid w:val="0"/>
                    <w:jc w:val="center"/>
                    <w:rPr>
                      <w:b/>
                      <w:bCs/>
                      <w:color w:val="auto"/>
                      <w:sz w:val="21"/>
                      <w:szCs w:val="21"/>
                      <w:highlight w:val="none"/>
                    </w:rPr>
                  </w:pPr>
                  <w:r>
                    <w:rPr>
                      <w:rFonts w:hint="eastAsia" w:hAnsi="宋体"/>
                      <w:b/>
                      <w:bCs/>
                      <w:color w:val="auto"/>
                      <w:sz w:val="21"/>
                      <w:szCs w:val="21"/>
                      <w:highlight w:val="none"/>
                    </w:rPr>
                    <w:t>噪声排放限值</w:t>
                  </w:r>
                  <w:r>
                    <w:rPr>
                      <w:b/>
                      <w:bCs/>
                      <w:color w:val="auto"/>
                      <w:sz w:val="21"/>
                      <w:szCs w:val="21"/>
                      <w:highlight w:val="none"/>
                    </w:rPr>
                    <w:t>dB</w:t>
                  </w:r>
                  <w:r>
                    <w:rPr>
                      <w:rFonts w:hint="eastAsia" w:hAnsi="宋体"/>
                      <w:b/>
                      <w:bCs/>
                      <w:color w:val="auto"/>
                      <w:sz w:val="21"/>
                      <w:szCs w:val="21"/>
                      <w:highlight w:val="none"/>
                    </w:rPr>
                    <w:t>（</w:t>
                  </w:r>
                  <w:r>
                    <w:rPr>
                      <w:b/>
                      <w:bCs/>
                      <w:color w:val="auto"/>
                      <w:sz w:val="21"/>
                      <w:szCs w:val="21"/>
                      <w:highlight w:val="none"/>
                    </w:rPr>
                    <w:t>A</w:t>
                  </w:r>
                  <w:r>
                    <w:rPr>
                      <w:rFonts w:hint="eastAsia" w:hAnsi="宋体"/>
                      <w:b/>
                      <w:bCs/>
                      <w:color w:val="auto"/>
                      <w:sz w:val="21"/>
                      <w:szCs w:val="21"/>
                      <w:highlight w:val="none"/>
                    </w:rPr>
                    <w:t>）</w:t>
                  </w:r>
                </w:p>
              </w:tc>
              <w:tc>
                <w:tcPr>
                  <w:tcW w:w="2452" w:type="pct"/>
                  <w:vMerge w:val="restart"/>
                  <w:vAlign w:val="center"/>
                </w:tcPr>
                <w:p w14:paraId="330E7061">
                  <w:pPr>
                    <w:widowControl/>
                    <w:adjustRightInd w:val="0"/>
                    <w:snapToGrid w:val="0"/>
                    <w:jc w:val="center"/>
                    <w:rPr>
                      <w:b/>
                      <w:bCs/>
                      <w:color w:val="auto"/>
                      <w:sz w:val="21"/>
                      <w:szCs w:val="21"/>
                      <w:highlight w:val="none"/>
                    </w:rPr>
                  </w:pPr>
                  <w:r>
                    <w:rPr>
                      <w:rFonts w:hint="eastAsia" w:hAnsi="宋体"/>
                      <w:b/>
                      <w:bCs/>
                      <w:color w:val="auto"/>
                      <w:sz w:val="21"/>
                      <w:szCs w:val="21"/>
                      <w:highlight w:val="none"/>
                    </w:rPr>
                    <w:t>标准来源</w:t>
                  </w:r>
                </w:p>
              </w:tc>
            </w:tr>
            <w:tr w14:paraId="31EBE259">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c>
                <w:tcPr>
                  <w:tcW w:w="1372" w:type="pct"/>
                  <w:tcBorders>
                    <w:bottom w:val="single" w:color="000000" w:sz="12" w:space="0"/>
                  </w:tcBorders>
                  <w:vAlign w:val="center"/>
                </w:tcPr>
                <w:p w14:paraId="15F7EBE8">
                  <w:pPr>
                    <w:widowControl/>
                    <w:adjustRightInd w:val="0"/>
                    <w:snapToGrid w:val="0"/>
                    <w:jc w:val="center"/>
                    <w:rPr>
                      <w:b/>
                      <w:bCs/>
                      <w:color w:val="auto"/>
                      <w:sz w:val="21"/>
                      <w:szCs w:val="21"/>
                      <w:highlight w:val="none"/>
                    </w:rPr>
                  </w:pPr>
                  <w:r>
                    <w:rPr>
                      <w:rFonts w:hint="eastAsia" w:hAnsi="宋体"/>
                      <w:b/>
                      <w:bCs/>
                      <w:color w:val="auto"/>
                      <w:sz w:val="21"/>
                      <w:szCs w:val="21"/>
                      <w:highlight w:val="none"/>
                    </w:rPr>
                    <w:t>昼间</w:t>
                  </w:r>
                </w:p>
              </w:tc>
              <w:tc>
                <w:tcPr>
                  <w:tcW w:w="1175" w:type="pct"/>
                  <w:tcBorders>
                    <w:bottom w:val="single" w:color="000000" w:sz="12" w:space="0"/>
                  </w:tcBorders>
                  <w:vAlign w:val="center"/>
                </w:tcPr>
                <w:p w14:paraId="3AC8FDFA">
                  <w:pPr>
                    <w:widowControl/>
                    <w:adjustRightInd w:val="0"/>
                    <w:snapToGrid w:val="0"/>
                    <w:jc w:val="center"/>
                    <w:rPr>
                      <w:b/>
                      <w:bCs/>
                      <w:color w:val="auto"/>
                      <w:sz w:val="21"/>
                      <w:szCs w:val="21"/>
                      <w:highlight w:val="none"/>
                    </w:rPr>
                  </w:pPr>
                  <w:r>
                    <w:rPr>
                      <w:rFonts w:hint="eastAsia" w:hAnsi="宋体"/>
                      <w:b/>
                      <w:bCs/>
                      <w:color w:val="auto"/>
                      <w:sz w:val="21"/>
                      <w:szCs w:val="21"/>
                      <w:highlight w:val="none"/>
                    </w:rPr>
                    <w:t>夜间</w:t>
                  </w:r>
                </w:p>
              </w:tc>
              <w:tc>
                <w:tcPr>
                  <w:tcW w:w="2452" w:type="pct"/>
                  <w:vMerge w:val="continue"/>
                  <w:tcBorders>
                    <w:bottom w:val="single" w:color="000000" w:sz="12" w:space="0"/>
                  </w:tcBorders>
                  <w:vAlign w:val="center"/>
                </w:tcPr>
                <w:p w14:paraId="1A549E55">
                  <w:pPr>
                    <w:widowControl/>
                    <w:adjustRightInd w:val="0"/>
                    <w:snapToGrid w:val="0"/>
                    <w:jc w:val="center"/>
                    <w:rPr>
                      <w:b/>
                      <w:bCs/>
                      <w:color w:val="auto"/>
                      <w:sz w:val="21"/>
                      <w:szCs w:val="21"/>
                      <w:highlight w:val="none"/>
                    </w:rPr>
                  </w:pPr>
                </w:p>
              </w:tc>
            </w:tr>
            <w:tr w14:paraId="067CBCF5">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c>
                <w:tcPr>
                  <w:tcW w:w="1372" w:type="pct"/>
                  <w:tcBorders>
                    <w:top w:val="single" w:color="000000" w:sz="12" w:space="0"/>
                    <w:tl2br w:val="nil"/>
                    <w:tr2bl w:val="nil"/>
                  </w:tcBorders>
                  <w:vAlign w:val="center"/>
                </w:tcPr>
                <w:p w14:paraId="2A4E0D4F">
                  <w:pPr>
                    <w:widowControl/>
                    <w:adjustRightInd w:val="0"/>
                    <w:snapToGrid w:val="0"/>
                    <w:jc w:val="center"/>
                    <w:rPr>
                      <w:color w:val="auto"/>
                      <w:sz w:val="21"/>
                      <w:szCs w:val="21"/>
                      <w:highlight w:val="none"/>
                    </w:rPr>
                  </w:pPr>
                  <w:r>
                    <w:rPr>
                      <w:color w:val="auto"/>
                      <w:sz w:val="21"/>
                      <w:szCs w:val="21"/>
                      <w:highlight w:val="none"/>
                    </w:rPr>
                    <w:t>70</w:t>
                  </w:r>
                </w:p>
              </w:tc>
              <w:tc>
                <w:tcPr>
                  <w:tcW w:w="1175" w:type="pct"/>
                  <w:tcBorders>
                    <w:top w:val="single" w:color="000000" w:sz="12" w:space="0"/>
                    <w:tl2br w:val="nil"/>
                    <w:tr2bl w:val="nil"/>
                  </w:tcBorders>
                  <w:vAlign w:val="center"/>
                </w:tcPr>
                <w:p w14:paraId="027D15E5">
                  <w:pPr>
                    <w:widowControl/>
                    <w:adjustRightInd w:val="0"/>
                    <w:snapToGrid w:val="0"/>
                    <w:jc w:val="center"/>
                    <w:rPr>
                      <w:color w:val="auto"/>
                      <w:sz w:val="21"/>
                      <w:szCs w:val="21"/>
                      <w:highlight w:val="none"/>
                    </w:rPr>
                  </w:pPr>
                  <w:r>
                    <w:rPr>
                      <w:color w:val="auto"/>
                      <w:sz w:val="21"/>
                      <w:szCs w:val="21"/>
                      <w:highlight w:val="none"/>
                    </w:rPr>
                    <w:t>55</w:t>
                  </w:r>
                </w:p>
              </w:tc>
              <w:tc>
                <w:tcPr>
                  <w:tcW w:w="2452" w:type="pct"/>
                  <w:tcBorders>
                    <w:top w:val="single" w:color="000000" w:sz="12" w:space="0"/>
                    <w:tl2br w:val="nil"/>
                    <w:tr2bl w:val="nil"/>
                  </w:tcBorders>
                  <w:vAlign w:val="center"/>
                </w:tcPr>
                <w:p w14:paraId="174FBB6A">
                  <w:pPr>
                    <w:widowControl/>
                    <w:adjustRightInd w:val="0"/>
                    <w:snapToGrid w:val="0"/>
                    <w:jc w:val="center"/>
                    <w:rPr>
                      <w:rFonts w:hint="eastAsia" w:eastAsia="宋体"/>
                      <w:color w:val="auto"/>
                      <w:sz w:val="21"/>
                      <w:szCs w:val="21"/>
                      <w:highlight w:val="none"/>
                      <w:lang w:eastAsia="zh-CN"/>
                    </w:rPr>
                  </w:pPr>
                  <w:r>
                    <w:rPr>
                      <w:rFonts w:hint="eastAsia" w:hAnsi="宋体"/>
                      <w:color w:val="auto"/>
                      <w:sz w:val="21"/>
                      <w:szCs w:val="21"/>
                      <w:highlight w:val="none"/>
                    </w:rPr>
                    <w:t>《建筑施工场界环境噪声排放标准》（</w:t>
                  </w:r>
                  <w:r>
                    <w:rPr>
                      <w:color w:val="auto"/>
                      <w:sz w:val="21"/>
                      <w:szCs w:val="21"/>
                      <w:highlight w:val="none"/>
                    </w:rPr>
                    <w:t>GB12523-2011</w:t>
                  </w:r>
                  <w:r>
                    <w:rPr>
                      <w:rFonts w:hint="eastAsia" w:hAnsi="宋体"/>
                      <w:color w:val="auto"/>
                      <w:sz w:val="21"/>
                      <w:szCs w:val="21"/>
                      <w:highlight w:val="none"/>
                    </w:rPr>
                    <w:t>）</w:t>
                  </w:r>
                  <w:r>
                    <w:rPr>
                      <w:rFonts w:hint="eastAsia" w:hAnsi="宋体"/>
                      <w:color w:val="auto"/>
                      <w:sz w:val="21"/>
                      <w:szCs w:val="21"/>
                      <w:highlight w:val="none"/>
                      <w:lang w:eastAsia="zh-CN"/>
                    </w:rPr>
                    <w:t>（</w:t>
                  </w:r>
                  <w:r>
                    <w:rPr>
                      <w:rFonts w:hint="eastAsia" w:hAnsi="宋体"/>
                      <w:color w:val="auto"/>
                      <w:sz w:val="21"/>
                      <w:szCs w:val="21"/>
                      <w:highlight w:val="none"/>
                      <w:lang w:val="en-US" w:eastAsia="zh-CN"/>
                    </w:rPr>
                    <w:t>表1</w:t>
                  </w:r>
                  <w:r>
                    <w:rPr>
                      <w:rFonts w:hint="eastAsia" w:hAnsi="宋体"/>
                      <w:color w:val="auto"/>
                      <w:sz w:val="21"/>
                      <w:szCs w:val="21"/>
                      <w:highlight w:val="none"/>
                      <w:lang w:eastAsia="zh-CN"/>
                    </w:rPr>
                    <w:t>）</w:t>
                  </w:r>
                </w:p>
              </w:tc>
            </w:tr>
          </w:tbl>
          <w:p w14:paraId="7668CFC4">
            <w:pPr>
              <w:pStyle w:val="41"/>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rPr>
              <w:t>表3-</w:t>
            </w:r>
            <w:r>
              <w:rPr>
                <w:rFonts w:hint="eastAsia" w:ascii="Times New Roman" w:hAnsi="Times New Roman" w:cs="Times New Roman"/>
                <w:color w:val="auto"/>
                <w:highlight w:val="none"/>
                <w:lang w:val="en-US" w:eastAsia="zh-CN"/>
              </w:rPr>
              <w:t>8</w:t>
            </w:r>
            <w:r>
              <w:rPr>
                <w:rFonts w:hint="eastAsia" w:ascii="Times New Roman" w:hAnsi="Times New Roman" w:eastAsia="宋体" w:cs="Times New Roman"/>
                <w:color w:val="auto"/>
                <w:highlight w:val="none"/>
              </w:rPr>
              <w:t xml:space="preserve">    工业企业厂界环境噪声排放标准</w:t>
            </w:r>
          </w:p>
          <w:tbl>
            <w:tblPr>
              <w:tblStyle w:val="26"/>
              <w:tblW w:w="5000" w:type="pct"/>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0" w:type="dxa"/>
                <w:bottom w:w="0" w:type="dxa"/>
                <w:right w:w="0" w:type="dxa"/>
              </w:tblCellMar>
            </w:tblPr>
            <w:tblGrid>
              <w:gridCol w:w="1254"/>
              <w:gridCol w:w="1404"/>
              <w:gridCol w:w="1401"/>
              <w:gridCol w:w="3915"/>
            </w:tblGrid>
            <w:tr w14:paraId="3CB693CA">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c>
                <w:tcPr>
                  <w:tcW w:w="786" w:type="pct"/>
                  <w:vMerge w:val="restart"/>
                  <w:vAlign w:val="center"/>
                </w:tcPr>
                <w:p w14:paraId="6263C3CF">
                  <w:pPr>
                    <w:widowControl/>
                    <w:adjustRightInd w:val="0"/>
                    <w:snapToGrid w:val="0"/>
                    <w:jc w:val="center"/>
                    <w:rPr>
                      <w:b/>
                      <w:bCs/>
                      <w:color w:val="auto"/>
                      <w:sz w:val="21"/>
                      <w:szCs w:val="21"/>
                      <w:highlight w:val="none"/>
                    </w:rPr>
                  </w:pPr>
                  <w:r>
                    <w:rPr>
                      <w:rFonts w:hint="eastAsia" w:hAnsi="宋体"/>
                      <w:b/>
                      <w:bCs/>
                      <w:color w:val="auto"/>
                      <w:sz w:val="21"/>
                      <w:szCs w:val="21"/>
                      <w:highlight w:val="none"/>
                    </w:rPr>
                    <w:t>功能区类别</w:t>
                  </w:r>
                </w:p>
              </w:tc>
              <w:tc>
                <w:tcPr>
                  <w:tcW w:w="1758" w:type="pct"/>
                  <w:gridSpan w:val="2"/>
                  <w:vAlign w:val="center"/>
                </w:tcPr>
                <w:p w14:paraId="0EEA0F1C">
                  <w:pPr>
                    <w:widowControl/>
                    <w:adjustRightInd w:val="0"/>
                    <w:snapToGrid w:val="0"/>
                    <w:jc w:val="center"/>
                    <w:rPr>
                      <w:b/>
                      <w:bCs/>
                      <w:color w:val="auto"/>
                      <w:sz w:val="21"/>
                      <w:szCs w:val="21"/>
                      <w:highlight w:val="none"/>
                    </w:rPr>
                  </w:pPr>
                  <w:r>
                    <w:rPr>
                      <w:rFonts w:hint="eastAsia" w:hAnsi="宋体"/>
                      <w:b/>
                      <w:bCs/>
                      <w:color w:val="auto"/>
                      <w:sz w:val="21"/>
                      <w:szCs w:val="21"/>
                      <w:highlight w:val="none"/>
                    </w:rPr>
                    <w:t>标准值</w:t>
                  </w:r>
                  <w:r>
                    <w:rPr>
                      <w:b/>
                      <w:bCs/>
                      <w:color w:val="auto"/>
                      <w:sz w:val="21"/>
                      <w:szCs w:val="21"/>
                      <w:highlight w:val="none"/>
                    </w:rPr>
                    <w:t>dB</w:t>
                  </w:r>
                  <w:r>
                    <w:rPr>
                      <w:rFonts w:hint="eastAsia" w:hAnsi="宋体"/>
                      <w:b/>
                      <w:bCs/>
                      <w:color w:val="auto"/>
                      <w:sz w:val="21"/>
                      <w:szCs w:val="21"/>
                      <w:highlight w:val="none"/>
                    </w:rPr>
                    <w:t>（</w:t>
                  </w:r>
                  <w:r>
                    <w:rPr>
                      <w:b/>
                      <w:bCs/>
                      <w:color w:val="auto"/>
                      <w:sz w:val="21"/>
                      <w:szCs w:val="21"/>
                      <w:highlight w:val="none"/>
                    </w:rPr>
                    <w:t>A</w:t>
                  </w:r>
                  <w:r>
                    <w:rPr>
                      <w:rFonts w:hint="eastAsia" w:hAnsi="宋体"/>
                      <w:b/>
                      <w:bCs/>
                      <w:color w:val="auto"/>
                      <w:sz w:val="21"/>
                      <w:szCs w:val="21"/>
                      <w:highlight w:val="none"/>
                    </w:rPr>
                    <w:t>）</w:t>
                  </w:r>
                </w:p>
              </w:tc>
              <w:tc>
                <w:tcPr>
                  <w:tcW w:w="2454" w:type="pct"/>
                  <w:vMerge w:val="restart"/>
                  <w:vAlign w:val="center"/>
                </w:tcPr>
                <w:p w14:paraId="7AB4AADC">
                  <w:pPr>
                    <w:widowControl/>
                    <w:adjustRightInd w:val="0"/>
                    <w:snapToGrid w:val="0"/>
                    <w:jc w:val="center"/>
                    <w:rPr>
                      <w:b/>
                      <w:bCs/>
                      <w:color w:val="auto"/>
                      <w:sz w:val="21"/>
                      <w:szCs w:val="21"/>
                      <w:highlight w:val="none"/>
                    </w:rPr>
                  </w:pPr>
                  <w:r>
                    <w:rPr>
                      <w:rFonts w:hint="eastAsia" w:hAnsi="宋体"/>
                      <w:b/>
                      <w:bCs/>
                      <w:color w:val="auto"/>
                      <w:sz w:val="21"/>
                      <w:szCs w:val="21"/>
                      <w:highlight w:val="none"/>
                    </w:rPr>
                    <w:t>标准来源</w:t>
                  </w:r>
                </w:p>
              </w:tc>
            </w:tr>
            <w:tr w14:paraId="339BAD91">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133" w:hRule="atLeast"/>
              </w:trPr>
              <w:tc>
                <w:tcPr>
                  <w:tcW w:w="786" w:type="pct"/>
                  <w:vMerge w:val="continue"/>
                  <w:tcBorders>
                    <w:bottom w:val="single" w:color="000000" w:sz="12" w:space="0"/>
                  </w:tcBorders>
                  <w:vAlign w:val="center"/>
                </w:tcPr>
                <w:p w14:paraId="438357E7">
                  <w:pPr>
                    <w:widowControl/>
                    <w:adjustRightInd w:val="0"/>
                    <w:snapToGrid w:val="0"/>
                    <w:jc w:val="center"/>
                    <w:rPr>
                      <w:color w:val="auto"/>
                      <w:sz w:val="21"/>
                      <w:szCs w:val="21"/>
                      <w:highlight w:val="none"/>
                    </w:rPr>
                  </w:pPr>
                </w:p>
              </w:tc>
              <w:tc>
                <w:tcPr>
                  <w:tcW w:w="880" w:type="pct"/>
                  <w:tcBorders>
                    <w:bottom w:val="single" w:color="000000" w:sz="12" w:space="0"/>
                  </w:tcBorders>
                  <w:vAlign w:val="center"/>
                </w:tcPr>
                <w:p w14:paraId="4C61C9F5">
                  <w:pPr>
                    <w:widowControl/>
                    <w:adjustRightInd w:val="0"/>
                    <w:snapToGrid w:val="0"/>
                    <w:jc w:val="center"/>
                    <w:rPr>
                      <w:b/>
                      <w:bCs/>
                      <w:color w:val="auto"/>
                      <w:sz w:val="21"/>
                      <w:szCs w:val="21"/>
                      <w:highlight w:val="none"/>
                    </w:rPr>
                  </w:pPr>
                  <w:r>
                    <w:rPr>
                      <w:rFonts w:hint="eastAsia" w:hAnsi="宋体"/>
                      <w:b/>
                      <w:bCs/>
                      <w:color w:val="auto"/>
                      <w:sz w:val="21"/>
                      <w:szCs w:val="21"/>
                      <w:highlight w:val="none"/>
                    </w:rPr>
                    <w:t>昼间</w:t>
                  </w:r>
                </w:p>
              </w:tc>
              <w:tc>
                <w:tcPr>
                  <w:tcW w:w="877" w:type="pct"/>
                  <w:tcBorders>
                    <w:bottom w:val="single" w:color="000000" w:sz="12" w:space="0"/>
                  </w:tcBorders>
                  <w:vAlign w:val="center"/>
                </w:tcPr>
                <w:p w14:paraId="2352FF16">
                  <w:pPr>
                    <w:widowControl/>
                    <w:adjustRightInd w:val="0"/>
                    <w:snapToGrid w:val="0"/>
                    <w:jc w:val="center"/>
                    <w:rPr>
                      <w:b/>
                      <w:bCs/>
                      <w:color w:val="auto"/>
                      <w:sz w:val="21"/>
                      <w:szCs w:val="21"/>
                      <w:highlight w:val="none"/>
                    </w:rPr>
                  </w:pPr>
                  <w:r>
                    <w:rPr>
                      <w:rFonts w:hint="eastAsia" w:hAnsi="宋体"/>
                      <w:b/>
                      <w:bCs/>
                      <w:color w:val="auto"/>
                      <w:sz w:val="21"/>
                      <w:szCs w:val="21"/>
                      <w:highlight w:val="none"/>
                    </w:rPr>
                    <w:t>夜间</w:t>
                  </w:r>
                </w:p>
              </w:tc>
              <w:tc>
                <w:tcPr>
                  <w:tcW w:w="2454" w:type="pct"/>
                  <w:vMerge w:val="continue"/>
                  <w:tcBorders>
                    <w:bottom w:val="single" w:color="000000" w:sz="12" w:space="0"/>
                  </w:tcBorders>
                  <w:vAlign w:val="center"/>
                </w:tcPr>
                <w:p w14:paraId="54C47EE4">
                  <w:pPr>
                    <w:widowControl/>
                    <w:adjustRightInd w:val="0"/>
                    <w:snapToGrid w:val="0"/>
                    <w:jc w:val="center"/>
                    <w:rPr>
                      <w:color w:val="auto"/>
                      <w:sz w:val="21"/>
                      <w:szCs w:val="21"/>
                      <w:highlight w:val="none"/>
                    </w:rPr>
                  </w:pPr>
                </w:p>
              </w:tc>
            </w:tr>
            <w:tr w14:paraId="3BE08D07">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c>
                <w:tcPr>
                  <w:tcW w:w="786" w:type="pct"/>
                  <w:tcBorders>
                    <w:top w:val="single" w:color="000000" w:sz="12" w:space="0"/>
                    <w:tl2br w:val="nil"/>
                    <w:tr2bl w:val="nil"/>
                  </w:tcBorders>
                  <w:vAlign w:val="center"/>
                </w:tcPr>
                <w:p w14:paraId="027AF6BE">
                  <w:pPr>
                    <w:widowControl/>
                    <w:adjustRightInd w:val="0"/>
                    <w:snapToGrid w:val="0"/>
                    <w:jc w:val="center"/>
                    <w:rPr>
                      <w:color w:val="auto"/>
                      <w:sz w:val="21"/>
                      <w:szCs w:val="21"/>
                      <w:highlight w:val="none"/>
                    </w:rPr>
                  </w:pPr>
                  <w:r>
                    <w:rPr>
                      <w:rFonts w:hint="eastAsia" w:hAnsi="宋体"/>
                      <w:color w:val="auto"/>
                      <w:sz w:val="21"/>
                      <w:szCs w:val="21"/>
                      <w:highlight w:val="none"/>
                      <w:lang w:val="en-US" w:eastAsia="zh-CN"/>
                    </w:rPr>
                    <w:t>3</w:t>
                  </w:r>
                  <w:r>
                    <w:rPr>
                      <w:rFonts w:hint="eastAsia" w:hAnsi="宋体"/>
                      <w:color w:val="auto"/>
                      <w:sz w:val="21"/>
                      <w:szCs w:val="21"/>
                      <w:highlight w:val="none"/>
                    </w:rPr>
                    <w:t>类</w:t>
                  </w:r>
                </w:p>
              </w:tc>
              <w:tc>
                <w:tcPr>
                  <w:tcW w:w="880" w:type="pct"/>
                  <w:tcBorders>
                    <w:top w:val="single" w:color="000000" w:sz="12" w:space="0"/>
                    <w:tl2br w:val="nil"/>
                    <w:tr2bl w:val="nil"/>
                  </w:tcBorders>
                  <w:vAlign w:val="center"/>
                </w:tcPr>
                <w:p w14:paraId="21F26B5B">
                  <w:pPr>
                    <w:widowControl/>
                    <w:adjustRightInd w:val="0"/>
                    <w:snapToGrid w:val="0"/>
                    <w:jc w:val="center"/>
                    <w:rPr>
                      <w:rFonts w:hint="eastAsia" w:eastAsia="宋体"/>
                      <w:color w:val="auto"/>
                      <w:sz w:val="21"/>
                      <w:szCs w:val="21"/>
                      <w:highlight w:val="none"/>
                      <w:lang w:val="en-US" w:eastAsia="zh-CN"/>
                    </w:rPr>
                  </w:pPr>
                  <w:r>
                    <w:rPr>
                      <w:rFonts w:hint="eastAsia"/>
                      <w:color w:val="auto"/>
                      <w:sz w:val="21"/>
                      <w:szCs w:val="21"/>
                      <w:highlight w:val="none"/>
                    </w:rPr>
                    <w:t>6</w:t>
                  </w:r>
                  <w:r>
                    <w:rPr>
                      <w:rFonts w:hint="eastAsia"/>
                      <w:color w:val="auto"/>
                      <w:sz w:val="21"/>
                      <w:szCs w:val="21"/>
                      <w:highlight w:val="none"/>
                      <w:lang w:val="en-US" w:eastAsia="zh-CN"/>
                    </w:rPr>
                    <w:t>5</w:t>
                  </w:r>
                </w:p>
              </w:tc>
              <w:tc>
                <w:tcPr>
                  <w:tcW w:w="877" w:type="pct"/>
                  <w:tcBorders>
                    <w:top w:val="single" w:color="000000" w:sz="12" w:space="0"/>
                    <w:tl2br w:val="nil"/>
                    <w:tr2bl w:val="nil"/>
                  </w:tcBorders>
                  <w:vAlign w:val="center"/>
                </w:tcPr>
                <w:p w14:paraId="7BC1C442">
                  <w:pPr>
                    <w:widowControl/>
                    <w:adjustRightInd w:val="0"/>
                    <w:snapToGrid w:val="0"/>
                    <w:jc w:val="center"/>
                    <w:rPr>
                      <w:rFonts w:hint="eastAsia" w:eastAsia="宋体"/>
                      <w:color w:val="auto"/>
                      <w:sz w:val="21"/>
                      <w:szCs w:val="21"/>
                      <w:highlight w:val="none"/>
                      <w:lang w:val="en-US" w:eastAsia="zh-CN"/>
                    </w:rPr>
                  </w:pPr>
                  <w:r>
                    <w:rPr>
                      <w:rFonts w:hint="eastAsia"/>
                      <w:color w:val="auto"/>
                      <w:sz w:val="21"/>
                      <w:szCs w:val="21"/>
                      <w:highlight w:val="none"/>
                    </w:rPr>
                    <w:t>5</w:t>
                  </w:r>
                  <w:r>
                    <w:rPr>
                      <w:rFonts w:hint="eastAsia"/>
                      <w:color w:val="auto"/>
                      <w:sz w:val="21"/>
                      <w:szCs w:val="21"/>
                      <w:highlight w:val="none"/>
                      <w:lang w:val="en-US" w:eastAsia="zh-CN"/>
                    </w:rPr>
                    <w:t>5</w:t>
                  </w:r>
                </w:p>
              </w:tc>
              <w:tc>
                <w:tcPr>
                  <w:tcW w:w="2454" w:type="pct"/>
                  <w:tcBorders>
                    <w:top w:val="single" w:color="000000" w:sz="12" w:space="0"/>
                    <w:tl2br w:val="nil"/>
                    <w:tr2bl w:val="nil"/>
                  </w:tcBorders>
                  <w:vAlign w:val="center"/>
                </w:tcPr>
                <w:p w14:paraId="41E7C538">
                  <w:pPr>
                    <w:widowControl/>
                    <w:adjustRightInd w:val="0"/>
                    <w:snapToGrid w:val="0"/>
                    <w:jc w:val="center"/>
                    <w:rPr>
                      <w:rFonts w:hint="eastAsia" w:eastAsia="宋体"/>
                      <w:color w:val="auto"/>
                      <w:sz w:val="21"/>
                      <w:szCs w:val="21"/>
                      <w:highlight w:val="none"/>
                      <w:lang w:eastAsia="zh-CN"/>
                    </w:rPr>
                  </w:pPr>
                  <w:r>
                    <w:rPr>
                      <w:rFonts w:hint="eastAsia" w:hAnsi="宋体"/>
                      <w:color w:val="auto"/>
                      <w:sz w:val="21"/>
                      <w:szCs w:val="21"/>
                      <w:highlight w:val="none"/>
                    </w:rPr>
                    <w:t>《工业企业厂界环境噪声排放标准》（</w:t>
                  </w:r>
                  <w:r>
                    <w:rPr>
                      <w:color w:val="auto"/>
                      <w:sz w:val="21"/>
                      <w:szCs w:val="21"/>
                      <w:highlight w:val="none"/>
                    </w:rPr>
                    <w:t>GB12348-20</w:t>
                  </w:r>
                  <w:r>
                    <w:rPr>
                      <w:rFonts w:hint="eastAsia"/>
                      <w:color w:val="auto"/>
                      <w:sz w:val="21"/>
                      <w:szCs w:val="21"/>
                      <w:highlight w:val="none"/>
                    </w:rPr>
                    <w:t>08</w:t>
                  </w:r>
                  <w:r>
                    <w:rPr>
                      <w:rFonts w:hint="eastAsia" w:hAnsi="宋体"/>
                      <w:color w:val="auto"/>
                      <w:sz w:val="21"/>
                      <w:szCs w:val="21"/>
                      <w:highlight w:val="none"/>
                    </w:rPr>
                    <w:t>）中</w:t>
                  </w:r>
                  <w:r>
                    <w:rPr>
                      <w:rFonts w:hint="eastAsia" w:hAnsi="宋体"/>
                      <w:color w:val="auto"/>
                      <w:sz w:val="21"/>
                      <w:szCs w:val="21"/>
                      <w:highlight w:val="none"/>
                      <w:lang w:val="en-US" w:eastAsia="zh-CN"/>
                    </w:rPr>
                    <w:t>3</w:t>
                  </w:r>
                  <w:r>
                    <w:rPr>
                      <w:rFonts w:hint="eastAsia" w:hAnsi="宋体"/>
                      <w:color w:val="auto"/>
                      <w:sz w:val="21"/>
                      <w:szCs w:val="21"/>
                      <w:highlight w:val="none"/>
                    </w:rPr>
                    <w:t>类标准</w:t>
                  </w:r>
                  <w:r>
                    <w:rPr>
                      <w:rFonts w:hint="eastAsia" w:hAnsi="宋体"/>
                      <w:color w:val="auto"/>
                      <w:sz w:val="21"/>
                      <w:szCs w:val="21"/>
                      <w:highlight w:val="none"/>
                      <w:lang w:eastAsia="zh-CN"/>
                    </w:rPr>
                    <w:t>（</w:t>
                  </w:r>
                  <w:r>
                    <w:rPr>
                      <w:rFonts w:hint="eastAsia" w:hAnsi="宋体"/>
                      <w:color w:val="auto"/>
                      <w:sz w:val="21"/>
                      <w:szCs w:val="21"/>
                      <w:highlight w:val="none"/>
                      <w:lang w:val="en-US" w:eastAsia="zh-CN"/>
                    </w:rPr>
                    <w:t>表1</w:t>
                  </w:r>
                  <w:r>
                    <w:rPr>
                      <w:rFonts w:hint="eastAsia" w:hAnsi="宋体"/>
                      <w:color w:val="auto"/>
                      <w:sz w:val="21"/>
                      <w:szCs w:val="21"/>
                      <w:highlight w:val="none"/>
                      <w:lang w:eastAsia="zh-CN"/>
                    </w:rPr>
                    <w:t>）</w:t>
                  </w:r>
                </w:p>
              </w:tc>
            </w:tr>
          </w:tbl>
          <w:p w14:paraId="7E01BCA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p>
          <w:p w14:paraId="47807D7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color w:val="auto"/>
                <w:sz w:val="24"/>
                <w:szCs w:val="24"/>
                <w:highlight w:val="none"/>
              </w:rPr>
            </w:pPr>
            <w:r>
              <w:rPr>
                <w:rFonts w:hint="default" w:cs="Times New Roman"/>
                <w:b/>
                <w:bCs/>
                <w:color w:val="auto"/>
                <w:kern w:val="0"/>
                <w:sz w:val="24"/>
                <w:szCs w:val="24"/>
                <w:highlight w:val="none"/>
                <w:lang w:eastAsia="zh-CN" w:bidi="ar"/>
              </w:rPr>
              <w:t>4</w:t>
            </w:r>
            <w:r>
              <w:rPr>
                <w:rFonts w:hint="default" w:ascii="Times New Roman" w:hAnsi="Times New Roman" w:eastAsia="宋体" w:cs="Times New Roman"/>
                <w:b/>
                <w:bCs/>
                <w:color w:val="auto"/>
                <w:kern w:val="0"/>
                <w:sz w:val="24"/>
                <w:szCs w:val="24"/>
                <w:highlight w:val="none"/>
                <w:lang w:val="en-US" w:eastAsia="zh-CN" w:bidi="ar"/>
              </w:rPr>
              <w:t>.固体废物</w:t>
            </w:r>
          </w:p>
          <w:p w14:paraId="24732A2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eastAsia" w:cs="Times New Roman"/>
                <w:color w:val="auto"/>
                <w:kern w:val="0"/>
                <w:sz w:val="24"/>
                <w:szCs w:val="24"/>
                <w:highlight w:val="none"/>
                <w:lang w:val="en-US" w:eastAsia="zh-CN" w:bidi="ar"/>
              </w:rPr>
              <w:t>（1）</w:t>
            </w:r>
            <w:r>
              <w:rPr>
                <w:rFonts w:hint="default" w:ascii="Times New Roman" w:hAnsi="Times New Roman" w:eastAsia="宋体" w:cs="Times New Roman"/>
                <w:color w:val="auto"/>
                <w:kern w:val="0"/>
                <w:sz w:val="24"/>
                <w:szCs w:val="24"/>
                <w:highlight w:val="none"/>
                <w:lang w:val="en-US" w:eastAsia="zh-CN" w:bidi="ar"/>
              </w:rPr>
              <w:t>一般工业固体废物执行《一般工业固体废物贮存和填埋污染控制标准》(GB18599-2020)。</w:t>
            </w:r>
          </w:p>
          <w:p w14:paraId="076CCF2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kern w:val="0"/>
                <w:szCs w:val="21"/>
                <w:highlight w:val="none"/>
              </w:rPr>
            </w:pPr>
            <w:r>
              <w:rPr>
                <w:rFonts w:hint="eastAsia" w:cs="Times New Roman"/>
                <w:color w:val="auto"/>
                <w:kern w:val="0"/>
                <w:sz w:val="24"/>
                <w:szCs w:val="24"/>
                <w:highlight w:val="none"/>
                <w:lang w:val="en-US" w:eastAsia="zh-CN" w:bidi="ar"/>
              </w:rPr>
              <w:t>（2）</w:t>
            </w:r>
            <w:r>
              <w:rPr>
                <w:rFonts w:hint="default" w:ascii="Times New Roman" w:hAnsi="Times New Roman" w:eastAsia="宋体" w:cs="Times New Roman"/>
                <w:color w:val="auto"/>
                <w:kern w:val="0"/>
                <w:sz w:val="24"/>
                <w:szCs w:val="24"/>
                <w:highlight w:val="none"/>
                <w:lang w:val="en-US" w:eastAsia="zh-CN" w:bidi="ar"/>
              </w:rPr>
              <w:t>危险废物贮存应符合《危险废物贮存污染控制标准》（GB18597-20</w:t>
            </w:r>
            <w:r>
              <w:rPr>
                <w:rFonts w:hint="default" w:ascii="Times New Roman" w:hAnsi="Times New Roman" w:cs="Times New Roman"/>
                <w:color w:val="auto"/>
                <w:kern w:val="0"/>
                <w:sz w:val="24"/>
                <w:szCs w:val="24"/>
                <w:highlight w:val="none"/>
                <w:lang w:val="en-US" w:eastAsia="zh-CN" w:bidi="ar"/>
              </w:rPr>
              <w:t>23）</w:t>
            </w:r>
            <w:r>
              <w:rPr>
                <w:rFonts w:hint="default" w:ascii="Times New Roman" w:hAnsi="Times New Roman" w:eastAsia="宋体" w:cs="Times New Roman"/>
                <w:color w:val="auto"/>
                <w:kern w:val="0"/>
                <w:sz w:val="24"/>
                <w:szCs w:val="24"/>
                <w:highlight w:val="none"/>
                <w:lang w:val="en-US" w:eastAsia="zh-CN" w:bidi="ar"/>
              </w:rPr>
              <w:t>中要求</w:t>
            </w:r>
            <w:r>
              <w:rPr>
                <w:rFonts w:hint="eastAsia" w:cs="Times New Roman"/>
                <w:color w:val="auto"/>
                <w:kern w:val="0"/>
                <w:sz w:val="24"/>
                <w:szCs w:val="24"/>
                <w:highlight w:val="none"/>
                <w:lang w:val="en-US" w:eastAsia="zh-CN" w:bidi="ar"/>
              </w:rPr>
              <w:t>执行</w:t>
            </w:r>
            <w:r>
              <w:rPr>
                <w:rFonts w:hint="default" w:ascii="Times New Roman" w:hAnsi="Times New Roman" w:eastAsia="宋体" w:cs="Times New Roman"/>
                <w:color w:val="auto"/>
                <w:kern w:val="0"/>
                <w:sz w:val="24"/>
                <w:szCs w:val="24"/>
                <w:highlight w:val="none"/>
                <w:lang w:val="en-US" w:eastAsia="zh-CN" w:bidi="ar"/>
              </w:rPr>
              <w:t>。</w:t>
            </w:r>
          </w:p>
        </w:tc>
      </w:tr>
      <w:tr w14:paraId="7DA87C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800" w:type="dxa"/>
            <w:vAlign w:val="center"/>
          </w:tcPr>
          <w:p w14:paraId="752B96AC">
            <w:pPr>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总量</w:t>
            </w:r>
          </w:p>
          <w:p w14:paraId="1557402D">
            <w:pPr>
              <w:adjustRightInd w:val="0"/>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控制</w:t>
            </w:r>
          </w:p>
          <w:p w14:paraId="0470B714">
            <w:pPr>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指标</w:t>
            </w:r>
          </w:p>
        </w:tc>
        <w:tc>
          <w:tcPr>
            <w:tcW w:w="8190" w:type="dxa"/>
            <w:vAlign w:val="center"/>
          </w:tcPr>
          <w:p w14:paraId="7B3FD6D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eastAsia" w:cs="Times New Roman"/>
                <w:color w:val="auto"/>
                <w:kern w:val="0"/>
                <w:sz w:val="24"/>
                <w:szCs w:val="24"/>
                <w:highlight w:val="none"/>
                <w:lang w:val="en-US" w:eastAsia="zh-CN" w:bidi="ar"/>
              </w:rPr>
              <w:t>1.</w:t>
            </w:r>
            <w:r>
              <w:rPr>
                <w:rFonts w:hint="default" w:ascii="Times New Roman" w:hAnsi="Times New Roman" w:eastAsia="宋体" w:cs="Times New Roman"/>
                <w:color w:val="auto"/>
                <w:kern w:val="0"/>
                <w:sz w:val="24"/>
                <w:szCs w:val="24"/>
                <w:highlight w:val="none"/>
                <w:lang w:val="en-US" w:eastAsia="zh-CN" w:bidi="ar"/>
              </w:rPr>
              <w:t>废水总量控制因子：项目生活污水排入</w:t>
            </w:r>
            <w:r>
              <w:rPr>
                <w:rFonts w:hint="eastAsia" w:cs="Times New Roman"/>
                <w:color w:val="auto"/>
                <w:kern w:val="0"/>
                <w:sz w:val="24"/>
                <w:szCs w:val="24"/>
                <w:highlight w:val="none"/>
                <w:lang w:val="en-US" w:eastAsia="zh-CN" w:bidi="ar"/>
              </w:rPr>
              <w:t>昌吉市城北污水处理厂</w:t>
            </w:r>
            <w:r>
              <w:rPr>
                <w:rFonts w:hint="default" w:ascii="Times New Roman" w:hAnsi="Times New Roman" w:eastAsia="宋体" w:cs="Times New Roman"/>
                <w:color w:val="auto"/>
                <w:kern w:val="0"/>
                <w:sz w:val="24"/>
                <w:szCs w:val="24"/>
                <w:highlight w:val="none"/>
                <w:lang w:val="en-US" w:eastAsia="zh-CN" w:bidi="ar"/>
              </w:rPr>
              <w:t>，排放的水污染物总量应计入污水处理厂总量，项目不单独申请水污染物总量指标。</w:t>
            </w:r>
          </w:p>
          <w:p w14:paraId="7D2554B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本项目主要</w:t>
            </w:r>
            <w:r>
              <w:rPr>
                <w:rFonts w:hint="eastAsia" w:cs="Times New Roman"/>
                <w:color w:val="auto"/>
                <w:kern w:val="0"/>
                <w:sz w:val="24"/>
                <w:szCs w:val="24"/>
                <w:highlight w:val="none"/>
                <w:lang w:val="en-US" w:eastAsia="zh-CN" w:bidi="ar"/>
              </w:rPr>
              <w:t>大气</w:t>
            </w:r>
            <w:r>
              <w:rPr>
                <w:rFonts w:hint="default" w:ascii="Times New Roman" w:hAnsi="Times New Roman" w:eastAsia="宋体" w:cs="Times New Roman"/>
                <w:color w:val="auto"/>
                <w:kern w:val="0"/>
                <w:sz w:val="24"/>
                <w:szCs w:val="24"/>
                <w:highlight w:val="none"/>
                <w:lang w:val="en-US" w:eastAsia="zh-CN" w:bidi="ar"/>
              </w:rPr>
              <w:t>污染物颗粒物排放总量为</w:t>
            </w:r>
            <w:r>
              <w:rPr>
                <w:rFonts w:hint="eastAsia" w:cs="Times New Roman"/>
                <w:color w:val="auto"/>
                <w:kern w:val="0"/>
                <w:sz w:val="24"/>
                <w:szCs w:val="24"/>
                <w:highlight w:val="none"/>
                <w:lang w:val="en-US" w:eastAsia="zh-CN" w:bidi="ar"/>
              </w:rPr>
              <w:t>1.233</w:t>
            </w:r>
            <w:r>
              <w:rPr>
                <w:rFonts w:hint="default" w:ascii="Times New Roman" w:hAnsi="Times New Roman" w:eastAsia="宋体" w:cs="Times New Roman"/>
                <w:color w:val="auto"/>
                <w:kern w:val="0"/>
                <w:sz w:val="24"/>
                <w:szCs w:val="24"/>
                <w:highlight w:val="none"/>
                <w:lang w:val="en-US" w:eastAsia="zh-CN" w:bidi="ar"/>
              </w:rPr>
              <w:t>t/a，</w:t>
            </w:r>
            <w:r>
              <w:rPr>
                <w:rFonts w:hint="eastAsia" w:cs="Times New Roman"/>
                <w:color w:val="auto"/>
                <w:kern w:val="0"/>
                <w:sz w:val="24"/>
                <w:szCs w:val="24"/>
                <w:highlight w:val="none"/>
                <w:lang w:val="en-US" w:eastAsia="zh-CN" w:bidi="ar"/>
              </w:rPr>
              <w:t>VOCs总量为0.016t/a，</w:t>
            </w:r>
            <w:r>
              <w:rPr>
                <w:rFonts w:hint="default" w:ascii="Times New Roman" w:hAnsi="Times New Roman" w:eastAsia="宋体" w:cs="Times New Roman"/>
                <w:color w:val="auto"/>
                <w:kern w:val="0"/>
                <w:sz w:val="24"/>
                <w:szCs w:val="24"/>
                <w:highlight w:val="none"/>
                <w:lang w:val="en-US" w:eastAsia="zh-CN" w:bidi="ar"/>
              </w:rPr>
              <w:t>本项目提出颗粒物</w:t>
            </w:r>
            <w:r>
              <w:rPr>
                <w:rFonts w:hint="eastAsia" w:cs="Times New Roman"/>
                <w:color w:val="auto"/>
                <w:kern w:val="0"/>
                <w:sz w:val="24"/>
                <w:szCs w:val="24"/>
                <w:highlight w:val="none"/>
                <w:lang w:val="en-US" w:eastAsia="zh-CN" w:bidi="ar"/>
              </w:rPr>
              <w:t>及非甲烷总烃</w:t>
            </w:r>
            <w:r>
              <w:rPr>
                <w:rFonts w:hint="default" w:ascii="Times New Roman" w:hAnsi="Times New Roman" w:eastAsia="宋体" w:cs="Times New Roman"/>
                <w:color w:val="auto"/>
                <w:kern w:val="0"/>
                <w:sz w:val="24"/>
                <w:szCs w:val="24"/>
                <w:highlight w:val="none"/>
                <w:lang w:val="en-US" w:eastAsia="zh-CN" w:bidi="ar"/>
              </w:rPr>
              <w:t>总量控制指标，由当地环保部门调控进行倍量替代，替代总量为颗粒物：</w:t>
            </w:r>
            <w:r>
              <w:rPr>
                <w:rFonts w:hint="eastAsia" w:cs="Times New Roman"/>
                <w:color w:val="auto"/>
                <w:kern w:val="0"/>
                <w:sz w:val="24"/>
                <w:szCs w:val="24"/>
                <w:highlight w:val="none"/>
                <w:lang w:val="en-US" w:eastAsia="zh-CN" w:bidi="ar"/>
              </w:rPr>
              <w:t>2.466</w:t>
            </w:r>
            <w:r>
              <w:rPr>
                <w:rFonts w:hint="default" w:ascii="Times New Roman" w:hAnsi="Times New Roman" w:eastAsia="宋体" w:cs="Times New Roman"/>
                <w:color w:val="auto"/>
                <w:kern w:val="0"/>
                <w:sz w:val="24"/>
                <w:szCs w:val="24"/>
                <w:highlight w:val="none"/>
                <w:lang w:val="en-US" w:eastAsia="zh-CN" w:bidi="ar"/>
              </w:rPr>
              <w:t>t/a</w:t>
            </w:r>
            <w:r>
              <w:rPr>
                <w:rFonts w:hint="eastAsia" w:cs="Times New Roman"/>
                <w:color w:val="auto"/>
                <w:kern w:val="0"/>
                <w:sz w:val="24"/>
                <w:szCs w:val="24"/>
                <w:highlight w:val="none"/>
                <w:lang w:val="en-US" w:eastAsia="zh-CN" w:bidi="ar"/>
              </w:rPr>
              <w:t>；VOCs：0.032t/a。</w:t>
            </w:r>
          </w:p>
          <w:p w14:paraId="0DB08A15">
            <w:pPr>
              <w:adjustRightInd w:val="0"/>
              <w:snapToGrid w:val="0"/>
              <w:jc w:val="both"/>
              <w:rPr>
                <w:rFonts w:hint="eastAsia" w:ascii="宋体" w:hAnsi="宋体" w:eastAsia="宋体" w:cs="宋体"/>
                <w:color w:val="auto"/>
                <w:kern w:val="0"/>
                <w:szCs w:val="21"/>
                <w:highlight w:val="none"/>
                <w:lang w:val="en-US" w:eastAsia="zh-CN"/>
              </w:rPr>
            </w:pPr>
          </w:p>
        </w:tc>
      </w:tr>
    </w:tbl>
    <w:p w14:paraId="6399BEB4">
      <w:pPr>
        <w:pStyle w:val="23"/>
        <w:jc w:val="center"/>
        <w:outlineLvl w:val="0"/>
        <w:rPr>
          <w:rFonts w:ascii="黑体" w:hAnsi="黑体" w:eastAsia="黑体"/>
          <w:snapToGrid w:val="0"/>
          <w:color w:val="auto"/>
          <w:sz w:val="30"/>
          <w:szCs w:val="30"/>
          <w:highlight w:val="none"/>
        </w:rPr>
      </w:pPr>
      <w:r>
        <w:rPr>
          <w:rFonts w:ascii="黑体" w:hAnsi="黑体" w:eastAsia="黑体"/>
          <w:snapToGrid w:val="0"/>
          <w:color w:val="auto"/>
          <w:sz w:val="36"/>
          <w:szCs w:val="36"/>
          <w:highlight w:val="none"/>
        </w:rPr>
        <w:br w:type="page"/>
      </w:r>
      <w:r>
        <w:rPr>
          <w:rFonts w:hint="eastAsia" w:ascii="黑体" w:hAnsi="黑体" w:eastAsia="黑体"/>
          <w:snapToGrid w:val="0"/>
          <w:color w:val="auto"/>
          <w:sz w:val="30"/>
          <w:szCs w:val="30"/>
          <w:highlight w:val="none"/>
        </w:rPr>
        <w:t>四、主要环境影响和保护措施</w:t>
      </w:r>
    </w:p>
    <w:tbl>
      <w:tblPr>
        <w:tblStyle w:val="26"/>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328"/>
      </w:tblGrid>
      <w:tr w14:paraId="061DDD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Mar>
              <w:left w:w="28" w:type="dxa"/>
              <w:right w:w="28" w:type="dxa"/>
            </w:tcMar>
            <w:vAlign w:val="center"/>
          </w:tcPr>
          <w:p w14:paraId="6E0EA210">
            <w:pPr>
              <w:pStyle w:val="23"/>
              <w:adjustRightInd w:val="0"/>
              <w:snapToGrid w:val="0"/>
              <w:spacing w:before="0" w:beforeAutospacing="0" w:after="0" w:afterAutospacing="0"/>
              <w:jc w:val="center"/>
              <w:rPr>
                <w:rFonts w:hint="eastAsia" w:cs="宋体"/>
                <w:color w:val="auto"/>
                <w:kern w:val="2"/>
                <w:sz w:val="21"/>
                <w:szCs w:val="21"/>
                <w:highlight w:val="none"/>
              </w:rPr>
            </w:pPr>
            <w:r>
              <w:rPr>
                <w:rFonts w:hint="eastAsia" w:cs="宋体"/>
                <w:color w:val="auto"/>
                <w:kern w:val="2"/>
                <w:sz w:val="21"/>
                <w:szCs w:val="21"/>
                <w:highlight w:val="none"/>
              </w:rPr>
              <w:t>施工</w:t>
            </w:r>
          </w:p>
          <w:p w14:paraId="7CCE10D6">
            <w:pPr>
              <w:pStyle w:val="23"/>
              <w:adjustRightInd w:val="0"/>
              <w:snapToGrid w:val="0"/>
              <w:spacing w:before="0" w:beforeAutospacing="0" w:after="0" w:afterAutospacing="0"/>
              <w:jc w:val="center"/>
              <w:rPr>
                <w:rFonts w:hint="eastAsia" w:cs="宋体"/>
                <w:color w:val="auto"/>
                <w:kern w:val="2"/>
                <w:sz w:val="21"/>
                <w:szCs w:val="21"/>
                <w:highlight w:val="none"/>
              </w:rPr>
            </w:pPr>
            <w:r>
              <w:rPr>
                <w:rFonts w:hint="eastAsia" w:cs="宋体"/>
                <w:color w:val="auto"/>
                <w:kern w:val="2"/>
                <w:sz w:val="21"/>
                <w:szCs w:val="21"/>
                <w:highlight w:val="none"/>
              </w:rPr>
              <w:t>期环</w:t>
            </w:r>
          </w:p>
          <w:p w14:paraId="79DC462D">
            <w:pPr>
              <w:pStyle w:val="23"/>
              <w:adjustRightInd w:val="0"/>
              <w:snapToGrid w:val="0"/>
              <w:spacing w:before="0" w:beforeAutospacing="0" w:after="0" w:afterAutospacing="0"/>
              <w:jc w:val="center"/>
              <w:rPr>
                <w:rFonts w:hint="eastAsia" w:cs="宋体"/>
                <w:color w:val="auto"/>
                <w:kern w:val="2"/>
                <w:sz w:val="21"/>
                <w:szCs w:val="21"/>
                <w:highlight w:val="none"/>
              </w:rPr>
            </w:pPr>
            <w:r>
              <w:rPr>
                <w:rFonts w:hint="eastAsia" w:cs="宋体"/>
                <w:color w:val="auto"/>
                <w:kern w:val="2"/>
                <w:sz w:val="21"/>
                <w:szCs w:val="21"/>
                <w:highlight w:val="none"/>
              </w:rPr>
              <w:t>境保</w:t>
            </w:r>
          </w:p>
          <w:p w14:paraId="737A41CD">
            <w:pPr>
              <w:pStyle w:val="23"/>
              <w:adjustRightInd w:val="0"/>
              <w:snapToGrid w:val="0"/>
              <w:spacing w:before="0" w:beforeAutospacing="0" w:after="0" w:afterAutospacing="0"/>
              <w:jc w:val="center"/>
              <w:rPr>
                <w:rFonts w:hint="eastAsia" w:cs="宋体"/>
                <w:color w:val="auto"/>
                <w:kern w:val="2"/>
                <w:sz w:val="21"/>
                <w:szCs w:val="21"/>
                <w:highlight w:val="none"/>
              </w:rPr>
            </w:pPr>
            <w:r>
              <w:rPr>
                <w:rFonts w:hint="eastAsia" w:cs="宋体"/>
                <w:color w:val="auto"/>
                <w:kern w:val="2"/>
                <w:sz w:val="21"/>
                <w:szCs w:val="21"/>
                <w:highlight w:val="none"/>
              </w:rPr>
              <w:t>护措</w:t>
            </w:r>
          </w:p>
          <w:p w14:paraId="10E98E8C">
            <w:pPr>
              <w:pStyle w:val="23"/>
              <w:adjustRightInd w:val="0"/>
              <w:snapToGrid w:val="0"/>
              <w:spacing w:before="0" w:beforeAutospacing="0" w:after="0" w:afterAutospacing="0"/>
              <w:jc w:val="center"/>
              <w:rPr>
                <w:rFonts w:hint="eastAsia" w:cs="宋体"/>
                <w:bCs/>
                <w:color w:val="auto"/>
                <w:kern w:val="2"/>
                <w:sz w:val="21"/>
                <w:szCs w:val="21"/>
                <w:highlight w:val="none"/>
              </w:rPr>
            </w:pPr>
            <w:r>
              <w:rPr>
                <w:rFonts w:hint="eastAsia" w:cs="宋体"/>
                <w:color w:val="auto"/>
                <w:kern w:val="2"/>
                <w:sz w:val="21"/>
                <w:szCs w:val="21"/>
                <w:highlight w:val="none"/>
              </w:rPr>
              <w:t>施</w:t>
            </w:r>
          </w:p>
        </w:tc>
        <w:tc>
          <w:tcPr>
            <w:tcW w:w="8328" w:type="dxa"/>
            <w:vAlign w:val="center"/>
          </w:tcPr>
          <w:p w14:paraId="506F4EF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kern w:val="0"/>
                <w:sz w:val="24"/>
                <w:szCs w:val="24"/>
                <w:highlight w:val="none"/>
                <w:lang w:val="en-US" w:eastAsia="zh-CN" w:bidi="ar"/>
              </w:rPr>
              <w:t>1</w:t>
            </w:r>
            <w:r>
              <w:rPr>
                <w:rFonts w:hint="eastAsia" w:cs="Times New Roman"/>
                <w:b/>
                <w:bCs/>
                <w:color w:val="auto"/>
                <w:kern w:val="0"/>
                <w:sz w:val="24"/>
                <w:szCs w:val="24"/>
                <w:highlight w:val="none"/>
                <w:lang w:val="en-US" w:eastAsia="zh-CN" w:bidi="ar"/>
              </w:rPr>
              <w:t>.</w:t>
            </w:r>
            <w:r>
              <w:rPr>
                <w:rFonts w:hint="default" w:ascii="Times New Roman" w:hAnsi="Times New Roman" w:eastAsia="宋体" w:cs="Times New Roman"/>
                <w:b/>
                <w:bCs/>
                <w:color w:val="auto"/>
                <w:kern w:val="0"/>
                <w:sz w:val="24"/>
                <w:szCs w:val="24"/>
                <w:highlight w:val="none"/>
                <w:lang w:val="en-US" w:eastAsia="zh-CN" w:bidi="ar"/>
              </w:rPr>
              <w:t>施工期大气影响分析</w:t>
            </w:r>
          </w:p>
          <w:p w14:paraId="7C5DDA09">
            <w:pPr>
              <w:autoSpaceDE w:val="0"/>
              <w:autoSpaceDN w:val="0"/>
              <w:spacing w:line="360" w:lineRule="auto"/>
              <w:ind w:firstLine="480" w:firstLineChars="200"/>
              <w:textAlignment w:val="baseline"/>
              <w:rPr>
                <w:rFonts w:hint="default" w:ascii="Times New Roman" w:hAnsi="Times New Roman" w:eastAsia="宋体" w:cs="Times New Roman"/>
                <w:color w:val="auto"/>
                <w:sz w:val="24"/>
                <w:highlight w:val="none"/>
              </w:rPr>
            </w:pPr>
            <w:r>
              <w:rPr>
                <w:rFonts w:hint="eastAsia" w:cs="Times New Roman"/>
                <w:color w:val="auto"/>
                <w:sz w:val="24"/>
                <w:highlight w:val="none"/>
                <w:lang w:val="en-US" w:eastAsia="zh-CN"/>
              </w:rPr>
              <w:t>本</w:t>
            </w:r>
            <w:r>
              <w:rPr>
                <w:rFonts w:hint="default" w:ascii="Times New Roman" w:hAnsi="Times New Roman" w:cs="Times New Roman"/>
                <w:color w:val="auto"/>
                <w:sz w:val="24"/>
                <w:highlight w:val="none"/>
              </w:rPr>
              <w:t>项目</w:t>
            </w:r>
            <w:r>
              <w:rPr>
                <w:rFonts w:hint="default" w:ascii="Times New Roman" w:hAnsi="Times New Roman" w:eastAsia="宋体" w:cs="Times New Roman"/>
                <w:color w:val="auto"/>
                <w:sz w:val="24"/>
                <w:highlight w:val="none"/>
              </w:rPr>
              <w:t>施工期大气污染源主要来自于以下几点：</w:t>
            </w:r>
          </w:p>
          <w:p w14:paraId="4B079F23">
            <w:pPr>
              <w:autoSpaceDE w:val="0"/>
              <w:autoSpaceDN w:val="0"/>
              <w:spacing w:line="360" w:lineRule="auto"/>
              <w:ind w:firstLine="480" w:firstLineChars="200"/>
              <w:textAlignment w:val="baseline"/>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（1）车辆来往造成的现场道路扬尘。</w:t>
            </w:r>
          </w:p>
          <w:p w14:paraId="5589005B">
            <w:pPr>
              <w:autoSpaceDE w:val="0"/>
              <w:autoSpaceDN w:val="0"/>
              <w:spacing w:line="360" w:lineRule="auto"/>
              <w:ind w:firstLine="480" w:firstLineChars="200"/>
              <w:textAlignment w:val="baseline"/>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（2）施工机械设备排放的少量无组织废气等。</w:t>
            </w:r>
          </w:p>
          <w:p w14:paraId="41956BB6">
            <w:pPr>
              <w:autoSpaceDE w:val="0"/>
              <w:autoSpaceDN w:val="0"/>
              <w:spacing w:line="360" w:lineRule="auto"/>
              <w:ind w:firstLine="480" w:firstLineChars="200"/>
              <w:textAlignment w:val="baseline"/>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（3）装修期间产生的装修废气</w:t>
            </w:r>
          </w:p>
          <w:p w14:paraId="1133A82A">
            <w:pPr>
              <w:autoSpaceDE w:val="0"/>
              <w:autoSpaceDN w:val="0"/>
              <w:spacing w:line="360" w:lineRule="auto"/>
              <w:ind w:firstLine="480" w:firstLineChars="200"/>
              <w:textAlignment w:val="baseline"/>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施工扬尘污染防治措施：</w:t>
            </w:r>
          </w:p>
          <w:p w14:paraId="7BB618BF">
            <w:pPr>
              <w:autoSpaceDE w:val="0"/>
              <w:autoSpaceDN w:val="0"/>
              <w:spacing w:line="360" w:lineRule="auto"/>
              <w:ind w:firstLine="480" w:firstLineChars="200"/>
              <w:textAlignment w:val="baseline"/>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新疆维吾尔自治区大气污染防治条例》第三十八条房屋建筑、市政府基础设施建设和城市规划区内水利工程等可能产生扬尘污染活动的施工现场，需加强扬尘综合治理，严格施工扬尘监管，将施工工地扬尘污染防治纳入建筑施工安全生产标准化文明施工管理范畴，建立扬尘控制责任制度，将扬尘治理费用列入工程造价，县级及以上城市建成区建筑施工工地要做到工地周边围挡、物料堆放覆盖、土方开挖湿法作业、路面硬化、出入车辆清洗、渣土车辆密闭运输“六个百分之百”。施工单位应当采取下列防尘措施：</w:t>
            </w:r>
          </w:p>
          <w:p w14:paraId="20DBC5D8">
            <w:pPr>
              <w:autoSpaceDE w:val="0"/>
              <w:autoSpaceDN w:val="0"/>
              <w:spacing w:line="360" w:lineRule="auto"/>
              <w:ind w:firstLine="480" w:firstLineChars="200"/>
              <w:textAlignment w:val="baseline"/>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①建设工程开工前，按照标准在施工现场周边设置围挡，并对围挡进行维护；</w:t>
            </w:r>
          </w:p>
          <w:p w14:paraId="3CAEC09C">
            <w:pPr>
              <w:autoSpaceDE w:val="0"/>
              <w:autoSpaceDN w:val="0"/>
              <w:spacing w:line="360" w:lineRule="auto"/>
              <w:ind w:firstLine="480" w:firstLineChars="200"/>
              <w:textAlignment w:val="baseline"/>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②在施工现场出入口公示施工现场负责人、环保监督员、扬尘污染主要控制措施、举报电话等信息；</w:t>
            </w:r>
          </w:p>
          <w:p w14:paraId="11B9AB18">
            <w:pPr>
              <w:autoSpaceDE w:val="0"/>
              <w:autoSpaceDN w:val="0"/>
              <w:spacing w:line="360" w:lineRule="auto"/>
              <w:ind w:firstLine="480" w:firstLineChars="200"/>
              <w:textAlignment w:val="baseline"/>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③对施工现场内主要道路和物料堆放场地进行硬化，对其他裸露场地进行覆盖或者临时绿化，对土方进行集中堆放，并采取覆盖或者密闭等措施；</w:t>
            </w:r>
          </w:p>
          <w:p w14:paraId="0998F8CE">
            <w:pPr>
              <w:autoSpaceDE w:val="0"/>
              <w:autoSpaceDN w:val="0"/>
              <w:spacing w:line="360" w:lineRule="auto"/>
              <w:ind w:firstLine="480" w:firstLineChars="200"/>
              <w:textAlignment w:val="baseline"/>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④施工现场出口处应当设置车辆冲洗设施，施工车辆冲洗干净后方可上路行驶；</w:t>
            </w:r>
          </w:p>
          <w:p w14:paraId="5D643C18">
            <w:pPr>
              <w:autoSpaceDE w:val="0"/>
              <w:autoSpaceDN w:val="0"/>
              <w:spacing w:line="360" w:lineRule="auto"/>
              <w:ind w:firstLine="480" w:firstLineChars="200"/>
              <w:textAlignment w:val="baseline"/>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⑤道路挖掘施工过程中，及时覆盖破损路面，并采取洒水等措施防止扬尘污染；</w:t>
            </w:r>
          </w:p>
          <w:p w14:paraId="4299030B">
            <w:pPr>
              <w:autoSpaceDE w:val="0"/>
              <w:autoSpaceDN w:val="0"/>
              <w:spacing w:line="360" w:lineRule="auto"/>
              <w:ind w:firstLine="480" w:firstLineChars="200"/>
              <w:textAlignment w:val="baseline"/>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⑥及时对施工现场进行清理和平整，不得从高处向下倾倒或者抛洒各类物料和建筑垃圾。</w:t>
            </w:r>
          </w:p>
          <w:p w14:paraId="463D948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同时，按照《工业料堆场扬尘整治规范》（DB 65T4061-2017）相关要求，对本项目易产生扬尘的工业料堆场，可采用防尘网和防尘布覆盖。采用覆盖措施时，在非作业情况下覆盖率须达到100%，对易产生扬尘的工业料堆场，采用喷水、洒水进行扬尘防治时，堆场表面含水率应大于堆场扬尘的极限值。</w:t>
            </w:r>
          </w:p>
          <w:p w14:paraId="4879495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kern w:val="0"/>
                <w:sz w:val="24"/>
                <w:szCs w:val="24"/>
                <w:highlight w:val="none"/>
                <w:lang w:val="en-US" w:eastAsia="zh-CN" w:bidi="ar"/>
              </w:rPr>
              <w:t>2</w:t>
            </w:r>
            <w:r>
              <w:rPr>
                <w:rFonts w:hint="eastAsia" w:cs="Times New Roman"/>
                <w:b/>
                <w:bCs/>
                <w:color w:val="auto"/>
                <w:kern w:val="0"/>
                <w:sz w:val="24"/>
                <w:szCs w:val="24"/>
                <w:highlight w:val="none"/>
                <w:lang w:val="en-US" w:eastAsia="zh-CN" w:bidi="ar"/>
              </w:rPr>
              <w:t>.</w:t>
            </w:r>
            <w:r>
              <w:rPr>
                <w:rFonts w:hint="default" w:ascii="Times New Roman" w:hAnsi="Times New Roman" w:eastAsia="宋体" w:cs="Times New Roman"/>
                <w:b/>
                <w:bCs/>
                <w:color w:val="auto"/>
                <w:kern w:val="0"/>
                <w:sz w:val="24"/>
                <w:szCs w:val="24"/>
                <w:highlight w:val="none"/>
                <w:lang w:val="en-US" w:eastAsia="zh-CN" w:bidi="ar"/>
              </w:rPr>
              <w:t>施工期废水影响分析</w:t>
            </w:r>
          </w:p>
          <w:p w14:paraId="35BEF6A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工程施工期废水主要为</w:t>
            </w:r>
            <w:r>
              <w:rPr>
                <w:rFonts w:hint="eastAsia" w:cs="Times New Roman"/>
                <w:color w:val="auto"/>
                <w:sz w:val="24"/>
                <w:highlight w:val="none"/>
                <w:lang w:val="en-US" w:eastAsia="zh-CN"/>
              </w:rPr>
              <w:t>施工废水和</w:t>
            </w:r>
            <w:r>
              <w:rPr>
                <w:rFonts w:hint="default" w:ascii="Times New Roman" w:hAnsi="Times New Roman" w:cs="Times New Roman"/>
                <w:color w:val="auto"/>
                <w:sz w:val="24"/>
                <w:highlight w:val="none"/>
              </w:rPr>
              <w:t>施工人员生活废水。</w:t>
            </w:r>
          </w:p>
          <w:p w14:paraId="2B8E1C9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主要采取以下环保防治措施：</w:t>
            </w:r>
          </w:p>
          <w:p w14:paraId="0798339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（1）施工设备、车辆的清洗废水仅悬浮物浓度稍高，经收集沉淀后作为施工场地降尘用水使用。</w:t>
            </w:r>
          </w:p>
          <w:p w14:paraId="2224B4C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（2）施工人员的生活污水</w:t>
            </w:r>
            <w:r>
              <w:rPr>
                <w:rFonts w:hint="eastAsia" w:cs="Times New Roman"/>
                <w:color w:val="auto"/>
                <w:sz w:val="24"/>
                <w:highlight w:val="none"/>
                <w:lang w:val="en-US" w:eastAsia="zh-CN"/>
              </w:rPr>
              <w:t>直接</w:t>
            </w:r>
            <w:r>
              <w:rPr>
                <w:rFonts w:hint="default" w:ascii="Times New Roman" w:hAnsi="Times New Roman" w:eastAsia="宋体" w:cs="Times New Roman"/>
                <w:color w:val="auto"/>
                <w:kern w:val="0"/>
                <w:sz w:val="24"/>
                <w:szCs w:val="24"/>
                <w:highlight w:val="none"/>
                <w:lang w:val="en-US" w:eastAsia="zh-CN" w:bidi="ar"/>
              </w:rPr>
              <w:t>排入污水管网由</w:t>
            </w:r>
            <w:r>
              <w:rPr>
                <w:rFonts w:hint="eastAsia" w:ascii="Times New Roman" w:hAnsi="Times New Roman" w:eastAsia="宋体" w:cs="Times New Roman"/>
                <w:color w:val="auto"/>
                <w:kern w:val="0"/>
                <w:sz w:val="24"/>
                <w:szCs w:val="24"/>
                <w:highlight w:val="none"/>
                <w:lang w:val="en-US" w:eastAsia="zh-CN" w:bidi="ar"/>
              </w:rPr>
              <w:t>昌吉市城北</w:t>
            </w:r>
            <w:r>
              <w:rPr>
                <w:rFonts w:hint="default" w:ascii="Times New Roman" w:hAnsi="Times New Roman" w:eastAsia="宋体" w:cs="Times New Roman"/>
                <w:color w:val="auto"/>
                <w:kern w:val="0"/>
                <w:sz w:val="24"/>
                <w:szCs w:val="24"/>
                <w:highlight w:val="none"/>
                <w:lang w:val="en-US" w:eastAsia="zh-CN" w:bidi="ar"/>
              </w:rPr>
              <w:t>污水处理厂统一处理。</w:t>
            </w:r>
          </w:p>
          <w:p w14:paraId="0205F15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综上所述，施工期废水不会对周围环境产生明显影响。</w:t>
            </w:r>
          </w:p>
          <w:p w14:paraId="4BE154C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kern w:val="0"/>
                <w:sz w:val="24"/>
                <w:szCs w:val="24"/>
                <w:highlight w:val="none"/>
                <w:lang w:val="en-US" w:eastAsia="zh-CN" w:bidi="ar"/>
              </w:rPr>
              <w:t>3</w:t>
            </w:r>
            <w:r>
              <w:rPr>
                <w:rFonts w:hint="eastAsia" w:cs="Times New Roman"/>
                <w:b/>
                <w:bCs/>
                <w:color w:val="auto"/>
                <w:kern w:val="0"/>
                <w:sz w:val="24"/>
                <w:szCs w:val="24"/>
                <w:highlight w:val="none"/>
                <w:lang w:val="en-US" w:eastAsia="zh-CN" w:bidi="ar"/>
              </w:rPr>
              <w:t>.</w:t>
            </w:r>
            <w:r>
              <w:rPr>
                <w:rFonts w:hint="default" w:ascii="Times New Roman" w:hAnsi="Times New Roman" w:eastAsia="宋体" w:cs="Times New Roman"/>
                <w:b/>
                <w:bCs/>
                <w:color w:val="auto"/>
                <w:kern w:val="0"/>
                <w:sz w:val="24"/>
                <w:szCs w:val="24"/>
                <w:highlight w:val="none"/>
                <w:lang w:val="en-US" w:eastAsia="zh-CN" w:bidi="ar"/>
              </w:rPr>
              <w:t>施工期噪声影响分析</w:t>
            </w:r>
          </w:p>
          <w:p w14:paraId="53B7B86A">
            <w:pPr>
              <w:autoSpaceDE w:val="0"/>
              <w:autoSpaceDN w:val="0"/>
              <w:spacing w:line="360" w:lineRule="auto"/>
              <w:ind w:firstLine="480" w:firstLineChars="200"/>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本项目施工期的噪声主要来自</w:t>
            </w:r>
            <w:r>
              <w:rPr>
                <w:rFonts w:hint="default" w:ascii="Times New Roman" w:hAnsi="Times New Roman" w:cs="Times New Roman"/>
                <w:color w:val="auto"/>
                <w:sz w:val="24"/>
                <w:highlight w:val="none"/>
                <w:lang w:eastAsia="zh-Hans"/>
              </w:rPr>
              <w:t>施工</w:t>
            </w:r>
            <w:r>
              <w:rPr>
                <w:rFonts w:hint="default" w:ascii="Times New Roman" w:hAnsi="Times New Roman" w:cs="Times New Roman"/>
                <w:color w:val="auto"/>
                <w:sz w:val="24"/>
                <w:highlight w:val="none"/>
              </w:rPr>
              <w:t>设备安装、设备相互碰撞发出的噪声以及运输设备车辆行驶时的交通噪声。</w:t>
            </w:r>
            <w:r>
              <w:rPr>
                <w:rFonts w:hint="default" w:ascii="Times New Roman" w:hAnsi="Times New Roman" w:cs="Times New Roman"/>
                <w:color w:val="auto"/>
                <w:sz w:val="24"/>
                <w:highlight w:val="none"/>
                <w:lang w:eastAsia="zh-Hans"/>
              </w:rPr>
              <w:t>施工</w:t>
            </w:r>
            <w:r>
              <w:rPr>
                <w:rFonts w:hint="default" w:ascii="Times New Roman" w:hAnsi="Times New Roman" w:cs="Times New Roman"/>
                <w:color w:val="auto"/>
                <w:sz w:val="24"/>
                <w:highlight w:val="none"/>
              </w:rPr>
              <w:t>噪声源强一般不超过70dB(A)。</w:t>
            </w:r>
          </w:p>
          <w:p w14:paraId="3501DF98">
            <w:pPr>
              <w:autoSpaceDE w:val="0"/>
              <w:autoSpaceDN w:val="0"/>
              <w:spacing w:line="360" w:lineRule="auto"/>
              <w:ind w:firstLine="480" w:firstLineChars="200"/>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为了尽可能降低施工噪声的影响，建议建设单位应采取以下对策与措施：</w:t>
            </w:r>
          </w:p>
          <w:p w14:paraId="13E7C27C">
            <w:pPr>
              <w:autoSpaceDE w:val="0"/>
              <w:autoSpaceDN w:val="0"/>
              <w:spacing w:line="360" w:lineRule="auto"/>
              <w:ind w:firstLine="480" w:firstLineChars="200"/>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（1）要加强设备安装过减振震措施，整体设备应安放稳固，并与地面保持良好接触，降低噪声。</w:t>
            </w:r>
          </w:p>
          <w:p w14:paraId="488F04D1">
            <w:pPr>
              <w:autoSpaceDE w:val="0"/>
              <w:autoSpaceDN w:val="0"/>
              <w:spacing w:line="360" w:lineRule="auto"/>
              <w:ind w:firstLine="480" w:firstLineChars="200"/>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（2）施工过程中加强检查、维护和保养机械设备，保持润滑，紧固各部件，减少运行振动噪声。</w:t>
            </w:r>
          </w:p>
          <w:p w14:paraId="34141B7B">
            <w:pPr>
              <w:autoSpaceDE w:val="0"/>
              <w:autoSpaceDN w:val="0"/>
              <w:spacing w:line="360" w:lineRule="auto"/>
              <w:ind w:firstLine="480" w:firstLineChars="200"/>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（3）施工单位应合理安排工作人员轮流操作产生高强噪声的施工机械，减少接触高噪声的时间，或穿插安排高噪声和低噪声的工作。加强对施工人员的个人防护。</w:t>
            </w:r>
          </w:p>
          <w:p w14:paraId="417C3C3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highlight w:val="none"/>
              </w:rPr>
              <w:t>经采取以上措施后，将会有效抑制施工噪声对周边的影响，能够满足《建筑施工场界环境噪声排放标准》（GB12523-2011），即：昼间≤70dB、夜间≤55dB。本项目</w:t>
            </w:r>
            <w:r>
              <w:rPr>
                <w:rFonts w:hint="default" w:ascii="Times New Roman" w:hAnsi="Times New Roman" w:cs="Times New Roman"/>
                <w:color w:val="auto"/>
                <w:sz w:val="24"/>
                <w:highlight w:val="none"/>
                <w:lang w:eastAsia="zh-Hans"/>
              </w:rPr>
              <w:t>施工期不会对周边环境产生较大影响</w:t>
            </w:r>
            <w:r>
              <w:rPr>
                <w:rFonts w:hint="default" w:ascii="Times New Roman" w:hAnsi="Times New Roman" w:eastAsia="宋体" w:cs="Times New Roman"/>
                <w:color w:val="auto"/>
                <w:kern w:val="0"/>
                <w:sz w:val="24"/>
                <w:szCs w:val="24"/>
                <w:highlight w:val="none"/>
                <w:lang w:val="en-US" w:eastAsia="zh-CN" w:bidi="ar"/>
              </w:rPr>
              <w:t>。</w:t>
            </w:r>
          </w:p>
          <w:p w14:paraId="10070BD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kern w:val="0"/>
                <w:sz w:val="24"/>
                <w:szCs w:val="24"/>
                <w:highlight w:val="none"/>
                <w:lang w:val="en-US" w:eastAsia="zh-CN" w:bidi="ar"/>
              </w:rPr>
              <w:t>4</w:t>
            </w:r>
            <w:r>
              <w:rPr>
                <w:rFonts w:hint="eastAsia" w:cs="Times New Roman"/>
                <w:b/>
                <w:bCs/>
                <w:color w:val="auto"/>
                <w:kern w:val="0"/>
                <w:sz w:val="24"/>
                <w:szCs w:val="24"/>
                <w:highlight w:val="none"/>
                <w:lang w:val="en-US" w:eastAsia="zh-CN" w:bidi="ar"/>
              </w:rPr>
              <w:t>.</w:t>
            </w:r>
            <w:r>
              <w:rPr>
                <w:rFonts w:hint="default" w:ascii="Times New Roman" w:hAnsi="Times New Roman" w:eastAsia="宋体" w:cs="Times New Roman"/>
                <w:b/>
                <w:bCs/>
                <w:color w:val="auto"/>
                <w:kern w:val="0"/>
                <w:sz w:val="24"/>
                <w:szCs w:val="24"/>
                <w:highlight w:val="none"/>
                <w:lang w:val="en-US" w:eastAsia="zh-CN" w:bidi="ar"/>
              </w:rPr>
              <w:t>施工期固体废物影响分析</w:t>
            </w:r>
          </w:p>
          <w:p w14:paraId="251E85F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施工中产生的固体废物主要是建筑垃圾、施工人员生活垃圾，均为一般固体废物。施工期间，对产生的固体废物主要采取以下措施：</w:t>
            </w:r>
          </w:p>
          <w:p w14:paraId="318C544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①项目产生的固废分类堆放，严密遮盖，施工垃圾及时</w:t>
            </w:r>
            <w:r>
              <w:rPr>
                <w:rFonts w:hint="eastAsia" w:cs="Times New Roman"/>
                <w:color w:val="auto"/>
                <w:kern w:val="0"/>
                <w:sz w:val="24"/>
                <w:szCs w:val="24"/>
                <w:highlight w:val="none"/>
                <w:lang w:val="en-US" w:eastAsia="zh-CN" w:bidi="ar"/>
              </w:rPr>
              <w:t>清理</w:t>
            </w:r>
            <w:r>
              <w:rPr>
                <w:rFonts w:hint="default" w:ascii="Times New Roman" w:hAnsi="Times New Roman" w:eastAsia="宋体" w:cs="Times New Roman"/>
                <w:color w:val="auto"/>
                <w:kern w:val="0"/>
                <w:sz w:val="24"/>
                <w:szCs w:val="24"/>
                <w:highlight w:val="none"/>
                <w:lang w:val="en-US" w:eastAsia="zh-CN" w:bidi="ar"/>
              </w:rPr>
              <w:t>运送指定地点堆存，外运过程中运输车辆均以苫布遮盖。</w:t>
            </w:r>
          </w:p>
          <w:p w14:paraId="07A3256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bidi="ar"/>
              </w:rPr>
              <w:t>②建筑垃圾主要为废铁等一般工业固体废物，可出售给废品回收站。</w:t>
            </w:r>
            <w:r>
              <w:rPr>
                <w:rFonts w:hint="eastAsia" w:cs="Times New Roman"/>
                <w:color w:val="auto"/>
                <w:kern w:val="0"/>
                <w:sz w:val="24"/>
                <w:szCs w:val="24"/>
                <w:highlight w:val="none"/>
                <w:lang w:val="en-US" w:eastAsia="zh-CN" w:bidi="ar"/>
              </w:rPr>
              <w:t>施工过程产生的废混凝土定期清理，</w:t>
            </w:r>
            <w:r>
              <w:rPr>
                <w:color w:val="auto"/>
                <w:sz w:val="24"/>
                <w:szCs w:val="32"/>
                <w:highlight w:val="none"/>
              </w:rPr>
              <w:t>设立垃圾收集箱，定期由环卫部门统一清运</w:t>
            </w:r>
            <w:r>
              <w:rPr>
                <w:rFonts w:hint="eastAsia"/>
                <w:color w:val="auto"/>
                <w:sz w:val="24"/>
                <w:szCs w:val="32"/>
                <w:highlight w:val="none"/>
                <w:lang w:eastAsia="zh-CN"/>
              </w:rPr>
              <w:t>。</w:t>
            </w:r>
          </w:p>
          <w:p w14:paraId="5DBD525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kern w:val="0"/>
                <w:sz w:val="24"/>
                <w:szCs w:val="24"/>
                <w:highlight w:val="none"/>
                <w:lang w:val="en-US" w:eastAsia="zh-CN" w:bidi="ar"/>
              </w:rPr>
              <w:t>③项目不设置施工营地，施工人员生活垃圾产生量较小，收集</w:t>
            </w:r>
            <w:r>
              <w:rPr>
                <w:rFonts w:hint="eastAsia" w:cs="Times New Roman"/>
                <w:color w:val="auto"/>
                <w:kern w:val="0"/>
                <w:sz w:val="24"/>
                <w:szCs w:val="24"/>
                <w:highlight w:val="none"/>
                <w:lang w:val="en-US" w:eastAsia="zh-CN" w:bidi="ar"/>
              </w:rPr>
              <w:t>于垃圾收集箱</w:t>
            </w:r>
            <w:r>
              <w:rPr>
                <w:rFonts w:hint="default" w:ascii="Times New Roman" w:hAnsi="Times New Roman" w:eastAsia="宋体" w:cs="Times New Roman"/>
                <w:color w:val="auto"/>
                <w:kern w:val="0"/>
                <w:sz w:val="24"/>
                <w:szCs w:val="24"/>
                <w:highlight w:val="none"/>
                <w:lang w:val="en-US" w:eastAsia="zh-CN" w:bidi="ar"/>
              </w:rPr>
              <w:t>后交环卫部门统一处理。</w:t>
            </w:r>
            <w:r>
              <w:rPr>
                <w:rFonts w:hint="eastAsia" w:cs="Times New Roman"/>
                <w:color w:val="auto"/>
                <w:kern w:val="0"/>
                <w:sz w:val="24"/>
                <w:szCs w:val="24"/>
                <w:highlight w:val="none"/>
                <w:lang w:val="en-US" w:eastAsia="zh-CN" w:bidi="ar"/>
              </w:rPr>
              <w:t>施工人员由施工单位统一租房，配置通勤班车定点接送，由于施工期较短（4月~8月），此方式可降低设施建设成本，减少土地占用及环境扰动。</w:t>
            </w:r>
          </w:p>
          <w:p w14:paraId="0D7CFB2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color w:val="auto"/>
                <w:spacing w:val="-10"/>
                <w:szCs w:val="21"/>
                <w:highlight w:val="none"/>
              </w:rPr>
            </w:pPr>
            <w:r>
              <w:rPr>
                <w:rFonts w:hint="default" w:ascii="Times New Roman" w:hAnsi="Times New Roman" w:eastAsia="宋体" w:cs="Times New Roman"/>
                <w:color w:val="auto"/>
                <w:kern w:val="0"/>
                <w:sz w:val="24"/>
                <w:szCs w:val="24"/>
                <w:highlight w:val="none"/>
                <w:lang w:val="en-US" w:eastAsia="zh-CN" w:bidi="ar"/>
              </w:rPr>
              <w:t>综上所述，施工期间虽然会对环境产生一些不利的影响，但在落实环保措施并加强施工管理的前提下，可使施工期对环境的影响降低到最小程度，且施工过程是短暂的，其影响将随着施工结束而消失。</w:t>
            </w:r>
          </w:p>
        </w:tc>
      </w:tr>
      <w:tr w14:paraId="489BBA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dxa"/>
            <w:tcMar>
              <w:left w:w="28" w:type="dxa"/>
              <w:right w:w="28" w:type="dxa"/>
            </w:tcMar>
            <w:vAlign w:val="center"/>
          </w:tcPr>
          <w:p w14:paraId="0E0533DD">
            <w:pPr>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运营</w:t>
            </w:r>
          </w:p>
          <w:p w14:paraId="06F468F4">
            <w:pPr>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期环</w:t>
            </w:r>
          </w:p>
          <w:p w14:paraId="6E335B6F">
            <w:pPr>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境影</w:t>
            </w:r>
          </w:p>
          <w:p w14:paraId="31D30038">
            <w:pPr>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响和</w:t>
            </w:r>
          </w:p>
          <w:p w14:paraId="5A2BBB53">
            <w:pPr>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保护</w:t>
            </w:r>
          </w:p>
          <w:p w14:paraId="0C37CC48">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措施</w:t>
            </w:r>
          </w:p>
        </w:tc>
        <w:tc>
          <w:tcPr>
            <w:tcW w:w="8328" w:type="dxa"/>
            <w:vAlign w:val="center"/>
          </w:tcPr>
          <w:p w14:paraId="3B71B63F">
            <w:pPr>
              <w:keepNext w:val="0"/>
              <w:keepLines w:val="0"/>
              <w:pageBreakBefore w:val="0"/>
              <w:widowControl/>
              <w:suppressLineNumbers w:val="0"/>
              <w:kinsoku/>
              <w:wordWrap/>
              <w:overflowPunct/>
              <w:topLinePunct w:val="0"/>
              <w:autoSpaceDE/>
              <w:autoSpaceDN/>
              <w:bidi w:val="0"/>
              <w:adjustRightInd/>
              <w:snapToGrid/>
              <w:spacing w:line="360" w:lineRule="auto"/>
              <w:ind w:right="0"/>
              <w:jc w:val="left"/>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1.废气</w:t>
            </w:r>
          </w:p>
          <w:p w14:paraId="65020F2E">
            <w:pPr>
              <w:pStyle w:val="12"/>
              <w:spacing w:line="360" w:lineRule="auto"/>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1.1废气源强分析</w:t>
            </w:r>
          </w:p>
          <w:p w14:paraId="0FBE2196">
            <w:pPr>
              <w:widowControl/>
              <w:spacing w:line="360" w:lineRule="auto"/>
              <w:ind w:firstLine="482" w:firstLineChars="200"/>
              <w:jc w:val="left"/>
              <w:rPr>
                <w:rFonts w:hint="default" w:ascii="Times New Roman" w:hAnsi="Times New Roman" w:cs="Times New Roman"/>
                <w:color w:val="auto"/>
                <w:sz w:val="24"/>
                <w:highlight w:val="none"/>
              </w:rPr>
            </w:pPr>
            <w:r>
              <w:rPr>
                <w:rFonts w:hint="default" w:ascii="Times New Roman" w:hAnsi="Times New Roman" w:cs="Times New Roman"/>
                <w:b/>
                <w:bCs/>
                <w:color w:val="auto"/>
                <w:kern w:val="0"/>
                <w:sz w:val="24"/>
                <w:highlight w:val="none"/>
                <w:lang w:bidi="ar"/>
              </w:rPr>
              <w:t>（1）切割烟尘</w:t>
            </w:r>
          </w:p>
          <w:p w14:paraId="7A2F4C06">
            <w:pPr>
              <w:pStyle w:val="56"/>
              <w:ind w:firstLine="480"/>
              <w:rPr>
                <w:rFonts w:hint="default" w:ascii="Times New Roman" w:hAnsi="Times New Roman" w:cs="Times New Roman"/>
                <w:color w:val="auto"/>
                <w:highlight w:val="none"/>
              </w:rPr>
            </w:pPr>
            <w:r>
              <w:rPr>
                <w:rFonts w:hint="default" w:ascii="Times New Roman" w:hAnsi="Times New Roman" w:eastAsia="宋体" w:cs="Times New Roman"/>
                <w:color w:val="auto"/>
                <w:highlight w:val="none"/>
                <w:lang w:val="en-US" w:eastAsia="zh-CN"/>
              </w:rPr>
              <w:t>本项目</w:t>
            </w:r>
            <w:r>
              <w:rPr>
                <w:rFonts w:hint="default" w:ascii="Times New Roman" w:hAnsi="Times New Roman" w:eastAsia="宋体" w:cs="Times New Roman"/>
                <w:color w:val="auto"/>
                <w:highlight w:val="none"/>
              </w:rPr>
              <w:t>对外购工件进行等离子和激光切割开料，等离子和激光切割时利用高温等离子电弧的热量使工件切口处的金属部分或局部溶化，并借高速等离子的</w:t>
            </w:r>
            <w:r>
              <w:rPr>
                <w:rFonts w:hint="default" w:ascii="Times New Roman" w:hAnsi="Times New Roman" w:cs="Times New Roman"/>
                <w:color w:val="auto"/>
                <w:highlight w:val="none"/>
              </w:rPr>
              <w:t>动量排除熔融金属以形成切口的一种加工方法。项目使用等离子和激光切割机对原料进行开料的过程中会产生颗粒物。</w:t>
            </w:r>
          </w:p>
          <w:p w14:paraId="3533A5F7">
            <w:pPr>
              <w:pStyle w:val="56"/>
              <w:ind w:firstLine="48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根据生态环境部发布的《排放源统计调查产排污核算方法和系数手册》（2021年6月6日）“33-37，431-434机械行业系数手册”中“04下料”以钢板、铝材、铝合金板、其他金属材料为结构材料，通过等离子和激光切割工艺，颗粒物产污系数为1.10kg/t-原料。根据建设单位提供的资料，本项目设有切割工序，具体金属板材切割粉尘产生情况如下表。</w:t>
            </w:r>
            <w:r>
              <w:rPr>
                <w:rFonts w:hint="eastAsia" w:cs="Times New Roman"/>
                <w:color w:val="auto"/>
                <w:highlight w:val="none"/>
                <w:lang w:val="en-US" w:eastAsia="zh-CN"/>
              </w:rPr>
              <w:t>其中切割量包括钢板、钢管、槽钢和角铁，共计1575t。</w:t>
            </w:r>
          </w:p>
          <w:p w14:paraId="3E0A9F33">
            <w:pPr>
              <w:pStyle w:val="56"/>
              <w:spacing w:line="240" w:lineRule="auto"/>
              <w:ind w:firstLine="0" w:firstLineChars="0"/>
              <w:jc w:val="center"/>
              <w:rPr>
                <w:rFonts w:hint="default" w:ascii="Times New Roman" w:hAnsi="Times New Roman" w:cs="Times New Roman"/>
                <w:b/>
                <w:bCs/>
                <w:color w:val="auto"/>
                <w:sz w:val="21"/>
                <w:szCs w:val="18"/>
                <w:highlight w:val="none"/>
              </w:rPr>
            </w:pPr>
            <w:r>
              <w:rPr>
                <w:rFonts w:hint="default" w:ascii="Times New Roman" w:hAnsi="Times New Roman" w:cs="Times New Roman"/>
                <w:b/>
                <w:bCs/>
                <w:color w:val="auto"/>
                <w:sz w:val="21"/>
                <w:szCs w:val="18"/>
                <w:highlight w:val="none"/>
              </w:rPr>
              <w:t>表4-1    切割下料废气产生情况一览表</w:t>
            </w:r>
          </w:p>
          <w:tbl>
            <w:tblPr>
              <w:tblStyle w:val="26"/>
              <w:tblW w:w="4948"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719"/>
              <w:gridCol w:w="1248"/>
              <w:gridCol w:w="940"/>
              <w:gridCol w:w="1586"/>
              <w:gridCol w:w="1042"/>
              <w:gridCol w:w="1175"/>
              <w:gridCol w:w="1318"/>
            </w:tblGrid>
            <w:tr w14:paraId="30C43D4C">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719" w:type="dxa"/>
                  <w:tcBorders>
                    <w:bottom w:val="single" w:color="auto" w:sz="12" w:space="0"/>
                  </w:tcBorders>
                  <w:noWrap w:val="0"/>
                  <w:vAlign w:val="center"/>
                </w:tcPr>
                <w:p w14:paraId="25773BD5">
                  <w:pPr>
                    <w:pStyle w:val="56"/>
                    <w:spacing w:line="240" w:lineRule="auto"/>
                    <w:ind w:firstLine="0" w:firstLineChars="0"/>
                    <w:jc w:val="center"/>
                    <w:rPr>
                      <w:rFonts w:hint="default" w:ascii="Times New Roman" w:hAnsi="Times New Roman" w:cs="Times New Roman"/>
                      <w:b/>
                      <w:bCs/>
                      <w:color w:val="auto"/>
                      <w:sz w:val="21"/>
                      <w:highlight w:val="none"/>
                    </w:rPr>
                  </w:pPr>
                  <w:r>
                    <w:rPr>
                      <w:rFonts w:hint="default" w:ascii="Times New Roman" w:hAnsi="Times New Roman" w:cs="Times New Roman"/>
                      <w:b/>
                      <w:bCs/>
                      <w:color w:val="auto"/>
                      <w:sz w:val="21"/>
                      <w:highlight w:val="none"/>
                    </w:rPr>
                    <w:t>位置</w:t>
                  </w:r>
                </w:p>
              </w:tc>
              <w:tc>
                <w:tcPr>
                  <w:tcW w:w="1248" w:type="dxa"/>
                  <w:tcBorders>
                    <w:bottom w:val="single" w:color="auto" w:sz="12" w:space="0"/>
                  </w:tcBorders>
                  <w:noWrap w:val="0"/>
                  <w:vAlign w:val="center"/>
                </w:tcPr>
                <w:p w14:paraId="688F144D">
                  <w:pPr>
                    <w:pStyle w:val="56"/>
                    <w:spacing w:line="240" w:lineRule="auto"/>
                    <w:ind w:firstLine="0" w:firstLineChars="0"/>
                    <w:jc w:val="center"/>
                    <w:rPr>
                      <w:rFonts w:hint="default" w:ascii="Times New Roman" w:hAnsi="Times New Roman" w:cs="Times New Roman"/>
                      <w:b/>
                      <w:bCs/>
                      <w:color w:val="auto"/>
                      <w:sz w:val="21"/>
                      <w:highlight w:val="none"/>
                    </w:rPr>
                  </w:pPr>
                  <w:r>
                    <w:rPr>
                      <w:rFonts w:hint="default" w:ascii="Times New Roman" w:hAnsi="Times New Roman" w:cs="Times New Roman"/>
                      <w:b/>
                      <w:bCs/>
                      <w:color w:val="auto"/>
                      <w:sz w:val="21"/>
                      <w:highlight w:val="none"/>
                    </w:rPr>
                    <w:t>板材切割量（t/a）</w:t>
                  </w:r>
                </w:p>
              </w:tc>
              <w:tc>
                <w:tcPr>
                  <w:tcW w:w="940" w:type="dxa"/>
                  <w:tcBorders>
                    <w:bottom w:val="single" w:color="auto" w:sz="12" w:space="0"/>
                  </w:tcBorders>
                  <w:noWrap w:val="0"/>
                  <w:vAlign w:val="center"/>
                </w:tcPr>
                <w:p w14:paraId="198010DB">
                  <w:pPr>
                    <w:pStyle w:val="56"/>
                    <w:spacing w:line="240" w:lineRule="auto"/>
                    <w:ind w:firstLine="0" w:firstLineChars="0"/>
                    <w:jc w:val="center"/>
                    <w:rPr>
                      <w:rFonts w:hint="default" w:ascii="Times New Roman" w:hAnsi="Times New Roman" w:cs="Times New Roman"/>
                      <w:b/>
                      <w:bCs/>
                      <w:color w:val="auto"/>
                      <w:sz w:val="21"/>
                      <w:highlight w:val="none"/>
                    </w:rPr>
                  </w:pPr>
                  <w:r>
                    <w:rPr>
                      <w:rFonts w:hint="default" w:ascii="Times New Roman" w:hAnsi="Times New Roman" w:cs="Times New Roman"/>
                      <w:b/>
                      <w:bCs/>
                      <w:color w:val="auto"/>
                      <w:sz w:val="21"/>
                      <w:highlight w:val="none"/>
                    </w:rPr>
                    <w:t>使用工艺</w:t>
                  </w:r>
                </w:p>
              </w:tc>
              <w:tc>
                <w:tcPr>
                  <w:tcW w:w="1586" w:type="dxa"/>
                  <w:tcBorders>
                    <w:bottom w:val="single" w:color="auto" w:sz="12" w:space="0"/>
                  </w:tcBorders>
                  <w:noWrap w:val="0"/>
                  <w:vAlign w:val="center"/>
                </w:tcPr>
                <w:p w14:paraId="6B89939E">
                  <w:pPr>
                    <w:pStyle w:val="56"/>
                    <w:spacing w:line="240" w:lineRule="auto"/>
                    <w:ind w:firstLine="0" w:firstLineChars="0"/>
                    <w:jc w:val="center"/>
                    <w:rPr>
                      <w:rFonts w:hint="default" w:ascii="Times New Roman" w:hAnsi="Times New Roman" w:cs="Times New Roman"/>
                      <w:b/>
                      <w:bCs/>
                      <w:color w:val="auto"/>
                      <w:sz w:val="21"/>
                      <w:highlight w:val="none"/>
                    </w:rPr>
                  </w:pPr>
                  <w:r>
                    <w:rPr>
                      <w:rFonts w:hint="default" w:ascii="Times New Roman" w:hAnsi="Times New Roman" w:cs="Times New Roman"/>
                      <w:b/>
                      <w:bCs/>
                      <w:color w:val="auto"/>
                      <w:sz w:val="21"/>
                      <w:highlight w:val="none"/>
                    </w:rPr>
                    <w:t>产污系数（kg/t-原料）</w:t>
                  </w:r>
                </w:p>
              </w:tc>
              <w:tc>
                <w:tcPr>
                  <w:tcW w:w="1042" w:type="dxa"/>
                  <w:tcBorders>
                    <w:bottom w:val="single" w:color="auto" w:sz="12" w:space="0"/>
                  </w:tcBorders>
                  <w:noWrap w:val="0"/>
                  <w:vAlign w:val="center"/>
                </w:tcPr>
                <w:p w14:paraId="5E488763">
                  <w:pPr>
                    <w:pStyle w:val="56"/>
                    <w:spacing w:line="240" w:lineRule="auto"/>
                    <w:ind w:firstLine="0" w:firstLineChars="0"/>
                    <w:jc w:val="center"/>
                    <w:rPr>
                      <w:rFonts w:hint="default" w:ascii="Times New Roman" w:hAnsi="Times New Roman" w:cs="Times New Roman"/>
                      <w:b/>
                      <w:bCs/>
                      <w:color w:val="auto"/>
                      <w:sz w:val="21"/>
                      <w:highlight w:val="none"/>
                    </w:rPr>
                  </w:pPr>
                  <w:r>
                    <w:rPr>
                      <w:rFonts w:hint="default" w:ascii="Times New Roman" w:hAnsi="Times New Roman" w:cs="Times New Roman"/>
                      <w:b/>
                      <w:bCs/>
                      <w:color w:val="auto"/>
                      <w:sz w:val="21"/>
                      <w:highlight w:val="none"/>
                    </w:rPr>
                    <w:t>产生量（t/a）</w:t>
                  </w:r>
                </w:p>
              </w:tc>
              <w:tc>
                <w:tcPr>
                  <w:tcW w:w="1175" w:type="dxa"/>
                  <w:tcBorders>
                    <w:bottom w:val="single" w:color="auto" w:sz="12" w:space="0"/>
                  </w:tcBorders>
                  <w:noWrap w:val="0"/>
                  <w:vAlign w:val="center"/>
                </w:tcPr>
                <w:p w14:paraId="53E7F7B5">
                  <w:pPr>
                    <w:pStyle w:val="56"/>
                    <w:spacing w:line="240" w:lineRule="auto"/>
                    <w:ind w:firstLine="0" w:firstLineChars="0"/>
                    <w:jc w:val="center"/>
                    <w:rPr>
                      <w:rFonts w:hint="default" w:ascii="Times New Roman" w:hAnsi="Times New Roman" w:cs="Times New Roman"/>
                      <w:b/>
                      <w:bCs/>
                      <w:color w:val="auto"/>
                      <w:sz w:val="21"/>
                      <w:highlight w:val="none"/>
                    </w:rPr>
                  </w:pPr>
                  <w:r>
                    <w:rPr>
                      <w:rFonts w:hint="default" w:ascii="Times New Roman" w:hAnsi="Times New Roman" w:cs="Times New Roman"/>
                      <w:b/>
                      <w:bCs/>
                      <w:color w:val="auto"/>
                      <w:sz w:val="21"/>
                      <w:highlight w:val="none"/>
                    </w:rPr>
                    <w:t>产生速率（kg/h）</w:t>
                  </w:r>
                </w:p>
              </w:tc>
              <w:tc>
                <w:tcPr>
                  <w:tcW w:w="1318" w:type="dxa"/>
                  <w:tcBorders>
                    <w:bottom w:val="single" w:color="auto" w:sz="12" w:space="0"/>
                  </w:tcBorders>
                  <w:noWrap w:val="0"/>
                  <w:vAlign w:val="center"/>
                </w:tcPr>
                <w:p w14:paraId="1A041CF4">
                  <w:pPr>
                    <w:pStyle w:val="56"/>
                    <w:spacing w:line="240" w:lineRule="auto"/>
                    <w:ind w:firstLine="0" w:firstLineChars="0"/>
                    <w:jc w:val="center"/>
                    <w:rPr>
                      <w:rFonts w:hint="default" w:ascii="Times New Roman" w:hAnsi="Times New Roman" w:cs="Times New Roman"/>
                      <w:b/>
                      <w:bCs/>
                      <w:color w:val="auto"/>
                      <w:sz w:val="21"/>
                      <w:highlight w:val="none"/>
                    </w:rPr>
                  </w:pPr>
                  <w:r>
                    <w:rPr>
                      <w:rFonts w:hint="default" w:ascii="Times New Roman" w:hAnsi="Times New Roman" w:cs="Times New Roman"/>
                      <w:b/>
                      <w:bCs/>
                      <w:color w:val="auto"/>
                      <w:sz w:val="21"/>
                      <w:highlight w:val="none"/>
                    </w:rPr>
                    <w:t>备注（原辅料名称）</w:t>
                  </w:r>
                </w:p>
              </w:tc>
            </w:tr>
            <w:tr w14:paraId="4E2DEBA1">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63" w:hRule="atLeast"/>
                <w:jc w:val="center"/>
              </w:trPr>
              <w:tc>
                <w:tcPr>
                  <w:tcW w:w="719" w:type="dxa"/>
                  <w:vMerge w:val="restart"/>
                  <w:tcBorders>
                    <w:top w:val="single" w:color="auto" w:sz="12" w:space="0"/>
                  </w:tcBorders>
                  <w:noWrap w:val="0"/>
                  <w:vAlign w:val="center"/>
                </w:tcPr>
                <w:p w14:paraId="2E170E2F">
                  <w:pPr>
                    <w:pStyle w:val="56"/>
                    <w:spacing w:line="240" w:lineRule="auto"/>
                    <w:ind w:firstLine="0" w:firstLineChars="0"/>
                    <w:jc w:val="center"/>
                    <w:rPr>
                      <w:rFonts w:hint="default" w:ascii="Times New Roman" w:hAnsi="Times New Roman" w:cs="Times New Roman"/>
                      <w:color w:val="auto"/>
                      <w:sz w:val="21"/>
                      <w:highlight w:val="none"/>
                    </w:rPr>
                  </w:pPr>
                  <w:r>
                    <w:rPr>
                      <w:rFonts w:hint="eastAsia" w:cs="Times New Roman"/>
                      <w:color w:val="auto"/>
                      <w:sz w:val="21"/>
                      <w:highlight w:val="none"/>
                      <w:lang w:val="en-US" w:eastAsia="zh-CN"/>
                    </w:rPr>
                    <w:t>生产车间</w:t>
                  </w:r>
                </w:p>
              </w:tc>
              <w:tc>
                <w:tcPr>
                  <w:tcW w:w="1248" w:type="dxa"/>
                  <w:tcBorders>
                    <w:top w:val="single" w:color="auto" w:sz="12" w:space="0"/>
                    <w:bottom w:val="single" w:color="auto" w:sz="4" w:space="0"/>
                  </w:tcBorders>
                  <w:noWrap w:val="0"/>
                  <w:vAlign w:val="center"/>
                </w:tcPr>
                <w:p w14:paraId="116122FE">
                  <w:pPr>
                    <w:pStyle w:val="56"/>
                    <w:spacing w:line="240" w:lineRule="auto"/>
                    <w:ind w:firstLine="0" w:firstLineChars="0"/>
                    <w:jc w:val="center"/>
                    <w:rPr>
                      <w:rFonts w:hint="default" w:ascii="Times New Roman" w:hAnsi="Times New Roman" w:eastAsia="宋体" w:cs="Times New Roman"/>
                      <w:color w:val="auto"/>
                      <w:sz w:val="21"/>
                      <w:highlight w:val="none"/>
                      <w:lang w:val="en-US" w:eastAsia="zh-CN"/>
                    </w:rPr>
                  </w:pPr>
                  <w:r>
                    <w:rPr>
                      <w:rFonts w:hint="eastAsia" w:cs="Times New Roman"/>
                      <w:color w:val="auto"/>
                      <w:sz w:val="21"/>
                      <w:highlight w:val="none"/>
                      <w:lang w:val="en-US" w:eastAsia="zh-CN"/>
                    </w:rPr>
                    <w:t>600</w:t>
                  </w:r>
                </w:p>
              </w:tc>
              <w:tc>
                <w:tcPr>
                  <w:tcW w:w="940" w:type="dxa"/>
                  <w:vMerge w:val="restart"/>
                  <w:tcBorders>
                    <w:top w:val="single" w:color="auto" w:sz="12" w:space="0"/>
                  </w:tcBorders>
                  <w:noWrap w:val="0"/>
                  <w:vAlign w:val="center"/>
                </w:tcPr>
                <w:p w14:paraId="5647D104">
                  <w:pPr>
                    <w:pStyle w:val="56"/>
                    <w:spacing w:line="240" w:lineRule="auto"/>
                    <w:ind w:firstLine="0" w:firstLineChars="0"/>
                    <w:jc w:val="both"/>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等离子、激光切割</w:t>
                  </w:r>
                </w:p>
              </w:tc>
              <w:tc>
                <w:tcPr>
                  <w:tcW w:w="1586" w:type="dxa"/>
                  <w:vMerge w:val="restart"/>
                  <w:tcBorders>
                    <w:top w:val="single" w:color="auto" w:sz="12" w:space="0"/>
                  </w:tcBorders>
                  <w:noWrap w:val="0"/>
                  <w:vAlign w:val="center"/>
                </w:tcPr>
                <w:p w14:paraId="647097C1">
                  <w:pPr>
                    <w:pStyle w:val="56"/>
                    <w:spacing w:line="240" w:lineRule="auto"/>
                    <w:ind w:firstLine="0" w:firstLineChars="0"/>
                    <w:jc w:val="center"/>
                    <w:rPr>
                      <w:rFonts w:hint="default" w:ascii="Times New Roman" w:hAnsi="Times New Roman" w:cs="Times New Roman"/>
                      <w:color w:val="auto"/>
                      <w:sz w:val="21"/>
                      <w:highlight w:val="none"/>
                    </w:rPr>
                  </w:pPr>
                  <w:r>
                    <w:rPr>
                      <w:rFonts w:hint="default" w:ascii="Times New Roman" w:hAnsi="Times New Roman" w:cs="Times New Roman"/>
                      <w:color w:val="auto"/>
                      <w:sz w:val="21"/>
                      <w:highlight w:val="none"/>
                    </w:rPr>
                    <w:t>1.10</w:t>
                  </w:r>
                </w:p>
              </w:tc>
              <w:tc>
                <w:tcPr>
                  <w:tcW w:w="1042" w:type="dxa"/>
                  <w:tcBorders>
                    <w:top w:val="single" w:color="auto" w:sz="12" w:space="0"/>
                  </w:tcBorders>
                  <w:noWrap w:val="0"/>
                  <w:vAlign w:val="center"/>
                </w:tcPr>
                <w:p w14:paraId="20103E02">
                  <w:pPr>
                    <w:pStyle w:val="56"/>
                    <w:spacing w:line="240" w:lineRule="auto"/>
                    <w:ind w:firstLine="0" w:firstLineChars="0"/>
                    <w:jc w:val="center"/>
                    <w:rPr>
                      <w:rFonts w:hint="default" w:ascii="Times New Roman" w:hAnsi="Times New Roman" w:eastAsia="宋体" w:cs="Times New Roman"/>
                      <w:color w:val="auto"/>
                      <w:sz w:val="21"/>
                      <w:highlight w:val="none"/>
                      <w:lang w:val="en-US" w:eastAsia="zh-CN"/>
                    </w:rPr>
                  </w:pPr>
                  <w:r>
                    <w:rPr>
                      <w:rFonts w:hint="eastAsia" w:cs="Times New Roman"/>
                      <w:color w:val="auto"/>
                      <w:sz w:val="21"/>
                      <w:highlight w:val="none"/>
                      <w:lang w:val="en-US" w:eastAsia="zh-CN"/>
                    </w:rPr>
                    <w:t>0.66</w:t>
                  </w:r>
                </w:p>
              </w:tc>
              <w:tc>
                <w:tcPr>
                  <w:tcW w:w="1175" w:type="dxa"/>
                  <w:tcBorders>
                    <w:top w:val="single" w:color="auto" w:sz="12" w:space="0"/>
                  </w:tcBorders>
                  <w:noWrap w:val="0"/>
                  <w:vAlign w:val="center"/>
                </w:tcPr>
                <w:p w14:paraId="42BD1AA6">
                  <w:pPr>
                    <w:pStyle w:val="56"/>
                    <w:spacing w:line="240" w:lineRule="auto"/>
                    <w:ind w:firstLine="0" w:firstLineChars="0"/>
                    <w:jc w:val="center"/>
                    <w:rPr>
                      <w:rFonts w:hint="default" w:ascii="Times New Roman" w:hAnsi="Times New Roman" w:eastAsia="宋体" w:cs="Times New Roman"/>
                      <w:color w:val="auto"/>
                      <w:sz w:val="21"/>
                      <w:highlight w:val="none"/>
                      <w:lang w:val="en-US" w:eastAsia="zh-CN"/>
                    </w:rPr>
                  </w:pPr>
                  <w:r>
                    <w:rPr>
                      <w:rFonts w:hint="eastAsia" w:cs="Times New Roman"/>
                      <w:color w:val="auto"/>
                      <w:sz w:val="21"/>
                      <w:highlight w:val="none"/>
                      <w:lang w:val="en-US" w:eastAsia="zh-CN"/>
                    </w:rPr>
                    <w:t>0.275</w:t>
                  </w:r>
                </w:p>
              </w:tc>
              <w:tc>
                <w:tcPr>
                  <w:tcW w:w="1318" w:type="dxa"/>
                  <w:tcBorders>
                    <w:top w:val="single" w:color="auto" w:sz="12" w:space="0"/>
                  </w:tcBorders>
                  <w:noWrap w:val="0"/>
                  <w:vAlign w:val="center"/>
                </w:tcPr>
                <w:p w14:paraId="2BA15AF8">
                  <w:pPr>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钢板</w:t>
                  </w:r>
                </w:p>
              </w:tc>
            </w:tr>
            <w:tr w14:paraId="2A1AB2A1">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63" w:hRule="atLeast"/>
                <w:jc w:val="center"/>
              </w:trPr>
              <w:tc>
                <w:tcPr>
                  <w:tcW w:w="719" w:type="dxa"/>
                  <w:vMerge w:val="continue"/>
                  <w:tcBorders>
                    <w:right w:val="single" w:color="auto" w:sz="4" w:space="0"/>
                  </w:tcBorders>
                  <w:noWrap w:val="0"/>
                  <w:vAlign w:val="center"/>
                </w:tcPr>
                <w:p w14:paraId="5023CC8C">
                  <w:pPr>
                    <w:pStyle w:val="56"/>
                    <w:spacing w:line="240" w:lineRule="auto"/>
                    <w:ind w:firstLine="0" w:firstLineChars="0"/>
                    <w:jc w:val="center"/>
                    <w:rPr>
                      <w:color w:val="auto"/>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A39371C">
                  <w:pPr>
                    <w:pStyle w:val="56"/>
                    <w:spacing w:line="240" w:lineRule="auto"/>
                    <w:ind w:firstLine="0" w:firstLineChars="0"/>
                    <w:jc w:val="center"/>
                    <w:rPr>
                      <w:rFonts w:hint="default" w:cs="Times New Roman"/>
                      <w:color w:val="auto"/>
                      <w:sz w:val="21"/>
                      <w:highlight w:val="none"/>
                      <w:lang w:val="en-US" w:eastAsia="zh-CN"/>
                    </w:rPr>
                  </w:pPr>
                  <w:r>
                    <w:rPr>
                      <w:rFonts w:hint="eastAsia" w:cs="Times New Roman"/>
                      <w:color w:val="auto"/>
                      <w:sz w:val="21"/>
                      <w:highlight w:val="none"/>
                      <w:lang w:val="en-US" w:eastAsia="zh-CN"/>
                    </w:rPr>
                    <w:t>900</w:t>
                  </w:r>
                </w:p>
              </w:tc>
              <w:tc>
                <w:tcPr>
                  <w:tcW w:w="940" w:type="dxa"/>
                  <w:vMerge w:val="continue"/>
                  <w:tcBorders>
                    <w:left w:val="single" w:color="auto" w:sz="4" w:space="0"/>
                  </w:tcBorders>
                  <w:noWrap w:val="0"/>
                  <w:vAlign w:val="center"/>
                </w:tcPr>
                <w:p w14:paraId="7D908995">
                  <w:pPr>
                    <w:pStyle w:val="56"/>
                    <w:spacing w:line="240" w:lineRule="auto"/>
                    <w:ind w:firstLine="0" w:firstLineChars="0"/>
                    <w:jc w:val="center"/>
                    <w:rPr>
                      <w:rFonts w:hint="eastAsia" w:cs="Times New Roman"/>
                      <w:color w:val="auto"/>
                      <w:sz w:val="21"/>
                      <w:highlight w:val="none"/>
                      <w:lang w:val="en-US" w:eastAsia="zh-CN"/>
                    </w:rPr>
                  </w:pPr>
                </w:p>
              </w:tc>
              <w:tc>
                <w:tcPr>
                  <w:tcW w:w="1586" w:type="dxa"/>
                  <w:vMerge w:val="continue"/>
                  <w:noWrap w:val="0"/>
                  <w:vAlign w:val="center"/>
                </w:tcPr>
                <w:p w14:paraId="4E7CC13C">
                  <w:pPr>
                    <w:pStyle w:val="56"/>
                    <w:spacing w:line="240" w:lineRule="auto"/>
                    <w:ind w:firstLine="0" w:firstLineChars="0"/>
                    <w:jc w:val="center"/>
                    <w:rPr>
                      <w:rFonts w:hint="eastAsia" w:cs="Times New Roman"/>
                      <w:color w:val="auto"/>
                      <w:sz w:val="21"/>
                      <w:highlight w:val="none"/>
                      <w:lang w:val="en-US" w:eastAsia="zh-CN"/>
                    </w:rPr>
                  </w:pPr>
                </w:p>
              </w:tc>
              <w:tc>
                <w:tcPr>
                  <w:tcW w:w="1042" w:type="dxa"/>
                  <w:noWrap w:val="0"/>
                  <w:vAlign w:val="center"/>
                </w:tcPr>
                <w:p w14:paraId="5E2CA744">
                  <w:pPr>
                    <w:pStyle w:val="56"/>
                    <w:spacing w:line="240" w:lineRule="auto"/>
                    <w:ind w:firstLine="0" w:firstLineChars="0"/>
                    <w:jc w:val="center"/>
                    <w:rPr>
                      <w:rFonts w:hint="default" w:cs="Times New Roman"/>
                      <w:color w:val="auto"/>
                      <w:sz w:val="21"/>
                      <w:highlight w:val="none"/>
                      <w:lang w:val="en-US" w:eastAsia="zh-CN"/>
                    </w:rPr>
                  </w:pPr>
                  <w:r>
                    <w:rPr>
                      <w:rFonts w:hint="eastAsia" w:cs="Times New Roman"/>
                      <w:color w:val="auto"/>
                      <w:sz w:val="21"/>
                      <w:highlight w:val="none"/>
                      <w:lang w:val="en-US" w:eastAsia="zh-CN"/>
                    </w:rPr>
                    <w:t>0.99</w:t>
                  </w:r>
                </w:p>
              </w:tc>
              <w:tc>
                <w:tcPr>
                  <w:tcW w:w="1175" w:type="dxa"/>
                  <w:noWrap w:val="0"/>
                  <w:vAlign w:val="center"/>
                </w:tcPr>
                <w:p w14:paraId="2821938C">
                  <w:pPr>
                    <w:pStyle w:val="56"/>
                    <w:spacing w:line="240" w:lineRule="auto"/>
                    <w:ind w:firstLine="0" w:firstLineChars="0"/>
                    <w:jc w:val="center"/>
                    <w:rPr>
                      <w:rFonts w:hint="default" w:cs="Times New Roman"/>
                      <w:color w:val="auto"/>
                      <w:sz w:val="21"/>
                      <w:highlight w:val="none"/>
                      <w:lang w:val="en-US" w:eastAsia="zh-CN"/>
                    </w:rPr>
                  </w:pPr>
                  <w:r>
                    <w:rPr>
                      <w:rFonts w:hint="eastAsia" w:cs="Times New Roman"/>
                      <w:color w:val="auto"/>
                      <w:sz w:val="21"/>
                      <w:highlight w:val="none"/>
                      <w:lang w:val="en-US" w:eastAsia="zh-CN"/>
                    </w:rPr>
                    <w:t>0.4125</w:t>
                  </w:r>
                </w:p>
              </w:tc>
              <w:tc>
                <w:tcPr>
                  <w:tcW w:w="1318" w:type="dxa"/>
                  <w:noWrap w:val="0"/>
                  <w:vAlign w:val="center"/>
                </w:tcPr>
                <w:p w14:paraId="655C60B6">
                  <w:pPr>
                    <w:pStyle w:val="56"/>
                    <w:spacing w:line="240" w:lineRule="auto"/>
                    <w:ind w:firstLine="0" w:firstLineChars="0"/>
                    <w:jc w:val="center"/>
                    <w:rPr>
                      <w:rFonts w:hint="eastAsia" w:cs="Times New Roman"/>
                      <w:color w:val="auto"/>
                      <w:sz w:val="21"/>
                      <w:highlight w:val="none"/>
                      <w:lang w:val="en-US" w:eastAsia="zh-CN"/>
                    </w:rPr>
                  </w:pPr>
                  <w:r>
                    <w:rPr>
                      <w:rFonts w:hint="eastAsia" w:cs="Times New Roman"/>
                      <w:color w:val="auto"/>
                      <w:sz w:val="21"/>
                      <w:highlight w:val="none"/>
                      <w:lang w:val="en-US" w:eastAsia="zh-CN"/>
                    </w:rPr>
                    <w:t>钢管</w:t>
                  </w:r>
                </w:p>
              </w:tc>
            </w:tr>
            <w:tr w14:paraId="0A0A01B9">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63" w:hRule="atLeast"/>
                <w:jc w:val="center"/>
              </w:trPr>
              <w:tc>
                <w:tcPr>
                  <w:tcW w:w="719" w:type="dxa"/>
                  <w:vMerge w:val="continue"/>
                  <w:tcBorders>
                    <w:right w:val="single" w:color="auto" w:sz="4" w:space="0"/>
                  </w:tcBorders>
                  <w:noWrap w:val="0"/>
                  <w:vAlign w:val="center"/>
                </w:tcPr>
                <w:p w14:paraId="0CF568D9">
                  <w:pPr>
                    <w:pStyle w:val="56"/>
                    <w:spacing w:line="240" w:lineRule="auto"/>
                    <w:ind w:firstLine="0" w:firstLineChars="0"/>
                    <w:jc w:val="center"/>
                    <w:rPr>
                      <w:rFonts w:hint="eastAsia" w:cs="Times New Roman"/>
                      <w:color w:val="auto"/>
                      <w:sz w:val="21"/>
                      <w:highlight w:val="none"/>
                      <w:lang w:val="en-US" w:eastAsia="zh-CN"/>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5D6AC764">
                  <w:pPr>
                    <w:pStyle w:val="56"/>
                    <w:spacing w:line="240" w:lineRule="auto"/>
                    <w:ind w:firstLine="0" w:firstLineChars="0"/>
                    <w:jc w:val="center"/>
                    <w:rPr>
                      <w:rFonts w:hint="default" w:cs="Times New Roman"/>
                      <w:color w:val="auto"/>
                      <w:sz w:val="21"/>
                      <w:highlight w:val="none"/>
                      <w:lang w:val="en-US" w:eastAsia="zh-CN"/>
                    </w:rPr>
                  </w:pPr>
                  <w:r>
                    <w:rPr>
                      <w:rFonts w:hint="eastAsia" w:cs="Times New Roman"/>
                      <w:color w:val="auto"/>
                      <w:sz w:val="21"/>
                      <w:highlight w:val="none"/>
                      <w:lang w:val="en-US" w:eastAsia="zh-CN"/>
                    </w:rPr>
                    <w:t>30</w:t>
                  </w:r>
                </w:p>
              </w:tc>
              <w:tc>
                <w:tcPr>
                  <w:tcW w:w="940" w:type="dxa"/>
                  <w:vMerge w:val="continue"/>
                  <w:tcBorders>
                    <w:left w:val="single" w:color="auto" w:sz="4" w:space="0"/>
                  </w:tcBorders>
                  <w:noWrap w:val="0"/>
                  <w:vAlign w:val="center"/>
                </w:tcPr>
                <w:p w14:paraId="279C0AFD">
                  <w:pPr>
                    <w:pStyle w:val="56"/>
                    <w:spacing w:line="240" w:lineRule="auto"/>
                    <w:ind w:firstLine="0" w:firstLineChars="0"/>
                    <w:jc w:val="center"/>
                    <w:rPr>
                      <w:rFonts w:hint="eastAsia" w:cs="Times New Roman"/>
                      <w:color w:val="auto"/>
                      <w:sz w:val="21"/>
                      <w:highlight w:val="none"/>
                      <w:lang w:val="en-US" w:eastAsia="zh-CN"/>
                    </w:rPr>
                  </w:pPr>
                </w:p>
              </w:tc>
              <w:tc>
                <w:tcPr>
                  <w:tcW w:w="1586" w:type="dxa"/>
                  <w:vMerge w:val="continue"/>
                  <w:noWrap w:val="0"/>
                  <w:vAlign w:val="center"/>
                </w:tcPr>
                <w:p w14:paraId="1BE8750C">
                  <w:pPr>
                    <w:pStyle w:val="56"/>
                    <w:spacing w:line="240" w:lineRule="auto"/>
                    <w:ind w:firstLine="0" w:firstLineChars="0"/>
                    <w:jc w:val="center"/>
                    <w:rPr>
                      <w:rFonts w:hint="eastAsia" w:cs="Times New Roman"/>
                      <w:color w:val="auto"/>
                      <w:sz w:val="21"/>
                      <w:highlight w:val="none"/>
                      <w:lang w:val="en-US" w:eastAsia="zh-CN"/>
                    </w:rPr>
                  </w:pPr>
                </w:p>
              </w:tc>
              <w:tc>
                <w:tcPr>
                  <w:tcW w:w="1042" w:type="dxa"/>
                  <w:noWrap w:val="0"/>
                  <w:vAlign w:val="center"/>
                </w:tcPr>
                <w:p w14:paraId="42018EA0">
                  <w:pPr>
                    <w:pStyle w:val="56"/>
                    <w:spacing w:line="240" w:lineRule="auto"/>
                    <w:ind w:firstLine="0" w:firstLineChars="0"/>
                    <w:jc w:val="center"/>
                    <w:rPr>
                      <w:rFonts w:hint="default" w:cs="Times New Roman"/>
                      <w:color w:val="auto"/>
                      <w:sz w:val="21"/>
                      <w:highlight w:val="none"/>
                      <w:lang w:val="en-US" w:eastAsia="zh-CN"/>
                    </w:rPr>
                  </w:pPr>
                  <w:r>
                    <w:rPr>
                      <w:rFonts w:hint="eastAsia" w:cs="Times New Roman"/>
                      <w:color w:val="auto"/>
                      <w:sz w:val="21"/>
                      <w:highlight w:val="none"/>
                      <w:lang w:val="en-US" w:eastAsia="zh-CN"/>
                    </w:rPr>
                    <w:t>0.033</w:t>
                  </w:r>
                </w:p>
              </w:tc>
              <w:tc>
                <w:tcPr>
                  <w:tcW w:w="1175" w:type="dxa"/>
                  <w:noWrap w:val="0"/>
                  <w:vAlign w:val="center"/>
                </w:tcPr>
                <w:p w14:paraId="5B066CED">
                  <w:pPr>
                    <w:pStyle w:val="56"/>
                    <w:spacing w:line="240" w:lineRule="auto"/>
                    <w:ind w:firstLine="0" w:firstLineChars="0"/>
                    <w:jc w:val="center"/>
                    <w:rPr>
                      <w:rFonts w:hint="default" w:cs="Times New Roman"/>
                      <w:color w:val="auto"/>
                      <w:sz w:val="21"/>
                      <w:highlight w:val="none"/>
                      <w:lang w:val="en-US" w:eastAsia="zh-CN"/>
                    </w:rPr>
                  </w:pPr>
                  <w:r>
                    <w:rPr>
                      <w:rFonts w:hint="eastAsia" w:cs="Times New Roman"/>
                      <w:color w:val="auto"/>
                      <w:sz w:val="21"/>
                      <w:highlight w:val="none"/>
                      <w:lang w:val="en-US" w:eastAsia="zh-CN"/>
                    </w:rPr>
                    <w:t>0.01375</w:t>
                  </w:r>
                </w:p>
              </w:tc>
              <w:tc>
                <w:tcPr>
                  <w:tcW w:w="1318" w:type="dxa"/>
                  <w:noWrap w:val="0"/>
                  <w:vAlign w:val="center"/>
                </w:tcPr>
                <w:p w14:paraId="1846B570">
                  <w:pPr>
                    <w:pStyle w:val="56"/>
                    <w:spacing w:line="240" w:lineRule="auto"/>
                    <w:ind w:firstLine="0" w:firstLineChars="0"/>
                    <w:jc w:val="center"/>
                    <w:rPr>
                      <w:rFonts w:hint="eastAsia" w:cs="Times New Roman"/>
                      <w:color w:val="auto"/>
                      <w:sz w:val="21"/>
                      <w:highlight w:val="none"/>
                      <w:lang w:val="en-US" w:eastAsia="zh-CN"/>
                    </w:rPr>
                  </w:pPr>
                  <w:r>
                    <w:rPr>
                      <w:rFonts w:hint="eastAsia" w:cs="Times New Roman"/>
                      <w:color w:val="auto"/>
                      <w:sz w:val="21"/>
                      <w:highlight w:val="none"/>
                      <w:lang w:val="en-US" w:eastAsia="zh-CN"/>
                    </w:rPr>
                    <w:t>槽钢</w:t>
                  </w:r>
                </w:p>
              </w:tc>
            </w:tr>
            <w:tr w14:paraId="1581CF74">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63" w:hRule="atLeast"/>
                <w:jc w:val="center"/>
              </w:trPr>
              <w:tc>
                <w:tcPr>
                  <w:tcW w:w="719" w:type="dxa"/>
                  <w:vMerge w:val="continue"/>
                  <w:tcBorders>
                    <w:right w:val="single" w:color="auto" w:sz="4" w:space="0"/>
                  </w:tcBorders>
                  <w:noWrap w:val="0"/>
                  <w:vAlign w:val="center"/>
                </w:tcPr>
                <w:p w14:paraId="390BDF45">
                  <w:pPr>
                    <w:pStyle w:val="56"/>
                    <w:spacing w:line="240" w:lineRule="auto"/>
                    <w:ind w:firstLine="0" w:firstLineChars="0"/>
                    <w:jc w:val="center"/>
                    <w:rPr>
                      <w:rFonts w:hint="eastAsia" w:cs="Times New Roman"/>
                      <w:color w:val="auto"/>
                      <w:sz w:val="21"/>
                      <w:highlight w:val="none"/>
                      <w:lang w:val="en-US" w:eastAsia="zh-CN"/>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371AC5AC">
                  <w:pPr>
                    <w:pStyle w:val="56"/>
                    <w:spacing w:line="240" w:lineRule="auto"/>
                    <w:ind w:firstLine="0" w:firstLineChars="0"/>
                    <w:jc w:val="center"/>
                    <w:rPr>
                      <w:rFonts w:hint="default" w:cs="Times New Roman"/>
                      <w:color w:val="auto"/>
                      <w:sz w:val="21"/>
                      <w:highlight w:val="none"/>
                      <w:lang w:val="en-US" w:eastAsia="zh-CN"/>
                    </w:rPr>
                  </w:pPr>
                  <w:r>
                    <w:rPr>
                      <w:rFonts w:hint="eastAsia" w:cs="Times New Roman"/>
                      <w:color w:val="auto"/>
                      <w:sz w:val="21"/>
                      <w:highlight w:val="none"/>
                      <w:lang w:val="en-US" w:eastAsia="zh-CN"/>
                    </w:rPr>
                    <w:t>30</w:t>
                  </w:r>
                </w:p>
              </w:tc>
              <w:tc>
                <w:tcPr>
                  <w:tcW w:w="940" w:type="dxa"/>
                  <w:vMerge w:val="continue"/>
                  <w:tcBorders>
                    <w:left w:val="single" w:color="auto" w:sz="4" w:space="0"/>
                  </w:tcBorders>
                  <w:noWrap w:val="0"/>
                  <w:vAlign w:val="center"/>
                </w:tcPr>
                <w:p w14:paraId="1CFDD7E2">
                  <w:pPr>
                    <w:pStyle w:val="56"/>
                    <w:spacing w:line="240" w:lineRule="auto"/>
                    <w:ind w:firstLine="0" w:firstLineChars="0"/>
                    <w:jc w:val="center"/>
                    <w:rPr>
                      <w:rFonts w:hint="eastAsia" w:cs="Times New Roman"/>
                      <w:color w:val="auto"/>
                      <w:sz w:val="21"/>
                      <w:highlight w:val="none"/>
                      <w:lang w:val="en-US" w:eastAsia="zh-CN"/>
                    </w:rPr>
                  </w:pPr>
                </w:p>
              </w:tc>
              <w:tc>
                <w:tcPr>
                  <w:tcW w:w="1586" w:type="dxa"/>
                  <w:vMerge w:val="continue"/>
                  <w:noWrap w:val="0"/>
                  <w:vAlign w:val="center"/>
                </w:tcPr>
                <w:p w14:paraId="076F36CB">
                  <w:pPr>
                    <w:pStyle w:val="56"/>
                    <w:spacing w:line="240" w:lineRule="auto"/>
                    <w:ind w:firstLine="0" w:firstLineChars="0"/>
                    <w:jc w:val="center"/>
                    <w:rPr>
                      <w:rFonts w:hint="eastAsia" w:cs="Times New Roman"/>
                      <w:color w:val="auto"/>
                      <w:sz w:val="21"/>
                      <w:highlight w:val="none"/>
                      <w:lang w:val="en-US" w:eastAsia="zh-CN"/>
                    </w:rPr>
                  </w:pPr>
                </w:p>
              </w:tc>
              <w:tc>
                <w:tcPr>
                  <w:tcW w:w="1042" w:type="dxa"/>
                  <w:noWrap w:val="0"/>
                  <w:vAlign w:val="center"/>
                </w:tcPr>
                <w:p w14:paraId="064E29BF">
                  <w:pPr>
                    <w:pStyle w:val="56"/>
                    <w:spacing w:line="240" w:lineRule="auto"/>
                    <w:ind w:firstLine="0" w:firstLineChars="0"/>
                    <w:jc w:val="center"/>
                    <w:rPr>
                      <w:rFonts w:hint="default" w:cs="Times New Roman"/>
                      <w:color w:val="auto"/>
                      <w:sz w:val="21"/>
                      <w:highlight w:val="none"/>
                      <w:lang w:val="en-US" w:eastAsia="zh-CN"/>
                    </w:rPr>
                  </w:pPr>
                  <w:r>
                    <w:rPr>
                      <w:rFonts w:hint="eastAsia" w:cs="Times New Roman"/>
                      <w:color w:val="auto"/>
                      <w:sz w:val="21"/>
                      <w:highlight w:val="none"/>
                      <w:lang w:val="en-US" w:eastAsia="zh-CN"/>
                    </w:rPr>
                    <w:t>0.033</w:t>
                  </w:r>
                </w:p>
              </w:tc>
              <w:tc>
                <w:tcPr>
                  <w:tcW w:w="1175" w:type="dxa"/>
                  <w:noWrap w:val="0"/>
                  <w:vAlign w:val="center"/>
                </w:tcPr>
                <w:p w14:paraId="71FA8263">
                  <w:pPr>
                    <w:pStyle w:val="56"/>
                    <w:spacing w:line="240" w:lineRule="auto"/>
                    <w:ind w:firstLine="0" w:firstLineChars="0"/>
                    <w:jc w:val="center"/>
                    <w:rPr>
                      <w:rFonts w:hint="default" w:cs="Times New Roman"/>
                      <w:color w:val="auto"/>
                      <w:sz w:val="21"/>
                      <w:highlight w:val="none"/>
                      <w:lang w:val="en-US" w:eastAsia="zh-CN"/>
                    </w:rPr>
                  </w:pPr>
                  <w:r>
                    <w:rPr>
                      <w:rFonts w:hint="eastAsia" w:cs="Times New Roman"/>
                      <w:color w:val="auto"/>
                      <w:sz w:val="21"/>
                      <w:highlight w:val="none"/>
                      <w:lang w:val="en-US" w:eastAsia="zh-CN"/>
                    </w:rPr>
                    <w:t>0.01375</w:t>
                  </w:r>
                </w:p>
              </w:tc>
              <w:tc>
                <w:tcPr>
                  <w:tcW w:w="1318" w:type="dxa"/>
                  <w:noWrap w:val="0"/>
                  <w:vAlign w:val="center"/>
                </w:tcPr>
                <w:p w14:paraId="1434B236">
                  <w:pPr>
                    <w:pStyle w:val="56"/>
                    <w:spacing w:line="240" w:lineRule="auto"/>
                    <w:ind w:firstLine="0" w:firstLineChars="0"/>
                    <w:jc w:val="center"/>
                    <w:rPr>
                      <w:rFonts w:hint="eastAsia" w:cs="Times New Roman"/>
                      <w:color w:val="auto"/>
                      <w:sz w:val="21"/>
                      <w:highlight w:val="none"/>
                      <w:lang w:val="en-US" w:eastAsia="zh-CN"/>
                    </w:rPr>
                  </w:pPr>
                  <w:r>
                    <w:rPr>
                      <w:rFonts w:hint="eastAsia" w:cs="Times New Roman"/>
                      <w:color w:val="auto"/>
                      <w:sz w:val="21"/>
                      <w:highlight w:val="none"/>
                      <w:lang w:val="en-US" w:eastAsia="zh-CN"/>
                    </w:rPr>
                    <w:t>角铁</w:t>
                  </w:r>
                </w:p>
              </w:tc>
            </w:tr>
            <w:tr w14:paraId="4343D327">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63" w:hRule="atLeast"/>
                <w:jc w:val="center"/>
              </w:trPr>
              <w:tc>
                <w:tcPr>
                  <w:tcW w:w="719" w:type="dxa"/>
                  <w:vMerge w:val="continue"/>
                  <w:noWrap w:val="0"/>
                  <w:vAlign w:val="center"/>
                </w:tcPr>
                <w:p w14:paraId="69613B28">
                  <w:pPr>
                    <w:pStyle w:val="56"/>
                    <w:spacing w:line="240" w:lineRule="auto"/>
                    <w:ind w:firstLine="0" w:firstLineChars="0"/>
                    <w:jc w:val="center"/>
                    <w:rPr>
                      <w:rFonts w:hint="eastAsia" w:cs="Times New Roman"/>
                      <w:color w:val="auto"/>
                      <w:sz w:val="21"/>
                      <w:highlight w:val="none"/>
                      <w:lang w:val="en-US" w:eastAsia="zh-CN"/>
                    </w:rPr>
                  </w:pPr>
                </w:p>
              </w:tc>
              <w:tc>
                <w:tcPr>
                  <w:tcW w:w="1248" w:type="dxa"/>
                  <w:tcBorders>
                    <w:top w:val="single" w:color="auto" w:sz="4" w:space="0"/>
                    <w:bottom w:val="single" w:color="auto" w:sz="4" w:space="0"/>
                  </w:tcBorders>
                  <w:noWrap w:val="0"/>
                  <w:vAlign w:val="center"/>
                </w:tcPr>
                <w:p w14:paraId="4C9E09AE">
                  <w:pPr>
                    <w:pStyle w:val="56"/>
                    <w:spacing w:line="240" w:lineRule="auto"/>
                    <w:ind w:firstLine="0" w:firstLineChars="0"/>
                    <w:jc w:val="center"/>
                    <w:rPr>
                      <w:rFonts w:hint="default" w:cs="Times New Roman"/>
                      <w:color w:val="auto"/>
                      <w:sz w:val="21"/>
                      <w:highlight w:val="none"/>
                      <w:lang w:val="en-US" w:eastAsia="zh-CN"/>
                    </w:rPr>
                  </w:pPr>
                  <w:r>
                    <w:rPr>
                      <w:rFonts w:hint="eastAsia" w:cs="Times New Roman"/>
                      <w:color w:val="auto"/>
                      <w:sz w:val="21"/>
                      <w:highlight w:val="none"/>
                      <w:lang w:val="en-US" w:eastAsia="zh-CN"/>
                    </w:rPr>
                    <w:t>15</w:t>
                  </w:r>
                </w:p>
              </w:tc>
              <w:tc>
                <w:tcPr>
                  <w:tcW w:w="940" w:type="dxa"/>
                  <w:vMerge w:val="continue"/>
                  <w:noWrap w:val="0"/>
                  <w:vAlign w:val="center"/>
                </w:tcPr>
                <w:p w14:paraId="29D81286">
                  <w:pPr>
                    <w:pStyle w:val="56"/>
                    <w:spacing w:line="240" w:lineRule="auto"/>
                    <w:ind w:firstLine="0" w:firstLineChars="0"/>
                    <w:jc w:val="center"/>
                    <w:rPr>
                      <w:rFonts w:hint="eastAsia" w:cs="Times New Roman"/>
                      <w:color w:val="auto"/>
                      <w:sz w:val="21"/>
                      <w:highlight w:val="none"/>
                      <w:lang w:val="en-US" w:eastAsia="zh-CN"/>
                    </w:rPr>
                  </w:pPr>
                </w:p>
              </w:tc>
              <w:tc>
                <w:tcPr>
                  <w:tcW w:w="1586" w:type="dxa"/>
                  <w:vMerge w:val="continue"/>
                  <w:noWrap w:val="0"/>
                  <w:vAlign w:val="center"/>
                </w:tcPr>
                <w:p w14:paraId="17579EDF">
                  <w:pPr>
                    <w:pStyle w:val="56"/>
                    <w:spacing w:line="240" w:lineRule="auto"/>
                    <w:ind w:firstLine="0" w:firstLineChars="0"/>
                    <w:jc w:val="center"/>
                    <w:rPr>
                      <w:rFonts w:hint="eastAsia" w:cs="Times New Roman"/>
                      <w:color w:val="auto"/>
                      <w:sz w:val="21"/>
                      <w:highlight w:val="none"/>
                      <w:lang w:val="en-US" w:eastAsia="zh-CN"/>
                    </w:rPr>
                  </w:pPr>
                </w:p>
              </w:tc>
              <w:tc>
                <w:tcPr>
                  <w:tcW w:w="1042" w:type="dxa"/>
                  <w:noWrap w:val="0"/>
                  <w:vAlign w:val="center"/>
                </w:tcPr>
                <w:p w14:paraId="36AEB40B">
                  <w:pPr>
                    <w:pStyle w:val="56"/>
                    <w:spacing w:line="240" w:lineRule="auto"/>
                    <w:ind w:firstLine="0" w:firstLineChars="0"/>
                    <w:jc w:val="center"/>
                    <w:rPr>
                      <w:rFonts w:hint="default" w:cs="Times New Roman"/>
                      <w:color w:val="auto"/>
                      <w:sz w:val="21"/>
                      <w:highlight w:val="none"/>
                      <w:lang w:val="en-US" w:eastAsia="zh-CN"/>
                    </w:rPr>
                  </w:pPr>
                  <w:r>
                    <w:rPr>
                      <w:rFonts w:hint="eastAsia" w:cs="Times New Roman"/>
                      <w:color w:val="auto"/>
                      <w:sz w:val="21"/>
                      <w:highlight w:val="none"/>
                      <w:lang w:val="en-US" w:eastAsia="zh-CN"/>
                    </w:rPr>
                    <w:t>0.0165</w:t>
                  </w:r>
                </w:p>
              </w:tc>
              <w:tc>
                <w:tcPr>
                  <w:tcW w:w="1175" w:type="dxa"/>
                  <w:noWrap w:val="0"/>
                  <w:vAlign w:val="center"/>
                </w:tcPr>
                <w:p w14:paraId="538DAAC5">
                  <w:pPr>
                    <w:pStyle w:val="56"/>
                    <w:spacing w:line="240" w:lineRule="auto"/>
                    <w:ind w:firstLine="0" w:firstLineChars="0"/>
                    <w:jc w:val="center"/>
                    <w:rPr>
                      <w:rFonts w:hint="default" w:cs="Times New Roman"/>
                      <w:color w:val="auto"/>
                      <w:sz w:val="21"/>
                      <w:highlight w:val="none"/>
                      <w:lang w:val="en-US" w:eastAsia="zh-CN"/>
                    </w:rPr>
                  </w:pPr>
                  <w:r>
                    <w:rPr>
                      <w:rFonts w:hint="eastAsia" w:cs="Times New Roman"/>
                      <w:color w:val="auto"/>
                      <w:sz w:val="21"/>
                      <w:highlight w:val="none"/>
                      <w:lang w:val="en-US" w:eastAsia="zh-CN"/>
                    </w:rPr>
                    <w:t>0.006875</w:t>
                  </w:r>
                </w:p>
              </w:tc>
              <w:tc>
                <w:tcPr>
                  <w:tcW w:w="1318" w:type="dxa"/>
                  <w:noWrap w:val="0"/>
                  <w:vAlign w:val="center"/>
                </w:tcPr>
                <w:p w14:paraId="349E1055">
                  <w:pPr>
                    <w:pStyle w:val="56"/>
                    <w:spacing w:line="240" w:lineRule="auto"/>
                    <w:ind w:firstLine="0" w:firstLineChars="0"/>
                    <w:jc w:val="center"/>
                    <w:rPr>
                      <w:rFonts w:hint="eastAsia" w:cs="Times New Roman"/>
                      <w:color w:val="auto"/>
                      <w:sz w:val="21"/>
                      <w:highlight w:val="none"/>
                      <w:lang w:val="en-US" w:eastAsia="zh-CN"/>
                    </w:rPr>
                  </w:pPr>
                  <w:r>
                    <w:rPr>
                      <w:rFonts w:hint="eastAsia" w:cs="Times New Roman"/>
                      <w:color w:val="auto"/>
                      <w:sz w:val="21"/>
                      <w:highlight w:val="none"/>
                      <w:lang w:val="en-US" w:eastAsia="zh-CN"/>
                    </w:rPr>
                    <w:t>方管</w:t>
                  </w:r>
                </w:p>
              </w:tc>
            </w:tr>
            <w:tr w14:paraId="13CC599F">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63" w:hRule="atLeast"/>
                <w:jc w:val="center"/>
              </w:trPr>
              <w:tc>
                <w:tcPr>
                  <w:tcW w:w="719" w:type="dxa"/>
                  <w:noWrap w:val="0"/>
                  <w:vAlign w:val="center"/>
                </w:tcPr>
                <w:p w14:paraId="09399056">
                  <w:pPr>
                    <w:pStyle w:val="56"/>
                    <w:spacing w:line="240" w:lineRule="auto"/>
                    <w:ind w:firstLine="0" w:firstLineChars="0"/>
                    <w:jc w:val="center"/>
                    <w:rPr>
                      <w:rFonts w:hint="default" w:cs="Times New Roman"/>
                      <w:color w:val="auto"/>
                      <w:sz w:val="21"/>
                      <w:highlight w:val="none"/>
                      <w:lang w:val="en-US" w:eastAsia="zh-CN"/>
                    </w:rPr>
                  </w:pPr>
                  <w:r>
                    <w:rPr>
                      <w:rFonts w:hint="eastAsia" w:cs="Times New Roman"/>
                      <w:color w:val="auto"/>
                      <w:sz w:val="21"/>
                      <w:highlight w:val="none"/>
                      <w:lang w:val="en-US" w:eastAsia="zh-CN"/>
                    </w:rPr>
                    <w:t>合计</w:t>
                  </w:r>
                </w:p>
              </w:tc>
              <w:tc>
                <w:tcPr>
                  <w:tcW w:w="1248" w:type="dxa"/>
                  <w:tcBorders>
                    <w:top w:val="single" w:color="auto" w:sz="4" w:space="0"/>
                  </w:tcBorders>
                  <w:noWrap w:val="0"/>
                  <w:vAlign w:val="center"/>
                </w:tcPr>
                <w:p w14:paraId="47714D2B">
                  <w:pPr>
                    <w:pStyle w:val="56"/>
                    <w:spacing w:line="240" w:lineRule="auto"/>
                    <w:ind w:firstLine="0" w:firstLineChars="0"/>
                    <w:jc w:val="center"/>
                    <w:rPr>
                      <w:rFonts w:hint="default" w:cs="Times New Roman"/>
                      <w:color w:val="auto"/>
                      <w:sz w:val="21"/>
                      <w:highlight w:val="none"/>
                      <w:lang w:val="en-US" w:eastAsia="zh-CN"/>
                    </w:rPr>
                  </w:pPr>
                  <w:r>
                    <w:rPr>
                      <w:rFonts w:hint="eastAsia" w:cs="Times New Roman"/>
                      <w:color w:val="auto"/>
                      <w:sz w:val="21"/>
                      <w:highlight w:val="none"/>
                      <w:lang w:val="en-US" w:eastAsia="zh-CN"/>
                    </w:rPr>
                    <w:t>1575</w:t>
                  </w:r>
                </w:p>
              </w:tc>
              <w:tc>
                <w:tcPr>
                  <w:tcW w:w="940" w:type="dxa"/>
                  <w:noWrap w:val="0"/>
                  <w:vAlign w:val="center"/>
                </w:tcPr>
                <w:p w14:paraId="250DD7C1">
                  <w:pPr>
                    <w:pStyle w:val="56"/>
                    <w:spacing w:line="240" w:lineRule="auto"/>
                    <w:ind w:firstLine="0" w:firstLineChars="0"/>
                    <w:jc w:val="center"/>
                    <w:rPr>
                      <w:rFonts w:hint="default" w:cs="Times New Roman"/>
                      <w:color w:val="auto"/>
                      <w:sz w:val="21"/>
                      <w:highlight w:val="none"/>
                      <w:lang w:val="en-US" w:eastAsia="zh-CN"/>
                    </w:rPr>
                  </w:pPr>
                  <w:r>
                    <w:rPr>
                      <w:rFonts w:hint="eastAsia" w:cs="Times New Roman"/>
                      <w:color w:val="auto"/>
                      <w:sz w:val="21"/>
                      <w:highlight w:val="none"/>
                      <w:lang w:val="en-US" w:eastAsia="zh-CN"/>
                    </w:rPr>
                    <w:t>/</w:t>
                  </w:r>
                </w:p>
              </w:tc>
              <w:tc>
                <w:tcPr>
                  <w:tcW w:w="1586" w:type="dxa"/>
                  <w:noWrap w:val="0"/>
                  <w:vAlign w:val="center"/>
                </w:tcPr>
                <w:p w14:paraId="44301973">
                  <w:pPr>
                    <w:pStyle w:val="56"/>
                    <w:spacing w:line="240" w:lineRule="auto"/>
                    <w:ind w:firstLine="0" w:firstLineChars="0"/>
                    <w:jc w:val="center"/>
                    <w:rPr>
                      <w:rFonts w:hint="default" w:cs="Times New Roman"/>
                      <w:color w:val="auto"/>
                      <w:sz w:val="21"/>
                      <w:highlight w:val="none"/>
                      <w:lang w:val="en-US" w:eastAsia="zh-CN"/>
                    </w:rPr>
                  </w:pPr>
                  <w:r>
                    <w:rPr>
                      <w:rFonts w:hint="eastAsia" w:cs="Times New Roman"/>
                      <w:color w:val="auto"/>
                      <w:sz w:val="21"/>
                      <w:highlight w:val="none"/>
                      <w:lang w:val="en-US" w:eastAsia="zh-CN"/>
                    </w:rPr>
                    <w:t>/</w:t>
                  </w:r>
                </w:p>
              </w:tc>
              <w:tc>
                <w:tcPr>
                  <w:tcW w:w="1042" w:type="dxa"/>
                  <w:noWrap w:val="0"/>
                  <w:vAlign w:val="center"/>
                </w:tcPr>
                <w:p w14:paraId="12A278DF">
                  <w:pPr>
                    <w:pStyle w:val="56"/>
                    <w:spacing w:line="240" w:lineRule="auto"/>
                    <w:ind w:firstLine="0" w:firstLineChars="0"/>
                    <w:jc w:val="center"/>
                    <w:rPr>
                      <w:rFonts w:hint="default" w:cs="Times New Roman"/>
                      <w:color w:val="auto"/>
                      <w:sz w:val="21"/>
                      <w:highlight w:val="none"/>
                      <w:lang w:val="en-US" w:eastAsia="zh-CN"/>
                    </w:rPr>
                  </w:pPr>
                  <w:r>
                    <w:rPr>
                      <w:rFonts w:hint="eastAsia" w:cs="Times New Roman"/>
                      <w:color w:val="auto"/>
                      <w:sz w:val="21"/>
                      <w:highlight w:val="none"/>
                      <w:lang w:val="en-US" w:eastAsia="zh-CN"/>
                    </w:rPr>
                    <w:t>1.7325</w:t>
                  </w:r>
                </w:p>
              </w:tc>
              <w:tc>
                <w:tcPr>
                  <w:tcW w:w="1175" w:type="dxa"/>
                  <w:noWrap w:val="0"/>
                  <w:vAlign w:val="center"/>
                </w:tcPr>
                <w:p w14:paraId="56F622F9">
                  <w:pPr>
                    <w:pStyle w:val="56"/>
                    <w:spacing w:line="240" w:lineRule="auto"/>
                    <w:ind w:firstLine="0" w:firstLineChars="0"/>
                    <w:jc w:val="center"/>
                    <w:rPr>
                      <w:rFonts w:hint="default" w:cs="Times New Roman"/>
                      <w:color w:val="auto"/>
                      <w:sz w:val="21"/>
                      <w:highlight w:val="none"/>
                      <w:lang w:val="en-US" w:eastAsia="zh-CN"/>
                    </w:rPr>
                  </w:pPr>
                  <w:r>
                    <w:rPr>
                      <w:rFonts w:hint="eastAsia" w:cs="Times New Roman"/>
                      <w:color w:val="auto"/>
                      <w:sz w:val="21"/>
                      <w:highlight w:val="none"/>
                      <w:lang w:val="en-US" w:eastAsia="zh-CN"/>
                    </w:rPr>
                    <w:t>0.721875</w:t>
                  </w:r>
                </w:p>
              </w:tc>
              <w:tc>
                <w:tcPr>
                  <w:tcW w:w="1318" w:type="dxa"/>
                  <w:noWrap w:val="0"/>
                  <w:vAlign w:val="center"/>
                </w:tcPr>
                <w:p w14:paraId="15A8F216">
                  <w:pPr>
                    <w:pStyle w:val="56"/>
                    <w:spacing w:line="240" w:lineRule="auto"/>
                    <w:ind w:firstLine="0" w:firstLineChars="0"/>
                    <w:jc w:val="center"/>
                    <w:rPr>
                      <w:rFonts w:hint="default" w:cs="Times New Roman"/>
                      <w:color w:val="auto"/>
                      <w:sz w:val="21"/>
                      <w:highlight w:val="none"/>
                      <w:lang w:val="en-US" w:eastAsia="zh-CN"/>
                    </w:rPr>
                  </w:pPr>
                  <w:r>
                    <w:rPr>
                      <w:rFonts w:hint="eastAsia" w:cs="Times New Roman"/>
                      <w:color w:val="auto"/>
                      <w:sz w:val="21"/>
                      <w:highlight w:val="none"/>
                      <w:lang w:val="en-US" w:eastAsia="zh-CN"/>
                    </w:rPr>
                    <w:t>/</w:t>
                  </w:r>
                </w:p>
              </w:tc>
            </w:tr>
          </w:tbl>
          <w:p w14:paraId="0343270F">
            <w:pPr>
              <w:pStyle w:val="56"/>
              <w:ind w:firstLine="420"/>
              <w:rPr>
                <w:rFonts w:hint="default" w:ascii="Times New Roman" w:hAnsi="Times New Roman" w:cs="Times New Roman"/>
                <w:color w:val="auto"/>
                <w:sz w:val="21"/>
                <w:szCs w:val="18"/>
                <w:highlight w:val="none"/>
              </w:rPr>
            </w:pPr>
            <w:r>
              <w:rPr>
                <w:rFonts w:hint="default" w:ascii="Times New Roman" w:hAnsi="Times New Roman" w:cs="Times New Roman"/>
                <w:color w:val="auto"/>
                <w:sz w:val="21"/>
                <w:szCs w:val="18"/>
                <w:highlight w:val="none"/>
              </w:rPr>
              <w:t>注：年工作时间为2400h。</w:t>
            </w:r>
          </w:p>
          <w:p w14:paraId="4B22D72F">
            <w:pPr>
              <w:pStyle w:val="56"/>
              <w:ind w:firstLine="480"/>
              <w:rPr>
                <w:rFonts w:hint="eastAsia"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本项目拟在生产车间下料区切割工序设置</w:t>
            </w:r>
            <w:r>
              <w:rPr>
                <w:rFonts w:hint="eastAsia" w:cs="Times New Roman"/>
                <w:color w:val="auto"/>
                <w:highlight w:val="none"/>
                <w:lang w:val="en-US" w:eastAsia="zh-CN"/>
              </w:rPr>
              <w:t>袋式除尘器</w:t>
            </w:r>
            <w:r>
              <w:rPr>
                <w:rFonts w:hint="default" w:ascii="Times New Roman" w:hAnsi="Times New Roman" w:cs="Times New Roman"/>
                <w:color w:val="auto"/>
                <w:highlight w:val="none"/>
              </w:rPr>
              <w:t>，切割金属粉尘经</w:t>
            </w:r>
            <w:r>
              <w:rPr>
                <w:rFonts w:hint="eastAsia" w:cs="Times New Roman"/>
                <w:color w:val="auto"/>
                <w:highlight w:val="none"/>
                <w:lang w:val="en-US" w:eastAsia="zh-CN"/>
              </w:rPr>
              <w:t>袋式除尘器</w:t>
            </w:r>
            <w:r>
              <w:rPr>
                <w:rFonts w:hint="default" w:ascii="Times New Roman" w:hAnsi="Times New Roman" w:cs="Times New Roman"/>
                <w:color w:val="auto"/>
                <w:highlight w:val="none"/>
              </w:rPr>
              <w:t>处理后经15m高排气筒(DA001)排放。</w:t>
            </w:r>
          </w:p>
          <w:p w14:paraId="61B4DFD7">
            <w:pPr>
              <w:spacing w:line="360" w:lineRule="auto"/>
              <w:ind w:firstLine="480" w:firstLineChars="200"/>
              <w:rPr>
                <w:rFonts w:hint="default" w:ascii="Times New Roman" w:hAnsi="Times New Roman" w:cs="Times New Roman"/>
                <w:color w:val="auto"/>
                <w:sz w:val="24"/>
                <w:szCs w:val="32"/>
                <w:highlight w:val="none"/>
              </w:rPr>
            </w:pPr>
            <w:r>
              <w:rPr>
                <w:rFonts w:hint="default" w:ascii="Times New Roman" w:hAnsi="Times New Roman" w:cs="Times New Roman"/>
                <w:snapToGrid w:val="0"/>
                <w:color w:val="auto"/>
                <w:kern w:val="0"/>
                <w:sz w:val="24"/>
                <w:highlight w:val="none"/>
              </w:rPr>
              <w:t>切割钢材量为</w:t>
            </w:r>
            <w:r>
              <w:rPr>
                <w:rFonts w:hint="eastAsia" w:cs="Times New Roman"/>
                <w:snapToGrid w:val="0"/>
                <w:color w:val="auto"/>
                <w:kern w:val="0"/>
                <w:sz w:val="24"/>
                <w:highlight w:val="none"/>
                <w:lang w:val="en-US" w:eastAsia="zh-CN"/>
              </w:rPr>
              <w:t>1575</w:t>
            </w:r>
            <w:r>
              <w:rPr>
                <w:rFonts w:hint="default" w:ascii="Times New Roman" w:hAnsi="Times New Roman" w:cs="Times New Roman"/>
                <w:snapToGrid w:val="0"/>
                <w:color w:val="auto"/>
                <w:kern w:val="0"/>
                <w:sz w:val="24"/>
                <w:highlight w:val="none"/>
              </w:rPr>
              <w:t>t/a，则颗粒物产生量</w:t>
            </w:r>
            <w:r>
              <w:rPr>
                <w:rFonts w:hint="eastAsia" w:cs="Times New Roman"/>
                <w:snapToGrid w:val="0"/>
                <w:color w:val="auto"/>
                <w:kern w:val="0"/>
                <w:sz w:val="24"/>
                <w:highlight w:val="none"/>
                <w:lang w:val="en-US" w:eastAsia="zh-CN"/>
              </w:rPr>
              <w:t>1.73</w:t>
            </w:r>
            <w:r>
              <w:rPr>
                <w:rFonts w:hint="default" w:ascii="Times New Roman" w:hAnsi="Times New Roman" w:cs="Times New Roman"/>
                <w:snapToGrid w:val="0"/>
                <w:color w:val="auto"/>
                <w:kern w:val="0"/>
                <w:sz w:val="24"/>
                <w:highlight w:val="none"/>
              </w:rPr>
              <w:t>t/a，产生速率为</w:t>
            </w:r>
            <w:r>
              <w:rPr>
                <w:rFonts w:hint="eastAsia" w:cs="Times New Roman"/>
                <w:snapToGrid w:val="0"/>
                <w:color w:val="auto"/>
                <w:kern w:val="0"/>
                <w:sz w:val="24"/>
                <w:highlight w:val="none"/>
                <w:lang w:val="en-US" w:eastAsia="zh-CN"/>
              </w:rPr>
              <w:t>0.72</w:t>
            </w:r>
            <w:r>
              <w:rPr>
                <w:rFonts w:hint="default" w:ascii="Times New Roman" w:hAnsi="Times New Roman" w:cs="Times New Roman"/>
                <w:snapToGrid w:val="0"/>
                <w:color w:val="auto"/>
                <w:kern w:val="0"/>
                <w:sz w:val="24"/>
                <w:highlight w:val="none"/>
              </w:rPr>
              <w:t>kg/h</w:t>
            </w:r>
            <w:r>
              <w:rPr>
                <w:rFonts w:hint="eastAsia" w:cs="Times New Roman"/>
                <w:snapToGrid w:val="0"/>
                <w:color w:val="auto"/>
                <w:kern w:val="0"/>
                <w:sz w:val="24"/>
                <w:highlight w:val="none"/>
                <w:lang w:eastAsia="zh-CN"/>
              </w:rPr>
              <w:t>。</w:t>
            </w:r>
            <w:r>
              <w:rPr>
                <w:rFonts w:hint="default" w:ascii="Times New Roman" w:hAnsi="Times New Roman" w:cs="Times New Roman"/>
                <w:snapToGrid w:val="0"/>
                <w:color w:val="auto"/>
                <w:sz w:val="24"/>
                <w:szCs w:val="32"/>
                <w:highlight w:val="none"/>
              </w:rPr>
              <w:t>在剪切工序设置1套集气罩</w:t>
            </w:r>
            <w:r>
              <w:rPr>
                <w:rFonts w:hint="eastAsia" w:cs="Times New Roman"/>
                <w:snapToGrid w:val="0"/>
                <w:color w:val="auto"/>
                <w:sz w:val="24"/>
                <w:szCs w:val="32"/>
                <w:highlight w:val="none"/>
                <w:lang w:eastAsia="zh-CN"/>
              </w:rPr>
              <w:t>。</w:t>
            </w:r>
            <w:r>
              <w:rPr>
                <w:rFonts w:hint="eastAsia" w:ascii="Times New Roman" w:hAnsi="Times New Roman" w:eastAsia="宋体" w:cs="Times New Roman"/>
                <w:color w:val="auto"/>
                <w:kern w:val="0"/>
                <w:sz w:val="24"/>
                <w:szCs w:val="24"/>
                <w:highlight w:val="none"/>
                <w:lang w:val="en-US" w:eastAsia="zh-CN" w:bidi="ar-SA"/>
              </w:rPr>
              <w:t>依据袋式除尘工程通用技术规范(HJ 2020-2012)中提到：“集气罩能实现对烟气（尘）的补集效果，捕集率不低于：a密闭罩100%；b半密闭罩95%；c吹吸罩90%；d屋顶排烟罩90%；e含有毒有害、易燃易爆污染源控制装置100%。”</w:t>
            </w:r>
            <w:r>
              <w:rPr>
                <w:rFonts w:hint="eastAsia" w:cs="Times New Roman"/>
                <w:color w:val="auto"/>
                <w:kern w:val="0"/>
                <w:sz w:val="24"/>
                <w:szCs w:val="24"/>
                <w:highlight w:val="none"/>
                <w:lang w:val="en-US" w:eastAsia="zh-CN" w:bidi="ar-SA"/>
              </w:rPr>
              <w:t>本工段采用激光切割，拟采用接受式集气罩，属于c吹吸罩，沿污染气流线方向设置集气罩口，污染气流可借助自身流动能量进入罩口，收集效率能够达到90%，</w:t>
            </w:r>
            <w:r>
              <w:rPr>
                <w:rFonts w:hint="default" w:ascii="Times New Roman" w:hAnsi="Times New Roman" w:eastAsia="宋体" w:cs="Times New Roman"/>
                <w:color w:val="auto"/>
                <w:kern w:val="0"/>
                <w:sz w:val="24"/>
                <w:szCs w:val="24"/>
                <w:highlight w:val="none"/>
                <w:lang w:val="en-US" w:eastAsia="zh-CN" w:bidi="ar-SA"/>
              </w:rPr>
              <w:t>本项目集气罩废气收集效率按90%计算，处理效率</w:t>
            </w:r>
            <w:r>
              <w:rPr>
                <w:rFonts w:hint="eastAsia" w:ascii="Times New Roman" w:hAnsi="Times New Roman" w:eastAsia="宋体" w:cs="Times New Roman"/>
                <w:color w:val="auto"/>
                <w:kern w:val="0"/>
                <w:sz w:val="24"/>
                <w:szCs w:val="24"/>
                <w:highlight w:val="none"/>
                <w:lang w:val="en-US" w:eastAsia="zh-CN" w:bidi="ar-SA"/>
              </w:rPr>
              <w:t>95</w:t>
            </w:r>
            <w:r>
              <w:rPr>
                <w:rFonts w:hint="default" w:ascii="Times New Roman" w:hAnsi="Times New Roman" w:eastAsia="宋体" w:cs="Times New Roman"/>
                <w:color w:val="auto"/>
                <w:kern w:val="0"/>
                <w:sz w:val="24"/>
                <w:szCs w:val="24"/>
                <w:highlight w:val="none"/>
                <w:lang w:val="en-US" w:eastAsia="zh-CN" w:bidi="ar-SA"/>
              </w:rPr>
              <w:t>%计算，风机风量：</w:t>
            </w:r>
            <w:r>
              <w:rPr>
                <w:rFonts w:hint="eastAsia" w:ascii="Times New Roman" w:hAnsi="Times New Roman" w:eastAsia="宋体" w:cs="Times New Roman"/>
                <w:color w:val="auto"/>
                <w:kern w:val="0"/>
                <w:sz w:val="24"/>
                <w:szCs w:val="24"/>
                <w:highlight w:val="none"/>
                <w:lang w:val="en-US" w:eastAsia="zh-CN" w:bidi="ar-SA"/>
              </w:rPr>
              <w:t>5000</w:t>
            </w:r>
            <w:r>
              <w:rPr>
                <w:rFonts w:hint="default" w:ascii="Times New Roman" w:hAnsi="Times New Roman" w:eastAsia="宋体" w:cs="Times New Roman"/>
                <w:color w:val="auto"/>
                <w:kern w:val="0"/>
                <w:sz w:val="24"/>
                <w:szCs w:val="24"/>
                <w:highlight w:val="none"/>
                <w:lang w:val="en-US" w:eastAsia="zh-CN" w:bidi="ar-SA"/>
              </w:rPr>
              <w:t>m</w:t>
            </w:r>
            <w:r>
              <w:rPr>
                <w:rFonts w:hint="default" w:ascii="Times New Roman" w:hAnsi="Times New Roman" w:eastAsia="宋体" w:cs="Times New Roman"/>
                <w:color w:val="auto"/>
                <w:kern w:val="0"/>
                <w:sz w:val="24"/>
                <w:szCs w:val="24"/>
                <w:highlight w:val="none"/>
                <w:vertAlign w:val="superscript"/>
                <w:lang w:val="en-US" w:eastAsia="zh-CN" w:bidi="ar-SA"/>
              </w:rPr>
              <w:t>3</w:t>
            </w:r>
            <w:r>
              <w:rPr>
                <w:rFonts w:hint="default" w:ascii="Times New Roman" w:hAnsi="Times New Roman" w:eastAsia="宋体" w:cs="Times New Roman"/>
                <w:color w:val="auto"/>
                <w:kern w:val="0"/>
                <w:sz w:val="24"/>
                <w:szCs w:val="24"/>
                <w:highlight w:val="none"/>
                <w:lang w:val="en-US" w:eastAsia="zh-CN" w:bidi="ar-SA"/>
              </w:rPr>
              <w:t>/h，</w:t>
            </w:r>
            <w:r>
              <w:rPr>
                <w:rFonts w:hint="default" w:ascii="Times New Roman" w:hAnsi="Times New Roman" w:cs="Times New Roman"/>
                <w:snapToGrid w:val="0"/>
                <w:color w:val="auto"/>
                <w:sz w:val="24"/>
                <w:szCs w:val="32"/>
                <w:highlight w:val="none"/>
              </w:rPr>
              <w:t>该工段集气罩收集粉尘为</w:t>
            </w:r>
            <w:r>
              <w:rPr>
                <w:rFonts w:hint="eastAsia" w:cs="Times New Roman"/>
                <w:snapToGrid w:val="0"/>
                <w:color w:val="auto"/>
                <w:sz w:val="24"/>
                <w:szCs w:val="32"/>
                <w:highlight w:val="none"/>
                <w:lang w:val="en-US" w:eastAsia="zh-CN"/>
              </w:rPr>
              <w:t>1.56</w:t>
            </w:r>
            <w:r>
              <w:rPr>
                <w:rFonts w:hint="default" w:ascii="Times New Roman" w:hAnsi="Times New Roman" w:cs="Times New Roman"/>
                <w:snapToGrid w:val="0"/>
                <w:color w:val="auto"/>
                <w:sz w:val="24"/>
                <w:szCs w:val="32"/>
                <w:highlight w:val="none"/>
              </w:rPr>
              <w:t>t/a，未收集的粉尘</w:t>
            </w:r>
            <w:r>
              <w:rPr>
                <w:rFonts w:hint="eastAsia" w:cs="Times New Roman"/>
                <w:snapToGrid w:val="0"/>
                <w:color w:val="auto"/>
                <w:sz w:val="24"/>
                <w:szCs w:val="32"/>
                <w:highlight w:val="none"/>
                <w:lang w:val="en-US" w:eastAsia="zh-CN"/>
              </w:rPr>
              <w:t>0.17</w:t>
            </w:r>
            <w:r>
              <w:rPr>
                <w:rFonts w:hint="default" w:ascii="Times New Roman" w:hAnsi="Times New Roman" w:cs="Times New Roman"/>
                <w:snapToGrid w:val="0"/>
                <w:color w:val="auto"/>
                <w:sz w:val="24"/>
                <w:szCs w:val="32"/>
                <w:highlight w:val="none"/>
              </w:rPr>
              <w:t>t/a以无组织形式排放，收集后的粉尘由管道统一收集排入</w:t>
            </w:r>
            <w:r>
              <w:rPr>
                <w:rFonts w:hint="eastAsia" w:cs="Times New Roman"/>
                <w:snapToGrid w:val="0"/>
                <w:color w:val="auto"/>
                <w:sz w:val="24"/>
                <w:szCs w:val="32"/>
                <w:highlight w:val="none"/>
                <w:lang w:val="en-US" w:eastAsia="zh-CN"/>
              </w:rPr>
              <w:t>袋式除尘器</w:t>
            </w:r>
            <w:r>
              <w:rPr>
                <w:rFonts w:hint="default" w:ascii="Times New Roman" w:hAnsi="Times New Roman" w:cs="Times New Roman"/>
                <w:snapToGrid w:val="0"/>
                <w:color w:val="auto"/>
                <w:sz w:val="24"/>
                <w:szCs w:val="32"/>
                <w:highlight w:val="none"/>
              </w:rPr>
              <w:t>处理，处理后经15米高排气筒（DA001）排放，排放量：0.</w:t>
            </w:r>
            <w:r>
              <w:rPr>
                <w:rFonts w:hint="eastAsia" w:cs="Times New Roman"/>
                <w:snapToGrid w:val="0"/>
                <w:color w:val="auto"/>
                <w:sz w:val="24"/>
                <w:szCs w:val="32"/>
                <w:highlight w:val="none"/>
                <w:lang w:val="en-US" w:eastAsia="zh-CN"/>
              </w:rPr>
              <w:t>078</w:t>
            </w:r>
            <w:r>
              <w:rPr>
                <w:rFonts w:hint="default" w:ascii="Times New Roman" w:hAnsi="Times New Roman" w:cs="Times New Roman"/>
                <w:snapToGrid w:val="0"/>
                <w:color w:val="auto"/>
                <w:sz w:val="24"/>
                <w:szCs w:val="32"/>
                <w:highlight w:val="none"/>
              </w:rPr>
              <w:t>t/a，排放浓度：</w:t>
            </w:r>
            <w:r>
              <w:rPr>
                <w:rFonts w:hint="eastAsia" w:cs="Times New Roman"/>
                <w:snapToGrid w:val="0"/>
                <w:color w:val="auto"/>
                <w:sz w:val="24"/>
                <w:szCs w:val="32"/>
                <w:highlight w:val="none"/>
                <w:lang w:val="en-US" w:eastAsia="zh-CN"/>
              </w:rPr>
              <w:t>6.5</w:t>
            </w:r>
            <w:r>
              <w:rPr>
                <w:rFonts w:hint="default" w:ascii="Times New Roman" w:hAnsi="Times New Roman" w:cs="Times New Roman"/>
                <w:snapToGrid w:val="0"/>
                <w:color w:val="auto"/>
                <w:sz w:val="24"/>
                <w:szCs w:val="32"/>
                <w:highlight w:val="none"/>
              </w:rPr>
              <w:t>mg/m</w:t>
            </w:r>
            <w:r>
              <w:rPr>
                <w:rFonts w:hint="default" w:ascii="Times New Roman" w:hAnsi="Times New Roman" w:cs="Times New Roman"/>
                <w:snapToGrid w:val="0"/>
                <w:color w:val="auto"/>
                <w:sz w:val="24"/>
                <w:szCs w:val="32"/>
                <w:highlight w:val="none"/>
                <w:vertAlign w:val="superscript"/>
              </w:rPr>
              <w:t>3</w:t>
            </w:r>
            <w:r>
              <w:rPr>
                <w:rFonts w:hint="default" w:ascii="Times New Roman" w:hAnsi="Times New Roman" w:cs="Times New Roman"/>
                <w:snapToGrid w:val="0"/>
                <w:color w:val="auto"/>
                <w:sz w:val="24"/>
                <w:szCs w:val="32"/>
                <w:highlight w:val="none"/>
              </w:rPr>
              <w:t>；排放速率：</w:t>
            </w:r>
            <w:r>
              <w:rPr>
                <w:rFonts w:hint="eastAsia" w:cs="Times New Roman"/>
                <w:snapToGrid w:val="0"/>
                <w:color w:val="auto"/>
                <w:sz w:val="24"/>
                <w:szCs w:val="32"/>
                <w:highlight w:val="none"/>
                <w:lang w:val="en-US" w:eastAsia="zh-CN"/>
              </w:rPr>
              <w:t>0.032</w:t>
            </w:r>
            <w:r>
              <w:rPr>
                <w:rFonts w:hint="default" w:ascii="Times New Roman" w:hAnsi="Times New Roman" w:cs="Times New Roman"/>
                <w:snapToGrid w:val="0"/>
                <w:color w:val="auto"/>
                <w:sz w:val="24"/>
                <w:szCs w:val="32"/>
                <w:highlight w:val="none"/>
              </w:rPr>
              <w:t>kg/h。</w:t>
            </w:r>
          </w:p>
          <w:p w14:paraId="0711ED04">
            <w:pPr>
              <w:pStyle w:val="56"/>
              <w:spacing w:line="240" w:lineRule="auto"/>
              <w:ind w:firstLine="0" w:firstLineChars="0"/>
              <w:jc w:val="center"/>
              <w:rPr>
                <w:rFonts w:hint="default" w:ascii="Times New Roman" w:hAnsi="Times New Roman" w:cs="Times New Roman"/>
                <w:b/>
                <w:bCs/>
                <w:color w:val="auto"/>
                <w:sz w:val="21"/>
                <w:szCs w:val="18"/>
                <w:highlight w:val="none"/>
              </w:rPr>
            </w:pPr>
            <w:r>
              <w:rPr>
                <w:rFonts w:hint="default" w:ascii="Times New Roman" w:hAnsi="Times New Roman" w:cs="Times New Roman"/>
                <w:b/>
                <w:bCs/>
                <w:color w:val="auto"/>
                <w:sz w:val="21"/>
                <w:szCs w:val="18"/>
                <w:highlight w:val="none"/>
              </w:rPr>
              <w:t>表4-2    切割下料废气排放情况一览表</w:t>
            </w:r>
          </w:p>
          <w:tbl>
            <w:tblPr>
              <w:tblStyle w:val="26"/>
              <w:tblW w:w="4998"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733"/>
              <w:gridCol w:w="907"/>
              <w:gridCol w:w="1078"/>
              <w:gridCol w:w="982"/>
              <w:gridCol w:w="768"/>
              <w:gridCol w:w="1357"/>
              <w:gridCol w:w="1202"/>
              <w:gridCol w:w="1082"/>
            </w:tblGrid>
            <w:tr w14:paraId="16A0CE93">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52" w:type="pct"/>
                  <w:vMerge w:val="restart"/>
                  <w:noWrap w:val="0"/>
                  <w:vAlign w:val="center"/>
                </w:tcPr>
                <w:p w14:paraId="1896BE9A">
                  <w:pPr>
                    <w:pStyle w:val="56"/>
                    <w:spacing w:line="240" w:lineRule="auto"/>
                    <w:ind w:firstLine="0" w:firstLineChars="0"/>
                    <w:jc w:val="center"/>
                    <w:rPr>
                      <w:rFonts w:hint="default" w:ascii="Times New Roman" w:hAnsi="Times New Roman" w:cs="Times New Roman"/>
                      <w:b/>
                      <w:bCs/>
                      <w:color w:val="auto"/>
                      <w:sz w:val="21"/>
                      <w:szCs w:val="18"/>
                      <w:highlight w:val="none"/>
                    </w:rPr>
                  </w:pPr>
                  <w:r>
                    <w:rPr>
                      <w:rFonts w:hint="default" w:ascii="Times New Roman" w:hAnsi="Times New Roman" w:cs="Times New Roman"/>
                      <w:b/>
                      <w:bCs/>
                      <w:color w:val="auto"/>
                      <w:sz w:val="21"/>
                      <w:szCs w:val="18"/>
                      <w:highlight w:val="none"/>
                    </w:rPr>
                    <w:t>位置</w:t>
                  </w:r>
                </w:p>
              </w:tc>
              <w:tc>
                <w:tcPr>
                  <w:tcW w:w="1223" w:type="pct"/>
                  <w:gridSpan w:val="2"/>
                  <w:tcBorders>
                    <w:bottom w:val="single" w:color="auto" w:sz="12" w:space="0"/>
                  </w:tcBorders>
                  <w:noWrap w:val="0"/>
                  <w:vAlign w:val="center"/>
                </w:tcPr>
                <w:p w14:paraId="38EA0FA4">
                  <w:pPr>
                    <w:pStyle w:val="56"/>
                    <w:spacing w:line="240" w:lineRule="auto"/>
                    <w:ind w:firstLine="0" w:firstLineChars="0"/>
                    <w:jc w:val="center"/>
                    <w:rPr>
                      <w:rFonts w:hint="default" w:ascii="Times New Roman" w:hAnsi="Times New Roman" w:cs="Times New Roman"/>
                      <w:b/>
                      <w:bCs/>
                      <w:color w:val="auto"/>
                      <w:sz w:val="21"/>
                      <w:szCs w:val="18"/>
                      <w:highlight w:val="none"/>
                    </w:rPr>
                  </w:pPr>
                  <w:r>
                    <w:rPr>
                      <w:rFonts w:hint="default" w:ascii="Times New Roman" w:hAnsi="Times New Roman" w:cs="Times New Roman"/>
                      <w:b/>
                      <w:bCs/>
                      <w:color w:val="auto"/>
                      <w:sz w:val="21"/>
                      <w:szCs w:val="18"/>
                      <w:highlight w:val="none"/>
                    </w:rPr>
                    <w:t>产生情况</w:t>
                  </w:r>
                </w:p>
              </w:tc>
              <w:tc>
                <w:tcPr>
                  <w:tcW w:w="605" w:type="pct"/>
                  <w:vMerge w:val="restart"/>
                  <w:noWrap w:val="0"/>
                  <w:vAlign w:val="center"/>
                </w:tcPr>
                <w:p w14:paraId="6E1E303D">
                  <w:pPr>
                    <w:pStyle w:val="56"/>
                    <w:spacing w:line="240" w:lineRule="auto"/>
                    <w:ind w:firstLine="0" w:firstLineChars="0"/>
                    <w:jc w:val="center"/>
                    <w:rPr>
                      <w:rFonts w:hint="default" w:ascii="Times New Roman" w:hAnsi="Times New Roman" w:cs="Times New Roman"/>
                      <w:b/>
                      <w:bCs/>
                      <w:color w:val="auto"/>
                      <w:sz w:val="21"/>
                      <w:szCs w:val="18"/>
                      <w:highlight w:val="none"/>
                    </w:rPr>
                  </w:pPr>
                  <w:r>
                    <w:rPr>
                      <w:rFonts w:hint="default" w:ascii="Times New Roman" w:hAnsi="Times New Roman" w:cs="Times New Roman"/>
                      <w:b/>
                      <w:bCs/>
                      <w:color w:val="auto"/>
                      <w:sz w:val="21"/>
                      <w:szCs w:val="18"/>
                      <w:highlight w:val="none"/>
                    </w:rPr>
                    <w:t>收集效率</w:t>
                  </w:r>
                </w:p>
              </w:tc>
              <w:tc>
                <w:tcPr>
                  <w:tcW w:w="473" w:type="pct"/>
                  <w:vMerge w:val="restart"/>
                  <w:noWrap w:val="0"/>
                  <w:vAlign w:val="center"/>
                </w:tcPr>
                <w:p w14:paraId="0BBD0928">
                  <w:pPr>
                    <w:pStyle w:val="56"/>
                    <w:spacing w:line="240" w:lineRule="auto"/>
                    <w:ind w:firstLine="0" w:firstLineChars="0"/>
                    <w:jc w:val="center"/>
                    <w:rPr>
                      <w:rFonts w:hint="default" w:ascii="Times New Roman" w:hAnsi="Times New Roman" w:cs="Times New Roman"/>
                      <w:b/>
                      <w:bCs/>
                      <w:color w:val="auto"/>
                      <w:sz w:val="21"/>
                      <w:szCs w:val="18"/>
                      <w:highlight w:val="none"/>
                    </w:rPr>
                  </w:pPr>
                  <w:r>
                    <w:rPr>
                      <w:rFonts w:hint="default" w:ascii="Times New Roman" w:hAnsi="Times New Roman" w:cs="Times New Roman"/>
                      <w:b/>
                      <w:bCs/>
                      <w:color w:val="auto"/>
                      <w:sz w:val="21"/>
                      <w:szCs w:val="18"/>
                      <w:highlight w:val="none"/>
                    </w:rPr>
                    <w:t>处理效率</w:t>
                  </w:r>
                </w:p>
              </w:tc>
              <w:tc>
                <w:tcPr>
                  <w:tcW w:w="2244" w:type="pct"/>
                  <w:gridSpan w:val="3"/>
                  <w:tcBorders>
                    <w:bottom w:val="single" w:color="auto" w:sz="12" w:space="0"/>
                  </w:tcBorders>
                  <w:noWrap w:val="0"/>
                  <w:vAlign w:val="center"/>
                </w:tcPr>
                <w:p w14:paraId="26132389">
                  <w:pPr>
                    <w:pStyle w:val="56"/>
                    <w:spacing w:line="240" w:lineRule="auto"/>
                    <w:ind w:firstLine="0" w:firstLineChars="0"/>
                    <w:jc w:val="center"/>
                    <w:rPr>
                      <w:rFonts w:hint="default" w:ascii="Times New Roman" w:hAnsi="Times New Roman" w:cs="Times New Roman"/>
                      <w:b/>
                      <w:bCs/>
                      <w:color w:val="auto"/>
                      <w:sz w:val="21"/>
                      <w:szCs w:val="18"/>
                      <w:highlight w:val="none"/>
                    </w:rPr>
                  </w:pPr>
                  <w:r>
                    <w:rPr>
                      <w:rFonts w:hint="default" w:ascii="Times New Roman" w:hAnsi="Times New Roman" w:cs="Times New Roman"/>
                      <w:b/>
                      <w:bCs/>
                      <w:color w:val="auto"/>
                      <w:sz w:val="21"/>
                      <w:szCs w:val="18"/>
                      <w:highlight w:val="none"/>
                    </w:rPr>
                    <w:t>排放情况</w:t>
                  </w:r>
                </w:p>
              </w:tc>
            </w:tr>
            <w:tr w14:paraId="0DE401A9">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52" w:type="pct"/>
                  <w:vMerge w:val="continue"/>
                  <w:tcBorders>
                    <w:bottom w:val="single" w:color="auto" w:sz="12" w:space="0"/>
                  </w:tcBorders>
                  <w:noWrap w:val="0"/>
                  <w:vAlign w:val="center"/>
                </w:tcPr>
                <w:p w14:paraId="6FFD5254">
                  <w:pPr>
                    <w:pStyle w:val="56"/>
                    <w:spacing w:line="240" w:lineRule="auto"/>
                    <w:ind w:firstLine="0" w:firstLineChars="0"/>
                    <w:jc w:val="center"/>
                    <w:rPr>
                      <w:rFonts w:hint="default" w:ascii="Times New Roman" w:hAnsi="Times New Roman" w:cs="Times New Roman"/>
                      <w:b/>
                      <w:bCs/>
                      <w:color w:val="auto"/>
                      <w:sz w:val="21"/>
                      <w:szCs w:val="18"/>
                      <w:highlight w:val="none"/>
                    </w:rPr>
                  </w:pPr>
                </w:p>
              </w:tc>
              <w:tc>
                <w:tcPr>
                  <w:tcW w:w="559" w:type="pct"/>
                  <w:tcBorders>
                    <w:bottom w:val="single" w:color="auto" w:sz="12" w:space="0"/>
                  </w:tcBorders>
                  <w:noWrap w:val="0"/>
                  <w:vAlign w:val="center"/>
                </w:tcPr>
                <w:p w14:paraId="288BFF06">
                  <w:pPr>
                    <w:pStyle w:val="56"/>
                    <w:spacing w:line="240" w:lineRule="auto"/>
                    <w:ind w:firstLine="0" w:firstLineChars="0"/>
                    <w:jc w:val="center"/>
                    <w:rPr>
                      <w:rFonts w:hint="default" w:ascii="Times New Roman" w:hAnsi="Times New Roman" w:cs="Times New Roman"/>
                      <w:b/>
                      <w:bCs/>
                      <w:color w:val="auto"/>
                      <w:sz w:val="21"/>
                      <w:szCs w:val="18"/>
                      <w:highlight w:val="none"/>
                    </w:rPr>
                  </w:pPr>
                  <w:r>
                    <w:rPr>
                      <w:rFonts w:hint="default" w:ascii="Times New Roman" w:hAnsi="Times New Roman" w:cs="Times New Roman"/>
                      <w:b/>
                      <w:bCs/>
                      <w:color w:val="auto"/>
                      <w:sz w:val="21"/>
                      <w:szCs w:val="18"/>
                      <w:highlight w:val="none"/>
                    </w:rPr>
                    <w:t>产生量（t/a）</w:t>
                  </w:r>
                </w:p>
              </w:tc>
              <w:tc>
                <w:tcPr>
                  <w:tcW w:w="664" w:type="pct"/>
                  <w:tcBorders>
                    <w:bottom w:val="single" w:color="auto" w:sz="12" w:space="0"/>
                  </w:tcBorders>
                  <w:noWrap w:val="0"/>
                  <w:vAlign w:val="center"/>
                </w:tcPr>
                <w:p w14:paraId="45AE88D7">
                  <w:pPr>
                    <w:pStyle w:val="56"/>
                    <w:spacing w:line="240" w:lineRule="auto"/>
                    <w:ind w:firstLine="0" w:firstLineChars="0"/>
                    <w:jc w:val="center"/>
                    <w:rPr>
                      <w:rFonts w:hint="default" w:ascii="Times New Roman" w:hAnsi="Times New Roman" w:cs="Times New Roman"/>
                      <w:b/>
                      <w:bCs/>
                      <w:color w:val="auto"/>
                      <w:sz w:val="21"/>
                      <w:szCs w:val="18"/>
                      <w:highlight w:val="none"/>
                    </w:rPr>
                  </w:pPr>
                  <w:r>
                    <w:rPr>
                      <w:rFonts w:hint="default" w:ascii="Times New Roman" w:hAnsi="Times New Roman" w:cs="Times New Roman"/>
                      <w:b/>
                      <w:bCs/>
                      <w:color w:val="auto"/>
                      <w:sz w:val="21"/>
                      <w:szCs w:val="18"/>
                      <w:highlight w:val="none"/>
                    </w:rPr>
                    <w:t>产生速率（kg/h）</w:t>
                  </w:r>
                </w:p>
              </w:tc>
              <w:tc>
                <w:tcPr>
                  <w:tcW w:w="605" w:type="pct"/>
                  <w:vMerge w:val="continue"/>
                  <w:tcBorders>
                    <w:bottom w:val="single" w:color="auto" w:sz="12" w:space="0"/>
                  </w:tcBorders>
                  <w:noWrap w:val="0"/>
                  <w:vAlign w:val="center"/>
                </w:tcPr>
                <w:p w14:paraId="16A1A07B">
                  <w:pPr>
                    <w:pStyle w:val="56"/>
                    <w:spacing w:line="240" w:lineRule="auto"/>
                    <w:ind w:firstLine="0" w:firstLineChars="0"/>
                    <w:jc w:val="center"/>
                    <w:rPr>
                      <w:rFonts w:hint="default" w:ascii="Times New Roman" w:hAnsi="Times New Roman" w:cs="Times New Roman"/>
                      <w:b/>
                      <w:bCs/>
                      <w:color w:val="auto"/>
                      <w:sz w:val="21"/>
                      <w:szCs w:val="18"/>
                      <w:highlight w:val="none"/>
                    </w:rPr>
                  </w:pPr>
                </w:p>
              </w:tc>
              <w:tc>
                <w:tcPr>
                  <w:tcW w:w="473" w:type="pct"/>
                  <w:vMerge w:val="continue"/>
                  <w:tcBorders>
                    <w:bottom w:val="single" w:color="auto" w:sz="12" w:space="0"/>
                  </w:tcBorders>
                  <w:noWrap w:val="0"/>
                  <w:vAlign w:val="center"/>
                </w:tcPr>
                <w:p w14:paraId="459AFB12">
                  <w:pPr>
                    <w:pStyle w:val="56"/>
                    <w:spacing w:line="240" w:lineRule="auto"/>
                    <w:ind w:firstLine="0" w:firstLineChars="0"/>
                    <w:jc w:val="center"/>
                    <w:rPr>
                      <w:rFonts w:hint="default" w:ascii="Times New Roman" w:hAnsi="Times New Roman" w:cs="Times New Roman"/>
                      <w:b/>
                      <w:bCs/>
                      <w:color w:val="auto"/>
                      <w:sz w:val="21"/>
                      <w:szCs w:val="18"/>
                      <w:highlight w:val="none"/>
                    </w:rPr>
                  </w:pPr>
                </w:p>
              </w:tc>
              <w:tc>
                <w:tcPr>
                  <w:tcW w:w="836" w:type="pct"/>
                  <w:tcBorders>
                    <w:bottom w:val="single" w:color="auto" w:sz="12" w:space="0"/>
                  </w:tcBorders>
                  <w:noWrap w:val="0"/>
                  <w:vAlign w:val="center"/>
                </w:tcPr>
                <w:p w14:paraId="31E0C55C">
                  <w:pPr>
                    <w:pStyle w:val="56"/>
                    <w:spacing w:line="240" w:lineRule="auto"/>
                    <w:ind w:firstLine="0" w:firstLineChars="0"/>
                    <w:jc w:val="center"/>
                    <w:rPr>
                      <w:rFonts w:hint="default" w:ascii="Times New Roman" w:hAnsi="Times New Roman" w:cs="Times New Roman"/>
                      <w:b/>
                      <w:bCs/>
                      <w:color w:val="auto"/>
                      <w:sz w:val="21"/>
                      <w:szCs w:val="18"/>
                      <w:highlight w:val="none"/>
                    </w:rPr>
                  </w:pPr>
                  <w:r>
                    <w:rPr>
                      <w:rFonts w:hint="default" w:ascii="Times New Roman" w:hAnsi="Times New Roman" w:cs="Times New Roman"/>
                      <w:b/>
                      <w:bCs/>
                      <w:color w:val="auto"/>
                      <w:sz w:val="21"/>
                      <w:szCs w:val="18"/>
                      <w:highlight w:val="none"/>
                    </w:rPr>
                    <w:t>排放浓度（mg/m</w:t>
                  </w:r>
                  <w:r>
                    <w:rPr>
                      <w:rFonts w:hint="default" w:ascii="Times New Roman" w:hAnsi="Times New Roman" w:cs="Times New Roman"/>
                      <w:b/>
                      <w:bCs/>
                      <w:color w:val="auto"/>
                      <w:sz w:val="21"/>
                      <w:szCs w:val="18"/>
                      <w:highlight w:val="none"/>
                      <w:vertAlign w:val="superscript"/>
                    </w:rPr>
                    <w:t>3</w:t>
                  </w:r>
                  <w:r>
                    <w:rPr>
                      <w:rFonts w:hint="default" w:ascii="Times New Roman" w:hAnsi="Times New Roman" w:cs="Times New Roman"/>
                      <w:b/>
                      <w:bCs/>
                      <w:color w:val="auto"/>
                      <w:sz w:val="21"/>
                      <w:szCs w:val="18"/>
                      <w:highlight w:val="none"/>
                    </w:rPr>
                    <w:t>）</w:t>
                  </w:r>
                </w:p>
              </w:tc>
              <w:tc>
                <w:tcPr>
                  <w:tcW w:w="741" w:type="pct"/>
                  <w:tcBorders>
                    <w:bottom w:val="single" w:color="auto" w:sz="12" w:space="0"/>
                  </w:tcBorders>
                  <w:noWrap w:val="0"/>
                  <w:vAlign w:val="center"/>
                </w:tcPr>
                <w:p w14:paraId="71602B86">
                  <w:pPr>
                    <w:pStyle w:val="56"/>
                    <w:spacing w:line="240" w:lineRule="auto"/>
                    <w:ind w:firstLine="0" w:firstLineChars="0"/>
                    <w:jc w:val="center"/>
                    <w:rPr>
                      <w:rFonts w:hint="default" w:ascii="Times New Roman" w:hAnsi="Times New Roman" w:cs="Times New Roman"/>
                      <w:b/>
                      <w:bCs/>
                      <w:color w:val="auto"/>
                      <w:sz w:val="21"/>
                      <w:szCs w:val="18"/>
                      <w:highlight w:val="none"/>
                    </w:rPr>
                  </w:pPr>
                  <w:r>
                    <w:rPr>
                      <w:rFonts w:hint="default" w:ascii="Times New Roman" w:hAnsi="Times New Roman" w:cs="Times New Roman"/>
                      <w:b/>
                      <w:bCs/>
                      <w:color w:val="auto"/>
                      <w:sz w:val="21"/>
                      <w:szCs w:val="18"/>
                      <w:highlight w:val="none"/>
                    </w:rPr>
                    <w:t>排放量（t/a）</w:t>
                  </w:r>
                </w:p>
              </w:tc>
              <w:tc>
                <w:tcPr>
                  <w:tcW w:w="667" w:type="pct"/>
                  <w:tcBorders>
                    <w:bottom w:val="single" w:color="auto" w:sz="12" w:space="0"/>
                  </w:tcBorders>
                  <w:noWrap w:val="0"/>
                  <w:vAlign w:val="center"/>
                </w:tcPr>
                <w:p w14:paraId="036D277A">
                  <w:pPr>
                    <w:pStyle w:val="56"/>
                    <w:spacing w:line="240" w:lineRule="auto"/>
                    <w:ind w:firstLine="0" w:firstLineChars="0"/>
                    <w:jc w:val="center"/>
                    <w:rPr>
                      <w:rFonts w:hint="default" w:ascii="Times New Roman" w:hAnsi="Times New Roman" w:cs="Times New Roman"/>
                      <w:b/>
                      <w:bCs/>
                      <w:color w:val="auto"/>
                      <w:sz w:val="21"/>
                      <w:szCs w:val="18"/>
                      <w:highlight w:val="none"/>
                    </w:rPr>
                  </w:pPr>
                  <w:r>
                    <w:rPr>
                      <w:rFonts w:hint="default" w:ascii="Times New Roman" w:hAnsi="Times New Roman" w:cs="Times New Roman"/>
                      <w:b/>
                      <w:bCs/>
                      <w:color w:val="auto"/>
                      <w:sz w:val="21"/>
                      <w:szCs w:val="18"/>
                      <w:highlight w:val="none"/>
                    </w:rPr>
                    <w:t>排放速率（kg/h）</w:t>
                  </w:r>
                </w:p>
              </w:tc>
            </w:tr>
            <w:tr w14:paraId="78B5EDAA">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52" w:type="pct"/>
                  <w:tcBorders>
                    <w:top w:val="single" w:color="auto" w:sz="12" w:space="0"/>
                  </w:tcBorders>
                  <w:noWrap w:val="0"/>
                  <w:vAlign w:val="center"/>
                </w:tcPr>
                <w:p w14:paraId="5BEE2CDA">
                  <w:pPr>
                    <w:pStyle w:val="56"/>
                    <w:spacing w:line="240" w:lineRule="auto"/>
                    <w:ind w:firstLine="0" w:firstLineChars="0"/>
                    <w:jc w:val="center"/>
                    <w:rPr>
                      <w:rFonts w:hint="default" w:ascii="Times New Roman" w:hAnsi="Times New Roman" w:cs="Times New Roman"/>
                      <w:color w:val="auto"/>
                      <w:sz w:val="21"/>
                      <w:szCs w:val="18"/>
                      <w:highlight w:val="none"/>
                    </w:rPr>
                  </w:pPr>
                  <w:r>
                    <w:rPr>
                      <w:rFonts w:hint="eastAsia" w:cs="Times New Roman"/>
                      <w:color w:val="auto"/>
                      <w:sz w:val="21"/>
                      <w:szCs w:val="18"/>
                      <w:highlight w:val="none"/>
                      <w:lang w:val="en-US" w:eastAsia="zh-CN"/>
                    </w:rPr>
                    <w:t>生产车间</w:t>
                  </w:r>
                </w:p>
              </w:tc>
              <w:tc>
                <w:tcPr>
                  <w:tcW w:w="559" w:type="pct"/>
                  <w:tcBorders>
                    <w:top w:val="single" w:color="auto" w:sz="12" w:space="0"/>
                  </w:tcBorders>
                  <w:noWrap w:val="0"/>
                  <w:vAlign w:val="center"/>
                </w:tcPr>
                <w:p w14:paraId="02D07DD0">
                  <w:pPr>
                    <w:pStyle w:val="56"/>
                    <w:spacing w:line="240" w:lineRule="auto"/>
                    <w:ind w:firstLine="0" w:firstLineChars="0"/>
                    <w:jc w:val="center"/>
                    <w:rPr>
                      <w:rFonts w:hint="default" w:ascii="Times New Roman" w:hAnsi="Times New Roman" w:eastAsia="宋体" w:cs="Times New Roman"/>
                      <w:color w:val="auto"/>
                      <w:sz w:val="21"/>
                      <w:szCs w:val="18"/>
                      <w:highlight w:val="none"/>
                      <w:lang w:val="en-US" w:eastAsia="zh-CN"/>
                    </w:rPr>
                  </w:pPr>
                  <w:r>
                    <w:rPr>
                      <w:rFonts w:hint="eastAsia" w:cs="Times New Roman"/>
                      <w:color w:val="auto"/>
                      <w:sz w:val="21"/>
                      <w:szCs w:val="18"/>
                      <w:highlight w:val="none"/>
                      <w:lang w:val="en-US" w:eastAsia="zh-CN"/>
                    </w:rPr>
                    <w:t>1.73</w:t>
                  </w:r>
                </w:p>
              </w:tc>
              <w:tc>
                <w:tcPr>
                  <w:tcW w:w="664" w:type="pct"/>
                  <w:tcBorders>
                    <w:top w:val="single" w:color="auto" w:sz="12" w:space="0"/>
                  </w:tcBorders>
                  <w:noWrap w:val="0"/>
                  <w:vAlign w:val="center"/>
                </w:tcPr>
                <w:p w14:paraId="741EA488">
                  <w:pPr>
                    <w:pStyle w:val="56"/>
                    <w:spacing w:line="240" w:lineRule="auto"/>
                    <w:ind w:firstLine="0" w:firstLineChars="0"/>
                    <w:jc w:val="center"/>
                    <w:rPr>
                      <w:rFonts w:hint="default" w:ascii="Times New Roman" w:hAnsi="Times New Roman" w:eastAsia="宋体" w:cs="Times New Roman"/>
                      <w:color w:val="auto"/>
                      <w:sz w:val="21"/>
                      <w:szCs w:val="18"/>
                      <w:highlight w:val="none"/>
                      <w:lang w:val="en-US" w:eastAsia="zh-CN"/>
                    </w:rPr>
                  </w:pPr>
                  <w:r>
                    <w:rPr>
                      <w:rFonts w:hint="eastAsia" w:cs="Times New Roman"/>
                      <w:color w:val="auto"/>
                      <w:sz w:val="21"/>
                      <w:szCs w:val="18"/>
                      <w:highlight w:val="none"/>
                      <w:lang w:val="en-US" w:eastAsia="zh-CN"/>
                    </w:rPr>
                    <w:t>0.72</w:t>
                  </w:r>
                </w:p>
              </w:tc>
              <w:tc>
                <w:tcPr>
                  <w:tcW w:w="605" w:type="pct"/>
                  <w:tcBorders>
                    <w:top w:val="single" w:color="auto" w:sz="12" w:space="0"/>
                  </w:tcBorders>
                  <w:noWrap w:val="0"/>
                  <w:vAlign w:val="center"/>
                </w:tcPr>
                <w:p w14:paraId="0D8E3BF3">
                  <w:pPr>
                    <w:pStyle w:val="56"/>
                    <w:spacing w:line="240" w:lineRule="auto"/>
                    <w:ind w:firstLine="0" w:firstLineChars="0"/>
                    <w:jc w:val="center"/>
                    <w:rPr>
                      <w:rFonts w:hint="default" w:ascii="Times New Roman" w:hAnsi="Times New Roman" w:cs="Times New Roman"/>
                      <w:color w:val="auto"/>
                      <w:sz w:val="21"/>
                      <w:szCs w:val="18"/>
                      <w:highlight w:val="none"/>
                    </w:rPr>
                  </w:pPr>
                  <w:r>
                    <w:rPr>
                      <w:rFonts w:hint="default" w:ascii="Times New Roman" w:hAnsi="Times New Roman" w:cs="Times New Roman"/>
                      <w:color w:val="auto"/>
                      <w:sz w:val="21"/>
                      <w:szCs w:val="18"/>
                      <w:highlight w:val="none"/>
                    </w:rPr>
                    <w:t>90%</w:t>
                  </w:r>
                </w:p>
              </w:tc>
              <w:tc>
                <w:tcPr>
                  <w:tcW w:w="473" w:type="pct"/>
                  <w:tcBorders>
                    <w:top w:val="single" w:color="auto" w:sz="12" w:space="0"/>
                  </w:tcBorders>
                  <w:noWrap w:val="0"/>
                  <w:vAlign w:val="center"/>
                </w:tcPr>
                <w:p w14:paraId="481C1A9C">
                  <w:pPr>
                    <w:pStyle w:val="56"/>
                    <w:spacing w:line="240" w:lineRule="auto"/>
                    <w:ind w:firstLine="0" w:firstLineChars="0"/>
                    <w:jc w:val="center"/>
                    <w:rPr>
                      <w:rFonts w:hint="default" w:ascii="Times New Roman" w:hAnsi="Times New Roman" w:cs="Times New Roman"/>
                      <w:color w:val="auto"/>
                      <w:sz w:val="21"/>
                      <w:szCs w:val="18"/>
                      <w:highlight w:val="none"/>
                    </w:rPr>
                  </w:pPr>
                  <w:r>
                    <w:rPr>
                      <w:rFonts w:hint="eastAsia" w:cs="Times New Roman"/>
                      <w:color w:val="auto"/>
                      <w:sz w:val="21"/>
                      <w:szCs w:val="18"/>
                      <w:highlight w:val="none"/>
                      <w:lang w:val="en-US" w:eastAsia="zh-CN"/>
                    </w:rPr>
                    <w:t>95</w:t>
                  </w:r>
                  <w:r>
                    <w:rPr>
                      <w:rFonts w:hint="default" w:ascii="Times New Roman" w:hAnsi="Times New Roman" w:cs="Times New Roman"/>
                      <w:color w:val="auto"/>
                      <w:sz w:val="21"/>
                      <w:szCs w:val="18"/>
                      <w:highlight w:val="none"/>
                    </w:rPr>
                    <w:t>%</w:t>
                  </w:r>
                </w:p>
              </w:tc>
              <w:tc>
                <w:tcPr>
                  <w:tcW w:w="836" w:type="pct"/>
                  <w:tcBorders>
                    <w:top w:val="single" w:color="auto" w:sz="12" w:space="0"/>
                  </w:tcBorders>
                  <w:noWrap w:val="0"/>
                  <w:vAlign w:val="center"/>
                </w:tcPr>
                <w:p w14:paraId="29BBC789">
                  <w:pPr>
                    <w:pStyle w:val="56"/>
                    <w:spacing w:line="240" w:lineRule="auto"/>
                    <w:ind w:firstLine="0" w:firstLineChars="0"/>
                    <w:jc w:val="center"/>
                    <w:rPr>
                      <w:rFonts w:hint="default" w:ascii="Times New Roman" w:hAnsi="Times New Roman" w:eastAsia="宋体" w:cs="Times New Roman"/>
                      <w:color w:val="auto"/>
                      <w:szCs w:val="18"/>
                      <w:highlight w:val="none"/>
                      <w:lang w:val="en-US" w:eastAsia="zh-CN"/>
                    </w:rPr>
                  </w:pPr>
                  <w:r>
                    <w:rPr>
                      <w:rFonts w:hint="eastAsia" w:ascii="Times New Roman" w:hAnsi="Times New Roman" w:eastAsia="宋体" w:cs="Times New Roman"/>
                      <w:color w:val="auto"/>
                      <w:sz w:val="21"/>
                      <w:szCs w:val="18"/>
                      <w:highlight w:val="none"/>
                      <w:lang w:val="en-US" w:eastAsia="zh-CN"/>
                    </w:rPr>
                    <w:t>6.5</w:t>
                  </w:r>
                </w:p>
              </w:tc>
              <w:tc>
                <w:tcPr>
                  <w:tcW w:w="741" w:type="pct"/>
                  <w:tcBorders>
                    <w:top w:val="single" w:color="auto" w:sz="12" w:space="0"/>
                  </w:tcBorders>
                  <w:noWrap w:val="0"/>
                  <w:vAlign w:val="center"/>
                </w:tcPr>
                <w:p w14:paraId="77EE0A7E">
                  <w:pPr>
                    <w:jc w:val="center"/>
                    <w:rPr>
                      <w:rFonts w:hint="default" w:ascii="Times New Roman" w:hAnsi="Times New Roman" w:eastAsia="宋体" w:cs="Times New Roman"/>
                      <w:color w:val="auto"/>
                      <w:szCs w:val="18"/>
                      <w:highlight w:val="none"/>
                      <w:lang w:val="en-US" w:eastAsia="zh-CN"/>
                    </w:rPr>
                  </w:pPr>
                  <w:r>
                    <w:rPr>
                      <w:rFonts w:hint="eastAsia" w:cs="Times New Roman"/>
                      <w:color w:val="auto"/>
                      <w:szCs w:val="18"/>
                      <w:highlight w:val="none"/>
                      <w:lang w:val="en-US" w:eastAsia="zh-CN"/>
                    </w:rPr>
                    <w:t>0.078</w:t>
                  </w:r>
                </w:p>
              </w:tc>
              <w:tc>
                <w:tcPr>
                  <w:tcW w:w="667" w:type="pct"/>
                  <w:tcBorders>
                    <w:top w:val="single" w:color="auto" w:sz="12" w:space="0"/>
                  </w:tcBorders>
                  <w:noWrap w:val="0"/>
                  <w:vAlign w:val="center"/>
                </w:tcPr>
                <w:p w14:paraId="1F039A4C">
                  <w:pPr>
                    <w:jc w:val="center"/>
                    <w:rPr>
                      <w:rFonts w:hint="default" w:ascii="Times New Roman" w:hAnsi="Times New Roman" w:eastAsia="宋体" w:cs="Times New Roman"/>
                      <w:color w:val="auto"/>
                      <w:szCs w:val="18"/>
                      <w:highlight w:val="none"/>
                      <w:lang w:val="en-US" w:eastAsia="zh-CN"/>
                    </w:rPr>
                  </w:pPr>
                  <w:r>
                    <w:rPr>
                      <w:rFonts w:hint="eastAsia" w:cs="Times New Roman"/>
                      <w:color w:val="auto"/>
                      <w:szCs w:val="18"/>
                      <w:highlight w:val="none"/>
                      <w:lang w:val="en-US" w:eastAsia="zh-CN"/>
                    </w:rPr>
                    <w:t>0.032</w:t>
                  </w:r>
                </w:p>
              </w:tc>
            </w:tr>
          </w:tbl>
          <w:p w14:paraId="5AB9519D">
            <w:pPr>
              <w:widowControl/>
              <w:spacing w:line="360" w:lineRule="auto"/>
              <w:ind w:firstLine="482" w:firstLineChars="200"/>
              <w:jc w:val="left"/>
              <w:rPr>
                <w:rFonts w:hint="default" w:ascii="Times New Roman" w:hAnsi="Times New Roman" w:cs="Times New Roman"/>
                <w:color w:val="auto"/>
                <w:sz w:val="24"/>
                <w:highlight w:val="none"/>
              </w:rPr>
            </w:pPr>
            <w:r>
              <w:rPr>
                <w:rFonts w:hint="default" w:ascii="Times New Roman" w:hAnsi="Times New Roman" w:cs="Times New Roman"/>
                <w:b/>
                <w:bCs/>
                <w:color w:val="auto"/>
                <w:kern w:val="0"/>
                <w:sz w:val="24"/>
                <w:highlight w:val="none"/>
                <w:lang w:bidi="ar"/>
              </w:rPr>
              <w:t>（2）焊接烟尘</w:t>
            </w:r>
          </w:p>
          <w:p w14:paraId="5E3401CE">
            <w:pPr>
              <w:spacing w:line="360" w:lineRule="auto"/>
              <w:ind w:firstLine="480" w:firstLineChars="200"/>
              <w:rPr>
                <w:rFonts w:hint="default" w:ascii="Times New Roman" w:hAnsi="Times New Roman" w:cs="Times New Roman"/>
                <w:bCs/>
                <w:color w:val="auto"/>
                <w:sz w:val="24"/>
                <w:highlight w:val="none"/>
              </w:rPr>
            </w:pPr>
            <w:r>
              <w:rPr>
                <w:rFonts w:hint="default" w:ascii="Times New Roman" w:hAnsi="Times New Roman" w:cs="Times New Roman"/>
                <w:color w:val="auto"/>
                <w:kern w:val="0"/>
                <w:sz w:val="24"/>
                <w:highlight w:val="none"/>
                <w:lang w:bidi="ar"/>
              </w:rPr>
              <w:t>本项目钢构生产线有时会根据需求进行焊接，被焊接材料和焊剂熔融时会产生大量的蒸汽，这些蒸汽在空气中迅速氧化和冷凝，从而形成金属及其化合物的颗粒，即焊接烟尘。根据《排放源统计调查产排污核算方法和系数手册》中机行业系数手册--33金属制品业、34通用设备制造业、35专用设备制造业、36汽车制造业、37铁路、船舶、航空航天和其他运输设备制造业、431金属制品修理、432通用设备修理、433专用设备修理、434铁路、船舶、航空航天等运输设备修理（不包括电镀工艺）手册中焊接工段实芯焊丝二氧化碳保护焊、埋弧焊、氩弧焊的产污系数为工业废气量为2130193立方米/吨-原料，颗粒物产生系数为9.19千克/吨-原料。</w:t>
            </w:r>
            <w:r>
              <w:rPr>
                <w:rFonts w:hint="default" w:ascii="Times New Roman" w:hAnsi="Times New Roman" w:cs="Times New Roman"/>
                <w:bCs/>
                <w:color w:val="auto"/>
                <w:sz w:val="24"/>
                <w:highlight w:val="none"/>
                <w:lang w:val="zh-CN"/>
              </w:rPr>
              <w:t>焊接烟尘</w:t>
            </w:r>
            <w:r>
              <w:rPr>
                <w:rFonts w:hint="default" w:ascii="Times New Roman" w:hAnsi="Times New Roman" w:cs="Times New Roman"/>
                <w:bCs/>
                <w:color w:val="auto"/>
                <w:sz w:val="24"/>
                <w:highlight w:val="none"/>
              </w:rPr>
              <w:t>产生量即为原料用量乘以产污系数。产污系数表见表4-3。</w:t>
            </w:r>
          </w:p>
          <w:p w14:paraId="2C553BED">
            <w:pPr>
              <w:pStyle w:val="12"/>
              <w:spacing w:before="0" w:after="0" w:line="240" w:lineRule="auto"/>
              <w:ind w:right="0"/>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表4-3   焊接烟尘产污系数表</w:t>
            </w:r>
          </w:p>
          <w:tbl>
            <w:tblPr>
              <w:tblStyle w:val="26"/>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37"/>
              <w:gridCol w:w="751"/>
              <w:gridCol w:w="1375"/>
              <w:gridCol w:w="1078"/>
              <w:gridCol w:w="717"/>
              <w:gridCol w:w="1030"/>
              <w:gridCol w:w="1286"/>
              <w:gridCol w:w="1038"/>
            </w:tblGrid>
            <w:tr w14:paraId="1194F14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8" w:type="dxa"/>
                  <w:noWrap w:val="0"/>
                  <w:vAlign w:val="center"/>
                </w:tcPr>
                <w:p w14:paraId="0EB2BE13">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产品名称</w:t>
                  </w:r>
                </w:p>
              </w:tc>
              <w:tc>
                <w:tcPr>
                  <w:tcW w:w="689" w:type="dxa"/>
                  <w:noWrap w:val="0"/>
                  <w:vAlign w:val="center"/>
                </w:tcPr>
                <w:p w14:paraId="2D834F6C">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原料名称</w:t>
                  </w:r>
                </w:p>
              </w:tc>
              <w:tc>
                <w:tcPr>
                  <w:tcW w:w="1261" w:type="dxa"/>
                  <w:noWrap w:val="0"/>
                  <w:vAlign w:val="center"/>
                </w:tcPr>
                <w:p w14:paraId="40020382">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工艺名称</w:t>
                  </w:r>
                </w:p>
              </w:tc>
              <w:tc>
                <w:tcPr>
                  <w:tcW w:w="989" w:type="dxa"/>
                  <w:noWrap w:val="0"/>
                  <w:vAlign w:val="center"/>
                </w:tcPr>
                <w:p w14:paraId="7B5C1ACB">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规模等级</w:t>
                  </w:r>
                </w:p>
              </w:tc>
              <w:tc>
                <w:tcPr>
                  <w:tcW w:w="1603" w:type="dxa"/>
                  <w:gridSpan w:val="2"/>
                  <w:noWrap w:val="0"/>
                  <w:vAlign w:val="center"/>
                </w:tcPr>
                <w:p w14:paraId="3FECDD91">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污染物类别及指标</w:t>
                  </w:r>
                </w:p>
              </w:tc>
              <w:tc>
                <w:tcPr>
                  <w:tcW w:w="1179" w:type="dxa"/>
                  <w:noWrap w:val="0"/>
                  <w:vAlign w:val="center"/>
                </w:tcPr>
                <w:p w14:paraId="40227024">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单位</w:t>
                  </w:r>
                </w:p>
              </w:tc>
              <w:tc>
                <w:tcPr>
                  <w:tcW w:w="951" w:type="dxa"/>
                  <w:noWrap w:val="0"/>
                  <w:vAlign w:val="center"/>
                </w:tcPr>
                <w:p w14:paraId="5D7DCE95">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产污系数</w:t>
                  </w:r>
                </w:p>
              </w:tc>
            </w:tr>
            <w:tr w14:paraId="19662C1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8" w:type="dxa"/>
                  <w:vMerge w:val="restart"/>
                  <w:noWrap w:val="0"/>
                  <w:vAlign w:val="center"/>
                </w:tcPr>
                <w:p w14:paraId="1D540422">
                  <w:pPr>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焊接件</w:t>
                  </w:r>
                </w:p>
              </w:tc>
              <w:tc>
                <w:tcPr>
                  <w:tcW w:w="689" w:type="dxa"/>
                  <w:vMerge w:val="restart"/>
                  <w:noWrap w:val="0"/>
                  <w:vAlign w:val="center"/>
                </w:tcPr>
                <w:p w14:paraId="29004863">
                  <w:pPr>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实芯焊丝</w:t>
                  </w:r>
                </w:p>
              </w:tc>
              <w:tc>
                <w:tcPr>
                  <w:tcW w:w="1261" w:type="dxa"/>
                  <w:vMerge w:val="restart"/>
                  <w:noWrap w:val="0"/>
                  <w:vAlign w:val="center"/>
                </w:tcPr>
                <w:p w14:paraId="59237C3C">
                  <w:pPr>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二氧化碳保护焊、埋弧焊、氩弧焊</w:t>
                  </w:r>
                </w:p>
              </w:tc>
              <w:tc>
                <w:tcPr>
                  <w:tcW w:w="989" w:type="dxa"/>
                  <w:noWrap w:val="0"/>
                  <w:vAlign w:val="center"/>
                </w:tcPr>
                <w:p w14:paraId="384BD167">
                  <w:pPr>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所有规模</w:t>
                  </w:r>
                </w:p>
              </w:tc>
              <w:tc>
                <w:tcPr>
                  <w:tcW w:w="658" w:type="dxa"/>
                  <w:noWrap w:val="0"/>
                  <w:vAlign w:val="center"/>
                </w:tcPr>
                <w:p w14:paraId="5245D47B">
                  <w:pPr>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废气</w:t>
                  </w:r>
                </w:p>
              </w:tc>
              <w:tc>
                <w:tcPr>
                  <w:tcW w:w="945" w:type="dxa"/>
                  <w:noWrap w:val="0"/>
                  <w:vAlign w:val="center"/>
                </w:tcPr>
                <w:p w14:paraId="3F65D6C2">
                  <w:pPr>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工业废气量</w:t>
                  </w:r>
                </w:p>
              </w:tc>
              <w:tc>
                <w:tcPr>
                  <w:tcW w:w="1179" w:type="dxa"/>
                  <w:noWrap w:val="0"/>
                  <w:vAlign w:val="center"/>
                </w:tcPr>
                <w:p w14:paraId="25617FCE">
                  <w:pPr>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标立方米/吨-原料</w:t>
                  </w:r>
                </w:p>
              </w:tc>
              <w:tc>
                <w:tcPr>
                  <w:tcW w:w="951" w:type="dxa"/>
                  <w:noWrap w:val="0"/>
                  <w:vAlign w:val="center"/>
                </w:tcPr>
                <w:p w14:paraId="10835368">
                  <w:pPr>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2130193</w:t>
                  </w:r>
                </w:p>
              </w:tc>
            </w:tr>
            <w:tr w14:paraId="4B236F7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8" w:type="dxa"/>
                  <w:vMerge w:val="continue"/>
                  <w:noWrap w:val="0"/>
                  <w:vAlign w:val="center"/>
                </w:tcPr>
                <w:p w14:paraId="7D717B73">
                  <w:pPr>
                    <w:jc w:val="center"/>
                    <w:rPr>
                      <w:rFonts w:hint="default" w:ascii="Times New Roman" w:hAnsi="Times New Roman" w:cs="Times New Roman"/>
                      <w:bCs/>
                      <w:color w:val="auto"/>
                      <w:szCs w:val="21"/>
                      <w:highlight w:val="none"/>
                    </w:rPr>
                  </w:pPr>
                </w:p>
              </w:tc>
              <w:tc>
                <w:tcPr>
                  <w:tcW w:w="689" w:type="dxa"/>
                  <w:vMerge w:val="continue"/>
                  <w:noWrap w:val="0"/>
                  <w:vAlign w:val="center"/>
                </w:tcPr>
                <w:p w14:paraId="703E826C">
                  <w:pPr>
                    <w:jc w:val="center"/>
                    <w:rPr>
                      <w:rFonts w:hint="default" w:ascii="Times New Roman" w:hAnsi="Times New Roman" w:cs="Times New Roman"/>
                      <w:bCs/>
                      <w:color w:val="auto"/>
                      <w:szCs w:val="21"/>
                      <w:highlight w:val="none"/>
                    </w:rPr>
                  </w:pPr>
                </w:p>
              </w:tc>
              <w:tc>
                <w:tcPr>
                  <w:tcW w:w="1261" w:type="dxa"/>
                  <w:vMerge w:val="continue"/>
                  <w:noWrap w:val="0"/>
                  <w:vAlign w:val="center"/>
                </w:tcPr>
                <w:p w14:paraId="1FEE426D">
                  <w:pPr>
                    <w:jc w:val="center"/>
                    <w:rPr>
                      <w:rFonts w:hint="default" w:ascii="Times New Roman" w:hAnsi="Times New Roman" w:cs="Times New Roman"/>
                      <w:bCs/>
                      <w:color w:val="auto"/>
                      <w:szCs w:val="21"/>
                      <w:highlight w:val="none"/>
                    </w:rPr>
                  </w:pPr>
                </w:p>
              </w:tc>
              <w:tc>
                <w:tcPr>
                  <w:tcW w:w="989" w:type="dxa"/>
                  <w:noWrap w:val="0"/>
                  <w:vAlign w:val="center"/>
                </w:tcPr>
                <w:p w14:paraId="6BB9C244">
                  <w:pPr>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所有规模</w:t>
                  </w:r>
                </w:p>
              </w:tc>
              <w:tc>
                <w:tcPr>
                  <w:tcW w:w="658" w:type="dxa"/>
                  <w:noWrap w:val="0"/>
                  <w:vAlign w:val="center"/>
                </w:tcPr>
                <w:p w14:paraId="151F7F62">
                  <w:pPr>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废气</w:t>
                  </w:r>
                </w:p>
              </w:tc>
              <w:tc>
                <w:tcPr>
                  <w:tcW w:w="945" w:type="dxa"/>
                  <w:noWrap w:val="0"/>
                  <w:vAlign w:val="center"/>
                </w:tcPr>
                <w:p w14:paraId="2C0E82B4">
                  <w:pPr>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颗粒物</w:t>
                  </w:r>
                </w:p>
              </w:tc>
              <w:tc>
                <w:tcPr>
                  <w:tcW w:w="1179" w:type="dxa"/>
                  <w:noWrap w:val="0"/>
                  <w:vAlign w:val="center"/>
                </w:tcPr>
                <w:p w14:paraId="309121AF">
                  <w:pPr>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千克/吨-原料</w:t>
                  </w:r>
                </w:p>
              </w:tc>
              <w:tc>
                <w:tcPr>
                  <w:tcW w:w="951" w:type="dxa"/>
                  <w:noWrap w:val="0"/>
                  <w:vAlign w:val="center"/>
                </w:tcPr>
                <w:p w14:paraId="7EB438E3">
                  <w:pPr>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9.19</w:t>
                  </w:r>
                </w:p>
              </w:tc>
            </w:tr>
          </w:tbl>
          <w:p w14:paraId="5EF4F74C">
            <w:pPr>
              <w:widowControl/>
              <w:spacing w:line="360" w:lineRule="auto"/>
              <w:ind w:firstLine="480" w:firstLineChars="200"/>
              <w:jc w:val="left"/>
              <w:rPr>
                <w:rFonts w:hint="default" w:ascii="Times New Roman" w:hAnsi="Times New Roman" w:cs="Times New Roman"/>
                <w:color w:val="auto"/>
                <w:kern w:val="0"/>
                <w:sz w:val="24"/>
                <w:highlight w:val="none"/>
                <w:lang w:bidi="ar"/>
              </w:rPr>
            </w:pPr>
            <w:r>
              <w:rPr>
                <w:rFonts w:hint="default" w:ascii="Times New Roman" w:hAnsi="Times New Roman" w:cs="Times New Roman"/>
                <w:color w:val="auto"/>
                <w:kern w:val="0"/>
                <w:sz w:val="24"/>
                <w:highlight w:val="none"/>
                <w:lang w:bidi="ar"/>
              </w:rPr>
              <w:t>本项目实心焊丝使用量为</w:t>
            </w:r>
            <w:r>
              <w:rPr>
                <w:rFonts w:hint="eastAsia" w:cs="Times New Roman"/>
                <w:color w:val="auto"/>
                <w:kern w:val="0"/>
                <w:sz w:val="24"/>
                <w:highlight w:val="none"/>
                <w:lang w:val="en-US" w:eastAsia="zh-CN" w:bidi="ar"/>
              </w:rPr>
              <w:t>10</w:t>
            </w:r>
            <w:r>
              <w:rPr>
                <w:rFonts w:hint="default" w:ascii="Times New Roman" w:hAnsi="Times New Roman" w:cs="Times New Roman"/>
                <w:color w:val="auto"/>
                <w:kern w:val="0"/>
                <w:sz w:val="24"/>
                <w:highlight w:val="none"/>
                <w:lang w:bidi="ar"/>
              </w:rPr>
              <w:t>t/a，则焊接烟尘产生量为</w:t>
            </w:r>
            <w:r>
              <w:rPr>
                <w:rFonts w:hint="eastAsia" w:cs="Times New Roman"/>
                <w:color w:val="auto"/>
                <w:kern w:val="0"/>
                <w:sz w:val="24"/>
                <w:highlight w:val="none"/>
                <w:lang w:val="en-US" w:eastAsia="zh-CN" w:bidi="ar"/>
              </w:rPr>
              <w:t>91.9kg</w:t>
            </w:r>
            <w:r>
              <w:rPr>
                <w:rFonts w:hint="default" w:ascii="Times New Roman" w:hAnsi="Times New Roman" w:cs="Times New Roman"/>
                <w:color w:val="auto"/>
                <w:kern w:val="0"/>
                <w:sz w:val="24"/>
                <w:highlight w:val="none"/>
                <w:lang w:bidi="ar"/>
              </w:rPr>
              <w:t>/a。有效工作时间按2400h计，则焊接烟尘产生速率为</w:t>
            </w:r>
            <w:r>
              <w:rPr>
                <w:rFonts w:hint="eastAsia" w:cs="Times New Roman"/>
                <w:color w:val="auto"/>
                <w:kern w:val="0"/>
                <w:sz w:val="24"/>
                <w:highlight w:val="none"/>
                <w:lang w:val="en-US" w:eastAsia="zh-CN" w:bidi="ar"/>
              </w:rPr>
              <w:t>0.038</w:t>
            </w:r>
            <w:r>
              <w:rPr>
                <w:rFonts w:hint="default" w:ascii="Times New Roman" w:hAnsi="Times New Roman" w:cs="Times New Roman"/>
                <w:color w:val="auto"/>
                <w:kern w:val="0"/>
                <w:sz w:val="24"/>
                <w:highlight w:val="none"/>
                <w:lang w:bidi="ar"/>
              </w:rPr>
              <w:t>kg/h。</w:t>
            </w:r>
          </w:p>
          <w:p w14:paraId="6279DBDE">
            <w:pPr>
              <w:pStyle w:val="12"/>
              <w:snapToGrid/>
              <w:spacing w:before="0" w:after="0" w:line="360" w:lineRule="auto"/>
              <w:ind w:right="0"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建设单位拟在焊接工序设置</w:t>
            </w:r>
            <w:r>
              <w:rPr>
                <w:rFonts w:hint="eastAsia" w:ascii="Times New Roman" w:hAnsi="Times New Roman" w:cs="Times New Roman"/>
                <w:color w:val="auto"/>
                <w:sz w:val="24"/>
                <w:szCs w:val="24"/>
                <w:highlight w:val="none"/>
                <w:lang w:val="en-US" w:eastAsia="zh-CN"/>
              </w:rPr>
              <w:t>移动式烟尘</w:t>
            </w:r>
            <w:r>
              <w:rPr>
                <w:rFonts w:hint="default" w:ascii="Times New Roman" w:hAnsi="Times New Roman" w:cs="Times New Roman"/>
                <w:color w:val="auto"/>
                <w:sz w:val="24"/>
                <w:szCs w:val="24"/>
                <w:highlight w:val="none"/>
              </w:rPr>
              <w:t>净化器对该部分废气进行处理。</w:t>
            </w:r>
            <w:r>
              <w:rPr>
                <w:rFonts w:hint="eastAsia" w:ascii="Times New Roman" w:hAnsi="Times New Roman" w:cs="Times New Roman"/>
                <w:color w:val="auto"/>
                <w:sz w:val="24"/>
                <w:szCs w:val="24"/>
                <w:highlight w:val="none"/>
                <w:lang w:val="en-US" w:eastAsia="zh-CN"/>
              </w:rPr>
              <w:t>烟尘</w:t>
            </w:r>
            <w:r>
              <w:rPr>
                <w:rFonts w:hint="default" w:ascii="Times New Roman" w:hAnsi="Times New Roman" w:cs="Times New Roman"/>
                <w:color w:val="auto"/>
                <w:sz w:val="24"/>
                <w:szCs w:val="24"/>
                <w:highlight w:val="none"/>
              </w:rPr>
              <w:t>净化器自带集气罩</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此集气罩类型为侧吸式外部集气罩，优点是吸气臂可360°移动，可快速定位至不同工位，更好的实现对焊接烟尘的收集，缺点是可移动带来的收集效率易被环境影响，因此</w:t>
            </w:r>
            <w:r>
              <w:rPr>
                <w:rFonts w:hint="default" w:ascii="Times New Roman" w:hAnsi="Times New Roman" w:cs="Times New Roman"/>
                <w:color w:val="auto"/>
                <w:sz w:val="24"/>
                <w:szCs w:val="24"/>
                <w:highlight w:val="none"/>
              </w:rPr>
              <w:t>收集效率以</w:t>
            </w:r>
            <w:r>
              <w:rPr>
                <w:rFonts w:hint="default" w:ascii="Times New Roman" w:hAnsi="Times New Roman" w:cs="Times New Roman"/>
                <w:color w:val="auto"/>
                <w:sz w:val="24"/>
                <w:szCs w:val="24"/>
                <w:highlight w:val="none"/>
                <w:lang w:val="en-US" w:eastAsia="zh-CN"/>
              </w:rPr>
              <w:t>7</w:t>
            </w:r>
            <w:r>
              <w:rPr>
                <w:rFonts w:hint="default" w:ascii="Times New Roman" w:hAnsi="Times New Roman" w:cs="Times New Roman"/>
                <w:color w:val="auto"/>
                <w:sz w:val="24"/>
                <w:szCs w:val="24"/>
                <w:highlight w:val="none"/>
              </w:rPr>
              <w:t>0％计，焊烟净化器处理原理为袋式除尘器，处理效率不低于</w:t>
            </w:r>
            <w:r>
              <w:rPr>
                <w:rFonts w:hint="eastAsia" w:ascii="Times New Roman" w:hAnsi="Times New Roman" w:cs="Times New Roman"/>
                <w:color w:val="auto"/>
                <w:sz w:val="24"/>
                <w:szCs w:val="24"/>
                <w:highlight w:val="none"/>
                <w:lang w:val="en-US" w:eastAsia="zh-CN"/>
              </w:rPr>
              <w:t>95</w:t>
            </w:r>
            <w:r>
              <w:rPr>
                <w:rFonts w:hint="default" w:ascii="Times New Roman" w:hAnsi="Times New Roman" w:cs="Times New Roman"/>
                <w:color w:val="auto"/>
                <w:sz w:val="24"/>
                <w:szCs w:val="24"/>
                <w:highlight w:val="none"/>
              </w:rPr>
              <w:t>％，处理后的废气在车间内无组织排放。本项目年生产时长2400h，则焊接烟尘收集量为</w:t>
            </w:r>
            <w:r>
              <w:rPr>
                <w:rFonts w:hint="eastAsia" w:ascii="Times New Roman" w:hAnsi="Times New Roman" w:cs="Times New Roman"/>
                <w:color w:val="auto"/>
                <w:sz w:val="24"/>
                <w:szCs w:val="24"/>
                <w:highlight w:val="none"/>
                <w:lang w:val="en-US" w:eastAsia="zh-CN"/>
              </w:rPr>
              <w:t>64.33kg</w:t>
            </w:r>
            <w:r>
              <w:rPr>
                <w:rFonts w:hint="default" w:ascii="Times New Roman" w:hAnsi="Times New Roman" w:cs="Times New Roman"/>
                <w:color w:val="auto"/>
                <w:sz w:val="24"/>
                <w:szCs w:val="24"/>
                <w:highlight w:val="none"/>
              </w:rPr>
              <w:t>/a，处理后排放量为</w:t>
            </w:r>
            <w:r>
              <w:rPr>
                <w:rFonts w:hint="eastAsia" w:ascii="Times New Roman" w:hAnsi="Times New Roman" w:cs="Times New Roman"/>
                <w:color w:val="auto"/>
                <w:sz w:val="24"/>
                <w:szCs w:val="24"/>
                <w:highlight w:val="none"/>
                <w:lang w:val="en-US" w:eastAsia="zh-CN"/>
              </w:rPr>
              <w:t>3.22kg</w:t>
            </w:r>
            <w:r>
              <w:rPr>
                <w:rFonts w:hint="default" w:ascii="Times New Roman" w:hAnsi="Times New Roman" w:cs="Times New Roman"/>
                <w:color w:val="auto"/>
                <w:sz w:val="24"/>
                <w:szCs w:val="24"/>
                <w:highlight w:val="none"/>
              </w:rPr>
              <w:t>/a。未收集焊接烟尘量为</w:t>
            </w:r>
            <w:r>
              <w:rPr>
                <w:rFonts w:hint="eastAsia" w:ascii="Times New Roman" w:hAnsi="Times New Roman" w:cs="Times New Roman"/>
                <w:color w:val="auto"/>
                <w:sz w:val="24"/>
                <w:szCs w:val="24"/>
                <w:highlight w:val="none"/>
                <w:lang w:val="en-US" w:eastAsia="zh-CN"/>
              </w:rPr>
              <w:t>27.57kg</w:t>
            </w:r>
            <w:r>
              <w:rPr>
                <w:rFonts w:hint="default" w:ascii="Times New Roman" w:hAnsi="Times New Roman" w:cs="Times New Roman"/>
                <w:color w:val="auto"/>
                <w:sz w:val="24"/>
                <w:szCs w:val="24"/>
                <w:highlight w:val="none"/>
              </w:rPr>
              <w:t>/a。故无组织焊接烟尘排放量合计</w:t>
            </w:r>
            <w:r>
              <w:rPr>
                <w:rFonts w:hint="eastAsia" w:ascii="Times New Roman" w:hAnsi="Times New Roman" w:cs="Times New Roman"/>
                <w:color w:val="auto"/>
                <w:sz w:val="24"/>
                <w:szCs w:val="24"/>
                <w:highlight w:val="none"/>
                <w:lang w:val="en-US" w:eastAsia="zh-CN"/>
              </w:rPr>
              <w:t>30.79kg</w:t>
            </w:r>
            <w:r>
              <w:rPr>
                <w:rFonts w:hint="default" w:ascii="Times New Roman" w:hAnsi="Times New Roman" w:cs="Times New Roman"/>
                <w:color w:val="auto"/>
                <w:sz w:val="24"/>
                <w:szCs w:val="24"/>
                <w:highlight w:val="none"/>
              </w:rPr>
              <w:t>/a，排放速率为0.0</w:t>
            </w:r>
            <w:r>
              <w:rPr>
                <w:rFonts w:hint="eastAsia" w:ascii="Times New Roman" w:hAnsi="Times New Roman" w:cs="Times New Roman"/>
                <w:color w:val="auto"/>
                <w:sz w:val="24"/>
                <w:szCs w:val="24"/>
                <w:highlight w:val="none"/>
                <w:lang w:val="en-US" w:eastAsia="zh-CN"/>
              </w:rPr>
              <w:t>13</w:t>
            </w:r>
            <w:r>
              <w:rPr>
                <w:rFonts w:hint="default" w:ascii="Times New Roman" w:hAnsi="Times New Roman" w:cs="Times New Roman"/>
                <w:color w:val="auto"/>
                <w:sz w:val="24"/>
                <w:szCs w:val="24"/>
                <w:highlight w:val="none"/>
              </w:rPr>
              <w:t>kg/h。</w:t>
            </w:r>
          </w:p>
          <w:p w14:paraId="6034543D">
            <w:pPr>
              <w:pStyle w:val="12"/>
              <w:snapToGrid/>
              <w:spacing w:before="0" w:after="0" w:line="360" w:lineRule="auto"/>
              <w:ind w:right="0"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经焊烟净化器处理后的烟尘排放量极小，且焊接工序置于密闭车间内，该部分粉尘影响忽略不计。</w:t>
            </w:r>
          </w:p>
          <w:p w14:paraId="5A7E203B">
            <w:pPr>
              <w:pStyle w:val="12"/>
              <w:snapToGrid/>
              <w:spacing w:before="0" w:after="0" w:line="240" w:lineRule="auto"/>
              <w:ind w:right="0"/>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表4-4   颗粒物产排污情况一览表</w:t>
            </w:r>
          </w:p>
          <w:tbl>
            <w:tblPr>
              <w:tblStyle w:val="26"/>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87"/>
              <w:gridCol w:w="792"/>
              <w:gridCol w:w="740"/>
              <w:gridCol w:w="792"/>
              <w:gridCol w:w="502"/>
              <w:gridCol w:w="1140"/>
              <w:gridCol w:w="883"/>
              <w:gridCol w:w="821"/>
              <w:gridCol w:w="821"/>
              <w:gridCol w:w="831"/>
            </w:tblGrid>
            <w:tr w14:paraId="629C03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5" w:type="pct"/>
                  <w:vMerge w:val="restart"/>
                  <w:noWrap w:val="0"/>
                  <w:vAlign w:val="center"/>
                </w:tcPr>
                <w:p w14:paraId="7B194A07">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产排污环节</w:t>
                  </w:r>
                </w:p>
              </w:tc>
              <w:tc>
                <w:tcPr>
                  <w:tcW w:w="488" w:type="pct"/>
                  <w:vMerge w:val="restart"/>
                  <w:noWrap w:val="0"/>
                  <w:vAlign w:val="center"/>
                </w:tcPr>
                <w:p w14:paraId="5F250595">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污染物种类</w:t>
                  </w:r>
                </w:p>
              </w:tc>
              <w:tc>
                <w:tcPr>
                  <w:tcW w:w="456" w:type="pct"/>
                  <w:vMerge w:val="restart"/>
                  <w:noWrap w:val="0"/>
                  <w:vAlign w:val="center"/>
                </w:tcPr>
                <w:p w14:paraId="35807EF3">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产生量</w:t>
                  </w:r>
                  <w:r>
                    <w:rPr>
                      <w:rFonts w:hint="eastAsia" w:cs="Times New Roman"/>
                      <w:b/>
                      <w:bCs/>
                      <w:color w:val="auto"/>
                      <w:szCs w:val="21"/>
                      <w:highlight w:val="none"/>
                      <w:lang w:val="en-US" w:eastAsia="zh-CN"/>
                    </w:rPr>
                    <w:t>kg</w:t>
                  </w:r>
                  <w:r>
                    <w:rPr>
                      <w:rFonts w:hint="default" w:ascii="Times New Roman" w:hAnsi="Times New Roman" w:cs="Times New Roman"/>
                      <w:b/>
                      <w:bCs/>
                      <w:color w:val="auto"/>
                      <w:szCs w:val="21"/>
                      <w:highlight w:val="none"/>
                    </w:rPr>
                    <w:t>/a</w:t>
                  </w:r>
                </w:p>
              </w:tc>
              <w:tc>
                <w:tcPr>
                  <w:tcW w:w="488" w:type="pct"/>
                  <w:vMerge w:val="restart"/>
                  <w:noWrap w:val="0"/>
                  <w:vAlign w:val="center"/>
                </w:tcPr>
                <w:p w14:paraId="47BCB1F5">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产生</w:t>
                  </w:r>
                </w:p>
                <w:p w14:paraId="0D190012">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速率</w:t>
                  </w:r>
                </w:p>
                <w:p w14:paraId="13726046">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kg/h</w:t>
                  </w:r>
                </w:p>
              </w:tc>
              <w:tc>
                <w:tcPr>
                  <w:tcW w:w="309" w:type="pct"/>
                  <w:vMerge w:val="restart"/>
                  <w:noWrap w:val="0"/>
                  <w:vAlign w:val="center"/>
                </w:tcPr>
                <w:p w14:paraId="1FB69775">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排放</w:t>
                  </w:r>
                </w:p>
                <w:p w14:paraId="03845671">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方式</w:t>
                  </w:r>
                </w:p>
              </w:tc>
              <w:tc>
                <w:tcPr>
                  <w:tcW w:w="1246" w:type="pct"/>
                  <w:gridSpan w:val="2"/>
                  <w:noWrap w:val="0"/>
                  <w:vAlign w:val="center"/>
                </w:tcPr>
                <w:p w14:paraId="37DC6062">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污染防治设施</w:t>
                  </w:r>
                </w:p>
              </w:tc>
              <w:tc>
                <w:tcPr>
                  <w:tcW w:w="506" w:type="pct"/>
                  <w:vMerge w:val="restart"/>
                  <w:noWrap w:val="0"/>
                  <w:vAlign w:val="center"/>
                </w:tcPr>
                <w:p w14:paraId="1BABD4D7">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排放量</w:t>
                  </w:r>
                  <w:r>
                    <w:rPr>
                      <w:rFonts w:hint="eastAsia" w:cs="Times New Roman"/>
                      <w:b/>
                      <w:bCs/>
                      <w:color w:val="auto"/>
                      <w:szCs w:val="21"/>
                      <w:highlight w:val="none"/>
                      <w:lang w:val="en-US" w:eastAsia="zh-CN"/>
                    </w:rPr>
                    <w:t>kg</w:t>
                  </w:r>
                  <w:r>
                    <w:rPr>
                      <w:rFonts w:hint="default" w:ascii="Times New Roman" w:hAnsi="Times New Roman" w:cs="Times New Roman"/>
                      <w:b/>
                      <w:bCs/>
                      <w:color w:val="auto"/>
                      <w:szCs w:val="21"/>
                      <w:highlight w:val="none"/>
                    </w:rPr>
                    <w:t>/a</w:t>
                  </w:r>
                </w:p>
              </w:tc>
              <w:tc>
                <w:tcPr>
                  <w:tcW w:w="506" w:type="pct"/>
                  <w:vMerge w:val="restart"/>
                  <w:noWrap w:val="0"/>
                  <w:vAlign w:val="center"/>
                </w:tcPr>
                <w:p w14:paraId="5DB0FB5F">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排放速率</w:t>
                  </w:r>
                </w:p>
                <w:p w14:paraId="12EA76DB">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kg/h</w:t>
                  </w:r>
                </w:p>
              </w:tc>
              <w:tc>
                <w:tcPr>
                  <w:tcW w:w="511" w:type="pct"/>
                  <w:vMerge w:val="restart"/>
                  <w:noWrap w:val="0"/>
                  <w:vAlign w:val="center"/>
                </w:tcPr>
                <w:p w14:paraId="2329D0CC">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排放浓度</w:t>
                  </w:r>
                  <w:r>
                    <w:rPr>
                      <w:rFonts w:hint="default" w:ascii="Times New Roman" w:hAnsi="Times New Roman" w:cs="Times New Roman"/>
                      <w:b/>
                      <w:bCs/>
                      <w:color w:val="auto"/>
                      <w:highlight w:val="none"/>
                    </w:rPr>
                    <w:t>mg/m</w:t>
                  </w:r>
                  <w:r>
                    <w:rPr>
                      <w:rFonts w:hint="default" w:ascii="Times New Roman" w:hAnsi="Times New Roman" w:cs="Times New Roman"/>
                      <w:b/>
                      <w:bCs/>
                      <w:color w:val="auto"/>
                      <w:highlight w:val="none"/>
                      <w:vertAlign w:val="superscript"/>
                    </w:rPr>
                    <w:t>3</w:t>
                  </w:r>
                </w:p>
              </w:tc>
            </w:tr>
            <w:tr w14:paraId="64CB25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5" w:type="pct"/>
                  <w:vMerge w:val="continue"/>
                  <w:tcBorders>
                    <w:bottom w:val="single" w:color="auto" w:sz="12" w:space="0"/>
                  </w:tcBorders>
                  <w:noWrap w:val="0"/>
                  <w:vAlign w:val="center"/>
                </w:tcPr>
                <w:p w14:paraId="2F1259F4">
                  <w:pPr>
                    <w:jc w:val="center"/>
                    <w:rPr>
                      <w:rFonts w:hint="default" w:ascii="Times New Roman" w:hAnsi="Times New Roman" w:cs="Times New Roman"/>
                      <w:b/>
                      <w:bCs/>
                      <w:color w:val="auto"/>
                      <w:szCs w:val="21"/>
                      <w:highlight w:val="none"/>
                    </w:rPr>
                  </w:pPr>
                </w:p>
              </w:tc>
              <w:tc>
                <w:tcPr>
                  <w:tcW w:w="488" w:type="pct"/>
                  <w:vMerge w:val="continue"/>
                  <w:tcBorders>
                    <w:bottom w:val="single" w:color="auto" w:sz="12" w:space="0"/>
                  </w:tcBorders>
                  <w:noWrap w:val="0"/>
                  <w:vAlign w:val="center"/>
                </w:tcPr>
                <w:p w14:paraId="3D91A20F">
                  <w:pPr>
                    <w:jc w:val="center"/>
                    <w:rPr>
                      <w:rFonts w:hint="default" w:ascii="Times New Roman" w:hAnsi="Times New Roman" w:cs="Times New Roman"/>
                      <w:b/>
                      <w:bCs/>
                      <w:color w:val="auto"/>
                      <w:szCs w:val="21"/>
                      <w:highlight w:val="none"/>
                    </w:rPr>
                  </w:pPr>
                </w:p>
              </w:tc>
              <w:tc>
                <w:tcPr>
                  <w:tcW w:w="456" w:type="pct"/>
                  <w:vMerge w:val="continue"/>
                  <w:tcBorders>
                    <w:bottom w:val="single" w:color="auto" w:sz="12" w:space="0"/>
                  </w:tcBorders>
                  <w:noWrap w:val="0"/>
                  <w:vAlign w:val="center"/>
                </w:tcPr>
                <w:p w14:paraId="0A73E723">
                  <w:pPr>
                    <w:jc w:val="center"/>
                    <w:rPr>
                      <w:rFonts w:hint="default" w:ascii="Times New Roman" w:hAnsi="Times New Roman" w:cs="Times New Roman"/>
                      <w:b/>
                      <w:bCs/>
                      <w:color w:val="auto"/>
                      <w:szCs w:val="21"/>
                      <w:highlight w:val="none"/>
                    </w:rPr>
                  </w:pPr>
                </w:p>
              </w:tc>
              <w:tc>
                <w:tcPr>
                  <w:tcW w:w="488" w:type="pct"/>
                  <w:vMerge w:val="continue"/>
                  <w:tcBorders>
                    <w:bottom w:val="single" w:color="auto" w:sz="12" w:space="0"/>
                  </w:tcBorders>
                  <w:noWrap w:val="0"/>
                  <w:vAlign w:val="center"/>
                </w:tcPr>
                <w:p w14:paraId="118ADA4B">
                  <w:pPr>
                    <w:jc w:val="center"/>
                    <w:rPr>
                      <w:rFonts w:hint="default" w:ascii="Times New Roman" w:hAnsi="Times New Roman" w:cs="Times New Roman"/>
                      <w:b/>
                      <w:bCs/>
                      <w:color w:val="auto"/>
                      <w:szCs w:val="21"/>
                      <w:highlight w:val="none"/>
                    </w:rPr>
                  </w:pPr>
                </w:p>
              </w:tc>
              <w:tc>
                <w:tcPr>
                  <w:tcW w:w="309" w:type="pct"/>
                  <w:vMerge w:val="continue"/>
                  <w:tcBorders>
                    <w:bottom w:val="single" w:color="auto" w:sz="12" w:space="0"/>
                  </w:tcBorders>
                  <w:noWrap w:val="0"/>
                  <w:vAlign w:val="center"/>
                </w:tcPr>
                <w:p w14:paraId="0417589A">
                  <w:pPr>
                    <w:jc w:val="center"/>
                    <w:rPr>
                      <w:rFonts w:hint="default" w:ascii="Times New Roman" w:hAnsi="Times New Roman" w:cs="Times New Roman"/>
                      <w:b/>
                      <w:bCs/>
                      <w:color w:val="auto"/>
                      <w:szCs w:val="21"/>
                      <w:highlight w:val="none"/>
                    </w:rPr>
                  </w:pPr>
                </w:p>
              </w:tc>
              <w:tc>
                <w:tcPr>
                  <w:tcW w:w="702" w:type="pct"/>
                  <w:tcBorders>
                    <w:bottom w:val="single" w:color="auto" w:sz="12" w:space="0"/>
                  </w:tcBorders>
                  <w:noWrap w:val="0"/>
                  <w:vAlign w:val="center"/>
                </w:tcPr>
                <w:p w14:paraId="550367DD">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名称及工艺</w:t>
                  </w:r>
                </w:p>
              </w:tc>
              <w:tc>
                <w:tcPr>
                  <w:tcW w:w="544" w:type="pct"/>
                  <w:tcBorders>
                    <w:bottom w:val="single" w:color="auto" w:sz="12" w:space="0"/>
                  </w:tcBorders>
                  <w:noWrap w:val="0"/>
                  <w:vAlign w:val="center"/>
                </w:tcPr>
                <w:p w14:paraId="091EED5C">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是否为可行技术</w:t>
                  </w:r>
                </w:p>
              </w:tc>
              <w:tc>
                <w:tcPr>
                  <w:tcW w:w="506" w:type="pct"/>
                  <w:vMerge w:val="continue"/>
                  <w:tcBorders>
                    <w:bottom w:val="single" w:color="auto" w:sz="12" w:space="0"/>
                  </w:tcBorders>
                  <w:noWrap w:val="0"/>
                  <w:vAlign w:val="center"/>
                </w:tcPr>
                <w:p w14:paraId="60112234">
                  <w:pPr>
                    <w:jc w:val="center"/>
                    <w:rPr>
                      <w:rFonts w:hint="default" w:ascii="Times New Roman" w:hAnsi="Times New Roman" w:cs="Times New Roman"/>
                      <w:b/>
                      <w:bCs/>
                      <w:color w:val="auto"/>
                      <w:szCs w:val="21"/>
                      <w:highlight w:val="none"/>
                    </w:rPr>
                  </w:pPr>
                </w:p>
              </w:tc>
              <w:tc>
                <w:tcPr>
                  <w:tcW w:w="506" w:type="pct"/>
                  <w:vMerge w:val="continue"/>
                  <w:tcBorders>
                    <w:bottom w:val="single" w:color="auto" w:sz="12" w:space="0"/>
                  </w:tcBorders>
                  <w:noWrap w:val="0"/>
                  <w:vAlign w:val="center"/>
                </w:tcPr>
                <w:p w14:paraId="20511BD2">
                  <w:pPr>
                    <w:jc w:val="center"/>
                    <w:rPr>
                      <w:rFonts w:hint="default" w:ascii="Times New Roman" w:hAnsi="Times New Roman" w:cs="Times New Roman"/>
                      <w:b/>
                      <w:bCs/>
                      <w:color w:val="auto"/>
                      <w:szCs w:val="21"/>
                      <w:highlight w:val="none"/>
                    </w:rPr>
                  </w:pPr>
                </w:p>
              </w:tc>
              <w:tc>
                <w:tcPr>
                  <w:tcW w:w="511" w:type="pct"/>
                  <w:vMerge w:val="continue"/>
                  <w:tcBorders>
                    <w:bottom w:val="single" w:color="auto" w:sz="12" w:space="0"/>
                  </w:tcBorders>
                  <w:noWrap w:val="0"/>
                  <w:vAlign w:val="center"/>
                </w:tcPr>
                <w:p w14:paraId="07D65046">
                  <w:pPr>
                    <w:jc w:val="center"/>
                    <w:rPr>
                      <w:rFonts w:hint="default" w:ascii="Times New Roman" w:hAnsi="Times New Roman" w:cs="Times New Roman"/>
                      <w:b/>
                      <w:bCs/>
                      <w:color w:val="auto"/>
                      <w:szCs w:val="21"/>
                      <w:highlight w:val="none"/>
                    </w:rPr>
                  </w:pPr>
                </w:p>
              </w:tc>
            </w:tr>
            <w:tr w14:paraId="5DFC1E9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5" w:type="pct"/>
                  <w:tcBorders>
                    <w:top w:val="single" w:color="auto" w:sz="12" w:space="0"/>
                  </w:tcBorders>
                  <w:noWrap w:val="0"/>
                  <w:vAlign w:val="center"/>
                </w:tcPr>
                <w:p w14:paraId="3AB794B4">
                  <w:pPr>
                    <w:jc w:val="center"/>
                    <w:textAlignment w:val="baseline"/>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焊接工序</w:t>
                  </w:r>
                </w:p>
              </w:tc>
              <w:tc>
                <w:tcPr>
                  <w:tcW w:w="488" w:type="pct"/>
                  <w:tcBorders>
                    <w:top w:val="single" w:color="auto" w:sz="12" w:space="0"/>
                  </w:tcBorders>
                  <w:noWrap w:val="0"/>
                  <w:vAlign w:val="center"/>
                </w:tcPr>
                <w:p w14:paraId="4F1C3439">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颗粒物</w:t>
                  </w:r>
                </w:p>
              </w:tc>
              <w:tc>
                <w:tcPr>
                  <w:tcW w:w="456" w:type="pct"/>
                  <w:tcBorders>
                    <w:top w:val="single" w:color="auto" w:sz="12" w:space="0"/>
                  </w:tcBorders>
                  <w:noWrap w:val="0"/>
                  <w:vAlign w:val="center"/>
                </w:tcPr>
                <w:p w14:paraId="529F1DE4">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91.9</w:t>
                  </w:r>
                </w:p>
              </w:tc>
              <w:tc>
                <w:tcPr>
                  <w:tcW w:w="488" w:type="pct"/>
                  <w:tcBorders>
                    <w:top w:val="single" w:color="auto" w:sz="12" w:space="0"/>
                  </w:tcBorders>
                  <w:noWrap w:val="0"/>
                  <w:vAlign w:val="center"/>
                </w:tcPr>
                <w:p w14:paraId="6D07B298">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cs="Times New Roman"/>
                      <w:color w:val="auto"/>
                      <w:kern w:val="0"/>
                      <w:sz w:val="21"/>
                      <w:szCs w:val="21"/>
                      <w:highlight w:val="none"/>
                      <w:lang w:bidi="ar"/>
                    </w:rPr>
                    <w:t>0.</w:t>
                  </w:r>
                  <w:r>
                    <w:rPr>
                      <w:rFonts w:hint="eastAsia" w:cs="Times New Roman"/>
                      <w:color w:val="auto"/>
                      <w:kern w:val="0"/>
                      <w:sz w:val="21"/>
                      <w:szCs w:val="21"/>
                      <w:highlight w:val="none"/>
                      <w:lang w:val="en-US" w:eastAsia="zh-CN" w:bidi="ar"/>
                    </w:rPr>
                    <w:t>038</w:t>
                  </w:r>
                </w:p>
              </w:tc>
              <w:tc>
                <w:tcPr>
                  <w:tcW w:w="309" w:type="pct"/>
                  <w:tcBorders>
                    <w:top w:val="single" w:color="auto" w:sz="12" w:space="0"/>
                  </w:tcBorders>
                  <w:noWrap w:val="0"/>
                  <w:vAlign w:val="center"/>
                </w:tcPr>
                <w:p w14:paraId="0FC78602">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无组织</w:t>
                  </w:r>
                </w:p>
              </w:tc>
              <w:tc>
                <w:tcPr>
                  <w:tcW w:w="702" w:type="pct"/>
                  <w:tcBorders>
                    <w:top w:val="single" w:color="auto" w:sz="12" w:space="0"/>
                  </w:tcBorders>
                  <w:noWrap w:val="0"/>
                  <w:vAlign w:val="center"/>
                </w:tcPr>
                <w:p w14:paraId="5C293A56">
                  <w:pPr>
                    <w:jc w:val="center"/>
                    <w:rPr>
                      <w:rFonts w:hint="default" w:ascii="Times New Roman" w:hAnsi="Times New Roman" w:cs="Times New Roman"/>
                      <w:color w:val="auto"/>
                      <w:sz w:val="21"/>
                      <w:szCs w:val="21"/>
                      <w:highlight w:val="none"/>
                    </w:rPr>
                  </w:pPr>
                  <w:r>
                    <w:rPr>
                      <w:rFonts w:hint="eastAsia" w:cs="Times New Roman"/>
                      <w:color w:val="auto"/>
                      <w:sz w:val="21"/>
                      <w:szCs w:val="21"/>
                      <w:highlight w:val="none"/>
                      <w:lang w:val="en-US" w:eastAsia="zh-CN"/>
                    </w:rPr>
                    <w:t>移动式烟尘</w:t>
                  </w:r>
                  <w:r>
                    <w:rPr>
                      <w:rFonts w:hint="default" w:ascii="Times New Roman" w:hAnsi="Times New Roman" w:cs="Times New Roman"/>
                      <w:color w:val="auto"/>
                      <w:sz w:val="21"/>
                      <w:szCs w:val="21"/>
                      <w:highlight w:val="none"/>
                    </w:rPr>
                    <w:t>净化器</w:t>
                  </w:r>
                </w:p>
              </w:tc>
              <w:tc>
                <w:tcPr>
                  <w:tcW w:w="544" w:type="pct"/>
                  <w:tcBorders>
                    <w:top w:val="single" w:color="auto" w:sz="12" w:space="0"/>
                  </w:tcBorders>
                  <w:noWrap w:val="0"/>
                  <w:vAlign w:val="center"/>
                </w:tcPr>
                <w:p w14:paraId="4F83718D">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是</w:t>
                  </w:r>
                </w:p>
              </w:tc>
              <w:tc>
                <w:tcPr>
                  <w:tcW w:w="506" w:type="pct"/>
                  <w:tcBorders>
                    <w:top w:val="single" w:color="auto" w:sz="12" w:space="0"/>
                  </w:tcBorders>
                  <w:noWrap w:val="0"/>
                  <w:vAlign w:val="center"/>
                </w:tcPr>
                <w:p w14:paraId="60E27B98">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30.79</w:t>
                  </w:r>
                </w:p>
              </w:tc>
              <w:tc>
                <w:tcPr>
                  <w:tcW w:w="506" w:type="pct"/>
                  <w:tcBorders>
                    <w:top w:val="single" w:color="auto" w:sz="12" w:space="0"/>
                  </w:tcBorders>
                  <w:noWrap w:val="0"/>
                  <w:vAlign w:val="center"/>
                </w:tcPr>
                <w:p w14:paraId="05E3235C">
                  <w:pPr>
                    <w:widowControl/>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cs="Times New Roman"/>
                      <w:color w:val="auto"/>
                      <w:kern w:val="0"/>
                      <w:sz w:val="21"/>
                      <w:szCs w:val="21"/>
                      <w:highlight w:val="none"/>
                      <w:lang w:bidi="ar"/>
                    </w:rPr>
                    <w:t>0.0</w:t>
                  </w:r>
                  <w:r>
                    <w:rPr>
                      <w:rFonts w:hint="eastAsia" w:cs="Times New Roman"/>
                      <w:color w:val="auto"/>
                      <w:kern w:val="0"/>
                      <w:sz w:val="21"/>
                      <w:szCs w:val="21"/>
                      <w:highlight w:val="none"/>
                      <w:lang w:val="en-US" w:eastAsia="zh-CN" w:bidi="ar"/>
                    </w:rPr>
                    <w:t>13</w:t>
                  </w:r>
                </w:p>
              </w:tc>
              <w:tc>
                <w:tcPr>
                  <w:tcW w:w="511" w:type="pct"/>
                  <w:tcBorders>
                    <w:top w:val="single" w:color="auto" w:sz="12" w:space="0"/>
                  </w:tcBorders>
                  <w:noWrap w:val="0"/>
                  <w:vAlign w:val="center"/>
                </w:tcPr>
                <w:p w14:paraId="55AF2BDF">
                  <w:pPr>
                    <w:widowControl/>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r>
          </w:tbl>
          <w:p w14:paraId="454E3C25">
            <w:pPr>
              <w:widowControl/>
              <w:spacing w:line="360" w:lineRule="auto"/>
              <w:ind w:firstLine="482" w:firstLineChars="200"/>
              <w:jc w:val="left"/>
              <w:rPr>
                <w:rFonts w:hint="default" w:ascii="Times New Roman" w:hAnsi="Times New Roman" w:cs="Times New Roman"/>
                <w:color w:val="auto"/>
                <w:sz w:val="24"/>
                <w:highlight w:val="none"/>
              </w:rPr>
            </w:pPr>
            <w:r>
              <w:rPr>
                <w:rFonts w:hint="default" w:ascii="Times New Roman" w:hAnsi="Times New Roman" w:cs="Times New Roman"/>
                <w:b/>
                <w:bCs/>
                <w:snapToGrid w:val="0"/>
                <w:color w:val="auto"/>
                <w:sz w:val="24"/>
                <w:highlight w:val="none"/>
              </w:rPr>
              <w:t>（3）</w:t>
            </w:r>
            <w:r>
              <w:rPr>
                <w:rFonts w:hint="default" w:ascii="Times New Roman" w:hAnsi="Times New Roman" w:cs="Times New Roman"/>
                <w:b/>
                <w:bCs/>
                <w:color w:val="auto"/>
                <w:kern w:val="0"/>
                <w:sz w:val="24"/>
                <w:highlight w:val="none"/>
                <w:lang w:bidi="ar"/>
              </w:rPr>
              <w:t>抛丸粉尘</w:t>
            </w:r>
          </w:p>
          <w:p w14:paraId="00B49B31">
            <w:pPr>
              <w:widowControl/>
              <w:spacing w:line="360" w:lineRule="auto"/>
              <w:ind w:firstLine="480" w:firstLineChars="200"/>
              <w:jc w:val="left"/>
              <w:rPr>
                <w:rFonts w:hint="default" w:ascii="Times New Roman" w:hAnsi="Times New Roman" w:cs="Times New Roman"/>
                <w:color w:val="auto"/>
                <w:kern w:val="0"/>
                <w:sz w:val="24"/>
                <w:highlight w:val="none"/>
                <w:lang w:bidi="ar"/>
              </w:rPr>
            </w:pPr>
            <w:r>
              <w:rPr>
                <w:rFonts w:hint="default" w:ascii="Times New Roman" w:hAnsi="Times New Roman" w:cs="Times New Roman"/>
                <w:color w:val="auto"/>
                <w:kern w:val="0"/>
                <w:sz w:val="24"/>
                <w:highlight w:val="none"/>
                <w:lang w:bidi="ar"/>
              </w:rPr>
              <w:t>本项目抛丸利用辊道连续式抛丸机进行抛丸，抛丸处理是以去除工件焊接点状凸起、杂渣、表面氧化皮等，以提高外观质量，项目在抛丸过程中粉尘经</w:t>
            </w:r>
            <w:r>
              <w:rPr>
                <w:rFonts w:hint="eastAsia" w:cs="Times New Roman"/>
                <w:color w:val="auto"/>
                <w:kern w:val="0"/>
                <w:sz w:val="24"/>
                <w:highlight w:val="none"/>
                <w:lang w:val="en-US" w:eastAsia="zh-CN" w:bidi="ar"/>
              </w:rPr>
              <w:t>袋式除尘器</w:t>
            </w:r>
            <w:r>
              <w:rPr>
                <w:rFonts w:hint="default" w:ascii="Times New Roman" w:hAnsi="Times New Roman" w:cs="Times New Roman"/>
                <w:color w:val="auto"/>
                <w:kern w:val="0"/>
                <w:sz w:val="24"/>
                <w:highlight w:val="none"/>
                <w:lang w:bidi="ar"/>
              </w:rPr>
              <w:t>处理后通过1根15米高排气筒（DA002）排放。根据《排放源统计调查产排污核算方法和系数手册》中机械行业系数手册--33金属制品业、34通用设备制造业、35专用设备制造业、36汽车制造业、37铁路、船舶、航空航天和其他运输设备制造业、431金属制品修理、432通用设备修理、433专用设备修理、434铁路、船舶、航空航天等运输设备修理（不包括电镀工艺）手册中预处理工段抛丸、喷砂、打磨、滚筒的产污系数为工业废气量为8500立方米/吨-原料，颗粒物产生系数为2.19千克/吨-原料。根据企业提供资料，现有项目</w:t>
            </w:r>
            <w:r>
              <w:rPr>
                <w:rFonts w:hint="default" w:ascii="Times New Roman" w:hAnsi="Times New Roman" w:cs="Times New Roman"/>
                <w:color w:val="auto"/>
                <w:sz w:val="24"/>
                <w:highlight w:val="none"/>
              </w:rPr>
              <w:t>年产各种的钢结构</w:t>
            </w:r>
            <w:r>
              <w:rPr>
                <w:rFonts w:hint="eastAsia" w:cs="Times New Roman"/>
                <w:color w:val="auto"/>
                <w:sz w:val="24"/>
                <w:highlight w:val="none"/>
                <w:lang w:val="en-US" w:eastAsia="zh-CN"/>
              </w:rPr>
              <w:t>2175</w:t>
            </w:r>
            <w:r>
              <w:rPr>
                <w:rFonts w:hint="default" w:ascii="Times New Roman" w:hAnsi="Times New Roman" w:cs="Times New Roman"/>
                <w:color w:val="auto"/>
                <w:sz w:val="24"/>
                <w:highlight w:val="none"/>
              </w:rPr>
              <w:t>吨，</w:t>
            </w:r>
            <w:r>
              <w:rPr>
                <w:rFonts w:hint="default" w:ascii="Times New Roman" w:hAnsi="Times New Roman" w:cs="Times New Roman"/>
                <w:color w:val="auto"/>
                <w:kern w:val="0"/>
                <w:sz w:val="24"/>
                <w:highlight w:val="none"/>
                <w:lang w:bidi="ar"/>
              </w:rPr>
              <w:t>有效工作时间按2400h计，则粉尘产生量为</w:t>
            </w:r>
            <w:r>
              <w:rPr>
                <w:rFonts w:hint="eastAsia" w:cs="Times New Roman"/>
                <w:color w:val="auto"/>
                <w:kern w:val="0"/>
                <w:sz w:val="24"/>
                <w:highlight w:val="none"/>
                <w:lang w:val="en-US" w:eastAsia="zh-CN" w:bidi="ar"/>
              </w:rPr>
              <w:t>4.76</w:t>
            </w:r>
            <w:r>
              <w:rPr>
                <w:rFonts w:hint="default" w:ascii="Times New Roman" w:hAnsi="Times New Roman" w:cs="Times New Roman"/>
                <w:color w:val="auto"/>
                <w:kern w:val="0"/>
                <w:sz w:val="24"/>
                <w:highlight w:val="none"/>
                <w:lang w:bidi="ar"/>
              </w:rPr>
              <w:t>t/a，产生速率为</w:t>
            </w:r>
            <w:r>
              <w:rPr>
                <w:rFonts w:hint="eastAsia" w:cs="Times New Roman"/>
                <w:color w:val="auto"/>
                <w:kern w:val="0"/>
                <w:sz w:val="24"/>
                <w:highlight w:val="none"/>
                <w:lang w:val="en-US" w:eastAsia="zh-CN" w:bidi="ar"/>
              </w:rPr>
              <w:t>1.98</w:t>
            </w:r>
            <w:r>
              <w:rPr>
                <w:rFonts w:hint="default" w:ascii="Times New Roman" w:hAnsi="Times New Roman" w:cs="Times New Roman"/>
                <w:color w:val="auto"/>
                <w:kern w:val="0"/>
                <w:sz w:val="24"/>
                <w:highlight w:val="none"/>
                <w:lang w:bidi="ar"/>
              </w:rPr>
              <w:t>kg/h，产生浓度为257.</w:t>
            </w:r>
            <w:r>
              <w:rPr>
                <w:rFonts w:hint="eastAsia" w:cs="Times New Roman"/>
                <w:color w:val="auto"/>
                <w:kern w:val="0"/>
                <w:sz w:val="24"/>
                <w:highlight w:val="none"/>
                <w:lang w:val="en-US" w:eastAsia="zh-CN" w:bidi="ar"/>
              </w:rPr>
              <w:t>04</w:t>
            </w:r>
            <w:r>
              <w:rPr>
                <w:rFonts w:hint="default" w:ascii="Times New Roman" w:hAnsi="Times New Roman" w:cs="Times New Roman"/>
                <w:color w:val="auto"/>
                <w:kern w:val="0"/>
                <w:sz w:val="24"/>
                <w:highlight w:val="none"/>
                <w:lang w:bidi="ar"/>
              </w:rPr>
              <w:t>mg/m</w:t>
            </w:r>
            <w:r>
              <w:rPr>
                <w:rFonts w:hint="default" w:ascii="Times New Roman" w:hAnsi="Times New Roman" w:cs="Times New Roman"/>
                <w:color w:val="auto"/>
                <w:kern w:val="0"/>
                <w:sz w:val="24"/>
                <w:highlight w:val="none"/>
                <w:vertAlign w:val="superscript"/>
                <w:lang w:bidi="ar"/>
              </w:rPr>
              <w:t>3</w:t>
            </w:r>
            <w:r>
              <w:rPr>
                <w:rFonts w:hint="default" w:ascii="Times New Roman" w:hAnsi="Times New Roman" w:cs="Times New Roman"/>
                <w:color w:val="auto"/>
                <w:kern w:val="0"/>
                <w:sz w:val="24"/>
                <w:highlight w:val="none"/>
                <w:lang w:bidi="ar"/>
              </w:rPr>
              <w:t>。</w:t>
            </w:r>
          </w:p>
          <w:p w14:paraId="7E0DB682">
            <w:pPr>
              <w:overflowPunct w:val="0"/>
              <w:spacing w:line="360" w:lineRule="auto"/>
              <w:ind w:firstLine="480" w:firstLineChars="200"/>
              <w:contextualSpacing/>
              <w:rPr>
                <w:rFonts w:hint="default" w:ascii="Times New Roman" w:hAnsi="Times New Roman" w:cs="Times New Roman"/>
                <w:color w:val="auto"/>
                <w:kern w:val="0"/>
                <w:sz w:val="24"/>
                <w:highlight w:val="none"/>
                <w:lang w:bidi="ar"/>
              </w:rPr>
            </w:pPr>
            <w:r>
              <w:rPr>
                <w:rFonts w:hint="default" w:ascii="Times New Roman" w:hAnsi="Times New Roman" w:eastAsia="宋体" w:cs="Times New Roman"/>
                <w:color w:val="auto"/>
                <w:kern w:val="0"/>
                <w:sz w:val="24"/>
                <w:szCs w:val="21"/>
                <w:highlight w:val="none"/>
                <w:lang w:val="en-US" w:eastAsia="zh-CN" w:bidi="ar-SA"/>
              </w:rPr>
              <w:t>项目生产线中抛丸粉尘经</w:t>
            </w:r>
            <w:r>
              <w:rPr>
                <w:rFonts w:hint="eastAsia" w:ascii="Times New Roman" w:hAnsi="Times New Roman" w:eastAsia="宋体" w:cs="Times New Roman"/>
                <w:color w:val="auto"/>
                <w:kern w:val="0"/>
                <w:sz w:val="24"/>
                <w:szCs w:val="21"/>
                <w:highlight w:val="none"/>
                <w:lang w:val="en-US" w:eastAsia="zh-CN" w:bidi="ar-SA"/>
              </w:rPr>
              <w:t>袋式除尘器</w:t>
            </w:r>
            <w:r>
              <w:rPr>
                <w:rFonts w:hint="default" w:ascii="Times New Roman" w:hAnsi="Times New Roman" w:eastAsia="宋体" w:cs="Times New Roman"/>
                <w:color w:val="auto"/>
                <w:kern w:val="0"/>
                <w:sz w:val="24"/>
                <w:szCs w:val="21"/>
                <w:highlight w:val="none"/>
                <w:lang w:val="en-US" w:eastAsia="zh-CN" w:bidi="ar-SA"/>
              </w:rPr>
              <w:t>处理后通过1根15米高排气筒（DA002）排放，风机风量为5000m</w:t>
            </w:r>
            <w:r>
              <w:rPr>
                <w:rFonts w:hint="default" w:ascii="Times New Roman" w:hAnsi="Times New Roman" w:eastAsia="宋体" w:cs="Times New Roman"/>
                <w:color w:val="auto"/>
                <w:kern w:val="0"/>
                <w:sz w:val="24"/>
                <w:szCs w:val="21"/>
                <w:highlight w:val="none"/>
                <w:vertAlign w:val="superscript"/>
                <w:lang w:val="en-US" w:eastAsia="zh-CN" w:bidi="ar-SA"/>
              </w:rPr>
              <w:t>3</w:t>
            </w:r>
            <w:r>
              <w:rPr>
                <w:rFonts w:hint="default" w:ascii="Times New Roman" w:hAnsi="Times New Roman" w:eastAsia="宋体" w:cs="Times New Roman"/>
                <w:color w:val="auto"/>
                <w:kern w:val="0"/>
                <w:sz w:val="24"/>
                <w:szCs w:val="21"/>
                <w:highlight w:val="none"/>
                <w:lang w:val="en-US" w:eastAsia="zh-CN" w:bidi="ar-SA"/>
              </w:rPr>
              <w:t>/h。</w:t>
            </w:r>
            <w:r>
              <w:rPr>
                <w:rFonts w:hint="eastAsia" w:ascii="Times New Roman" w:hAnsi="Times New Roman" w:eastAsia="宋体" w:cs="Times New Roman"/>
                <w:color w:val="auto"/>
                <w:kern w:val="0"/>
                <w:sz w:val="24"/>
                <w:szCs w:val="24"/>
                <w:highlight w:val="none"/>
                <w:lang w:val="en-US" w:eastAsia="zh-CN" w:bidi="ar-SA"/>
              </w:rPr>
              <w:t>依据袋式除尘工程通用技术规范(HJ 2020-2012)中提到：“集气罩能实现对烟气（尘）的补集效果，捕集率不低于：a密闭罩100%；b半密闭罩95%；c吹吸罩90%；d屋顶排烟罩90%；e含有毒有害、易燃易爆污染源控制装置100%。”</w:t>
            </w:r>
            <w:r>
              <w:rPr>
                <w:rFonts w:hint="eastAsia" w:cs="Times New Roman"/>
                <w:color w:val="auto"/>
                <w:kern w:val="0"/>
                <w:sz w:val="24"/>
                <w:szCs w:val="24"/>
                <w:highlight w:val="none"/>
                <w:lang w:val="en-US" w:eastAsia="zh-CN" w:bidi="ar-SA"/>
              </w:rPr>
              <w:t>本工段抛丸粉尘拟采用箱式集气罩，箱式集气罩视为开口较大密闭罩，属于</w:t>
            </w:r>
            <w:r>
              <w:rPr>
                <w:rFonts w:hint="eastAsia" w:ascii="Times New Roman" w:hAnsi="Times New Roman" w:eastAsia="宋体" w:cs="Times New Roman"/>
                <w:color w:val="auto"/>
                <w:kern w:val="0"/>
                <w:sz w:val="24"/>
                <w:szCs w:val="24"/>
                <w:highlight w:val="none"/>
                <w:lang w:val="en-US" w:eastAsia="zh-CN" w:bidi="ar-SA"/>
              </w:rPr>
              <w:t>b半密闭罩</w:t>
            </w:r>
            <w:r>
              <w:rPr>
                <w:rFonts w:hint="eastAsia" w:cs="Times New Roman"/>
                <w:color w:val="auto"/>
                <w:kern w:val="0"/>
                <w:sz w:val="24"/>
                <w:szCs w:val="24"/>
                <w:highlight w:val="none"/>
                <w:lang w:val="en-US" w:eastAsia="zh-CN" w:bidi="ar-SA"/>
              </w:rPr>
              <w:t>，抛丸产尘源围挡在柜状空间内，从实际运行效果看，因功率、工况、气流等原因影响，实际集气效率可能达不到规范中的效率，因此</w:t>
            </w:r>
            <w:r>
              <w:rPr>
                <w:rFonts w:hint="default" w:ascii="Times New Roman" w:hAnsi="Times New Roman" w:eastAsia="宋体" w:cs="Times New Roman"/>
                <w:color w:val="auto"/>
                <w:kern w:val="0"/>
                <w:sz w:val="24"/>
                <w:szCs w:val="24"/>
                <w:highlight w:val="none"/>
                <w:lang w:val="en-US" w:eastAsia="zh-CN" w:bidi="ar-SA"/>
              </w:rPr>
              <w:t>本</w:t>
            </w:r>
            <w:r>
              <w:rPr>
                <w:rFonts w:hint="eastAsia" w:cs="Times New Roman"/>
                <w:color w:val="auto"/>
                <w:kern w:val="0"/>
                <w:sz w:val="24"/>
                <w:szCs w:val="24"/>
                <w:highlight w:val="none"/>
                <w:lang w:val="en-US" w:eastAsia="zh-CN" w:bidi="ar-SA"/>
              </w:rPr>
              <w:t>工段</w:t>
            </w:r>
            <w:r>
              <w:rPr>
                <w:rFonts w:hint="default" w:ascii="Times New Roman" w:hAnsi="Times New Roman" w:eastAsia="宋体" w:cs="Times New Roman"/>
                <w:color w:val="auto"/>
                <w:kern w:val="0"/>
                <w:sz w:val="24"/>
                <w:szCs w:val="24"/>
                <w:highlight w:val="none"/>
                <w:lang w:val="en-US" w:eastAsia="zh-CN" w:bidi="ar-SA"/>
              </w:rPr>
              <w:t>集气罩废气收集效率按90%计算，</w:t>
            </w:r>
            <w:r>
              <w:rPr>
                <w:rFonts w:hint="eastAsia" w:ascii="Times New Roman" w:hAnsi="Times New Roman" w:eastAsia="宋体" w:cs="Times New Roman"/>
                <w:color w:val="auto"/>
                <w:kern w:val="0"/>
                <w:sz w:val="24"/>
                <w:szCs w:val="21"/>
                <w:highlight w:val="none"/>
                <w:lang w:val="en-US" w:eastAsia="zh-CN" w:bidi="ar-SA"/>
              </w:rPr>
              <w:t>袋式</w:t>
            </w:r>
            <w:r>
              <w:rPr>
                <w:rFonts w:hint="default" w:ascii="Times New Roman" w:hAnsi="Times New Roman" w:eastAsia="宋体" w:cs="Times New Roman"/>
                <w:color w:val="auto"/>
                <w:kern w:val="0"/>
                <w:sz w:val="24"/>
                <w:szCs w:val="21"/>
                <w:highlight w:val="none"/>
                <w:lang w:val="en-US" w:eastAsia="zh-CN" w:bidi="ar-SA"/>
              </w:rPr>
              <w:t>除尘器</w:t>
            </w:r>
            <w:r>
              <w:rPr>
                <w:rFonts w:hint="eastAsia" w:ascii="Times New Roman" w:hAnsi="Times New Roman" w:eastAsia="宋体" w:cs="Times New Roman"/>
                <w:color w:val="auto"/>
                <w:kern w:val="0"/>
                <w:sz w:val="24"/>
                <w:szCs w:val="21"/>
                <w:highlight w:val="none"/>
                <w:lang w:val="en-US" w:eastAsia="zh-CN" w:bidi="ar-SA"/>
              </w:rPr>
              <w:t>处理</w:t>
            </w:r>
            <w:r>
              <w:rPr>
                <w:rFonts w:hint="default" w:ascii="Times New Roman" w:hAnsi="Times New Roman" w:eastAsia="宋体" w:cs="Times New Roman"/>
                <w:color w:val="auto"/>
                <w:kern w:val="0"/>
                <w:sz w:val="24"/>
                <w:szCs w:val="21"/>
                <w:highlight w:val="none"/>
                <w:lang w:val="en-US" w:eastAsia="zh-CN" w:bidi="ar-SA"/>
              </w:rPr>
              <w:t>效率为</w:t>
            </w:r>
            <w:r>
              <w:rPr>
                <w:rFonts w:hint="eastAsia" w:ascii="Times New Roman" w:hAnsi="Times New Roman" w:eastAsia="宋体" w:cs="Times New Roman"/>
                <w:color w:val="auto"/>
                <w:kern w:val="0"/>
                <w:sz w:val="24"/>
                <w:szCs w:val="21"/>
                <w:highlight w:val="none"/>
                <w:lang w:val="en-US" w:eastAsia="zh-CN" w:bidi="ar-SA"/>
              </w:rPr>
              <w:t>95</w:t>
            </w:r>
            <w:r>
              <w:rPr>
                <w:rFonts w:hint="default" w:ascii="Times New Roman" w:hAnsi="Times New Roman" w:eastAsia="宋体" w:cs="Times New Roman"/>
                <w:color w:val="auto"/>
                <w:kern w:val="0"/>
                <w:sz w:val="24"/>
                <w:szCs w:val="21"/>
                <w:highlight w:val="none"/>
                <w:lang w:val="en-US" w:eastAsia="zh-CN" w:bidi="ar-SA"/>
              </w:rPr>
              <w:t>%</w:t>
            </w:r>
            <w:r>
              <w:rPr>
                <w:rFonts w:hint="default" w:ascii="Times New Roman" w:hAnsi="Times New Roman" w:cs="Times New Roman"/>
                <w:color w:val="auto"/>
                <w:kern w:val="0"/>
                <w:sz w:val="24"/>
                <w:highlight w:val="none"/>
                <w:lang w:bidi="ar"/>
              </w:rPr>
              <w:t>，则项目抛丸粉尘有组织排放量为</w:t>
            </w:r>
            <w:r>
              <w:rPr>
                <w:rFonts w:hint="eastAsia" w:cs="Times New Roman"/>
                <w:color w:val="auto"/>
                <w:kern w:val="0"/>
                <w:sz w:val="24"/>
                <w:highlight w:val="none"/>
                <w:lang w:val="en-US" w:eastAsia="zh-CN" w:bidi="ar"/>
              </w:rPr>
              <w:t>0.21</w:t>
            </w:r>
            <w:r>
              <w:rPr>
                <w:rFonts w:hint="default" w:ascii="Times New Roman" w:hAnsi="Times New Roman" w:cs="Times New Roman"/>
                <w:color w:val="auto"/>
                <w:kern w:val="0"/>
                <w:sz w:val="24"/>
                <w:highlight w:val="none"/>
                <w:lang w:bidi="ar"/>
              </w:rPr>
              <w:t>t/a，排放速率为</w:t>
            </w:r>
            <w:r>
              <w:rPr>
                <w:rFonts w:hint="eastAsia" w:cs="Times New Roman"/>
                <w:color w:val="auto"/>
                <w:kern w:val="0"/>
                <w:sz w:val="24"/>
                <w:highlight w:val="none"/>
                <w:lang w:val="en-US" w:eastAsia="zh-CN" w:bidi="ar"/>
              </w:rPr>
              <w:t>0.089</w:t>
            </w:r>
            <w:r>
              <w:rPr>
                <w:rFonts w:hint="default" w:ascii="Times New Roman" w:hAnsi="Times New Roman" w:cs="Times New Roman"/>
                <w:color w:val="auto"/>
                <w:kern w:val="0"/>
                <w:sz w:val="24"/>
                <w:highlight w:val="none"/>
                <w:lang w:bidi="ar"/>
              </w:rPr>
              <w:t>kg/h，排放浓度为</w:t>
            </w:r>
            <w:r>
              <w:rPr>
                <w:rFonts w:hint="eastAsia" w:cs="Times New Roman"/>
                <w:color w:val="auto"/>
                <w:kern w:val="0"/>
                <w:sz w:val="24"/>
                <w:highlight w:val="none"/>
                <w:lang w:val="en-US" w:eastAsia="zh-CN" w:bidi="ar"/>
              </w:rPr>
              <w:t>17.86</w:t>
            </w:r>
            <w:r>
              <w:rPr>
                <w:rFonts w:hint="default" w:ascii="Times New Roman" w:hAnsi="Times New Roman" w:cs="Times New Roman"/>
                <w:color w:val="auto"/>
                <w:kern w:val="0"/>
                <w:sz w:val="24"/>
                <w:highlight w:val="none"/>
                <w:lang w:bidi="ar"/>
              </w:rPr>
              <w:t>mg/m</w:t>
            </w:r>
            <w:r>
              <w:rPr>
                <w:rFonts w:hint="default" w:ascii="Times New Roman" w:hAnsi="Times New Roman" w:cs="Times New Roman"/>
                <w:color w:val="auto"/>
                <w:kern w:val="0"/>
                <w:sz w:val="24"/>
                <w:highlight w:val="none"/>
                <w:vertAlign w:val="superscript"/>
                <w:lang w:bidi="ar"/>
              </w:rPr>
              <w:t>3</w:t>
            </w:r>
            <w:r>
              <w:rPr>
                <w:rFonts w:hint="default" w:ascii="Times New Roman" w:hAnsi="Times New Roman" w:cs="Times New Roman"/>
                <w:color w:val="auto"/>
                <w:kern w:val="0"/>
                <w:sz w:val="24"/>
                <w:highlight w:val="none"/>
                <w:lang w:bidi="ar"/>
              </w:rPr>
              <w:t>，处理后的烟尘通过一根15m排气筒（DA002）排放。</w:t>
            </w:r>
          </w:p>
          <w:p w14:paraId="28116AFB">
            <w:pPr>
              <w:overflowPunct w:val="0"/>
              <w:spacing w:line="360" w:lineRule="auto"/>
              <w:ind w:firstLine="482" w:firstLineChars="200"/>
              <w:contextualSpacing/>
              <w:rPr>
                <w:rFonts w:hint="default" w:ascii="Times New Roman" w:hAnsi="Times New Roman" w:cs="Times New Roman"/>
                <w:b/>
                <w:bCs/>
                <w:color w:val="auto"/>
                <w:sz w:val="24"/>
                <w:highlight w:val="none"/>
              </w:rPr>
            </w:pPr>
            <w:r>
              <w:rPr>
                <w:rFonts w:hint="default" w:ascii="Times New Roman" w:hAnsi="Times New Roman" w:cs="Times New Roman"/>
                <w:b/>
                <w:bCs/>
                <w:color w:val="auto"/>
                <w:kern w:val="0"/>
                <w:sz w:val="24"/>
                <w:highlight w:val="none"/>
                <w:lang w:bidi="ar"/>
              </w:rPr>
              <w:t>（4）</w:t>
            </w:r>
            <w:r>
              <w:rPr>
                <w:rFonts w:hint="default" w:ascii="Times New Roman" w:hAnsi="Times New Roman" w:cs="Times New Roman"/>
                <w:b/>
                <w:bCs/>
                <w:color w:val="auto"/>
                <w:sz w:val="24"/>
                <w:highlight w:val="none"/>
              </w:rPr>
              <w:t>喷</w:t>
            </w:r>
            <w:r>
              <w:rPr>
                <w:rFonts w:hint="eastAsia" w:cs="Times New Roman"/>
                <w:b/>
                <w:bCs/>
                <w:color w:val="auto"/>
                <w:sz w:val="24"/>
                <w:highlight w:val="none"/>
                <w:lang w:val="en-US" w:eastAsia="zh-CN"/>
              </w:rPr>
              <w:t>塑</w:t>
            </w:r>
            <w:r>
              <w:rPr>
                <w:rFonts w:hint="default" w:ascii="Times New Roman" w:hAnsi="Times New Roman" w:cs="Times New Roman"/>
                <w:b/>
                <w:bCs/>
                <w:color w:val="auto"/>
                <w:sz w:val="24"/>
                <w:highlight w:val="none"/>
              </w:rPr>
              <w:t>、烘干废气</w:t>
            </w:r>
          </w:p>
          <w:p w14:paraId="5DD62206">
            <w:pPr>
              <w:pStyle w:val="56"/>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本项目在生产车间设置1座封闭式</w:t>
            </w:r>
            <w:r>
              <w:rPr>
                <w:rFonts w:hint="eastAsia" w:cs="Times New Roman"/>
                <w:color w:val="auto"/>
                <w:highlight w:val="none"/>
                <w:lang w:val="en-US" w:eastAsia="zh-CN"/>
              </w:rPr>
              <w:t>喷塑</w:t>
            </w:r>
            <w:r>
              <w:rPr>
                <w:rFonts w:hint="default" w:ascii="Times New Roman" w:hAnsi="Times New Roman" w:cs="Times New Roman"/>
                <w:color w:val="auto"/>
                <w:highlight w:val="none"/>
              </w:rPr>
              <w:t>烘干一体房，项目</w:t>
            </w:r>
            <w:r>
              <w:rPr>
                <w:rFonts w:hint="eastAsia" w:cs="Times New Roman"/>
                <w:color w:val="auto"/>
                <w:highlight w:val="none"/>
                <w:lang w:val="en-US" w:eastAsia="zh-CN"/>
              </w:rPr>
              <w:t>喷塑</w:t>
            </w:r>
            <w:r>
              <w:rPr>
                <w:rFonts w:hint="default" w:ascii="Times New Roman" w:hAnsi="Times New Roman" w:cs="Times New Roman"/>
                <w:color w:val="auto"/>
                <w:highlight w:val="none"/>
              </w:rPr>
              <w:t>及烘干均在喷烘一体房内进行，</w:t>
            </w:r>
            <w:r>
              <w:rPr>
                <w:rFonts w:hint="eastAsia" w:cs="Times New Roman"/>
                <w:color w:val="auto"/>
                <w:highlight w:val="none"/>
                <w:lang w:val="en-US" w:eastAsia="zh-CN"/>
              </w:rPr>
              <w:t>喷塑采用静电喷塑，不使用手动空气喷涂技术。</w:t>
            </w:r>
            <w:r>
              <w:rPr>
                <w:rFonts w:hint="default" w:ascii="Times New Roman" w:hAnsi="Times New Roman" w:cs="Times New Roman"/>
                <w:color w:val="auto"/>
                <w:highlight w:val="none"/>
              </w:rPr>
              <w:t>烘干采用电烘干设施，在此过程中会产生挥发性有机物（以非甲烷总烃为表征）</w:t>
            </w:r>
            <w:r>
              <w:rPr>
                <w:rFonts w:hint="eastAsia" w:cs="Times New Roman"/>
                <w:color w:val="auto"/>
                <w:highlight w:val="none"/>
                <w:lang w:eastAsia="zh-CN"/>
              </w:rPr>
              <w:t>。</w:t>
            </w:r>
            <w:r>
              <w:rPr>
                <w:rFonts w:hint="eastAsia" w:cs="Times New Roman"/>
                <w:color w:val="auto"/>
                <w:highlight w:val="none"/>
                <w:lang w:val="en-US" w:eastAsia="zh-CN"/>
              </w:rPr>
              <w:t>喷塑</w:t>
            </w:r>
            <w:r>
              <w:rPr>
                <w:rFonts w:hint="default" w:ascii="Times New Roman" w:hAnsi="Times New Roman" w:cs="Times New Roman"/>
                <w:color w:val="auto"/>
                <w:highlight w:val="none"/>
              </w:rPr>
              <w:t>烘干一体房</w:t>
            </w:r>
            <w:r>
              <w:rPr>
                <w:rFonts w:hint="eastAsia" w:ascii="Times New Roman" w:hAnsi="Times New Roman" w:cs="Times New Roman"/>
                <w:color w:val="auto"/>
                <w:highlight w:val="none"/>
                <w:lang w:val="en-US" w:eastAsia="zh-CN"/>
              </w:rPr>
              <w:t>为密闭，通过风机产生负压收集产生的颗粒物和VOCs，</w:t>
            </w:r>
            <w:r>
              <w:rPr>
                <w:rFonts w:hint="eastAsia" w:cs="Times New Roman"/>
                <w:color w:val="auto"/>
                <w:highlight w:val="none"/>
                <w:lang w:val="en-US" w:eastAsia="zh-CN"/>
              </w:rPr>
              <w:t>收集效率90%。</w:t>
            </w:r>
            <w:r>
              <w:rPr>
                <w:rFonts w:hint="eastAsia" w:ascii="Times New Roman" w:hAnsi="Times New Roman" w:cs="Times New Roman"/>
                <w:color w:val="auto"/>
                <w:highlight w:val="none"/>
                <w:lang w:val="en-US" w:eastAsia="zh-CN"/>
              </w:rPr>
              <w:t>颗粒物经布袋除尘器处理，VOCs经活性炭吸附+催化燃烧</w:t>
            </w:r>
            <w:r>
              <w:rPr>
                <w:rFonts w:hint="eastAsia" w:cs="Times New Roman"/>
                <w:color w:val="auto"/>
                <w:highlight w:val="none"/>
                <w:lang w:val="en-US" w:eastAsia="zh-CN"/>
              </w:rPr>
              <w:t>，分别处理后的颗粒物和VOCs通过通风管道连接至同一根排气筒（DA003）排放</w:t>
            </w:r>
            <w:r>
              <w:rPr>
                <w:rFonts w:hint="eastAsia" w:cs="Times New Roman"/>
                <w:color w:val="auto"/>
                <w:highlight w:val="none"/>
                <w:lang w:eastAsia="zh-CN"/>
              </w:rPr>
              <w:t>。</w:t>
            </w:r>
            <w:r>
              <w:rPr>
                <w:rFonts w:hint="default" w:ascii="Times New Roman" w:hAnsi="Times New Roman" w:cs="Times New Roman"/>
                <w:color w:val="auto"/>
                <w:highlight w:val="none"/>
              </w:rPr>
              <w:t>每年</w:t>
            </w:r>
            <w:r>
              <w:rPr>
                <w:rFonts w:hint="eastAsia" w:cs="Times New Roman"/>
                <w:color w:val="auto"/>
                <w:highlight w:val="none"/>
                <w:lang w:val="en-US" w:eastAsia="zh-CN"/>
              </w:rPr>
              <w:t>喷塑时间约1600h，</w:t>
            </w:r>
            <w:r>
              <w:rPr>
                <w:rFonts w:hint="default" w:ascii="Times New Roman" w:hAnsi="Times New Roman" w:cs="Times New Roman"/>
                <w:color w:val="auto"/>
                <w:highlight w:val="none"/>
              </w:rPr>
              <w:t>烘干作业时间</w:t>
            </w:r>
            <w:r>
              <w:rPr>
                <w:rFonts w:hint="eastAsia" w:cs="Times New Roman"/>
                <w:color w:val="auto"/>
                <w:highlight w:val="none"/>
                <w:lang w:val="en-US" w:eastAsia="zh-CN"/>
              </w:rPr>
              <w:t>约800h，共计</w:t>
            </w:r>
            <w:r>
              <w:rPr>
                <w:rFonts w:hint="default" w:ascii="Times New Roman" w:hAnsi="Times New Roman" w:cs="Times New Roman"/>
                <w:color w:val="auto"/>
                <w:highlight w:val="none"/>
              </w:rPr>
              <w:t>约2400h/a。</w:t>
            </w:r>
          </w:p>
          <w:p w14:paraId="5F56FE7D">
            <w:pPr>
              <w:pStyle w:val="56"/>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①颗粒物</w:t>
            </w:r>
          </w:p>
          <w:p w14:paraId="209A7909">
            <w:pPr>
              <w:pStyle w:val="56"/>
              <w:ind w:firstLine="48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喷塑采用的是树脂基材料(固体粉末状)，经静电喷涂吸附在工件表面，再经高温(约180℃-22</w:t>
            </w:r>
            <w:r>
              <w:rPr>
                <w:rFonts w:hint="eastAsia" w:cs="Times New Roman"/>
                <w:color w:val="auto"/>
                <w:highlight w:val="none"/>
                <w:lang w:val="en-US" w:eastAsia="zh-CN"/>
              </w:rPr>
              <w:t>0</w:t>
            </w:r>
            <w:r>
              <w:rPr>
                <w:rFonts w:hint="default" w:ascii="Times New Roman" w:hAnsi="Times New Roman" w:cs="Times New Roman"/>
                <w:color w:val="auto"/>
                <w:highlight w:val="none"/>
              </w:rPr>
              <w:t>℃)烘烤后使之熔融、流平、固化在工件表面的工艺。它具有无毒、无臭、无污染的优点，表面色泽艳丽，目前很多产品的表面都采用这种工艺。喷粉在半密闭喷粉室内，喷粉室主要由喷枪、房体、自动回收系统和供粉系统组成。供粉系统把压缩空气与粉筒内的粉末充分混合后成流体状并通过粉泵输送到喷枪中</w:t>
            </w:r>
            <w:r>
              <w:rPr>
                <w:rFonts w:hint="eastAsia" w:cs="Times New Roman"/>
                <w:color w:val="auto"/>
                <w:highlight w:val="none"/>
                <w:lang w:eastAsia="zh-CN"/>
              </w:rPr>
              <w:t>：</w:t>
            </w:r>
            <w:r>
              <w:rPr>
                <w:rFonts w:hint="default" w:ascii="Times New Roman" w:hAnsi="Times New Roman" w:cs="Times New Roman"/>
                <w:color w:val="auto"/>
                <w:highlight w:val="none"/>
              </w:rPr>
              <w:t>喷枪的枪体内带有高压发生器，它可以在枪尖处产生高达10万伏的电压，将枪尖附近区域的空气电离，从喷枪中喷出的粉体通过该电离区域时带上负电荷，通过电场力的作用粉末被吸附到接地的工件表面，并形成一层厚度约50~60um的粉膜</w:t>
            </w:r>
            <w:r>
              <w:rPr>
                <w:rFonts w:hint="eastAsia" w:cs="Times New Roman"/>
                <w:color w:val="auto"/>
                <w:highlight w:val="none"/>
                <w:lang w:eastAsia="zh-CN"/>
              </w:rPr>
              <w:t>；</w:t>
            </w:r>
            <w:r>
              <w:rPr>
                <w:rFonts w:hint="default" w:ascii="Times New Roman" w:hAnsi="Times New Roman" w:cs="Times New Roman"/>
                <w:color w:val="auto"/>
                <w:highlight w:val="none"/>
              </w:rPr>
              <w:t>在密闭的喷粉室内，通过风机产生负压，将喷粉室内未吸附在工件表面的粉体吸入</w:t>
            </w:r>
            <w:r>
              <w:rPr>
                <w:rFonts w:hint="eastAsia" w:cs="Times New Roman"/>
                <w:color w:val="auto"/>
                <w:highlight w:val="none"/>
                <w:lang w:val="en-US" w:eastAsia="zh-CN"/>
              </w:rPr>
              <w:t>布袋除尘器</w:t>
            </w:r>
            <w:r>
              <w:rPr>
                <w:rFonts w:hint="default" w:ascii="Times New Roman" w:hAnsi="Times New Roman" w:cs="Times New Roman"/>
                <w:color w:val="auto"/>
                <w:highlight w:val="none"/>
              </w:rPr>
              <w:t>，</w:t>
            </w:r>
            <w:r>
              <w:rPr>
                <w:rFonts w:hint="eastAsia" w:cs="Times New Roman"/>
                <w:color w:val="auto"/>
                <w:highlight w:val="none"/>
                <w:lang w:val="en-US" w:eastAsia="zh-CN"/>
              </w:rPr>
              <w:t>布袋除尘器收集系统接入</w:t>
            </w:r>
            <w:r>
              <w:rPr>
                <w:rFonts w:hint="default" w:ascii="Times New Roman" w:hAnsi="Times New Roman" w:cs="Times New Roman"/>
                <w:color w:val="auto"/>
                <w:highlight w:val="none"/>
              </w:rPr>
              <w:t>供粉系统</w:t>
            </w:r>
            <w:r>
              <w:rPr>
                <w:rFonts w:hint="eastAsia" w:cs="Times New Roman"/>
                <w:color w:val="auto"/>
                <w:highlight w:val="none"/>
                <w:lang w:eastAsia="zh-CN"/>
              </w:rPr>
              <w:t>，</w:t>
            </w:r>
            <w:r>
              <w:rPr>
                <w:rFonts w:hint="eastAsia" w:cs="Times New Roman"/>
                <w:color w:val="auto"/>
                <w:highlight w:val="none"/>
                <w:lang w:val="en-US" w:eastAsia="zh-CN"/>
              </w:rPr>
              <w:t>塑粉可以回收利用</w:t>
            </w:r>
            <w:r>
              <w:rPr>
                <w:rFonts w:hint="default" w:ascii="Times New Roman" w:hAnsi="Times New Roman" w:cs="Times New Roman"/>
                <w:color w:val="auto"/>
                <w:highlight w:val="none"/>
              </w:rPr>
              <w:t>。</w:t>
            </w:r>
          </w:p>
          <w:p w14:paraId="0B64E97A">
            <w:pPr>
              <w:pStyle w:val="56"/>
              <w:ind w:firstLine="48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本项目粉末使用总量为</w:t>
            </w:r>
            <w:r>
              <w:rPr>
                <w:rFonts w:hint="eastAsia" w:cs="Times New Roman"/>
                <w:color w:val="auto"/>
                <w:highlight w:val="none"/>
                <w:lang w:val="en-US" w:eastAsia="zh-CN"/>
              </w:rPr>
              <w:t>70</w:t>
            </w:r>
            <w:r>
              <w:rPr>
                <w:rFonts w:hint="default" w:ascii="Times New Roman" w:hAnsi="Times New Roman" w:cs="Times New Roman"/>
                <w:color w:val="auto"/>
                <w:highlight w:val="none"/>
              </w:rPr>
              <w:t>t</w:t>
            </w:r>
            <w:r>
              <w:rPr>
                <w:rFonts w:hint="eastAsia" w:cs="Times New Roman"/>
                <w:color w:val="auto"/>
                <w:highlight w:val="none"/>
                <w:lang w:val="en-US" w:eastAsia="zh-CN"/>
              </w:rPr>
              <w:t>/</w:t>
            </w:r>
            <w:r>
              <w:rPr>
                <w:rFonts w:hint="default" w:ascii="Times New Roman" w:hAnsi="Times New Roman" w:cs="Times New Roman"/>
                <w:color w:val="auto"/>
                <w:highlight w:val="none"/>
              </w:rPr>
              <w:t>a，参考《排放源统计调查产排污核算方法和系数手册》33-37,431-434机械行业系数手册核算源强，</w:t>
            </w:r>
            <w:r>
              <w:rPr>
                <w:rFonts w:hint="eastAsia" w:cs="Times New Roman"/>
                <w:color w:val="auto"/>
                <w:highlight w:val="none"/>
                <w:lang w:eastAsia="zh-CN"/>
              </w:rPr>
              <w:t>“</w:t>
            </w:r>
            <w:r>
              <w:rPr>
                <w:rFonts w:hint="default" w:ascii="Times New Roman" w:hAnsi="Times New Roman" w:cs="Times New Roman"/>
                <w:color w:val="auto"/>
                <w:highlight w:val="none"/>
              </w:rPr>
              <w:t>喷塑环节颗粒物产污系数300kg/t-原料</w:t>
            </w:r>
            <w:r>
              <w:rPr>
                <w:rFonts w:hint="eastAsia" w:cs="Times New Roman"/>
                <w:color w:val="auto"/>
                <w:highlight w:val="none"/>
                <w:lang w:eastAsia="zh-CN"/>
              </w:rPr>
              <w:t>”，</w:t>
            </w:r>
            <w:r>
              <w:rPr>
                <w:rFonts w:hint="eastAsia" w:cs="Times New Roman"/>
                <w:color w:val="auto"/>
                <w:highlight w:val="none"/>
                <w:lang w:val="en-US" w:eastAsia="zh-CN"/>
              </w:rPr>
              <w:t>根据企业提供资料，塑粉用量为70t/a，年喷塑时间约1600h，风机风量8000m</w:t>
            </w:r>
            <w:r>
              <w:rPr>
                <w:rFonts w:hint="eastAsia" w:cs="Times New Roman"/>
                <w:color w:val="auto"/>
                <w:highlight w:val="none"/>
                <w:vertAlign w:val="superscript"/>
                <w:lang w:val="en-US" w:eastAsia="zh-CN"/>
              </w:rPr>
              <w:t>3</w:t>
            </w:r>
            <w:r>
              <w:rPr>
                <w:rFonts w:hint="eastAsia" w:cs="Times New Roman"/>
                <w:color w:val="auto"/>
                <w:highlight w:val="none"/>
                <w:vertAlign w:val="baseline"/>
                <w:lang w:val="en-US" w:eastAsia="zh-CN"/>
              </w:rPr>
              <w:t>/h，</w:t>
            </w:r>
            <w:r>
              <w:rPr>
                <w:rFonts w:hint="default" w:ascii="Times New Roman" w:hAnsi="Times New Roman" w:cs="Times New Roman"/>
                <w:color w:val="auto"/>
                <w:kern w:val="0"/>
                <w:sz w:val="24"/>
                <w:highlight w:val="none"/>
                <w:lang w:bidi="ar"/>
              </w:rPr>
              <w:t>则粉尘产生量为</w:t>
            </w:r>
            <w:r>
              <w:rPr>
                <w:rFonts w:hint="eastAsia" w:cs="Times New Roman"/>
                <w:color w:val="auto"/>
                <w:kern w:val="0"/>
                <w:sz w:val="24"/>
                <w:highlight w:val="none"/>
                <w:lang w:val="en-US" w:eastAsia="zh-CN" w:bidi="ar"/>
              </w:rPr>
              <w:t>21</w:t>
            </w:r>
            <w:r>
              <w:rPr>
                <w:rFonts w:hint="default" w:ascii="Times New Roman" w:hAnsi="Times New Roman" w:cs="Times New Roman"/>
                <w:color w:val="auto"/>
                <w:kern w:val="0"/>
                <w:sz w:val="24"/>
                <w:highlight w:val="none"/>
                <w:lang w:bidi="ar"/>
              </w:rPr>
              <w:t>t/a，产生速率为</w:t>
            </w:r>
            <w:r>
              <w:rPr>
                <w:rFonts w:hint="eastAsia" w:cs="Times New Roman"/>
                <w:color w:val="auto"/>
                <w:kern w:val="0"/>
                <w:sz w:val="24"/>
                <w:highlight w:val="none"/>
                <w:lang w:val="en-US" w:eastAsia="zh-CN" w:bidi="ar"/>
              </w:rPr>
              <w:t>13.125</w:t>
            </w:r>
            <w:r>
              <w:rPr>
                <w:rFonts w:hint="default" w:ascii="Times New Roman" w:hAnsi="Times New Roman" w:cs="Times New Roman"/>
                <w:color w:val="auto"/>
                <w:kern w:val="0"/>
                <w:sz w:val="24"/>
                <w:highlight w:val="none"/>
                <w:lang w:bidi="ar"/>
              </w:rPr>
              <w:t>kg/h，产生浓度为</w:t>
            </w:r>
            <w:r>
              <w:rPr>
                <w:rFonts w:hint="eastAsia" w:cs="Times New Roman"/>
                <w:color w:val="auto"/>
                <w:kern w:val="0"/>
                <w:sz w:val="24"/>
                <w:highlight w:val="none"/>
                <w:lang w:val="en-US" w:eastAsia="zh-CN" w:bidi="ar"/>
              </w:rPr>
              <w:t>1312.5</w:t>
            </w:r>
            <w:r>
              <w:rPr>
                <w:rFonts w:hint="default" w:ascii="Times New Roman" w:hAnsi="Times New Roman" w:cs="Times New Roman"/>
                <w:color w:val="auto"/>
                <w:kern w:val="0"/>
                <w:sz w:val="24"/>
                <w:highlight w:val="none"/>
                <w:lang w:bidi="ar"/>
              </w:rPr>
              <w:t>mg/m</w:t>
            </w:r>
            <w:r>
              <w:rPr>
                <w:rFonts w:hint="default" w:ascii="Times New Roman" w:hAnsi="Times New Roman" w:cs="Times New Roman"/>
                <w:color w:val="auto"/>
                <w:kern w:val="0"/>
                <w:sz w:val="24"/>
                <w:highlight w:val="none"/>
                <w:vertAlign w:val="superscript"/>
                <w:lang w:bidi="ar"/>
              </w:rPr>
              <w:t>3</w:t>
            </w:r>
            <w:r>
              <w:rPr>
                <w:rFonts w:hint="default" w:ascii="Times New Roman" w:hAnsi="Times New Roman" w:cs="Times New Roman"/>
                <w:color w:val="auto"/>
                <w:kern w:val="0"/>
                <w:sz w:val="24"/>
                <w:highlight w:val="none"/>
                <w:lang w:bidi="ar"/>
              </w:rPr>
              <w:t>。</w:t>
            </w:r>
            <w:r>
              <w:rPr>
                <w:rFonts w:hint="eastAsia" w:ascii="Times New Roman" w:hAnsi="Times New Roman" w:eastAsia="宋体" w:cs="Times New Roman"/>
                <w:color w:val="auto"/>
                <w:kern w:val="0"/>
                <w:sz w:val="24"/>
                <w:szCs w:val="24"/>
                <w:highlight w:val="none"/>
                <w:lang w:val="en-US" w:eastAsia="zh-CN" w:bidi="ar-SA"/>
              </w:rPr>
              <w:t>依据袋式除尘工程通用技术规范(HJ 2020-2012)中提到：“集气罩能实现对烟气（尘）的补集效果，捕集率不低于：a密闭罩100%；b半密闭罩95%；c吹吸罩90%；d屋顶排烟罩90%；e含有毒有害、易燃易爆污染源控制装置100%。”</w:t>
            </w:r>
            <w:r>
              <w:rPr>
                <w:rFonts w:hint="eastAsia" w:cs="Times New Roman"/>
                <w:color w:val="auto"/>
                <w:kern w:val="0"/>
                <w:sz w:val="24"/>
                <w:szCs w:val="24"/>
                <w:highlight w:val="none"/>
                <w:lang w:val="en-US" w:eastAsia="zh-CN" w:bidi="ar-SA"/>
              </w:rPr>
              <w:t>本工段喷塑粉尘拟采用吹吸式集气罩，喷塑环节位于吹气口与吸气口中间，且喷塑烘干房负压密闭，集气罩</w:t>
            </w:r>
            <w:r>
              <w:rPr>
                <w:rFonts w:hint="eastAsia" w:ascii="Times New Roman" w:hAnsi="Times New Roman" w:eastAsia="宋体" w:cs="Times New Roman"/>
                <w:color w:val="auto"/>
                <w:highlight w:val="none"/>
                <w:lang w:val="en-US" w:eastAsia="zh-CN"/>
              </w:rPr>
              <w:t>收集效率</w:t>
            </w:r>
            <w:r>
              <w:rPr>
                <w:rFonts w:hint="eastAsia" w:cs="Times New Roman"/>
                <w:color w:val="auto"/>
                <w:highlight w:val="none"/>
                <w:lang w:val="en-US" w:eastAsia="zh-CN"/>
              </w:rPr>
              <w:t>能够达到</w:t>
            </w:r>
            <w:r>
              <w:rPr>
                <w:rFonts w:hint="eastAsia" w:ascii="Times New Roman" w:hAnsi="Times New Roman" w:eastAsia="宋体" w:cs="Times New Roman"/>
                <w:color w:val="auto"/>
                <w:highlight w:val="none"/>
                <w:lang w:val="en-US" w:eastAsia="zh-CN"/>
              </w:rPr>
              <w:t>90%，处理效率95%，</w:t>
            </w:r>
            <w:r>
              <w:rPr>
                <w:rFonts w:hint="eastAsia" w:cs="Times New Roman"/>
                <w:color w:val="auto"/>
                <w:kern w:val="0"/>
                <w:sz w:val="24"/>
                <w:highlight w:val="none"/>
                <w:lang w:val="en-US" w:eastAsia="zh-CN" w:bidi="ar"/>
              </w:rPr>
              <w:t>未收集粉尘为2.1t/a，沉降于喷塑室内，定期清扫回收利用，粉尘排放量为0.945t/a，排放速率为0.59kg/h，排放浓度73.75mg/</w:t>
            </w:r>
            <w:r>
              <w:rPr>
                <w:rFonts w:hint="default" w:ascii="Times New Roman" w:hAnsi="Times New Roman" w:cs="Times New Roman"/>
                <w:color w:val="auto"/>
                <w:kern w:val="0"/>
                <w:sz w:val="24"/>
                <w:highlight w:val="none"/>
                <w:lang w:bidi="ar"/>
              </w:rPr>
              <w:t>m</w:t>
            </w:r>
            <w:r>
              <w:rPr>
                <w:rFonts w:hint="default" w:ascii="Times New Roman" w:hAnsi="Times New Roman" w:cs="Times New Roman"/>
                <w:color w:val="auto"/>
                <w:kern w:val="0"/>
                <w:sz w:val="24"/>
                <w:highlight w:val="none"/>
                <w:vertAlign w:val="superscript"/>
                <w:lang w:bidi="ar"/>
              </w:rPr>
              <w:t>3</w:t>
            </w:r>
            <w:r>
              <w:rPr>
                <w:rFonts w:hint="eastAsia" w:cs="Times New Roman"/>
                <w:color w:val="auto"/>
                <w:kern w:val="0"/>
                <w:sz w:val="24"/>
                <w:highlight w:val="none"/>
                <w:vertAlign w:val="baseline"/>
                <w:lang w:eastAsia="zh-CN" w:bidi="ar"/>
              </w:rPr>
              <w:t>。</w:t>
            </w:r>
          </w:p>
          <w:p w14:paraId="0EFC9C83">
            <w:pPr>
              <w:pStyle w:val="56"/>
              <w:ind w:firstLine="480"/>
              <w:rPr>
                <w:rFonts w:hint="default" w:ascii="Times New Roman" w:hAnsi="Times New Roman" w:cs="Times New Roman"/>
                <w:color w:val="auto"/>
                <w:highlight w:val="none"/>
              </w:rPr>
            </w:pPr>
            <w:r>
              <w:rPr>
                <w:rFonts w:hint="default" w:ascii="Times New Roman" w:hAnsi="Times New Roman" w:cs="Times New Roman"/>
                <w:color w:val="auto"/>
                <w:szCs w:val="24"/>
                <w:highlight w:val="none"/>
              </w:rPr>
              <w:t>②挥发性有机物VOC</w:t>
            </w:r>
            <w:r>
              <w:rPr>
                <w:rFonts w:hint="default" w:ascii="Times New Roman" w:hAnsi="Times New Roman" w:cs="Times New Roman"/>
                <w:color w:val="auto"/>
                <w:szCs w:val="24"/>
                <w:highlight w:val="none"/>
                <w:vertAlign w:val="subscript"/>
              </w:rPr>
              <w:t>S</w:t>
            </w:r>
            <w:r>
              <w:rPr>
                <w:rFonts w:hint="default" w:ascii="Times New Roman" w:hAnsi="Times New Roman" w:cs="Times New Roman"/>
                <w:color w:val="auto"/>
                <w:szCs w:val="24"/>
                <w:highlight w:val="none"/>
              </w:rPr>
              <w:t>（以非甲烷总烃计）</w:t>
            </w:r>
          </w:p>
          <w:p w14:paraId="77ED016F">
            <w:pPr>
              <w:pStyle w:val="56"/>
              <w:ind w:firstLine="48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w:t>
            </w:r>
            <w:r>
              <w:rPr>
                <w:rFonts w:hint="eastAsia" w:cs="Times New Roman"/>
                <w:color w:val="auto"/>
                <w:highlight w:val="none"/>
                <w:lang w:val="en-US" w:eastAsia="zh-CN"/>
              </w:rPr>
              <w:t>烘干炉</w:t>
            </w:r>
            <w:r>
              <w:rPr>
                <w:rFonts w:hint="default" w:ascii="Times New Roman" w:hAnsi="Times New Roman" w:cs="Times New Roman"/>
                <w:color w:val="auto"/>
                <w:highlight w:val="none"/>
              </w:rPr>
              <w:t>加热温度为 180~220℃，不会使树脂粉末热分解，但会使其中游离单体挥发出来。参考《排放源统计调查产排污核算方法和系数手册》机械行业系数手册核算源强，粉末涂装喷塑后烘干固化有机废气产污系数1.2kg</w:t>
            </w:r>
            <w:r>
              <w:rPr>
                <w:rFonts w:hint="eastAsia" w:cs="Times New Roman"/>
                <w:color w:val="auto"/>
                <w:highlight w:val="none"/>
                <w:lang w:val="en-US" w:eastAsia="zh-CN"/>
              </w:rPr>
              <w:t>/</w:t>
            </w:r>
            <w:r>
              <w:rPr>
                <w:rFonts w:hint="default" w:ascii="Times New Roman" w:hAnsi="Times New Roman" w:cs="Times New Roman"/>
                <w:color w:val="auto"/>
                <w:highlight w:val="none"/>
              </w:rPr>
              <w:t>t-原料。项目</w:t>
            </w:r>
            <w:r>
              <w:rPr>
                <w:rFonts w:hint="eastAsia" w:cs="Times New Roman"/>
                <w:color w:val="auto"/>
                <w:highlight w:val="none"/>
                <w:lang w:val="en-US" w:eastAsia="zh-CN"/>
              </w:rPr>
              <w:t>塑粉</w:t>
            </w:r>
            <w:r>
              <w:rPr>
                <w:rFonts w:hint="default" w:ascii="Times New Roman" w:hAnsi="Times New Roman" w:cs="Times New Roman"/>
                <w:color w:val="auto"/>
                <w:highlight w:val="none"/>
              </w:rPr>
              <w:t>的使用总量为</w:t>
            </w:r>
            <w:r>
              <w:rPr>
                <w:rFonts w:hint="eastAsia" w:cs="Times New Roman"/>
                <w:color w:val="auto"/>
                <w:highlight w:val="none"/>
                <w:lang w:val="en-US" w:eastAsia="zh-CN"/>
              </w:rPr>
              <w:t>70</w:t>
            </w:r>
            <w:r>
              <w:rPr>
                <w:rFonts w:hint="default" w:ascii="Times New Roman" w:hAnsi="Times New Roman" w:cs="Times New Roman"/>
                <w:color w:val="auto"/>
                <w:highlight w:val="none"/>
              </w:rPr>
              <w:t>t</w:t>
            </w:r>
            <w:r>
              <w:rPr>
                <w:rFonts w:hint="eastAsia" w:cs="Times New Roman"/>
                <w:color w:val="auto"/>
                <w:highlight w:val="none"/>
                <w:lang w:val="en-US" w:eastAsia="zh-CN"/>
              </w:rPr>
              <w:t>/</w:t>
            </w:r>
            <w:r>
              <w:rPr>
                <w:rFonts w:hint="default" w:ascii="Times New Roman" w:hAnsi="Times New Roman" w:cs="Times New Roman"/>
                <w:color w:val="auto"/>
                <w:highlight w:val="none"/>
              </w:rPr>
              <w:t>a，则项目塑粉在加热固化过程产生的有机废气(以非甲烷总烃计)量为</w:t>
            </w:r>
            <w:r>
              <w:rPr>
                <w:rFonts w:hint="eastAsia" w:cs="Times New Roman"/>
                <w:color w:val="auto"/>
                <w:highlight w:val="none"/>
                <w:lang w:val="en-US" w:eastAsia="zh-CN"/>
              </w:rPr>
              <w:t>84kg</w:t>
            </w:r>
            <w:r>
              <w:rPr>
                <w:rFonts w:hint="default" w:ascii="Times New Roman" w:hAnsi="Times New Roman" w:cs="Times New Roman"/>
                <w:color w:val="auto"/>
                <w:highlight w:val="none"/>
              </w:rPr>
              <w:t>/a，本项目收集的固化废气通过</w:t>
            </w:r>
            <w:r>
              <w:rPr>
                <w:rFonts w:hint="eastAsia" w:cs="Times New Roman"/>
                <w:color w:val="auto"/>
                <w:highlight w:val="none"/>
                <w:lang w:val="en-US" w:eastAsia="zh-CN"/>
              </w:rPr>
              <w:t>活性炭吸附+催化燃烧</w:t>
            </w:r>
            <w:r>
              <w:rPr>
                <w:rFonts w:hint="default" w:ascii="Times New Roman" w:hAnsi="Times New Roman" w:cs="Times New Roman"/>
                <w:color w:val="auto"/>
                <w:highlight w:val="none"/>
              </w:rPr>
              <w:t>处理后尾气通过 15m 高排气筒(DA00</w:t>
            </w:r>
            <w:r>
              <w:rPr>
                <w:rFonts w:hint="eastAsia" w:cs="Times New Roman"/>
                <w:color w:val="auto"/>
                <w:highlight w:val="none"/>
                <w:lang w:val="en-US" w:eastAsia="zh-CN"/>
              </w:rPr>
              <w:t>3</w:t>
            </w:r>
            <w:r>
              <w:rPr>
                <w:rFonts w:hint="default" w:ascii="Times New Roman" w:hAnsi="Times New Roman" w:cs="Times New Roman"/>
                <w:color w:val="auto"/>
                <w:highlight w:val="none"/>
              </w:rPr>
              <w:t>)排放</w:t>
            </w:r>
            <w:r>
              <w:rPr>
                <w:rFonts w:hint="eastAsia" w:cs="Times New Roman"/>
                <w:color w:val="auto"/>
                <w:highlight w:val="none"/>
                <w:lang w:eastAsia="zh-CN"/>
              </w:rPr>
              <w:t>，</w:t>
            </w:r>
            <w:r>
              <w:rPr>
                <w:rFonts w:hint="default" w:ascii="Times New Roman" w:hAnsi="Times New Roman" w:cs="Times New Roman"/>
                <w:color w:val="auto"/>
                <w:highlight w:val="none"/>
              </w:rPr>
              <w:t>排风量约为</w:t>
            </w:r>
            <w:r>
              <w:rPr>
                <w:rFonts w:hint="eastAsia" w:cs="Times New Roman"/>
                <w:color w:val="auto"/>
                <w:highlight w:val="none"/>
                <w:lang w:val="en-US" w:eastAsia="zh-CN"/>
              </w:rPr>
              <w:t>8</w:t>
            </w:r>
            <w:r>
              <w:rPr>
                <w:rFonts w:hint="default" w:ascii="Times New Roman" w:hAnsi="Times New Roman" w:cs="Times New Roman"/>
                <w:color w:val="auto"/>
                <w:highlight w:val="none"/>
              </w:rPr>
              <w:t>000m</w:t>
            </w:r>
            <w:r>
              <w:rPr>
                <w:rFonts w:hint="default" w:ascii="Times New Roman" w:hAnsi="Times New Roman" w:cs="Times New Roman"/>
                <w:color w:val="auto"/>
                <w:highlight w:val="none"/>
                <w:vertAlign w:val="superscript"/>
              </w:rPr>
              <w:t>3</w:t>
            </w:r>
            <w:r>
              <w:rPr>
                <w:rFonts w:hint="eastAsia" w:cs="Times New Roman"/>
                <w:color w:val="auto"/>
                <w:highlight w:val="none"/>
                <w:vertAlign w:val="baseline"/>
                <w:lang w:val="en-US" w:eastAsia="zh-CN"/>
              </w:rPr>
              <w:t>/</w:t>
            </w:r>
            <w:r>
              <w:rPr>
                <w:rFonts w:hint="default" w:ascii="Times New Roman" w:hAnsi="Times New Roman" w:cs="Times New Roman"/>
                <w:color w:val="auto"/>
                <w:highlight w:val="none"/>
              </w:rPr>
              <w:t>h</w:t>
            </w:r>
            <w:r>
              <w:rPr>
                <w:rFonts w:hint="eastAsia" w:cs="Times New Roman"/>
                <w:color w:val="auto"/>
                <w:highlight w:val="none"/>
                <w:lang w:eastAsia="zh-CN"/>
              </w:rPr>
              <w:t>，</w:t>
            </w:r>
            <w:r>
              <w:rPr>
                <w:rFonts w:hint="default" w:ascii="Times New Roman" w:hAnsi="Times New Roman" w:cs="Times New Roman"/>
                <w:color w:val="auto"/>
                <w:highlight w:val="none"/>
              </w:rPr>
              <w:t>固化时间以</w:t>
            </w:r>
            <w:r>
              <w:rPr>
                <w:rFonts w:hint="eastAsia" w:cs="Times New Roman"/>
                <w:color w:val="auto"/>
                <w:highlight w:val="none"/>
                <w:lang w:val="en-US" w:eastAsia="zh-CN"/>
              </w:rPr>
              <w:t>8</w:t>
            </w:r>
            <w:r>
              <w:rPr>
                <w:rFonts w:hint="default" w:ascii="Times New Roman" w:hAnsi="Times New Roman" w:cs="Times New Roman"/>
                <w:color w:val="auto"/>
                <w:highlight w:val="none"/>
              </w:rPr>
              <w:t>00h/a计</w:t>
            </w:r>
            <w:r>
              <w:rPr>
                <w:rFonts w:hint="eastAsia" w:cs="Times New Roman"/>
                <w:color w:val="auto"/>
                <w:highlight w:val="none"/>
                <w:lang w:eastAsia="zh-CN"/>
              </w:rPr>
              <w:t>，</w:t>
            </w:r>
            <w:r>
              <w:rPr>
                <w:rFonts w:hint="eastAsia" w:cs="Times New Roman"/>
                <w:color w:val="auto"/>
                <w:highlight w:val="none"/>
                <w:lang w:val="en-US" w:eastAsia="zh-CN"/>
              </w:rPr>
              <w:t>依据《主要污染物总量减排核算技术指南（2022年修订）》及《涂料油墨制造行业VOCs排放量计算方法(试行)》，VOCs 产生源设置在封闭空间内，所有开口处，包括人员或物料进出口处呈负压，</w:t>
            </w:r>
            <w:r>
              <w:rPr>
                <w:rFonts w:hint="default" w:ascii="Times New Roman" w:hAnsi="Times New Roman" w:cs="Times New Roman"/>
                <w:color w:val="auto"/>
                <w:highlight w:val="none"/>
              </w:rPr>
              <w:t>有机废气收集效率</w:t>
            </w:r>
            <w:r>
              <w:rPr>
                <w:rFonts w:hint="eastAsia" w:cs="Times New Roman"/>
                <w:color w:val="auto"/>
                <w:highlight w:val="none"/>
                <w:lang w:val="en-US" w:eastAsia="zh-CN"/>
              </w:rPr>
              <w:t>9</w:t>
            </w:r>
            <w:r>
              <w:rPr>
                <w:rFonts w:hint="default" w:ascii="Times New Roman" w:hAnsi="Times New Roman" w:cs="Times New Roman"/>
                <w:color w:val="auto"/>
                <w:highlight w:val="none"/>
              </w:rPr>
              <w:t>0%</w:t>
            </w:r>
            <w:r>
              <w:rPr>
                <w:rFonts w:hint="eastAsia" w:cs="Times New Roman"/>
                <w:color w:val="auto"/>
                <w:highlight w:val="none"/>
                <w:lang w:eastAsia="zh-CN"/>
              </w:rPr>
              <w:t>，</w:t>
            </w:r>
            <w:r>
              <w:rPr>
                <w:rFonts w:hint="default" w:ascii="Times New Roman" w:hAnsi="Times New Roman" w:cs="Times New Roman"/>
                <w:color w:val="auto"/>
                <w:highlight w:val="none"/>
              </w:rPr>
              <w:t>处理效率</w:t>
            </w:r>
            <w:r>
              <w:rPr>
                <w:rFonts w:hint="eastAsia" w:cs="Times New Roman"/>
                <w:color w:val="auto"/>
                <w:highlight w:val="none"/>
                <w:lang w:val="en-US" w:eastAsia="zh-CN"/>
              </w:rPr>
              <w:t>60</w:t>
            </w:r>
            <w:r>
              <w:rPr>
                <w:rFonts w:hint="default" w:ascii="Times New Roman" w:hAnsi="Times New Roman" w:cs="Times New Roman"/>
                <w:color w:val="auto"/>
                <w:highlight w:val="none"/>
              </w:rPr>
              <w:t>%。则非甲烷总烃有组织排放量为</w:t>
            </w:r>
            <w:r>
              <w:rPr>
                <w:rFonts w:hint="eastAsia" w:cs="Times New Roman"/>
                <w:color w:val="auto"/>
                <w:highlight w:val="none"/>
                <w:lang w:val="en-US" w:eastAsia="zh-CN"/>
              </w:rPr>
              <w:t>30.24kg/</w:t>
            </w:r>
            <w:r>
              <w:rPr>
                <w:rFonts w:hint="default" w:ascii="Times New Roman" w:hAnsi="Times New Roman" w:cs="Times New Roman"/>
                <w:color w:val="auto"/>
                <w:highlight w:val="none"/>
              </w:rPr>
              <w:t>a</w:t>
            </w:r>
            <w:r>
              <w:rPr>
                <w:rFonts w:hint="eastAsia" w:cs="Times New Roman"/>
                <w:color w:val="auto"/>
                <w:highlight w:val="none"/>
                <w:lang w:eastAsia="zh-CN"/>
              </w:rPr>
              <w:t>，</w:t>
            </w:r>
            <w:r>
              <w:rPr>
                <w:rFonts w:hint="default" w:ascii="Times New Roman" w:hAnsi="Times New Roman" w:cs="Times New Roman"/>
                <w:color w:val="auto"/>
                <w:highlight w:val="none"/>
              </w:rPr>
              <w:t>速率0.0</w:t>
            </w:r>
            <w:r>
              <w:rPr>
                <w:rFonts w:hint="eastAsia" w:cs="Times New Roman"/>
                <w:color w:val="auto"/>
                <w:highlight w:val="none"/>
                <w:lang w:val="en-US" w:eastAsia="zh-CN"/>
              </w:rPr>
              <w:t>38</w:t>
            </w:r>
            <w:r>
              <w:rPr>
                <w:rFonts w:hint="default" w:ascii="Times New Roman" w:hAnsi="Times New Roman" w:cs="Times New Roman"/>
                <w:color w:val="auto"/>
                <w:highlight w:val="none"/>
              </w:rPr>
              <w:t>kg/h</w:t>
            </w:r>
            <w:r>
              <w:rPr>
                <w:rFonts w:hint="eastAsia" w:cs="Times New Roman"/>
                <w:color w:val="auto"/>
                <w:highlight w:val="none"/>
                <w:lang w:eastAsia="zh-CN"/>
              </w:rPr>
              <w:t>，</w:t>
            </w:r>
            <w:r>
              <w:rPr>
                <w:rFonts w:hint="default" w:ascii="Times New Roman" w:hAnsi="Times New Roman" w:cs="Times New Roman"/>
                <w:color w:val="auto"/>
                <w:highlight w:val="none"/>
              </w:rPr>
              <w:t>排放浓度</w:t>
            </w:r>
            <w:r>
              <w:rPr>
                <w:rFonts w:hint="eastAsia" w:cs="Times New Roman"/>
                <w:color w:val="auto"/>
                <w:highlight w:val="none"/>
                <w:lang w:val="en-US" w:eastAsia="zh-CN"/>
              </w:rPr>
              <w:t>4.7</w:t>
            </w:r>
            <w:r>
              <w:rPr>
                <w:rFonts w:hint="default" w:ascii="Times New Roman" w:hAnsi="Times New Roman" w:cs="Times New Roman"/>
                <w:color w:val="auto"/>
                <w:highlight w:val="none"/>
              </w:rPr>
              <w:t>mg/m³</w:t>
            </w:r>
            <w:r>
              <w:rPr>
                <w:rFonts w:hint="eastAsia" w:cs="Times New Roman"/>
                <w:color w:val="auto"/>
                <w:highlight w:val="none"/>
                <w:lang w:eastAsia="zh-CN"/>
              </w:rPr>
              <w:t>，</w:t>
            </w:r>
            <w:r>
              <w:rPr>
                <w:rFonts w:hint="default" w:ascii="Times New Roman" w:hAnsi="Times New Roman" w:cs="Times New Roman"/>
                <w:color w:val="auto"/>
                <w:highlight w:val="none"/>
              </w:rPr>
              <w:t>未收集到的无组织废气排放量为</w:t>
            </w:r>
            <w:r>
              <w:rPr>
                <w:rFonts w:hint="eastAsia" w:cs="Times New Roman"/>
                <w:color w:val="auto"/>
                <w:highlight w:val="none"/>
                <w:lang w:val="en-US" w:eastAsia="zh-CN"/>
              </w:rPr>
              <w:t>8.4kg</w:t>
            </w:r>
            <w:r>
              <w:rPr>
                <w:rFonts w:hint="default" w:ascii="Times New Roman" w:hAnsi="Times New Roman" w:cs="Times New Roman"/>
                <w:color w:val="auto"/>
                <w:highlight w:val="none"/>
              </w:rPr>
              <w:t>/a，速率0.0</w:t>
            </w:r>
            <w:r>
              <w:rPr>
                <w:rFonts w:hint="eastAsia" w:cs="Times New Roman"/>
                <w:color w:val="auto"/>
                <w:highlight w:val="none"/>
                <w:lang w:val="en-US" w:eastAsia="zh-CN"/>
              </w:rPr>
              <w:t>1</w:t>
            </w:r>
            <w:r>
              <w:rPr>
                <w:rFonts w:hint="default" w:ascii="Times New Roman" w:hAnsi="Times New Roman" w:cs="Times New Roman"/>
                <w:color w:val="auto"/>
                <w:highlight w:val="none"/>
              </w:rPr>
              <w:t>kg</w:t>
            </w:r>
            <w:r>
              <w:rPr>
                <w:rFonts w:hint="eastAsia" w:cs="Times New Roman"/>
                <w:color w:val="auto"/>
                <w:highlight w:val="none"/>
                <w:lang w:val="en-US" w:eastAsia="zh-CN"/>
              </w:rPr>
              <w:t>/</w:t>
            </w:r>
            <w:r>
              <w:rPr>
                <w:rFonts w:hint="default" w:ascii="Times New Roman" w:hAnsi="Times New Roman" w:cs="Times New Roman"/>
                <w:color w:val="auto"/>
                <w:highlight w:val="none"/>
              </w:rPr>
              <w:t>h。</w:t>
            </w:r>
          </w:p>
          <w:p w14:paraId="38A359A0">
            <w:pPr>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highlight w:val="none"/>
              </w:rPr>
              <w:t>综上，</w:t>
            </w:r>
            <w:r>
              <w:rPr>
                <w:rFonts w:hint="default" w:ascii="Times New Roman" w:hAnsi="Times New Roman" w:cs="Times New Roman"/>
                <w:color w:val="auto"/>
                <w:sz w:val="24"/>
                <w:highlight w:val="none"/>
              </w:rPr>
              <w:t>本项目</w:t>
            </w:r>
            <w:r>
              <w:rPr>
                <w:rFonts w:hint="eastAsia" w:cs="Times New Roman"/>
                <w:color w:val="auto"/>
                <w:sz w:val="24"/>
                <w:highlight w:val="none"/>
                <w:lang w:val="en-US" w:eastAsia="zh-CN"/>
              </w:rPr>
              <w:t>喷塑</w:t>
            </w:r>
            <w:r>
              <w:rPr>
                <w:rFonts w:hint="default" w:ascii="Times New Roman" w:hAnsi="Times New Roman" w:cs="Times New Roman"/>
                <w:color w:val="auto"/>
                <w:sz w:val="24"/>
                <w:highlight w:val="none"/>
              </w:rPr>
              <w:t>产生的颗粒物排放量0.</w:t>
            </w:r>
            <w:r>
              <w:rPr>
                <w:rFonts w:hint="eastAsia" w:cs="Times New Roman"/>
                <w:color w:val="auto"/>
                <w:sz w:val="24"/>
                <w:highlight w:val="none"/>
                <w:lang w:val="en-US" w:eastAsia="zh-CN"/>
              </w:rPr>
              <w:t>945</w:t>
            </w:r>
            <w:r>
              <w:rPr>
                <w:rFonts w:hint="default" w:ascii="Times New Roman" w:hAnsi="Times New Roman" w:cs="Times New Roman"/>
                <w:color w:val="auto"/>
                <w:sz w:val="24"/>
                <w:highlight w:val="none"/>
              </w:rPr>
              <w:t>t/a，排放浓度</w:t>
            </w:r>
            <w:r>
              <w:rPr>
                <w:rFonts w:hint="eastAsia" w:cs="Times New Roman"/>
                <w:color w:val="auto"/>
                <w:sz w:val="24"/>
                <w:highlight w:val="none"/>
                <w:lang w:val="en-US" w:eastAsia="zh-CN"/>
              </w:rPr>
              <w:t>73.75</w:t>
            </w:r>
            <w:r>
              <w:rPr>
                <w:rFonts w:hint="default" w:ascii="Times New Roman" w:hAnsi="Times New Roman" w:cs="Times New Roman"/>
                <w:color w:val="auto"/>
                <w:sz w:val="24"/>
                <w:highlight w:val="none"/>
              </w:rPr>
              <w:t>mg/m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，排放速率：</w:t>
            </w:r>
            <w:r>
              <w:rPr>
                <w:rFonts w:hint="eastAsia" w:cs="Times New Roman"/>
                <w:color w:val="auto"/>
                <w:sz w:val="24"/>
                <w:highlight w:val="none"/>
                <w:lang w:val="en-US" w:eastAsia="zh-CN"/>
              </w:rPr>
              <w:t>0.59</w:t>
            </w:r>
            <w:r>
              <w:rPr>
                <w:rFonts w:hint="default" w:ascii="Times New Roman" w:hAnsi="Times New Roman" w:cs="Times New Roman"/>
                <w:color w:val="auto"/>
                <w:sz w:val="24"/>
                <w:highlight w:val="none"/>
              </w:rPr>
              <w:t>kg/h；符合《大气污染物综合排放标准》（GB16297-1996）中表2新污染源大气污</w:t>
            </w:r>
            <w:r>
              <w:rPr>
                <w:rFonts w:hint="default" w:ascii="Times New Roman" w:hAnsi="Times New Roman" w:cs="Times New Roman"/>
                <w:color w:val="auto"/>
                <w:sz w:val="24"/>
                <w:szCs w:val="24"/>
                <w:highlight w:val="none"/>
              </w:rPr>
              <w:t>染物排放限值（15m排气筒10kg/h，120mg/m</w:t>
            </w:r>
            <w:r>
              <w:rPr>
                <w:rFonts w:hint="default" w:ascii="Times New Roman" w:hAnsi="Times New Roman" w:cs="Times New Roman"/>
                <w:color w:val="auto"/>
                <w:sz w:val="24"/>
                <w:szCs w:val="24"/>
                <w:highlight w:val="none"/>
                <w:vertAlign w:val="superscript"/>
              </w:rPr>
              <w:t>3</w:t>
            </w:r>
            <w:r>
              <w:rPr>
                <w:rFonts w:hint="default" w:ascii="Times New Roman" w:hAnsi="Times New Roman" w:cs="Times New Roman"/>
                <w:color w:val="auto"/>
                <w:sz w:val="24"/>
                <w:szCs w:val="24"/>
                <w:highlight w:val="none"/>
              </w:rPr>
              <w:t>）；</w:t>
            </w:r>
          </w:p>
          <w:p w14:paraId="151CC34D">
            <w:pPr>
              <w:spacing w:line="360" w:lineRule="auto"/>
              <w:ind w:firstLine="480" w:firstLineChars="200"/>
              <w:rPr>
                <w:rFonts w:hint="default" w:ascii="Times New Roman" w:hAnsi="Times New Roman" w:cs="Times New Roman"/>
                <w:color w:val="auto"/>
                <w:sz w:val="24"/>
                <w:highlight w:val="none"/>
              </w:rPr>
            </w:pPr>
            <w:r>
              <w:rPr>
                <w:rFonts w:hint="eastAsia" w:cs="Times New Roman"/>
                <w:color w:val="auto"/>
                <w:sz w:val="24"/>
                <w:szCs w:val="24"/>
                <w:highlight w:val="none"/>
                <w:lang w:val="en-US" w:eastAsia="zh-CN"/>
              </w:rPr>
              <w:t>烘干</w:t>
            </w:r>
            <w:r>
              <w:rPr>
                <w:rFonts w:hint="default" w:ascii="Times New Roman" w:hAnsi="Times New Roman" w:cs="Times New Roman"/>
                <w:color w:val="auto"/>
                <w:sz w:val="24"/>
                <w:szCs w:val="24"/>
                <w:highlight w:val="none"/>
              </w:rPr>
              <w:t>产生的挥发性有机物排放量</w:t>
            </w:r>
            <w:r>
              <w:rPr>
                <w:rFonts w:hint="eastAsia" w:cs="Times New Roman"/>
                <w:color w:val="auto"/>
                <w:sz w:val="24"/>
                <w:szCs w:val="24"/>
                <w:highlight w:val="none"/>
                <w:lang w:val="en-US" w:eastAsia="zh-CN"/>
              </w:rPr>
              <w:t>0.016</w:t>
            </w:r>
            <w:r>
              <w:rPr>
                <w:rFonts w:hint="default" w:ascii="Times New Roman" w:hAnsi="Times New Roman" w:cs="Times New Roman"/>
                <w:color w:val="auto"/>
                <w:sz w:val="24"/>
                <w:szCs w:val="24"/>
                <w:highlight w:val="none"/>
              </w:rPr>
              <w:t>t/a，排放浓度</w:t>
            </w:r>
            <w:r>
              <w:rPr>
                <w:rFonts w:hint="eastAsia" w:cs="Times New Roman"/>
                <w:color w:val="auto"/>
                <w:sz w:val="24"/>
                <w:szCs w:val="24"/>
                <w:highlight w:val="none"/>
                <w:lang w:val="en-US" w:eastAsia="zh-CN"/>
              </w:rPr>
              <w:t>3.8</w:t>
            </w:r>
            <w:r>
              <w:rPr>
                <w:rFonts w:hint="default" w:ascii="Times New Roman" w:hAnsi="Times New Roman" w:cs="Times New Roman"/>
                <w:color w:val="auto"/>
                <w:sz w:val="24"/>
                <w:szCs w:val="24"/>
                <w:highlight w:val="none"/>
              </w:rPr>
              <w:t>mg/m</w:t>
            </w:r>
            <w:r>
              <w:rPr>
                <w:rFonts w:hint="default" w:ascii="Times New Roman" w:hAnsi="Times New Roman" w:cs="Times New Roman"/>
                <w:color w:val="auto"/>
                <w:sz w:val="24"/>
                <w:szCs w:val="24"/>
                <w:highlight w:val="none"/>
                <w:vertAlign w:val="superscript"/>
              </w:rPr>
              <w:t>3</w:t>
            </w:r>
            <w:r>
              <w:rPr>
                <w:rFonts w:hint="default" w:ascii="Times New Roman" w:hAnsi="Times New Roman" w:cs="Times New Roman"/>
                <w:color w:val="auto"/>
                <w:sz w:val="24"/>
                <w:szCs w:val="24"/>
                <w:highlight w:val="none"/>
              </w:rPr>
              <w:t>，排放速率：</w:t>
            </w:r>
            <w:r>
              <w:rPr>
                <w:rFonts w:hint="eastAsia" w:cs="Times New Roman"/>
                <w:color w:val="auto"/>
                <w:sz w:val="24"/>
                <w:szCs w:val="24"/>
                <w:highlight w:val="none"/>
                <w:lang w:val="en-US" w:eastAsia="zh-CN"/>
              </w:rPr>
              <w:t>0.019</w:t>
            </w:r>
            <w:r>
              <w:rPr>
                <w:rFonts w:hint="default" w:ascii="Times New Roman" w:hAnsi="Times New Roman" w:cs="Times New Roman"/>
                <w:color w:val="auto"/>
                <w:sz w:val="24"/>
                <w:szCs w:val="24"/>
                <w:highlight w:val="none"/>
              </w:rPr>
              <w:t>kg/h；符合《重污染天气重点行业应急减排措施制定技术指南》表39-1 A级企业排放限值</w:t>
            </w:r>
            <w:r>
              <w:rPr>
                <w:rFonts w:hint="default" w:ascii="Times New Roman" w:hAnsi="Times New Roman" w:cs="Times New Roman"/>
                <w:color w:val="auto"/>
                <w:sz w:val="24"/>
                <w:highlight w:val="none"/>
              </w:rPr>
              <w:t>（</w:t>
            </w:r>
            <w:r>
              <w:rPr>
                <w:rFonts w:hint="eastAsia" w:cs="Times New Roman"/>
                <w:color w:val="auto"/>
                <w:sz w:val="24"/>
                <w:highlight w:val="none"/>
                <w:lang w:val="en-US" w:eastAsia="zh-CN"/>
              </w:rPr>
              <w:t>3</w:t>
            </w:r>
            <w:r>
              <w:rPr>
                <w:rFonts w:hint="default" w:ascii="Times New Roman" w:hAnsi="Times New Roman" w:cs="Times New Roman"/>
                <w:color w:val="auto"/>
                <w:sz w:val="24"/>
                <w:highlight w:val="none"/>
              </w:rPr>
              <w:t>0mg/m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w:t>
            </w:r>
          </w:p>
          <w:p w14:paraId="4A423B37">
            <w:pPr>
              <w:pStyle w:val="56"/>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项目</w:t>
            </w:r>
            <w:r>
              <w:rPr>
                <w:rFonts w:hint="eastAsia" w:cs="Times New Roman"/>
                <w:color w:val="auto"/>
                <w:highlight w:val="none"/>
                <w:lang w:val="en-US" w:eastAsia="zh-CN"/>
              </w:rPr>
              <w:t>喷塑</w:t>
            </w:r>
            <w:r>
              <w:rPr>
                <w:rFonts w:hint="default" w:ascii="Times New Roman" w:hAnsi="Times New Roman" w:cs="Times New Roman"/>
                <w:color w:val="auto"/>
                <w:highlight w:val="none"/>
              </w:rPr>
              <w:t>房通过在</w:t>
            </w:r>
            <w:r>
              <w:rPr>
                <w:rFonts w:hint="eastAsia" w:cs="Times New Roman"/>
                <w:color w:val="auto"/>
                <w:highlight w:val="none"/>
                <w:lang w:val="en-US" w:eastAsia="zh-CN"/>
              </w:rPr>
              <w:t>喷塑</w:t>
            </w:r>
            <w:r>
              <w:rPr>
                <w:rFonts w:hint="default" w:ascii="Times New Roman" w:hAnsi="Times New Roman" w:cs="Times New Roman"/>
                <w:color w:val="auto"/>
                <w:highlight w:val="none"/>
              </w:rPr>
              <w:t>房侧面设置排风口，产生的废气</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颗粒物、挥发性有机物</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highlight w:val="none"/>
              </w:rPr>
              <w:t>经密闭</w:t>
            </w:r>
            <w:r>
              <w:rPr>
                <w:rFonts w:hint="eastAsia" w:cs="Times New Roman"/>
                <w:color w:val="auto"/>
                <w:highlight w:val="none"/>
                <w:lang w:val="en-US" w:eastAsia="zh-CN"/>
              </w:rPr>
              <w:t>喷塑</w:t>
            </w:r>
            <w:r>
              <w:rPr>
                <w:rFonts w:hint="default" w:ascii="Times New Roman" w:hAnsi="Times New Roman" w:cs="Times New Roman"/>
                <w:color w:val="auto"/>
                <w:highlight w:val="none"/>
              </w:rPr>
              <w:t>房负压收集后采用</w:t>
            </w:r>
            <w:r>
              <w:rPr>
                <w:rFonts w:hint="eastAsia" w:cs="Times New Roman"/>
                <w:color w:val="auto"/>
                <w:highlight w:val="none"/>
                <w:lang w:eastAsia="zh-CN"/>
              </w:rPr>
              <w:t>“</w:t>
            </w:r>
            <w:r>
              <w:rPr>
                <w:rFonts w:hint="eastAsia" w:cs="Times New Roman"/>
                <w:color w:val="auto"/>
                <w:highlight w:val="none"/>
                <w:lang w:val="en-US" w:eastAsia="zh-CN"/>
              </w:rPr>
              <w:t>袋式除尘器”和“活性炭吸附+</w:t>
            </w:r>
            <w:r>
              <w:rPr>
                <w:rFonts w:hint="default" w:ascii="Times New Roman" w:hAnsi="Times New Roman" w:cs="Times New Roman"/>
                <w:color w:val="auto"/>
                <w:highlight w:val="none"/>
              </w:rPr>
              <w:t>催化燃烧处理装置</w:t>
            </w:r>
            <w:r>
              <w:rPr>
                <w:rFonts w:hint="eastAsia" w:cs="Times New Roman"/>
                <w:color w:val="auto"/>
                <w:highlight w:val="none"/>
                <w:lang w:eastAsia="zh-CN"/>
              </w:rPr>
              <w:t>”</w:t>
            </w:r>
            <w:r>
              <w:rPr>
                <w:rFonts w:hint="default" w:ascii="Times New Roman" w:hAnsi="Times New Roman" w:cs="Times New Roman"/>
                <w:color w:val="auto"/>
                <w:highlight w:val="none"/>
              </w:rPr>
              <w:t>设施处理后经15m排气筒（DA003）排放，配套风机风量为</w:t>
            </w:r>
            <w:r>
              <w:rPr>
                <w:rFonts w:hint="eastAsia" w:cs="Times New Roman"/>
                <w:color w:val="auto"/>
                <w:highlight w:val="none"/>
                <w:lang w:val="en-US" w:eastAsia="zh-CN"/>
              </w:rPr>
              <w:t>8</w:t>
            </w:r>
            <w:r>
              <w:rPr>
                <w:rFonts w:hint="default" w:ascii="Times New Roman" w:hAnsi="Times New Roman" w:cs="Times New Roman"/>
                <w:color w:val="auto"/>
                <w:highlight w:val="none"/>
              </w:rPr>
              <w:t>000m</w:t>
            </w:r>
            <w:r>
              <w:rPr>
                <w:rFonts w:hint="default" w:ascii="Times New Roman" w:hAnsi="Times New Roman" w:cs="Times New Roman"/>
                <w:color w:val="auto"/>
                <w:highlight w:val="none"/>
                <w:vertAlign w:val="superscript"/>
              </w:rPr>
              <w:t>3</w:t>
            </w:r>
            <w:r>
              <w:rPr>
                <w:rFonts w:hint="default" w:ascii="Times New Roman" w:hAnsi="Times New Roman" w:cs="Times New Roman"/>
                <w:color w:val="auto"/>
                <w:highlight w:val="none"/>
              </w:rPr>
              <w:t>/h，本项目废气收集效率为9</w:t>
            </w:r>
            <w:r>
              <w:rPr>
                <w:rFonts w:hint="eastAsia" w:cs="Times New Roman"/>
                <w:color w:val="auto"/>
                <w:highlight w:val="none"/>
                <w:lang w:val="en-US" w:eastAsia="zh-CN"/>
              </w:rPr>
              <w:t>0</w:t>
            </w:r>
            <w:r>
              <w:rPr>
                <w:rFonts w:hint="default" w:ascii="Times New Roman" w:hAnsi="Times New Roman" w:cs="Times New Roman"/>
                <w:color w:val="auto"/>
                <w:highlight w:val="none"/>
              </w:rPr>
              <w:t>%，根据</w:t>
            </w:r>
            <w:r>
              <w:rPr>
                <w:rFonts w:hint="default" w:ascii="Times New Roman" w:hAnsi="Times New Roman" w:cs="Times New Roman"/>
                <w:color w:val="auto"/>
                <w:highlight w:val="none"/>
                <w:lang w:val="en-US" w:eastAsia="zh-CN"/>
              </w:rPr>
              <w:t>《主要污染物总量减排核算技术指南（2022年修订）》</w:t>
            </w:r>
            <w:r>
              <w:rPr>
                <w:rFonts w:hint="default" w:ascii="Times New Roman" w:hAnsi="Times New Roman" w:cs="Times New Roman"/>
                <w:color w:val="auto"/>
                <w:highlight w:val="none"/>
              </w:rPr>
              <w:t>，去除颗粒物治理效率为</w:t>
            </w:r>
            <w:r>
              <w:rPr>
                <w:rFonts w:hint="eastAsia" w:cs="Times New Roman"/>
                <w:color w:val="auto"/>
                <w:highlight w:val="none"/>
                <w:lang w:val="en-US" w:eastAsia="zh-CN"/>
              </w:rPr>
              <w:t>95</w:t>
            </w:r>
            <w:r>
              <w:rPr>
                <w:rFonts w:hint="default" w:ascii="Times New Roman" w:hAnsi="Times New Roman" w:cs="Times New Roman"/>
                <w:color w:val="auto"/>
                <w:highlight w:val="none"/>
              </w:rPr>
              <w:t>%，催化燃烧法（RCO）处理装置去除VOC</w:t>
            </w:r>
            <w:r>
              <w:rPr>
                <w:rFonts w:hint="default" w:ascii="Times New Roman" w:hAnsi="Times New Roman" w:cs="Times New Roman"/>
                <w:color w:val="auto"/>
                <w:highlight w:val="none"/>
                <w:vertAlign w:val="subscript"/>
              </w:rPr>
              <w:t>S</w:t>
            </w:r>
            <w:r>
              <w:rPr>
                <w:rFonts w:hint="default" w:ascii="Times New Roman" w:hAnsi="Times New Roman" w:cs="Times New Roman"/>
                <w:color w:val="auto"/>
                <w:highlight w:val="none"/>
              </w:rPr>
              <w:t>治理效率为</w:t>
            </w:r>
            <w:r>
              <w:rPr>
                <w:rFonts w:hint="eastAsia" w:cs="Times New Roman"/>
                <w:color w:val="auto"/>
                <w:highlight w:val="none"/>
                <w:lang w:val="en-US" w:eastAsia="zh-CN"/>
              </w:rPr>
              <w:t>70</w:t>
            </w:r>
            <w:r>
              <w:rPr>
                <w:rFonts w:hint="default" w:ascii="Times New Roman" w:hAnsi="Times New Roman" w:cs="Times New Roman"/>
                <w:color w:val="auto"/>
                <w:highlight w:val="none"/>
              </w:rPr>
              <w:t>%，则项目喷</w:t>
            </w:r>
            <w:r>
              <w:rPr>
                <w:rFonts w:hint="eastAsia" w:cs="Times New Roman"/>
                <w:color w:val="auto"/>
                <w:highlight w:val="none"/>
                <w:lang w:val="en-US" w:eastAsia="zh-CN"/>
              </w:rPr>
              <w:t>塑</w:t>
            </w:r>
            <w:r>
              <w:rPr>
                <w:rFonts w:hint="default" w:ascii="Times New Roman" w:hAnsi="Times New Roman" w:cs="Times New Roman"/>
                <w:color w:val="auto"/>
                <w:highlight w:val="none"/>
              </w:rPr>
              <w:t>、烘干废气有组织产排情况见下表：</w:t>
            </w:r>
          </w:p>
          <w:p w14:paraId="205A9516">
            <w:pPr>
              <w:pStyle w:val="56"/>
              <w:spacing w:line="240" w:lineRule="auto"/>
              <w:ind w:firstLine="0" w:firstLineChars="0"/>
              <w:jc w:val="center"/>
              <w:rPr>
                <w:rFonts w:hint="default" w:ascii="Times New Roman" w:hAnsi="Times New Roman" w:cs="Times New Roman"/>
                <w:b/>
                <w:bCs/>
                <w:color w:val="auto"/>
                <w:sz w:val="21"/>
                <w:szCs w:val="18"/>
                <w:highlight w:val="none"/>
              </w:rPr>
            </w:pPr>
            <w:r>
              <w:rPr>
                <w:rFonts w:hint="default" w:ascii="Times New Roman" w:hAnsi="Times New Roman" w:cs="Times New Roman"/>
                <w:b/>
                <w:bCs/>
                <w:color w:val="auto"/>
                <w:sz w:val="21"/>
                <w:szCs w:val="18"/>
                <w:highlight w:val="none"/>
              </w:rPr>
              <w:t>表4-</w:t>
            </w:r>
            <w:r>
              <w:rPr>
                <w:rFonts w:hint="eastAsia" w:cs="Times New Roman"/>
                <w:b/>
                <w:bCs/>
                <w:color w:val="auto"/>
                <w:sz w:val="21"/>
                <w:szCs w:val="18"/>
                <w:highlight w:val="none"/>
                <w:lang w:val="en-US" w:eastAsia="zh-CN"/>
              </w:rPr>
              <w:t>5</w:t>
            </w:r>
            <w:r>
              <w:rPr>
                <w:rFonts w:hint="default" w:ascii="Times New Roman" w:hAnsi="Times New Roman" w:cs="Times New Roman"/>
                <w:b/>
                <w:bCs/>
                <w:color w:val="auto"/>
                <w:sz w:val="21"/>
                <w:szCs w:val="18"/>
                <w:highlight w:val="none"/>
              </w:rPr>
              <w:t xml:space="preserve">   喷</w:t>
            </w:r>
            <w:r>
              <w:rPr>
                <w:rFonts w:hint="eastAsia" w:cs="Times New Roman"/>
                <w:b/>
                <w:bCs/>
                <w:color w:val="auto"/>
                <w:sz w:val="21"/>
                <w:szCs w:val="18"/>
                <w:highlight w:val="none"/>
                <w:lang w:val="en-US" w:eastAsia="zh-CN"/>
              </w:rPr>
              <w:t>塑</w:t>
            </w:r>
            <w:r>
              <w:rPr>
                <w:rFonts w:hint="default" w:ascii="Times New Roman" w:hAnsi="Times New Roman" w:cs="Times New Roman"/>
                <w:b/>
                <w:bCs/>
                <w:color w:val="auto"/>
                <w:sz w:val="21"/>
                <w:szCs w:val="18"/>
                <w:highlight w:val="none"/>
              </w:rPr>
              <w:t>、烘干废气有组织产排情况一览表</w:t>
            </w:r>
          </w:p>
          <w:tbl>
            <w:tblPr>
              <w:tblStyle w:val="26"/>
              <w:tblW w:w="5000"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615"/>
              <w:gridCol w:w="1417"/>
              <w:gridCol w:w="935"/>
              <w:gridCol w:w="984"/>
              <w:gridCol w:w="1022"/>
              <w:gridCol w:w="779"/>
              <w:gridCol w:w="732"/>
              <w:gridCol w:w="828"/>
              <w:gridCol w:w="800"/>
            </w:tblGrid>
            <w:tr w14:paraId="0FC0C69D">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379" w:type="pct"/>
                  <w:vMerge w:val="restart"/>
                  <w:noWrap w:val="0"/>
                  <w:vAlign w:val="center"/>
                </w:tcPr>
                <w:p w14:paraId="42EDF054">
                  <w:pPr>
                    <w:pStyle w:val="56"/>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hint="default" w:ascii="Times New Roman" w:hAnsi="Times New Roman" w:cs="Times New Roman"/>
                      <w:b/>
                      <w:bCs/>
                      <w:color w:val="auto"/>
                      <w:sz w:val="21"/>
                      <w:highlight w:val="none"/>
                    </w:rPr>
                  </w:pPr>
                  <w:r>
                    <w:rPr>
                      <w:rFonts w:hint="default" w:ascii="Times New Roman" w:hAnsi="Times New Roman" w:cs="Times New Roman"/>
                      <w:b/>
                      <w:bCs/>
                      <w:color w:val="auto"/>
                      <w:sz w:val="21"/>
                      <w:highlight w:val="none"/>
                    </w:rPr>
                    <w:t>工序</w:t>
                  </w:r>
                </w:p>
              </w:tc>
              <w:tc>
                <w:tcPr>
                  <w:tcW w:w="873" w:type="pct"/>
                  <w:vMerge w:val="restart"/>
                  <w:noWrap w:val="0"/>
                  <w:vAlign w:val="center"/>
                </w:tcPr>
                <w:p w14:paraId="084759DA">
                  <w:pPr>
                    <w:pStyle w:val="56"/>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hint="default" w:ascii="Times New Roman" w:hAnsi="Times New Roman" w:cs="Times New Roman"/>
                      <w:b/>
                      <w:bCs/>
                      <w:color w:val="auto"/>
                      <w:sz w:val="21"/>
                      <w:highlight w:val="none"/>
                    </w:rPr>
                  </w:pPr>
                  <w:r>
                    <w:rPr>
                      <w:rFonts w:hint="default" w:ascii="Times New Roman" w:hAnsi="Times New Roman" w:cs="Times New Roman"/>
                      <w:b/>
                      <w:bCs/>
                      <w:color w:val="auto"/>
                      <w:sz w:val="21"/>
                      <w:highlight w:val="none"/>
                    </w:rPr>
                    <w:t>污染物</w:t>
                  </w:r>
                </w:p>
              </w:tc>
              <w:tc>
                <w:tcPr>
                  <w:tcW w:w="1812" w:type="pct"/>
                  <w:gridSpan w:val="3"/>
                  <w:tcBorders>
                    <w:bottom w:val="single" w:color="auto" w:sz="12" w:space="0"/>
                  </w:tcBorders>
                  <w:noWrap w:val="0"/>
                  <w:vAlign w:val="center"/>
                </w:tcPr>
                <w:p w14:paraId="54563D60">
                  <w:pPr>
                    <w:pStyle w:val="56"/>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hint="default" w:ascii="Times New Roman" w:hAnsi="Times New Roman" w:cs="Times New Roman"/>
                      <w:b/>
                      <w:bCs/>
                      <w:color w:val="auto"/>
                      <w:sz w:val="21"/>
                      <w:highlight w:val="none"/>
                    </w:rPr>
                  </w:pPr>
                  <w:r>
                    <w:rPr>
                      <w:rFonts w:hint="default" w:ascii="Times New Roman" w:hAnsi="Times New Roman" w:cs="Times New Roman"/>
                      <w:b/>
                      <w:bCs/>
                      <w:color w:val="auto"/>
                      <w:sz w:val="21"/>
                      <w:highlight w:val="none"/>
                    </w:rPr>
                    <w:t>产生情况</w:t>
                  </w:r>
                </w:p>
              </w:tc>
              <w:tc>
                <w:tcPr>
                  <w:tcW w:w="480" w:type="pct"/>
                  <w:vMerge w:val="restart"/>
                  <w:noWrap w:val="0"/>
                  <w:vAlign w:val="center"/>
                </w:tcPr>
                <w:p w14:paraId="75A9490C">
                  <w:pPr>
                    <w:pStyle w:val="56"/>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hint="default" w:ascii="Times New Roman" w:hAnsi="Times New Roman" w:cs="Times New Roman"/>
                      <w:b/>
                      <w:bCs/>
                      <w:color w:val="auto"/>
                      <w:sz w:val="21"/>
                      <w:highlight w:val="none"/>
                    </w:rPr>
                  </w:pPr>
                  <w:r>
                    <w:rPr>
                      <w:rFonts w:hint="default" w:ascii="Times New Roman" w:hAnsi="Times New Roman" w:cs="Times New Roman"/>
                      <w:b/>
                      <w:bCs/>
                      <w:color w:val="auto"/>
                      <w:sz w:val="21"/>
                      <w:highlight w:val="none"/>
                    </w:rPr>
                    <w:t>治理效率（%）</w:t>
                  </w:r>
                </w:p>
              </w:tc>
              <w:tc>
                <w:tcPr>
                  <w:tcW w:w="1454" w:type="pct"/>
                  <w:gridSpan w:val="3"/>
                  <w:tcBorders>
                    <w:bottom w:val="single" w:color="auto" w:sz="12" w:space="0"/>
                  </w:tcBorders>
                  <w:noWrap w:val="0"/>
                  <w:vAlign w:val="center"/>
                </w:tcPr>
                <w:p w14:paraId="38F8A22F">
                  <w:pPr>
                    <w:pStyle w:val="56"/>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hint="default" w:ascii="Times New Roman" w:hAnsi="Times New Roman" w:cs="Times New Roman"/>
                      <w:b/>
                      <w:bCs/>
                      <w:color w:val="auto"/>
                      <w:sz w:val="21"/>
                      <w:highlight w:val="none"/>
                    </w:rPr>
                  </w:pPr>
                  <w:r>
                    <w:rPr>
                      <w:rFonts w:hint="default" w:ascii="Times New Roman" w:hAnsi="Times New Roman" w:cs="Times New Roman"/>
                      <w:b/>
                      <w:bCs/>
                      <w:color w:val="auto"/>
                      <w:sz w:val="21"/>
                      <w:highlight w:val="none"/>
                    </w:rPr>
                    <w:t>排放情况</w:t>
                  </w:r>
                </w:p>
              </w:tc>
            </w:tr>
            <w:tr w14:paraId="32466C29">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379" w:type="pct"/>
                  <w:vMerge w:val="continue"/>
                  <w:noWrap w:val="0"/>
                  <w:vAlign w:val="center"/>
                </w:tcPr>
                <w:p w14:paraId="7ECF873D">
                  <w:pPr>
                    <w:pStyle w:val="56"/>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hint="default" w:ascii="Times New Roman" w:hAnsi="Times New Roman" w:cs="Times New Roman"/>
                      <w:b/>
                      <w:bCs/>
                      <w:color w:val="auto"/>
                      <w:sz w:val="21"/>
                      <w:highlight w:val="none"/>
                    </w:rPr>
                  </w:pPr>
                </w:p>
              </w:tc>
              <w:tc>
                <w:tcPr>
                  <w:tcW w:w="873" w:type="pct"/>
                  <w:vMerge w:val="continue"/>
                  <w:tcBorders>
                    <w:bottom w:val="single" w:color="auto" w:sz="12" w:space="0"/>
                  </w:tcBorders>
                  <w:noWrap w:val="0"/>
                  <w:vAlign w:val="center"/>
                </w:tcPr>
                <w:p w14:paraId="78E1D873">
                  <w:pPr>
                    <w:pStyle w:val="56"/>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hint="default" w:ascii="Times New Roman" w:hAnsi="Times New Roman" w:cs="Times New Roman"/>
                      <w:b/>
                      <w:bCs/>
                      <w:color w:val="auto"/>
                      <w:sz w:val="21"/>
                      <w:highlight w:val="none"/>
                    </w:rPr>
                  </w:pPr>
                </w:p>
              </w:tc>
              <w:tc>
                <w:tcPr>
                  <w:tcW w:w="576" w:type="pct"/>
                  <w:tcBorders>
                    <w:bottom w:val="single" w:color="auto" w:sz="12" w:space="0"/>
                  </w:tcBorders>
                  <w:noWrap w:val="0"/>
                  <w:vAlign w:val="center"/>
                </w:tcPr>
                <w:p w14:paraId="1B0F94F9">
                  <w:pPr>
                    <w:pStyle w:val="56"/>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hint="default" w:ascii="Times New Roman" w:hAnsi="Times New Roman" w:cs="Times New Roman"/>
                      <w:b/>
                      <w:bCs/>
                      <w:color w:val="auto"/>
                      <w:sz w:val="21"/>
                      <w:highlight w:val="none"/>
                    </w:rPr>
                  </w:pPr>
                  <w:r>
                    <w:rPr>
                      <w:rFonts w:hint="default" w:ascii="Times New Roman" w:hAnsi="Times New Roman" w:cs="Times New Roman"/>
                      <w:b/>
                      <w:bCs/>
                      <w:color w:val="auto"/>
                      <w:sz w:val="21"/>
                      <w:highlight w:val="none"/>
                    </w:rPr>
                    <w:t>产生量（t/a）</w:t>
                  </w:r>
                </w:p>
              </w:tc>
              <w:tc>
                <w:tcPr>
                  <w:tcW w:w="606" w:type="pct"/>
                  <w:tcBorders>
                    <w:bottom w:val="single" w:color="auto" w:sz="12" w:space="0"/>
                  </w:tcBorders>
                  <w:noWrap w:val="0"/>
                  <w:vAlign w:val="center"/>
                </w:tcPr>
                <w:p w14:paraId="52C9DBFF">
                  <w:pPr>
                    <w:pStyle w:val="56"/>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hint="default" w:ascii="Times New Roman" w:hAnsi="Times New Roman" w:cs="Times New Roman"/>
                      <w:b/>
                      <w:bCs/>
                      <w:color w:val="auto"/>
                      <w:sz w:val="21"/>
                      <w:highlight w:val="none"/>
                    </w:rPr>
                  </w:pPr>
                  <w:r>
                    <w:rPr>
                      <w:rFonts w:hint="default" w:ascii="Times New Roman" w:hAnsi="Times New Roman" w:cs="Times New Roman"/>
                      <w:b/>
                      <w:bCs/>
                      <w:color w:val="auto"/>
                      <w:sz w:val="21"/>
                      <w:highlight w:val="none"/>
                    </w:rPr>
                    <w:t>产生速率（kg/h）</w:t>
                  </w:r>
                </w:p>
              </w:tc>
              <w:tc>
                <w:tcPr>
                  <w:tcW w:w="628" w:type="pct"/>
                  <w:tcBorders>
                    <w:bottom w:val="single" w:color="auto" w:sz="12" w:space="0"/>
                  </w:tcBorders>
                  <w:noWrap w:val="0"/>
                  <w:vAlign w:val="center"/>
                </w:tcPr>
                <w:p w14:paraId="238BE532">
                  <w:pPr>
                    <w:pStyle w:val="56"/>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hint="default" w:ascii="Times New Roman" w:hAnsi="Times New Roman" w:cs="Times New Roman"/>
                      <w:b/>
                      <w:bCs/>
                      <w:color w:val="auto"/>
                      <w:sz w:val="21"/>
                      <w:highlight w:val="none"/>
                    </w:rPr>
                  </w:pPr>
                  <w:r>
                    <w:rPr>
                      <w:rFonts w:hint="default" w:ascii="Times New Roman" w:hAnsi="Times New Roman" w:cs="Times New Roman"/>
                      <w:b/>
                      <w:bCs/>
                      <w:color w:val="auto"/>
                      <w:sz w:val="21"/>
                      <w:highlight w:val="none"/>
                    </w:rPr>
                    <w:t>产生浓度（mg/m</w:t>
                  </w:r>
                  <w:r>
                    <w:rPr>
                      <w:rFonts w:hint="default" w:ascii="Times New Roman" w:hAnsi="Times New Roman" w:cs="Times New Roman"/>
                      <w:b/>
                      <w:bCs/>
                      <w:color w:val="auto"/>
                      <w:sz w:val="21"/>
                      <w:highlight w:val="none"/>
                      <w:vertAlign w:val="superscript"/>
                    </w:rPr>
                    <w:t>3</w:t>
                  </w:r>
                  <w:r>
                    <w:rPr>
                      <w:rFonts w:hint="default" w:ascii="Times New Roman" w:hAnsi="Times New Roman" w:cs="Times New Roman"/>
                      <w:b/>
                      <w:bCs/>
                      <w:color w:val="auto"/>
                      <w:sz w:val="21"/>
                      <w:highlight w:val="none"/>
                    </w:rPr>
                    <w:t>）</w:t>
                  </w:r>
                </w:p>
              </w:tc>
              <w:tc>
                <w:tcPr>
                  <w:tcW w:w="480" w:type="pct"/>
                  <w:vMerge w:val="continue"/>
                  <w:tcBorders>
                    <w:bottom w:val="single" w:color="auto" w:sz="12" w:space="0"/>
                  </w:tcBorders>
                  <w:noWrap w:val="0"/>
                  <w:vAlign w:val="center"/>
                </w:tcPr>
                <w:p w14:paraId="28C54D25">
                  <w:pPr>
                    <w:pStyle w:val="56"/>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hint="default" w:ascii="Times New Roman" w:hAnsi="Times New Roman" w:cs="Times New Roman"/>
                      <w:b/>
                      <w:bCs/>
                      <w:color w:val="auto"/>
                      <w:sz w:val="21"/>
                      <w:highlight w:val="none"/>
                    </w:rPr>
                  </w:pPr>
                </w:p>
              </w:tc>
              <w:tc>
                <w:tcPr>
                  <w:tcW w:w="451" w:type="pct"/>
                  <w:tcBorders>
                    <w:bottom w:val="single" w:color="auto" w:sz="12" w:space="0"/>
                  </w:tcBorders>
                  <w:noWrap w:val="0"/>
                  <w:vAlign w:val="center"/>
                </w:tcPr>
                <w:p w14:paraId="58B9640E">
                  <w:pPr>
                    <w:pStyle w:val="56"/>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hint="default" w:ascii="Times New Roman" w:hAnsi="Times New Roman" w:cs="Times New Roman"/>
                      <w:b/>
                      <w:bCs/>
                      <w:color w:val="auto"/>
                      <w:sz w:val="21"/>
                      <w:highlight w:val="none"/>
                    </w:rPr>
                  </w:pPr>
                  <w:r>
                    <w:rPr>
                      <w:rFonts w:hint="default" w:ascii="Times New Roman" w:hAnsi="Times New Roman" w:cs="Times New Roman"/>
                      <w:b/>
                      <w:bCs/>
                      <w:color w:val="auto"/>
                      <w:sz w:val="21"/>
                      <w:highlight w:val="none"/>
                    </w:rPr>
                    <w:t>排放量（t/a）</w:t>
                  </w:r>
                </w:p>
              </w:tc>
              <w:tc>
                <w:tcPr>
                  <w:tcW w:w="510" w:type="pct"/>
                  <w:tcBorders>
                    <w:bottom w:val="single" w:color="auto" w:sz="12" w:space="0"/>
                  </w:tcBorders>
                  <w:noWrap w:val="0"/>
                  <w:vAlign w:val="center"/>
                </w:tcPr>
                <w:p w14:paraId="31E95316">
                  <w:pPr>
                    <w:pStyle w:val="56"/>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hint="default" w:ascii="Times New Roman" w:hAnsi="Times New Roman" w:cs="Times New Roman"/>
                      <w:b/>
                      <w:bCs/>
                      <w:color w:val="auto"/>
                      <w:sz w:val="21"/>
                      <w:highlight w:val="none"/>
                    </w:rPr>
                  </w:pPr>
                  <w:r>
                    <w:rPr>
                      <w:rFonts w:hint="default" w:ascii="Times New Roman" w:hAnsi="Times New Roman" w:cs="Times New Roman"/>
                      <w:b/>
                      <w:bCs/>
                      <w:color w:val="auto"/>
                      <w:sz w:val="21"/>
                      <w:highlight w:val="none"/>
                    </w:rPr>
                    <w:t>排放速率（kg/h）</w:t>
                  </w:r>
                </w:p>
              </w:tc>
              <w:tc>
                <w:tcPr>
                  <w:tcW w:w="493" w:type="pct"/>
                  <w:tcBorders>
                    <w:bottom w:val="single" w:color="auto" w:sz="12" w:space="0"/>
                  </w:tcBorders>
                  <w:noWrap w:val="0"/>
                  <w:vAlign w:val="center"/>
                </w:tcPr>
                <w:p w14:paraId="1A226A0E">
                  <w:pPr>
                    <w:pStyle w:val="56"/>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hint="default" w:ascii="Times New Roman" w:hAnsi="Times New Roman" w:cs="Times New Roman"/>
                      <w:b/>
                      <w:bCs/>
                      <w:color w:val="auto"/>
                      <w:sz w:val="21"/>
                      <w:highlight w:val="none"/>
                    </w:rPr>
                  </w:pPr>
                  <w:r>
                    <w:rPr>
                      <w:rFonts w:hint="default" w:ascii="Times New Roman" w:hAnsi="Times New Roman" w:cs="Times New Roman"/>
                      <w:b/>
                      <w:bCs/>
                      <w:color w:val="auto"/>
                      <w:sz w:val="21"/>
                      <w:highlight w:val="none"/>
                    </w:rPr>
                    <w:t>排放浓度（mg/m</w:t>
                  </w:r>
                  <w:r>
                    <w:rPr>
                      <w:rFonts w:hint="default" w:ascii="Times New Roman" w:hAnsi="Times New Roman" w:cs="Times New Roman"/>
                      <w:b/>
                      <w:bCs/>
                      <w:color w:val="auto"/>
                      <w:sz w:val="21"/>
                      <w:highlight w:val="none"/>
                      <w:vertAlign w:val="superscript"/>
                    </w:rPr>
                    <w:t>3</w:t>
                  </w:r>
                  <w:r>
                    <w:rPr>
                      <w:rFonts w:hint="default" w:ascii="Times New Roman" w:hAnsi="Times New Roman" w:cs="Times New Roman"/>
                      <w:b/>
                      <w:bCs/>
                      <w:color w:val="auto"/>
                      <w:sz w:val="21"/>
                      <w:highlight w:val="none"/>
                    </w:rPr>
                    <w:t>）</w:t>
                  </w:r>
                </w:p>
              </w:tc>
            </w:tr>
            <w:tr w14:paraId="378DC87D">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621" w:hRule="atLeast"/>
                <w:jc w:val="center"/>
              </w:trPr>
              <w:tc>
                <w:tcPr>
                  <w:tcW w:w="379" w:type="pct"/>
                  <w:noWrap w:val="0"/>
                  <w:vAlign w:val="center"/>
                </w:tcPr>
                <w:p w14:paraId="4AEAC8FE">
                  <w:pPr>
                    <w:pStyle w:val="39"/>
                    <w:keepNext w:val="0"/>
                    <w:keepLines w:val="0"/>
                    <w:pageBreakBefore w:val="0"/>
                    <w:widowControl w:val="0"/>
                    <w:kinsoku/>
                    <w:wordWrap/>
                    <w:overflowPunct/>
                    <w:topLinePunct w:val="0"/>
                    <w:bidi w:val="0"/>
                    <w:adjustRightInd w:val="0"/>
                    <w:snapToGrid w:val="0"/>
                    <w:ind w:left="0" w:firstLine="0" w:firstLineChars="0"/>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喷塑</w:t>
                  </w:r>
                </w:p>
              </w:tc>
              <w:tc>
                <w:tcPr>
                  <w:tcW w:w="873" w:type="pct"/>
                  <w:tcBorders>
                    <w:top w:val="single" w:color="auto" w:sz="8" w:space="0"/>
                    <w:bottom w:val="single" w:color="auto" w:sz="4" w:space="0"/>
                  </w:tcBorders>
                  <w:noWrap w:val="0"/>
                  <w:vAlign w:val="center"/>
                </w:tcPr>
                <w:p w14:paraId="7FDB1018">
                  <w:pPr>
                    <w:keepNext w:val="0"/>
                    <w:keepLines w:val="0"/>
                    <w:pageBreakBefore w:val="0"/>
                    <w:widowControl w:val="0"/>
                    <w:kinsoku/>
                    <w:wordWrap/>
                    <w:overflowPunct/>
                    <w:topLinePunct w:val="0"/>
                    <w:bidi w:val="0"/>
                    <w:adjustRightInd w:val="0"/>
                    <w:snapToGrid w:val="0"/>
                    <w:ind w:left="0" w:firstLine="0" w:firstLineChars="0"/>
                    <w:jc w:val="center"/>
                    <w:textAlignment w:val="auto"/>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颗粒物</w:t>
                  </w:r>
                </w:p>
              </w:tc>
              <w:tc>
                <w:tcPr>
                  <w:tcW w:w="576" w:type="pct"/>
                  <w:tcBorders>
                    <w:top w:val="single" w:color="auto" w:sz="8" w:space="0"/>
                    <w:bottom w:val="single" w:color="auto" w:sz="4" w:space="0"/>
                  </w:tcBorders>
                  <w:noWrap w:val="0"/>
                  <w:vAlign w:val="center"/>
                </w:tcPr>
                <w:p w14:paraId="5D9E8897">
                  <w:pPr>
                    <w:pStyle w:val="56"/>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highlight w:val="none"/>
                      <w:lang w:val="en-US" w:eastAsia="zh-CN"/>
                    </w:rPr>
                  </w:pPr>
                  <w:r>
                    <w:rPr>
                      <w:rFonts w:hint="eastAsia" w:cs="Times New Roman"/>
                      <w:color w:val="auto"/>
                      <w:sz w:val="21"/>
                      <w:highlight w:val="none"/>
                      <w:lang w:val="en-US" w:eastAsia="zh-CN"/>
                    </w:rPr>
                    <w:t>21</w:t>
                  </w:r>
                </w:p>
              </w:tc>
              <w:tc>
                <w:tcPr>
                  <w:tcW w:w="606" w:type="pct"/>
                  <w:tcBorders>
                    <w:top w:val="single" w:color="auto" w:sz="8" w:space="0"/>
                    <w:bottom w:val="single" w:color="auto" w:sz="8" w:space="0"/>
                  </w:tcBorders>
                  <w:noWrap w:val="0"/>
                  <w:vAlign w:val="center"/>
                </w:tcPr>
                <w:p w14:paraId="0C926906">
                  <w:pPr>
                    <w:pStyle w:val="56"/>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highlight w:val="none"/>
                      <w:lang w:val="en-US" w:eastAsia="zh-CN"/>
                    </w:rPr>
                  </w:pPr>
                  <w:r>
                    <w:rPr>
                      <w:rFonts w:hint="eastAsia" w:cs="Times New Roman"/>
                      <w:color w:val="auto"/>
                      <w:sz w:val="21"/>
                      <w:highlight w:val="none"/>
                      <w:lang w:val="en-US" w:eastAsia="zh-CN"/>
                    </w:rPr>
                    <w:t>13.125</w:t>
                  </w:r>
                </w:p>
              </w:tc>
              <w:tc>
                <w:tcPr>
                  <w:tcW w:w="628" w:type="pct"/>
                  <w:tcBorders>
                    <w:top w:val="single" w:color="auto" w:sz="8" w:space="0"/>
                    <w:bottom w:val="single" w:color="auto" w:sz="8" w:space="0"/>
                  </w:tcBorders>
                  <w:noWrap w:val="0"/>
                  <w:vAlign w:val="center"/>
                </w:tcPr>
                <w:p w14:paraId="2125D7E3">
                  <w:pPr>
                    <w:pStyle w:val="56"/>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highlight w:val="none"/>
                      <w:lang w:val="en-US" w:eastAsia="zh-CN"/>
                    </w:rPr>
                  </w:pPr>
                  <w:r>
                    <w:rPr>
                      <w:rFonts w:hint="eastAsia" w:cs="Times New Roman"/>
                      <w:color w:val="auto"/>
                      <w:sz w:val="21"/>
                      <w:highlight w:val="none"/>
                      <w:lang w:val="en-US" w:eastAsia="zh-CN"/>
                    </w:rPr>
                    <w:t>/</w:t>
                  </w:r>
                </w:p>
              </w:tc>
              <w:tc>
                <w:tcPr>
                  <w:tcW w:w="480" w:type="pct"/>
                  <w:tcBorders>
                    <w:top w:val="single" w:color="auto" w:sz="8" w:space="0"/>
                  </w:tcBorders>
                  <w:noWrap w:val="0"/>
                  <w:vAlign w:val="center"/>
                </w:tcPr>
                <w:p w14:paraId="31031761">
                  <w:pPr>
                    <w:pStyle w:val="56"/>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1"/>
                      <w:highlight w:val="none"/>
                      <w:lang w:val="en-US" w:eastAsia="zh-CN"/>
                    </w:rPr>
                  </w:pPr>
                  <w:r>
                    <w:rPr>
                      <w:rFonts w:hint="eastAsia" w:cs="Times New Roman"/>
                      <w:color w:val="auto"/>
                      <w:sz w:val="21"/>
                      <w:highlight w:val="none"/>
                      <w:lang w:val="en-US" w:eastAsia="zh-CN"/>
                    </w:rPr>
                    <w:t>95%</w:t>
                  </w:r>
                </w:p>
              </w:tc>
              <w:tc>
                <w:tcPr>
                  <w:tcW w:w="451" w:type="pct"/>
                  <w:tcBorders>
                    <w:top w:val="single" w:color="auto" w:sz="8" w:space="0"/>
                  </w:tcBorders>
                  <w:noWrap w:val="0"/>
                  <w:vAlign w:val="center"/>
                </w:tcPr>
                <w:p w14:paraId="72BB3C29">
                  <w:pPr>
                    <w:pStyle w:val="56"/>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highlight w:val="none"/>
                      <w:lang w:val="en-US" w:eastAsia="zh-CN"/>
                    </w:rPr>
                  </w:pPr>
                  <w:r>
                    <w:rPr>
                      <w:rFonts w:hint="eastAsia" w:cs="Times New Roman"/>
                      <w:color w:val="auto"/>
                      <w:sz w:val="21"/>
                      <w:highlight w:val="none"/>
                      <w:lang w:val="en-US" w:eastAsia="zh-CN"/>
                    </w:rPr>
                    <w:t>0.945</w:t>
                  </w:r>
                </w:p>
              </w:tc>
              <w:tc>
                <w:tcPr>
                  <w:tcW w:w="510" w:type="pct"/>
                  <w:tcBorders>
                    <w:top w:val="single" w:color="auto" w:sz="8" w:space="0"/>
                  </w:tcBorders>
                  <w:noWrap w:val="0"/>
                  <w:vAlign w:val="center"/>
                </w:tcPr>
                <w:p w14:paraId="68F2AE4B">
                  <w:pPr>
                    <w:pStyle w:val="56"/>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highlight w:val="none"/>
                      <w:lang w:val="en-US" w:eastAsia="zh-CN"/>
                    </w:rPr>
                  </w:pPr>
                  <w:r>
                    <w:rPr>
                      <w:rFonts w:hint="eastAsia" w:cs="Times New Roman"/>
                      <w:color w:val="auto"/>
                      <w:sz w:val="21"/>
                      <w:highlight w:val="none"/>
                      <w:lang w:val="en-US" w:eastAsia="zh-CN"/>
                    </w:rPr>
                    <w:t>0.59</w:t>
                  </w:r>
                </w:p>
              </w:tc>
              <w:tc>
                <w:tcPr>
                  <w:tcW w:w="493" w:type="pct"/>
                  <w:tcBorders>
                    <w:top w:val="single" w:color="auto" w:sz="8" w:space="0"/>
                  </w:tcBorders>
                  <w:noWrap w:val="0"/>
                  <w:vAlign w:val="center"/>
                </w:tcPr>
                <w:p w14:paraId="6C1067D1">
                  <w:pPr>
                    <w:pStyle w:val="56"/>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highlight w:val="none"/>
                      <w:lang w:val="en-US" w:eastAsia="zh-CN"/>
                    </w:rPr>
                  </w:pPr>
                  <w:r>
                    <w:rPr>
                      <w:rFonts w:hint="eastAsia" w:cs="Times New Roman"/>
                      <w:color w:val="auto"/>
                      <w:sz w:val="21"/>
                      <w:highlight w:val="none"/>
                      <w:lang w:val="en-US" w:eastAsia="zh-CN"/>
                    </w:rPr>
                    <w:t>73.75</w:t>
                  </w:r>
                </w:p>
              </w:tc>
            </w:tr>
            <w:tr w14:paraId="186CCDDA">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621" w:hRule="atLeast"/>
                <w:jc w:val="center"/>
              </w:trPr>
              <w:tc>
                <w:tcPr>
                  <w:tcW w:w="379" w:type="pct"/>
                  <w:noWrap w:val="0"/>
                  <w:vAlign w:val="center"/>
                </w:tcPr>
                <w:p w14:paraId="15EAD6A8">
                  <w:pPr>
                    <w:pStyle w:val="39"/>
                    <w:keepNext w:val="0"/>
                    <w:keepLines w:val="0"/>
                    <w:pageBreakBefore w:val="0"/>
                    <w:widowControl w:val="0"/>
                    <w:kinsoku/>
                    <w:wordWrap/>
                    <w:overflowPunct/>
                    <w:topLinePunct w:val="0"/>
                    <w:bidi w:val="0"/>
                    <w:adjustRightInd w:val="0"/>
                    <w:snapToGrid w:val="0"/>
                    <w:ind w:left="0" w:firstLine="0" w:firstLineChars="0"/>
                    <w:textAlignment w:val="auto"/>
                    <w:rPr>
                      <w:rFonts w:hint="default" w:ascii="Times New Roman" w:hAnsi="Times New Roman" w:cs="Times New Roman"/>
                      <w:color w:val="auto"/>
                      <w:szCs w:val="21"/>
                      <w:highlight w:val="none"/>
                      <w:lang w:val="en-US" w:eastAsia="zh-CN"/>
                    </w:rPr>
                  </w:pPr>
                  <w:r>
                    <w:rPr>
                      <w:rFonts w:hint="eastAsia" w:cs="Times New Roman"/>
                      <w:b w:val="0"/>
                      <w:bCs w:val="0"/>
                      <w:color w:val="auto"/>
                      <w:sz w:val="21"/>
                      <w:szCs w:val="21"/>
                      <w:highlight w:val="none"/>
                      <w:lang w:val="en-US" w:eastAsia="zh-CN"/>
                    </w:rPr>
                    <w:t>喷塑</w:t>
                  </w:r>
                  <w:r>
                    <w:rPr>
                      <w:rFonts w:hint="default" w:ascii="Times New Roman" w:hAnsi="Times New Roman" w:cs="Times New Roman"/>
                      <w:b w:val="0"/>
                      <w:bCs w:val="0"/>
                      <w:color w:val="auto"/>
                      <w:sz w:val="21"/>
                      <w:szCs w:val="21"/>
                      <w:highlight w:val="none"/>
                    </w:rPr>
                    <w:t>烘干废气</w:t>
                  </w:r>
                </w:p>
              </w:tc>
              <w:tc>
                <w:tcPr>
                  <w:tcW w:w="873" w:type="pct"/>
                  <w:tcBorders>
                    <w:top w:val="single" w:color="auto" w:sz="8" w:space="0"/>
                    <w:bottom w:val="single" w:color="auto" w:sz="4" w:space="0"/>
                  </w:tcBorders>
                  <w:noWrap w:val="0"/>
                  <w:vAlign w:val="center"/>
                </w:tcPr>
                <w:p w14:paraId="3365216D">
                  <w:pPr>
                    <w:keepNext w:val="0"/>
                    <w:keepLines w:val="0"/>
                    <w:pageBreakBefore w:val="0"/>
                    <w:widowControl w:val="0"/>
                    <w:kinsoku/>
                    <w:wordWrap/>
                    <w:overflowPunct/>
                    <w:topLinePunct w:val="0"/>
                    <w:bidi w:val="0"/>
                    <w:adjustRightInd w:val="0"/>
                    <w:snapToGrid w:val="0"/>
                    <w:ind w:left="0" w:firstLine="0" w:firstLineChars="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非甲烷总烃</w:t>
                  </w:r>
                  <w:r>
                    <w:rPr>
                      <w:rFonts w:hint="eastAsia" w:cs="Times New Roman"/>
                      <w:color w:val="auto"/>
                      <w:szCs w:val="21"/>
                      <w:highlight w:val="none"/>
                      <w:lang w:eastAsia="zh-CN"/>
                    </w:rPr>
                    <w:t>（</w:t>
                  </w:r>
                  <w:r>
                    <w:rPr>
                      <w:rFonts w:hint="eastAsia" w:cs="Times New Roman"/>
                      <w:color w:val="auto"/>
                      <w:szCs w:val="21"/>
                      <w:highlight w:val="none"/>
                      <w:lang w:val="en-US" w:eastAsia="zh-CN"/>
                    </w:rPr>
                    <w:t>喷塑烘干）</w:t>
                  </w:r>
                </w:p>
              </w:tc>
              <w:tc>
                <w:tcPr>
                  <w:tcW w:w="576" w:type="pct"/>
                  <w:tcBorders>
                    <w:top w:val="single" w:color="auto" w:sz="8" w:space="0"/>
                    <w:bottom w:val="single" w:color="auto" w:sz="4" w:space="0"/>
                  </w:tcBorders>
                  <w:noWrap w:val="0"/>
                  <w:vAlign w:val="center"/>
                </w:tcPr>
                <w:p w14:paraId="33B9C3AD">
                  <w:pPr>
                    <w:pStyle w:val="56"/>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highlight w:val="none"/>
                      <w:lang w:val="en-US" w:eastAsia="zh-CN"/>
                    </w:rPr>
                  </w:pPr>
                  <w:r>
                    <w:rPr>
                      <w:rFonts w:hint="eastAsia" w:cs="Times New Roman"/>
                      <w:color w:val="auto"/>
                      <w:sz w:val="21"/>
                      <w:highlight w:val="none"/>
                      <w:lang w:val="en-US" w:eastAsia="zh-CN"/>
                    </w:rPr>
                    <w:t>0.084</w:t>
                  </w:r>
                </w:p>
              </w:tc>
              <w:tc>
                <w:tcPr>
                  <w:tcW w:w="606" w:type="pct"/>
                  <w:tcBorders>
                    <w:top w:val="single" w:color="auto" w:sz="8" w:space="0"/>
                    <w:bottom w:val="single" w:color="auto" w:sz="8" w:space="0"/>
                  </w:tcBorders>
                  <w:noWrap w:val="0"/>
                  <w:vAlign w:val="center"/>
                </w:tcPr>
                <w:p w14:paraId="42433ED7">
                  <w:pPr>
                    <w:pStyle w:val="56"/>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highlight w:val="none"/>
                      <w:lang w:val="en-US" w:eastAsia="zh-CN"/>
                    </w:rPr>
                  </w:pPr>
                  <w:r>
                    <w:rPr>
                      <w:rFonts w:hint="eastAsia" w:cs="Times New Roman"/>
                      <w:color w:val="auto"/>
                      <w:sz w:val="21"/>
                      <w:highlight w:val="none"/>
                      <w:lang w:val="en-US" w:eastAsia="zh-CN"/>
                    </w:rPr>
                    <w:t>0.105</w:t>
                  </w:r>
                </w:p>
              </w:tc>
              <w:tc>
                <w:tcPr>
                  <w:tcW w:w="628" w:type="pct"/>
                  <w:tcBorders>
                    <w:top w:val="single" w:color="auto" w:sz="8" w:space="0"/>
                    <w:bottom w:val="single" w:color="auto" w:sz="8" w:space="0"/>
                  </w:tcBorders>
                  <w:noWrap w:val="0"/>
                  <w:vAlign w:val="center"/>
                </w:tcPr>
                <w:p w14:paraId="79B7CBFF">
                  <w:pPr>
                    <w:pStyle w:val="56"/>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highlight w:val="none"/>
                      <w:lang w:val="en-US" w:eastAsia="zh-CN"/>
                    </w:rPr>
                  </w:pPr>
                  <w:r>
                    <w:rPr>
                      <w:rFonts w:hint="eastAsia" w:cs="Times New Roman"/>
                      <w:color w:val="auto"/>
                      <w:sz w:val="21"/>
                      <w:highlight w:val="none"/>
                      <w:lang w:val="en-US" w:eastAsia="zh-CN"/>
                    </w:rPr>
                    <w:t>/</w:t>
                  </w:r>
                </w:p>
              </w:tc>
              <w:tc>
                <w:tcPr>
                  <w:tcW w:w="480" w:type="pct"/>
                  <w:tcBorders>
                    <w:top w:val="single" w:color="auto" w:sz="8" w:space="0"/>
                  </w:tcBorders>
                  <w:noWrap w:val="0"/>
                  <w:vAlign w:val="center"/>
                </w:tcPr>
                <w:p w14:paraId="7D5DAD87">
                  <w:pPr>
                    <w:pStyle w:val="56"/>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highlight w:val="none"/>
                    </w:rPr>
                  </w:pPr>
                  <w:r>
                    <w:rPr>
                      <w:rFonts w:hint="eastAsia" w:cs="Times New Roman"/>
                      <w:color w:val="auto"/>
                      <w:sz w:val="21"/>
                      <w:highlight w:val="none"/>
                      <w:lang w:val="en-US" w:eastAsia="zh-CN"/>
                    </w:rPr>
                    <w:t>70</w:t>
                  </w:r>
                  <w:r>
                    <w:rPr>
                      <w:rFonts w:hint="default" w:ascii="Times New Roman" w:hAnsi="Times New Roman" w:cs="Times New Roman"/>
                      <w:color w:val="auto"/>
                      <w:sz w:val="21"/>
                      <w:highlight w:val="none"/>
                    </w:rPr>
                    <w:t>%</w:t>
                  </w:r>
                </w:p>
              </w:tc>
              <w:tc>
                <w:tcPr>
                  <w:tcW w:w="451" w:type="pct"/>
                  <w:tcBorders>
                    <w:top w:val="single" w:color="auto" w:sz="8" w:space="0"/>
                  </w:tcBorders>
                  <w:noWrap w:val="0"/>
                  <w:vAlign w:val="center"/>
                </w:tcPr>
                <w:p w14:paraId="612DFF4B">
                  <w:pPr>
                    <w:pStyle w:val="56"/>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highlight w:val="none"/>
                      <w:lang w:val="en-US" w:eastAsia="zh-CN"/>
                    </w:rPr>
                  </w:pPr>
                  <w:r>
                    <w:rPr>
                      <w:rFonts w:hint="eastAsia" w:cs="Times New Roman"/>
                      <w:color w:val="auto"/>
                      <w:sz w:val="21"/>
                      <w:highlight w:val="none"/>
                      <w:lang w:val="en-US" w:eastAsia="zh-CN"/>
                    </w:rPr>
                    <w:t>0.016</w:t>
                  </w:r>
                </w:p>
              </w:tc>
              <w:tc>
                <w:tcPr>
                  <w:tcW w:w="510" w:type="pct"/>
                  <w:tcBorders>
                    <w:top w:val="single" w:color="auto" w:sz="8" w:space="0"/>
                  </w:tcBorders>
                  <w:noWrap w:val="0"/>
                  <w:vAlign w:val="center"/>
                </w:tcPr>
                <w:p w14:paraId="6E31BA9D">
                  <w:pPr>
                    <w:pStyle w:val="56"/>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highlight w:val="none"/>
                      <w:lang w:val="en-US" w:eastAsia="zh-CN"/>
                    </w:rPr>
                  </w:pPr>
                  <w:r>
                    <w:rPr>
                      <w:rFonts w:hint="eastAsia" w:cs="Times New Roman"/>
                      <w:color w:val="auto"/>
                      <w:sz w:val="21"/>
                      <w:highlight w:val="none"/>
                      <w:lang w:val="en-US" w:eastAsia="zh-CN"/>
                    </w:rPr>
                    <w:t>0.019</w:t>
                  </w:r>
                </w:p>
              </w:tc>
              <w:tc>
                <w:tcPr>
                  <w:tcW w:w="493" w:type="pct"/>
                  <w:tcBorders>
                    <w:top w:val="single" w:color="auto" w:sz="8" w:space="0"/>
                  </w:tcBorders>
                  <w:noWrap w:val="0"/>
                  <w:vAlign w:val="center"/>
                </w:tcPr>
                <w:p w14:paraId="3123BFB5">
                  <w:pPr>
                    <w:pStyle w:val="56"/>
                    <w:keepNext w:val="0"/>
                    <w:keepLines w:val="0"/>
                    <w:pageBreakBefore w:val="0"/>
                    <w:widowControl w:val="0"/>
                    <w:kinsoku/>
                    <w:wordWrap/>
                    <w:overflowPunct/>
                    <w:topLinePunct w:val="0"/>
                    <w:bidi w:val="0"/>
                    <w:adjustRightInd w:val="0"/>
                    <w:snapToGrid w:val="0"/>
                    <w:spacing w:line="240" w:lineRule="auto"/>
                    <w:ind w:left="0" w:firstLine="0" w:firstLineChars="0"/>
                    <w:jc w:val="center"/>
                    <w:textAlignment w:val="auto"/>
                    <w:rPr>
                      <w:rFonts w:hint="default" w:ascii="Times New Roman" w:hAnsi="Times New Roman" w:cs="Times New Roman"/>
                      <w:color w:val="auto"/>
                      <w:sz w:val="21"/>
                      <w:highlight w:val="none"/>
                      <w:lang w:val="en-US" w:eastAsia="zh-CN"/>
                    </w:rPr>
                  </w:pPr>
                  <w:r>
                    <w:rPr>
                      <w:rFonts w:hint="eastAsia" w:cs="Times New Roman"/>
                      <w:color w:val="auto"/>
                      <w:sz w:val="21"/>
                      <w:highlight w:val="none"/>
                      <w:lang w:val="en-US" w:eastAsia="zh-CN"/>
                    </w:rPr>
                    <w:t>3.8</w:t>
                  </w:r>
                </w:p>
              </w:tc>
            </w:tr>
          </w:tbl>
          <w:p w14:paraId="41E6D7E4">
            <w:pPr>
              <w:pStyle w:val="12"/>
              <w:keepNext w:val="0"/>
              <w:keepLines w:val="0"/>
              <w:pageBreakBefore w:val="0"/>
              <w:widowControl w:val="0"/>
              <w:kinsoku/>
              <w:wordWrap/>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sz w:val="24"/>
                <w:highlight w:val="none"/>
              </w:rPr>
              <w:t>项目在喷</w:t>
            </w:r>
            <w:r>
              <w:rPr>
                <w:rFonts w:hint="eastAsia" w:ascii="Times New Roman" w:hAnsi="Times New Roman" w:cs="Times New Roman"/>
                <w:color w:val="auto"/>
                <w:sz w:val="24"/>
                <w:highlight w:val="none"/>
                <w:lang w:val="en-US" w:eastAsia="zh-CN"/>
              </w:rPr>
              <w:t>塑</w:t>
            </w:r>
            <w:r>
              <w:rPr>
                <w:rFonts w:hint="default" w:ascii="Times New Roman" w:hAnsi="Times New Roman" w:cs="Times New Roman"/>
                <w:color w:val="auto"/>
                <w:sz w:val="24"/>
                <w:highlight w:val="none"/>
              </w:rPr>
              <w:t>及喷</w:t>
            </w:r>
            <w:r>
              <w:rPr>
                <w:rFonts w:hint="eastAsia" w:ascii="Times New Roman" w:hAnsi="Times New Roman" w:cs="Times New Roman"/>
                <w:color w:val="auto"/>
                <w:sz w:val="24"/>
                <w:highlight w:val="none"/>
                <w:lang w:val="en-US" w:eastAsia="zh-CN"/>
              </w:rPr>
              <w:t>塑</w:t>
            </w:r>
            <w:r>
              <w:rPr>
                <w:rFonts w:hint="default" w:ascii="Times New Roman" w:hAnsi="Times New Roman" w:cs="Times New Roman"/>
                <w:color w:val="auto"/>
                <w:sz w:val="24"/>
                <w:highlight w:val="none"/>
              </w:rPr>
              <w:t>后烘干工序无组织废气主要为挥发性有机物，项目采用封闭式</w:t>
            </w:r>
            <w:r>
              <w:rPr>
                <w:rFonts w:hint="eastAsia" w:cs="Times New Roman"/>
                <w:color w:val="auto"/>
                <w:highlight w:val="none"/>
                <w:lang w:val="en-US" w:eastAsia="zh-CN"/>
              </w:rPr>
              <w:t>喷塑</w:t>
            </w:r>
            <w:r>
              <w:rPr>
                <w:rFonts w:hint="default" w:ascii="Times New Roman" w:hAnsi="Times New Roman" w:cs="Times New Roman"/>
                <w:color w:val="auto"/>
                <w:sz w:val="24"/>
                <w:highlight w:val="none"/>
              </w:rPr>
              <w:t>烘干一体房，</w:t>
            </w:r>
            <w:r>
              <w:rPr>
                <w:rFonts w:hint="eastAsia" w:ascii="Times New Roman" w:hAnsi="Times New Roman" w:cs="Times New Roman"/>
                <w:color w:val="auto"/>
                <w:sz w:val="24"/>
                <w:highlight w:val="none"/>
                <w:lang w:val="en-US" w:eastAsia="zh-CN"/>
              </w:rPr>
              <w:t>颗粒物</w:t>
            </w:r>
            <w:r>
              <w:rPr>
                <w:rFonts w:hint="default" w:ascii="Times New Roman" w:hAnsi="Times New Roman" w:cs="Times New Roman"/>
                <w:color w:val="auto"/>
                <w:sz w:val="24"/>
                <w:highlight w:val="none"/>
              </w:rPr>
              <w:t>废气收集效率为9</w:t>
            </w:r>
            <w:r>
              <w:rPr>
                <w:rFonts w:hint="eastAsia" w:ascii="Times New Roman" w:hAnsi="Times New Roman" w:cs="Times New Roman"/>
                <w:color w:val="auto"/>
                <w:sz w:val="24"/>
                <w:highlight w:val="none"/>
                <w:lang w:val="en-US" w:eastAsia="zh-CN"/>
              </w:rPr>
              <w:t>0</w:t>
            </w:r>
            <w:r>
              <w:rPr>
                <w:rFonts w:hint="default" w:ascii="Times New Roman" w:hAnsi="Times New Roman" w:cs="Times New Roman"/>
                <w:color w:val="auto"/>
                <w:sz w:val="24"/>
                <w:highlight w:val="none"/>
              </w:rPr>
              <w:t>%，则无</w:t>
            </w:r>
            <w:r>
              <w:rPr>
                <w:rFonts w:hint="eastAsia" w:ascii="Times New Roman" w:hAnsi="Times New Roman" w:cs="Times New Roman"/>
                <w:color w:val="auto"/>
                <w:sz w:val="24"/>
                <w:highlight w:val="none"/>
                <w:lang w:val="en-US" w:eastAsia="zh-CN"/>
              </w:rPr>
              <w:t>组织</w:t>
            </w:r>
            <w:r>
              <w:rPr>
                <w:rFonts w:hint="default" w:ascii="Times New Roman" w:hAnsi="Times New Roman" w:cs="Times New Roman"/>
                <w:color w:val="auto"/>
                <w:sz w:val="24"/>
                <w:highlight w:val="none"/>
              </w:rPr>
              <w:t>颗粒物产生量</w:t>
            </w:r>
            <w:r>
              <w:rPr>
                <w:rFonts w:hint="default" w:ascii="Times New Roman" w:hAnsi="Times New Roman" w:cs="Times New Roman"/>
                <w:color w:val="auto"/>
                <w:sz w:val="24"/>
                <w:szCs w:val="24"/>
                <w:highlight w:val="none"/>
              </w:rPr>
              <w:t>为</w:t>
            </w:r>
            <w:r>
              <w:rPr>
                <w:rFonts w:hint="eastAsia" w:ascii="Times New Roman" w:hAnsi="Times New Roman" w:cs="Times New Roman"/>
                <w:color w:val="auto"/>
                <w:sz w:val="24"/>
                <w:szCs w:val="24"/>
                <w:highlight w:val="none"/>
                <w:lang w:val="en-US" w:eastAsia="zh-CN"/>
              </w:rPr>
              <w:t>2.1</w:t>
            </w:r>
            <w:r>
              <w:rPr>
                <w:rFonts w:hint="default" w:ascii="Times New Roman" w:hAnsi="Times New Roman" w:cs="Times New Roman"/>
                <w:color w:val="auto"/>
                <w:sz w:val="24"/>
                <w:szCs w:val="24"/>
                <w:highlight w:val="none"/>
              </w:rPr>
              <w:t>t/a，产生速率为</w:t>
            </w:r>
            <w:r>
              <w:rPr>
                <w:rFonts w:hint="eastAsia" w:ascii="Times New Roman" w:hAnsi="Times New Roman" w:cs="Times New Roman"/>
                <w:color w:val="auto"/>
                <w:sz w:val="24"/>
                <w:szCs w:val="24"/>
                <w:highlight w:val="none"/>
                <w:lang w:val="en-US" w:eastAsia="zh-CN"/>
              </w:rPr>
              <w:t>1.31</w:t>
            </w:r>
            <w:r>
              <w:rPr>
                <w:rFonts w:hint="default" w:ascii="Times New Roman" w:hAnsi="Times New Roman" w:cs="Times New Roman"/>
                <w:color w:val="auto"/>
                <w:sz w:val="24"/>
                <w:szCs w:val="24"/>
                <w:highlight w:val="none"/>
              </w:rPr>
              <w:t>kg/h；非甲烷总烃</w:t>
            </w:r>
            <w:r>
              <w:rPr>
                <w:rFonts w:hint="eastAsia" w:ascii="Times New Roman" w:hAnsi="Times New Roman" w:cs="Times New Roman"/>
                <w:color w:val="auto"/>
                <w:sz w:val="24"/>
                <w:szCs w:val="24"/>
                <w:highlight w:val="none"/>
                <w:lang w:val="en-US" w:eastAsia="zh-CN"/>
              </w:rPr>
              <w:t>收集效率为9</w:t>
            </w:r>
            <w:r>
              <w:rPr>
                <w:rFonts w:hint="eastAsia" w:ascii="Times New Roman" w:hAnsi="Times New Roman" w:cs="Times New Roman"/>
                <w:color w:val="auto"/>
                <w:sz w:val="24"/>
                <w:highlight w:val="none"/>
                <w:lang w:val="en-US" w:eastAsia="zh-CN"/>
              </w:rPr>
              <w:t>0</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szCs w:val="24"/>
                <w:highlight w:val="none"/>
              </w:rPr>
              <w:t>产生</w:t>
            </w:r>
            <w:r>
              <w:rPr>
                <w:rFonts w:hint="default" w:ascii="Times New Roman" w:hAnsi="Times New Roman" w:eastAsia="宋体" w:cs="Times New Roman"/>
                <w:color w:val="auto"/>
                <w:sz w:val="24"/>
                <w:szCs w:val="24"/>
                <w:highlight w:val="none"/>
              </w:rPr>
              <w:t>量为</w:t>
            </w:r>
            <w:r>
              <w:rPr>
                <w:rFonts w:hint="eastAsia" w:ascii="Times New Roman" w:hAnsi="Times New Roman" w:cs="Times New Roman"/>
                <w:color w:val="auto"/>
                <w:sz w:val="24"/>
                <w:szCs w:val="24"/>
                <w:highlight w:val="none"/>
                <w:lang w:val="en-US" w:eastAsia="zh-CN"/>
              </w:rPr>
              <w:t>16.8kg</w:t>
            </w:r>
            <w:r>
              <w:rPr>
                <w:rFonts w:hint="default" w:ascii="Times New Roman" w:hAnsi="Times New Roman" w:eastAsia="宋体" w:cs="Times New Roman"/>
                <w:color w:val="auto"/>
                <w:sz w:val="24"/>
                <w:szCs w:val="24"/>
                <w:highlight w:val="none"/>
              </w:rPr>
              <w:t>/a，产生速率为0.</w:t>
            </w:r>
            <w:r>
              <w:rPr>
                <w:rFonts w:hint="eastAsia" w:ascii="Times New Roman" w:hAnsi="Times New Roman" w:cs="Times New Roman"/>
                <w:color w:val="auto"/>
                <w:sz w:val="24"/>
                <w:szCs w:val="24"/>
                <w:highlight w:val="none"/>
                <w:lang w:val="en-US" w:eastAsia="zh-CN"/>
              </w:rPr>
              <w:t>021</w:t>
            </w:r>
            <w:r>
              <w:rPr>
                <w:rFonts w:hint="default" w:ascii="Times New Roman" w:hAnsi="Times New Roman" w:eastAsia="宋体" w:cs="Times New Roman"/>
                <w:color w:val="auto"/>
                <w:sz w:val="24"/>
                <w:szCs w:val="24"/>
                <w:highlight w:val="none"/>
              </w:rPr>
              <w:t>kg/h。</w:t>
            </w:r>
          </w:p>
          <w:p w14:paraId="50FCFDBE">
            <w:pPr>
              <w:overflowPunct w:val="0"/>
              <w:spacing w:line="360" w:lineRule="auto"/>
              <w:ind w:firstLine="482" w:firstLineChars="200"/>
              <w:contextualSpacing/>
              <w:rPr>
                <w:rFonts w:hint="default" w:ascii="Times New Roman" w:hAnsi="Times New Roman" w:cs="Times New Roman"/>
                <w:b/>
                <w:bCs/>
                <w:color w:val="auto"/>
                <w:kern w:val="0"/>
                <w:sz w:val="24"/>
                <w:highlight w:val="none"/>
                <w:lang w:val="en-US" w:eastAsia="zh-CN" w:bidi="ar"/>
              </w:rPr>
            </w:pPr>
            <w:r>
              <w:rPr>
                <w:rFonts w:hint="eastAsia" w:ascii="Times New Roman" w:hAnsi="Times New Roman" w:cs="Times New Roman"/>
                <w:b/>
                <w:bCs/>
                <w:color w:val="auto"/>
                <w:kern w:val="0"/>
                <w:sz w:val="24"/>
                <w:highlight w:val="none"/>
                <w:lang w:val="en-US" w:eastAsia="zh-CN" w:bidi="ar"/>
              </w:rPr>
              <w:t>（5）除锈废气</w:t>
            </w:r>
          </w:p>
          <w:p w14:paraId="3AB69FD3">
            <w:pPr>
              <w:widowControl/>
              <w:spacing w:line="360" w:lineRule="auto"/>
              <w:ind w:firstLine="480" w:firstLineChars="200"/>
              <w:rPr>
                <w:rFonts w:hint="default" w:ascii="Times New Roman" w:hAnsi="Times New Roman" w:eastAsia="宋体" w:cs="Times New Roman"/>
                <w:b w:val="0"/>
                <w:bCs w:val="0"/>
                <w:color w:val="auto"/>
                <w:sz w:val="24"/>
                <w:highlight w:val="none"/>
                <w:lang w:val="en-US" w:eastAsia="zh-CN"/>
              </w:rPr>
            </w:pPr>
            <w:r>
              <w:rPr>
                <w:rFonts w:hint="eastAsia" w:cs="Times New Roman"/>
                <w:b w:val="0"/>
                <w:bCs w:val="0"/>
                <w:color w:val="auto"/>
                <w:sz w:val="24"/>
                <w:highlight w:val="none"/>
                <w:lang w:val="en-US" w:eastAsia="zh-CN"/>
              </w:rPr>
              <w:t>本项目除锈采用激光除锈，激光除锈利用激光高能量的特性，将激光束聚焦在金属表面的锈层上，通过激光与金属表面的相互作用，产生高温和高能量，使锈层瞬间升温并膨胀，最终从金属表面脱落。激光除锈用的都是有一定峰值功率和单脉冲能量的激光，激光与工作表面接触时可以想象为用小的能量球依次去打，锈会吸收能量，由于作用时间短，表面的锈吸收能量瞬间汽化，又不能向下导热，就会造成表面锈迹瞬间消失而不损坏工件的效果，处理速度比较快。此工序与焊接工序在同一车间，处理过程仅会产生微量废气，对大气环境影响极小，因此对激光除锈烟尘不做定量分析。</w:t>
            </w:r>
          </w:p>
          <w:p w14:paraId="3956AFF8">
            <w:pPr>
              <w:widowControl/>
              <w:spacing w:line="360" w:lineRule="auto"/>
              <w:ind w:firstLine="482" w:firstLineChars="200"/>
              <w:rPr>
                <w:rFonts w:hint="default" w:ascii="Times New Roman" w:hAnsi="Times New Roman" w:cs="Times New Roman"/>
                <w:b/>
                <w:bCs/>
                <w:color w:val="auto"/>
                <w:sz w:val="24"/>
                <w:highlight w:val="none"/>
                <w:lang w:val="en-US" w:eastAsia="zh-CN"/>
              </w:rPr>
            </w:pPr>
            <w:r>
              <w:rPr>
                <w:rFonts w:hint="default" w:ascii="Times New Roman" w:hAnsi="Times New Roman" w:cs="Times New Roman"/>
                <w:b/>
                <w:bCs/>
                <w:color w:val="auto"/>
                <w:sz w:val="24"/>
                <w:highlight w:val="none"/>
                <w:lang w:eastAsia="zh-CN"/>
              </w:rPr>
              <w:t>（</w:t>
            </w:r>
            <w:r>
              <w:rPr>
                <w:rFonts w:hint="eastAsia" w:cs="Times New Roman"/>
                <w:b/>
                <w:bCs/>
                <w:color w:val="auto"/>
                <w:sz w:val="24"/>
                <w:highlight w:val="none"/>
                <w:lang w:val="en-US" w:eastAsia="zh-CN"/>
              </w:rPr>
              <w:t>6</w:t>
            </w:r>
            <w:r>
              <w:rPr>
                <w:rFonts w:hint="default" w:ascii="Times New Roman" w:hAnsi="Times New Roman" w:cs="Times New Roman"/>
                <w:b/>
                <w:bCs/>
                <w:color w:val="auto"/>
                <w:sz w:val="24"/>
                <w:highlight w:val="none"/>
                <w:lang w:eastAsia="zh-CN"/>
              </w:rPr>
              <w:t>）</w:t>
            </w:r>
            <w:r>
              <w:rPr>
                <w:rFonts w:hint="default" w:ascii="Times New Roman" w:hAnsi="Times New Roman" w:cs="Times New Roman"/>
                <w:b/>
                <w:bCs/>
                <w:color w:val="auto"/>
                <w:sz w:val="24"/>
                <w:highlight w:val="none"/>
                <w:lang w:val="en-US" w:eastAsia="zh-CN"/>
              </w:rPr>
              <w:t>食堂油烟</w:t>
            </w:r>
          </w:p>
          <w:p w14:paraId="2E3631B7">
            <w:pPr>
              <w:widowControl/>
              <w:spacing w:line="360" w:lineRule="auto"/>
              <w:ind w:firstLine="480" w:firstLineChars="200"/>
              <w:rPr>
                <w:rFonts w:hint="default" w:ascii="Times New Roman" w:hAnsi="Times New Roman" w:cs="Times New Roman"/>
                <w:b w:val="0"/>
                <w:bCs w:val="0"/>
                <w:color w:val="auto"/>
                <w:sz w:val="24"/>
                <w:highlight w:val="none"/>
              </w:rPr>
            </w:pPr>
            <w:r>
              <w:rPr>
                <w:rFonts w:hint="default" w:ascii="Times New Roman" w:hAnsi="Times New Roman" w:cs="Times New Roman"/>
                <w:b w:val="0"/>
                <w:bCs w:val="0"/>
                <w:color w:val="auto"/>
                <w:sz w:val="24"/>
                <w:highlight w:val="none"/>
                <w:lang w:val="en-US" w:eastAsia="zh-CN"/>
              </w:rPr>
              <w:t>本</w:t>
            </w:r>
            <w:r>
              <w:rPr>
                <w:rFonts w:hint="default" w:ascii="Times New Roman" w:hAnsi="Times New Roman" w:cs="Times New Roman"/>
                <w:b w:val="0"/>
                <w:bCs w:val="0"/>
                <w:color w:val="auto"/>
                <w:sz w:val="24"/>
                <w:highlight w:val="none"/>
              </w:rPr>
              <w:t>项目在生活区配套设置</w:t>
            </w:r>
            <w:r>
              <w:rPr>
                <w:rFonts w:hint="default" w:ascii="Times New Roman" w:hAnsi="Times New Roman" w:cs="Times New Roman"/>
                <w:b w:val="0"/>
                <w:bCs w:val="0"/>
                <w:color w:val="auto"/>
                <w:sz w:val="24"/>
                <w:highlight w:val="none"/>
                <w:lang w:val="en-US" w:eastAsia="zh-CN"/>
              </w:rPr>
              <w:t>1</w:t>
            </w:r>
            <w:r>
              <w:rPr>
                <w:rFonts w:hint="default" w:ascii="Times New Roman" w:hAnsi="Times New Roman" w:cs="Times New Roman"/>
                <w:b w:val="0"/>
                <w:bCs w:val="0"/>
                <w:color w:val="auto"/>
                <w:sz w:val="24"/>
                <w:highlight w:val="none"/>
              </w:rPr>
              <w:t>个食堂，日常</w:t>
            </w:r>
            <w:r>
              <w:rPr>
                <w:rFonts w:hint="default" w:ascii="Times New Roman" w:hAnsi="Times New Roman" w:cs="Times New Roman"/>
                <w:b w:val="0"/>
                <w:bCs w:val="0"/>
                <w:color w:val="auto"/>
                <w:sz w:val="24"/>
                <w:highlight w:val="none"/>
                <w:lang w:val="en-US" w:eastAsia="zh-CN"/>
              </w:rPr>
              <w:t>做饭</w:t>
            </w:r>
            <w:r>
              <w:rPr>
                <w:rFonts w:hint="default" w:ascii="Times New Roman" w:hAnsi="Times New Roman" w:cs="Times New Roman"/>
                <w:b w:val="0"/>
                <w:bCs w:val="0"/>
                <w:color w:val="auto"/>
                <w:sz w:val="24"/>
                <w:highlight w:val="none"/>
              </w:rPr>
              <w:t>时间按4h/d计，食堂共设</w:t>
            </w:r>
            <w:r>
              <w:rPr>
                <w:rFonts w:hint="default" w:ascii="Times New Roman" w:hAnsi="Times New Roman" w:cs="Times New Roman"/>
                <w:b w:val="0"/>
                <w:bCs w:val="0"/>
                <w:color w:val="auto"/>
                <w:sz w:val="24"/>
                <w:highlight w:val="none"/>
                <w:lang w:val="en-US" w:eastAsia="zh-CN"/>
              </w:rPr>
              <w:t>2</w:t>
            </w:r>
            <w:r>
              <w:rPr>
                <w:rFonts w:hint="default" w:ascii="Times New Roman" w:hAnsi="Times New Roman" w:cs="Times New Roman"/>
                <w:b w:val="0"/>
                <w:bCs w:val="0"/>
                <w:color w:val="auto"/>
                <w:sz w:val="24"/>
                <w:highlight w:val="none"/>
              </w:rPr>
              <w:t>个基准炉灶，属于《饮食业油烟排放标准（试行）》（GB18483-2001）中的小型饮食业单位。食堂燃料选用液化石油气和电能，属于清洁能源；厂区所有职工共计</w:t>
            </w:r>
            <w:r>
              <w:rPr>
                <w:rFonts w:hint="default" w:ascii="Times New Roman" w:hAnsi="Times New Roman" w:cs="Times New Roman"/>
                <w:b w:val="0"/>
                <w:bCs w:val="0"/>
                <w:color w:val="auto"/>
                <w:sz w:val="24"/>
                <w:highlight w:val="none"/>
                <w:lang w:val="en-US" w:eastAsia="zh-CN"/>
              </w:rPr>
              <w:t>1</w:t>
            </w:r>
            <w:r>
              <w:rPr>
                <w:rFonts w:hint="eastAsia" w:cs="Times New Roman"/>
                <w:b w:val="0"/>
                <w:bCs w:val="0"/>
                <w:color w:val="auto"/>
                <w:sz w:val="24"/>
                <w:highlight w:val="none"/>
                <w:lang w:val="en-US" w:eastAsia="zh-CN"/>
              </w:rPr>
              <w:t>5</w:t>
            </w:r>
            <w:r>
              <w:rPr>
                <w:rFonts w:hint="default" w:ascii="Times New Roman" w:hAnsi="Times New Roman" w:cs="Times New Roman"/>
                <w:b w:val="0"/>
                <w:bCs w:val="0"/>
                <w:color w:val="auto"/>
                <w:sz w:val="24"/>
                <w:highlight w:val="none"/>
                <w:lang w:val="en-US" w:eastAsia="zh-CN"/>
              </w:rPr>
              <w:t>0</w:t>
            </w:r>
            <w:r>
              <w:rPr>
                <w:rFonts w:hint="default" w:ascii="Times New Roman" w:hAnsi="Times New Roman" w:cs="Times New Roman"/>
                <w:b w:val="0"/>
                <w:bCs w:val="0"/>
                <w:color w:val="auto"/>
                <w:sz w:val="24"/>
                <w:highlight w:val="none"/>
              </w:rPr>
              <w:t>人，均在食堂就餐；食堂在烹饪时会产生油烟，根据类比调查和有关资料显示，每人每天耗食油量为30g，在炒制时油烟的挥发量约为2-3%，本环评取3%，则项目食堂油烟产生量为</w:t>
            </w:r>
            <w:r>
              <w:rPr>
                <w:rFonts w:hint="eastAsia" w:cs="Times New Roman"/>
                <w:b w:val="0"/>
                <w:bCs w:val="0"/>
                <w:color w:val="auto"/>
                <w:sz w:val="24"/>
                <w:highlight w:val="none"/>
                <w:lang w:val="en-US" w:eastAsia="zh-CN"/>
              </w:rPr>
              <w:t>40</w:t>
            </w:r>
            <w:r>
              <w:rPr>
                <w:rFonts w:hint="default" w:ascii="Times New Roman" w:hAnsi="Times New Roman" w:cs="Times New Roman"/>
                <w:b w:val="0"/>
                <w:bCs w:val="0"/>
                <w:color w:val="auto"/>
                <w:sz w:val="24"/>
                <w:highlight w:val="none"/>
                <w:lang w:val="en-US" w:eastAsia="zh-CN"/>
              </w:rPr>
              <w:t>.5</w:t>
            </w:r>
            <w:r>
              <w:rPr>
                <w:rFonts w:hint="default" w:ascii="Times New Roman" w:hAnsi="Times New Roman" w:cs="Times New Roman"/>
                <w:b w:val="0"/>
                <w:bCs w:val="0"/>
                <w:color w:val="auto"/>
                <w:sz w:val="24"/>
                <w:highlight w:val="none"/>
              </w:rPr>
              <w:t>kg/a</w:t>
            </w:r>
            <w:r>
              <w:rPr>
                <w:rFonts w:hint="default" w:ascii="Times New Roman" w:hAnsi="Times New Roman" w:cs="Times New Roman"/>
                <w:b w:val="0"/>
                <w:bCs w:val="0"/>
                <w:color w:val="auto"/>
                <w:sz w:val="24"/>
                <w:highlight w:val="none"/>
                <w:lang w:eastAsia="zh-CN"/>
              </w:rPr>
              <w:t>，</w:t>
            </w:r>
            <w:r>
              <w:rPr>
                <w:rFonts w:hint="default" w:ascii="Times New Roman" w:hAnsi="Times New Roman" w:cs="Times New Roman"/>
                <w:b w:val="0"/>
                <w:bCs w:val="0"/>
                <w:color w:val="auto"/>
                <w:sz w:val="24"/>
                <w:highlight w:val="none"/>
                <w:lang w:val="en-US" w:eastAsia="zh-CN"/>
              </w:rPr>
              <w:t>产生速率为</w:t>
            </w:r>
            <w:r>
              <w:rPr>
                <w:rFonts w:hint="default" w:ascii="Times New Roman" w:hAnsi="Times New Roman" w:cs="Times New Roman"/>
                <w:b w:val="0"/>
                <w:bCs w:val="0"/>
                <w:color w:val="auto"/>
                <w:sz w:val="24"/>
                <w:highlight w:val="none"/>
              </w:rPr>
              <w:t>0.0</w:t>
            </w:r>
            <w:r>
              <w:rPr>
                <w:rFonts w:hint="eastAsia" w:cs="Times New Roman"/>
                <w:b w:val="0"/>
                <w:bCs w:val="0"/>
                <w:color w:val="auto"/>
                <w:sz w:val="24"/>
                <w:highlight w:val="none"/>
                <w:lang w:val="en-US" w:eastAsia="zh-CN"/>
              </w:rPr>
              <w:t>34</w:t>
            </w:r>
            <w:r>
              <w:rPr>
                <w:rFonts w:hint="default" w:ascii="Times New Roman" w:hAnsi="Times New Roman" w:cs="Times New Roman"/>
                <w:b w:val="0"/>
                <w:bCs w:val="0"/>
                <w:color w:val="auto"/>
                <w:sz w:val="24"/>
                <w:highlight w:val="none"/>
              </w:rPr>
              <w:t>kg/</w:t>
            </w:r>
            <w:r>
              <w:rPr>
                <w:rFonts w:hint="default" w:ascii="Times New Roman" w:hAnsi="Times New Roman" w:cs="Times New Roman"/>
                <w:b w:val="0"/>
                <w:bCs w:val="0"/>
                <w:color w:val="auto"/>
                <w:sz w:val="24"/>
                <w:highlight w:val="none"/>
                <w:lang w:val="en-US" w:eastAsia="zh-CN"/>
              </w:rPr>
              <w:t>h</w:t>
            </w:r>
            <w:r>
              <w:rPr>
                <w:rFonts w:hint="default" w:ascii="Times New Roman" w:hAnsi="Times New Roman" w:cs="Times New Roman"/>
                <w:b w:val="0"/>
                <w:bCs w:val="0"/>
                <w:color w:val="auto"/>
                <w:sz w:val="24"/>
                <w:highlight w:val="none"/>
              </w:rPr>
              <w:t>；根据《饮食业油烟排放标准（试行）》（GB18483-2001）要求：食堂安装1台排风量为</w:t>
            </w:r>
            <w:r>
              <w:rPr>
                <w:rFonts w:hint="eastAsia" w:cs="Times New Roman"/>
                <w:b w:val="0"/>
                <w:bCs w:val="0"/>
                <w:color w:val="auto"/>
                <w:sz w:val="24"/>
                <w:highlight w:val="none"/>
                <w:lang w:val="en-US" w:eastAsia="zh-CN"/>
              </w:rPr>
              <w:t>8</w:t>
            </w:r>
            <w:r>
              <w:rPr>
                <w:rFonts w:hint="default" w:ascii="Times New Roman" w:hAnsi="Times New Roman" w:cs="Times New Roman"/>
                <w:b w:val="0"/>
                <w:bCs w:val="0"/>
                <w:color w:val="auto"/>
                <w:sz w:val="24"/>
                <w:highlight w:val="none"/>
              </w:rPr>
              <w:t>000m</w:t>
            </w:r>
            <w:r>
              <w:rPr>
                <w:rFonts w:hint="default" w:ascii="Times New Roman" w:hAnsi="Times New Roman" w:cs="Times New Roman"/>
                <w:b w:val="0"/>
                <w:bCs w:val="0"/>
                <w:color w:val="auto"/>
                <w:sz w:val="24"/>
                <w:highlight w:val="none"/>
                <w:vertAlign w:val="superscript"/>
              </w:rPr>
              <w:t>3</w:t>
            </w:r>
            <w:r>
              <w:rPr>
                <w:rFonts w:hint="default" w:ascii="Times New Roman" w:hAnsi="Times New Roman" w:cs="Times New Roman"/>
                <w:b w:val="0"/>
                <w:bCs w:val="0"/>
                <w:color w:val="auto"/>
                <w:sz w:val="24"/>
                <w:highlight w:val="none"/>
              </w:rPr>
              <w:t>/h，处理效率为</w:t>
            </w:r>
            <w:r>
              <w:rPr>
                <w:rFonts w:hint="default" w:ascii="Times New Roman" w:hAnsi="Times New Roman" w:cs="Times New Roman"/>
                <w:b w:val="0"/>
                <w:bCs w:val="0"/>
                <w:color w:val="auto"/>
                <w:sz w:val="24"/>
                <w:highlight w:val="none"/>
                <w:lang w:val="en-US" w:eastAsia="zh-CN"/>
              </w:rPr>
              <w:t>6</w:t>
            </w:r>
            <w:r>
              <w:rPr>
                <w:rFonts w:hint="default" w:ascii="Times New Roman" w:hAnsi="Times New Roman" w:cs="Times New Roman"/>
                <w:b w:val="0"/>
                <w:bCs w:val="0"/>
                <w:color w:val="auto"/>
                <w:sz w:val="24"/>
                <w:highlight w:val="none"/>
              </w:rPr>
              <w:t>0%的油烟净化器处理食堂油烟，通过净化后的油烟排放量为</w:t>
            </w:r>
            <w:r>
              <w:rPr>
                <w:rFonts w:hint="eastAsia" w:cs="Times New Roman"/>
                <w:b w:val="0"/>
                <w:bCs w:val="0"/>
                <w:color w:val="auto"/>
                <w:sz w:val="24"/>
                <w:highlight w:val="none"/>
                <w:lang w:val="en-US" w:eastAsia="zh-CN"/>
              </w:rPr>
              <w:t>16.2</w:t>
            </w:r>
            <w:r>
              <w:rPr>
                <w:rFonts w:hint="default" w:ascii="Times New Roman" w:hAnsi="Times New Roman" w:cs="Times New Roman"/>
                <w:b w:val="0"/>
                <w:bCs w:val="0"/>
                <w:color w:val="auto"/>
                <w:sz w:val="24"/>
                <w:highlight w:val="none"/>
              </w:rPr>
              <w:t>kg/a，</w:t>
            </w:r>
            <w:r>
              <w:rPr>
                <w:rFonts w:hint="default" w:ascii="Times New Roman" w:hAnsi="Times New Roman" w:cs="Times New Roman"/>
                <w:b w:val="0"/>
                <w:bCs w:val="0"/>
                <w:color w:val="auto"/>
                <w:sz w:val="24"/>
                <w:highlight w:val="none"/>
                <w:lang w:val="en-US" w:eastAsia="zh-CN"/>
              </w:rPr>
              <w:t>排放速率为</w:t>
            </w:r>
            <w:r>
              <w:rPr>
                <w:rFonts w:hint="default" w:ascii="Times New Roman" w:hAnsi="Times New Roman" w:cs="Times New Roman"/>
                <w:b w:val="0"/>
                <w:bCs w:val="0"/>
                <w:color w:val="auto"/>
                <w:sz w:val="24"/>
                <w:highlight w:val="none"/>
              </w:rPr>
              <w:t>0.0</w:t>
            </w:r>
            <w:r>
              <w:rPr>
                <w:rFonts w:hint="eastAsia" w:cs="Times New Roman"/>
                <w:b w:val="0"/>
                <w:bCs w:val="0"/>
                <w:color w:val="auto"/>
                <w:sz w:val="24"/>
                <w:highlight w:val="none"/>
                <w:lang w:val="en-US" w:eastAsia="zh-CN"/>
              </w:rPr>
              <w:t>135</w:t>
            </w:r>
            <w:r>
              <w:rPr>
                <w:rFonts w:hint="default" w:ascii="Times New Roman" w:hAnsi="Times New Roman" w:cs="Times New Roman"/>
                <w:b w:val="0"/>
                <w:bCs w:val="0"/>
                <w:color w:val="auto"/>
                <w:sz w:val="24"/>
                <w:highlight w:val="none"/>
              </w:rPr>
              <w:t>kg/h，则油烟排放浓度为</w:t>
            </w:r>
            <w:r>
              <w:rPr>
                <w:rFonts w:hint="eastAsia" w:cs="Times New Roman"/>
                <w:b w:val="0"/>
                <w:bCs w:val="0"/>
                <w:color w:val="auto"/>
                <w:sz w:val="24"/>
                <w:highlight w:val="none"/>
                <w:lang w:val="en-US" w:eastAsia="zh-CN"/>
              </w:rPr>
              <w:t>1.69</w:t>
            </w:r>
            <w:r>
              <w:rPr>
                <w:rFonts w:hint="default" w:ascii="Times New Roman" w:hAnsi="Times New Roman" w:cs="Times New Roman"/>
                <w:b w:val="0"/>
                <w:bCs w:val="0"/>
                <w:color w:val="auto"/>
                <w:sz w:val="24"/>
                <w:highlight w:val="none"/>
              </w:rPr>
              <w:t>mg/m</w:t>
            </w:r>
            <w:r>
              <w:rPr>
                <w:rFonts w:hint="default" w:ascii="Times New Roman" w:hAnsi="Times New Roman" w:cs="Times New Roman"/>
                <w:b w:val="0"/>
                <w:bCs w:val="0"/>
                <w:color w:val="auto"/>
                <w:sz w:val="24"/>
                <w:highlight w:val="none"/>
                <w:vertAlign w:val="superscript"/>
              </w:rPr>
              <w:t>3</w:t>
            </w:r>
            <w:r>
              <w:rPr>
                <w:rFonts w:hint="default" w:ascii="Times New Roman" w:hAnsi="Times New Roman" w:cs="Times New Roman"/>
                <w:b w:val="0"/>
                <w:bCs w:val="0"/>
                <w:color w:val="auto"/>
                <w:sz w:val="24"/>
                <w:highlight w:val="none"/>
              </w:rPr>
              <w:t>，油烟排放浓度满足《饮食业油烟排放标准（试行）》（GB18483-2001）小型食堂要求（油烟排放浓度≤2.0mg/m</w:t>
            </w:r>
            <w:r>
              <w:rPr>
                <w:rFonts w:hint="default" w:ascii="Times New Roman" w:hAnsi="Times New Roman" w:cs="Times New Roman"/>
                <w:b w:val="0"/>
                <w:bCs w:val="0"/>
                <w:color w:val="auto"/>
                <w:sz w:val="24"/>
                <w:highlight w:val="none"/>
                <w:vertAlign w:val="superscript"/>
              </w:rPr>
              <w:t>3</w:t>
            </w:r>
            <w:r>
              <w:rPr>
                <w:rFonts w:hint="default" w:ascii="Times New Roman" w:hAnsi="Times New Roman" w:cs="Times New Roman"/>
                <w:b w:val="0"/>
                <w:bCs w:val="0"/>
                <w:color w:val="auto"/>
                <w:sz w:val="24"/>
                <w:highlight w:val="none"/>
              </w:rPr>
              <w:t>），经</w:t>
            </w:r>
            <w:r>
              <w:rPr>
                <w:rFonts w:hint="default" w:ascii="Times New Roman" w:hAnsi="Times New Roman" w:cs="Times New Roman"/>
                <w:b w:val="0"/>
                <w:bCs w:val="0"/>
                <w:color w:val="auto"/>
                <w:sz w:val="24"/>
                <w:highlight w:val="none"/>
                <w:lang w:val="en-US" w:eastAsia="zh-CN"/>
              </w:rPr>
              <w:t>专用</w:t>
            </w:r>
            <w:r>
              <w:rPr>
                <w:rFonts w:hint="default" w:ascii="Times New Roman" w:hAnsi="Times New Roman" w:cs="Times New Roman"/>
                <w:b w:val="0"/>
                <w:bCs w:val="0"/>
                <w:color w:val="auto"/>
                <w:sz w:val="24"/>
                <w:highlight w:val="none"/>
              </w:rPr>
              <w:t>烟道引</w:t>
            </w:r>
            <w:r>
              <w:rPr>
                <w:rFonts w:hint="default" w:ascii="Times New Roman" w:hAnsi="Times New Roman" w:cs="Times New Roman"/>
                <w:b w:val="0"/>
                <w:bCs w:val="0"/>
                <w:color w:val="auto"/>
                <w:sz w:val="24"/>
                <w:highlight w:val="none"/>
                <w:lang w:val="en-US" w:eastAsia="zh-CN"/>
              </w:rPr>
              <w:t>至</w:t>
            </w:r>
            <w:r>
              <w:rPr>
                <w:rFonts w:hint="default" w:ascii="Times New Roman" w:hAnsi="Times New Roman" w:cs="Times New Roman"/>
                <w:b w:val="0"/>
                <w:bCs w:val="0"/>
                <w:color w:val="auto"/>
                <w:sz w:val="24"/>
                <w:highlight w:val="none"/>
              </w:rPr>
              <w:t>屋顶排放。</w:t>
            </w:r>
          </w:p>
          <w:p w14:paraId="7F25F07B">
            <w:pPr>
              <w:widowControl/>
              <w:spacing w:line="360" w:lineRule="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1.3废气处理措施及其可行性分析</w:t>
            </w:r>
          </w:p>
          <w:p w14:paraId="247751E8">
            <w:pPr>
              <w:pStyle w:val="56"/>
              <w:ind w:firstLine="480"/>
              <w:rPr>
                <w:rFonts w:hint="default" w:ascii="Times New Roman" w:hAnsi="Times New Roman" w:cs="Times New Roman"/>
                <w:color w:val="auto"/>
                <w:kern w:val="2"/>
                <w:szCs w:val="24"/>
                <w:highlight w:val="none"/>
              </w:rPr>
            </w:pPr>
            <w:r>
              <w:rPr>
                <w:rFonts w:hint="default" w:ascii="Times New Roman" w:hAnsi="Times New Roman" w:cs="Times New Roman"/>
                <w:color w:val="auto"/>
                <w:kern w:val="2"/>
                <w:szCs w:val="24"/>
                <w:highlight w:val="none"/>
              </w:rPr>
              <w:t>本项目主要各类钢结构生产项目。由于通用设备生产行业未发布排污许可证申请与核发技术规范，由于废气产污工序主要为下料、打磨、焊接、</w:t>
            </w:r>
            <w:r>
              <w:rPr>
                <w:rFonts w:hint="eastAsia" w:cs="Times New Roman"/>
                <w:color w:val="auto"/>
                <w:kern w:val="2"/>
                <w:szCs w:val="24"/>
                <w:highlight w:val="none"/>
                <w:lang w:val="en-US" w:eastAsia="zh-CN"/>
              </w:rPr>
              <w:t>喷塑</w:t>
            </w:r>
            <w:r>
              <w:rPr>
                <w:rFonts w:hint="default" w:ascii="Times New Roman" w:hAnsi="Times New Roman" w:cs="Times New Roman"/>
                <w:color w:val="auto"/>
                <w:kern w:val="2"/>
                <w:szCs w:val="24"/>
                <w:highlight w:val="none"/>
              </w:rPr>
              <w:t>、烘干等，通用工序参照</w:t>
            </w:r>
            <w:r>
              <w:rPr>
                <w:rFonts w:hint="default" w:ascii="Times New Roman" w:hAnsi="Times New Roman" w:cs="Times New Roman"/>
                <w:color w:val="auto"/>
                <w:highlight w:val="none"/>
              </w:rPr>
              <w:t>《排污许可证申请与核发技术规范 铁路、船舶、航空航天和其他运输设备制造业》（HJ1124-2020）</w:t>
            </w:r>
            <w:r>
              <w:rPr>
                <w:rFonts w:hint="default" w:ascii="Times New Roman" w:hAnsi="Times New Roman" w:cs="Times New Roman"/>
                <w:color w:val="auto"/>
                <w:kern w:val="2"/>
                <w:szCs w:val="24"/>
                <w:highlight w:val="none"/>
              </w:rPr>
              <w:t>推荐的废气污染治理措施，本项目废气所采用的污染治理设置及技术可行性判断情况见下表。</w:t>
            </w:r>
          </w:p>
          <w:p w14:paraId="644E54B2">
            <w:pPr>
              <w:pStyle w:val="41"/>
              <w:spacing w:before="24" w:after="24"/>
              <w:ind w:left="0"/>
              <w:rPr>
                <w:rFonts w:hint="default" w:ascii="Times New Roman" w:hAnsi="Times New Roman" w:cs="Times New Roman"/>
                <w:color w:val="auto"/>
                <w:kern w:val="2"/>
                <w:szCs w:val="24"/>
                <w:highlight w:val="none"/>
              </w:rPr>
            </w:pPr>
            <w:r>
              <w:rPr>
                <w:rFonts w:hint="default" w:ascii="Times New Roman" w:hAnsi="Times New Roman" w:cs="Times New Roman"/>
                <w:color w:val="auto"/>
                <w:highlight w:val="none"/>
              </w:rPr>
              <w:t>表4-</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rPr>
              <w:t xml:space="preserve">    废气污染物及污染治理设施一览表</w:t>
            </w:r>
          </w:p>
          <w:tbl>
            <w:tblPr>
              <w:tblStyle w:val="26"/>
              <w:tblpPr w:leftFromText="180" w:rightFromText="180" w:vertAnchor="text" w:horzAnchor="page" w:tblpX="85" w:tblpY="313"/>
              <w:tblOverlap w:val="never"/>
              <w:tblW w:w="4998" w:type="pct"/>
              <w:tblInd w:w="0"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1223"/>
              <w:gridCol w:w="1316"/>
              <w:gridCol w:w="852"/>
              <w:gridCol w:w="2342"/>
              <w:gridCol w:w="1104"/>
              <w:gridCol w:w="1272"/>
            </w:tblGrid>
            <w:tr w14:paraId="5E63C358">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754" w:type="pct"/>
                  <w:vMerge w:val="restart"/>
                  <w:noWrap w:val="0"/>
                  <w:vAlign w:val="center"/>
                </w:tcPr>
                <w:p w14:paraId="0D95A9F9">
                  <w:pPr>
                    <w:pStyle w:val="39"/>
                    <w:keepNext w:val="0"/>
                    <w:keepLines w:val="0"/>
                    <w:pageBreakBefore w:val="0"/>
                    <w:widowControl w:val="0"/>
                    <w:kinsoku/>
                    <w:wordWrap/>
                    <w:overflowPunct/>
                    <w:topLinePunct w:val="0"/>
                    <w:bidi w:val="0"/>
                    <w:ind w:left="0" w:firstLine="0" w:firstLineChars="0"/>
                    <w:textAlignment w:val="auto"/>
                    <w:rPr>
                      <w:rFonts w:hint="default" w:ascii="Times New Roman" w:hAnsi="Times New Roman" w:cs="Times New Roman"/>
                      <w:b/>
                      <w:bCs/>
                      <w:color w:val="auto"/>
                      <w:szCs w:val="21"/>
                      <w:highlight w:val="none"/>
                      <w:lang w:val="en-US" w:eastAsia="zh-CN"/>
                    </w:rPr>
                  </w:pPr>
                  <w:r>
                    <w:rPr>
                      <w:rFonts w:hint="default" w:ascii="Times New Roman" w:hAnsi="Times New Roman" w:cs="Times New Roman"/>
                      <w:b/>
                      <w:bCs/>
                      <w:color w:val="auto"/>
                      <w:szCs w:val="21"/>
                      <w:highlight w:val="none"/>
                      <w:lang w:val="en-US" w:eastAsia="zh-CN"/>
                    </w:rPr>
                    <w:t>废气产污环节</w:t>
                  </w:r>
                </w:p>
              </w:tc>
              <w:tc>
                <w:tcPr>
                  <w:tcW w:w="811" w:type="pct"/>
                  <w:vMerge w:val="restart"/>
                  <w:noWrap w:val="0"/>
                  <w:vAlign w:val="center"/>
                </w:tcPr>
                <w:p w14:paraId="37F82F8A">
                  <w:pPr>
                    <w:pStyle w:val="39"/>
                    <w:keepNext w:val="0"/>
                    <w:keepLines w:val="0"/>
                    <w:pageBreakBefore w:val="0"/>
                    <w:widowControl w:val="0"/>
                    <w:kinsoku/>
                    <w:wordWrap/>
                    <w:overflowPunct/>
                    <w:topLinePunct w:val="0"/>
                    <w:bidi w:val="0"/>
                    <w:ind w:left="0" w:firstLine="0" w:firstLineChars="0"/>
                    <w:textAlignment w:val="auto"/>
                    <w:rPr>
                      <w:rFonts w:hint="default" w:ascii="Times New Roman" w:hAnsi="Times New Roman" w:cs="Times New Roman"/>
                      <w:b/>
                      <w:bCs/>
                      <w:color w:val="auto"/>
                      <w:szCs w:val="21"/>
                      <w:highlight w:val="none"/>
                      <w:lang w:val="en-US" w:eastAsia="zh-CN"/>
                    </w:rPr>
                  </w:pPr>
                  <w:r>
                    <w:rPr>
                      <w:rFonts w:hint="default" w:ascii="Times New Roman" w:hAnsi="Times New Roman" w:cs="Times New Roman"/>
                      <w:b/>
                      <w:bCs/>
                      <w:color w:val="auto"/>
                      <w:szCs w:val="21"/>
                      <w:highlight w:val="none"/>
                      <w:lang w:val="en-US" w:eastAsia="zh-CN"/>
                    </w:rPr>
                    <w:t>污染物</w:t>
                  </w:r>
                </w:p>
              </w:tc>
              <w:tc>
                <w:tcPr>
                  <w:tcW w:w="525" w:type="pct"/>
                  <w:vMerge w:val="restart"/>
                  <w:noWrap w:val="0"/>
                  <w:vAlign w:val="center"/>
                </w:tcPr>
                <w:p w14:paraId="56F5E24A">
                  <w:pPr>
                    <w:pStyle w:val="39"/>
                    <w:keepNext w:val="0"/>
                    <w:keepLines w:val="0"/>
                    <w:pageBreakBefore w:val="0"/>
                    <w:widowControl w:val="0"/>
                    <w:kinsoku/>
                    <w:wordWrap/>
                    <w:overflowPunct/>
                    <w:topLinePunct w:val="0"/>
                    <w:bidi w:val="0"/>
                    <w:ind w:left="0" w:firstLine="0" w:firstLineChars="0"/>
                    <w:textAlignment w:val="auto"/>
                    <w:rPr>
                      <w:rFonts w:hint="default" w:ascii="Times New Roman" w:hAnsi="Times New Roman" w:cs="Times New Roman"/>
                      <w:b/>
                      <w:bCs/>
                      <w:color w:val="auto"/>
                      <w:szCs w:val="21"/>
                      <w:highlight w:val="none"/>
                      <w:lang w:val="en-US" w:eastAsia="zh-CN"/>
                    </w:rPr>
                  </w:pPr>
                  <w:r>
                    <w:rPr>
                      <w:rFonts w:hint="default" w:ascii="Times New Roman" w:hAnsi="Times New Roman" w:cs="Times New Roman"/>
                      <w:b/>
                      <w:bCs/>
                      <w:color w:val="auto"/>
                      <w:szCs w:val="21"/>
                      <w:highlight w:val="none"/>
                      <w:lang w:val="en-US" w:eastAsia="zh-CN"/>
                    </w:rPr>
                    <w:t>排放形式</w:t>
                  </w:r>
                </w:p>
              </w:tc>
              <w:tc>
                <w:tcPr>
                  <w:tcW w:w="2124" w:type="pct"/>
                  <w:gridSpan w:val="2"/>
                  <w:tcBorders>
                    <w:bottom w:val="single" w:color="auto" w:sz="12" w:space="0"/>
                  </w:tcBorders>
                  <w:noWrap w:val="0"/>
                  <w:vAlign w:val="center"/>
                </w:tcPr>
                <w:p w14:paraId="2D6B8486">
                  <w:pPr>
                    <w:pStyle w:val="56"/>
                    <w:keepNext w:val="0"/>
                    <w:keepLines w:val="0"/>
                    <w:pageBreakBefore w:val="0"/>
                    <w:widowControl w:val="0"/>
                    <w:kinsoku/>
                    <w:wordWrap/>
                    <w:overflowPunct/>
                    <w:topLinePunct w:val="0"/>
                    <w:bidi w:val="0"/>
                    <w:spacing w:line="240" w:lineRule="auto"/>
                    <w:ind w:left="0" w:firstLine="0" w:firstLineChars="0"/>
                    <w:jc w:val="center"/>
                    <w:textAlignment w:val="auto"/>
                    <w:rPr>
                      <w:rFonts w:hint="default" w:ascii="Times New Roman" w:hAnsi="Times New Roman" w:cs="Times New Roman"/>
                      <w:b/>
                      <w:bCs/>
                      <w:color w:val="auto"/>
                      <w:sz w:val="21"/>
                      <w:szCs w:val="18"/>
                      <w:highlight w:val="none"/>
                    </w:rPr>
                  </w:pPr>
                  <w:r>
                    <w:rPr>
                      <w:rFonts w:hint="default" w:ascii="Times New Roman" w:hAnsi="Times New Roman" w:cs="Times New Roman"/>
                      <w:b/>
                      <w:bCs/>
                      <w:color w:val="auto"/>
                      <w:sz w:val="21"/>
                      <w:szCs w:val="18"/>
                      <w:highlight w:val="none"/>
                    </w:rPr>
                    <w:t>污染防治措施</w:t>
                  </w:r>
                </w:p>
              </w:tc>
              <w:tc>
                <w:tcPr>
                  <w:tcW w:w="784" w:type="pct"/>
                  <w:vMerge w:val="restart"/>
                  <w:noWrap w:val="0"/>
                  <w:vAlign w:val="center"/>
                </w:tcPr>
                <w:p w14:paraId="57AD5542">
                  <w:pPr>
                    <w:pStyle w:val="39"/>
                    <w:keepNext w:val="0"/>
                    <w:keepLines w:val="0"/>
                    <w:pageBreakBefore w:val="0"/>
                    <w:widowControl w:val="0"/>
                    <w:kinsoku/>
                    <w:wordWrap/>
                    <w:overflowPunct/>
                    <w:topLinePunct w:val="0"/>
                    <w:bidi w:val="0"/>
                    <w:ind w:left="0" w:firstLine="0" w:firstLineChars="0"/>
                    <w:textAlignment w:val="auto"/>
                    <w:rPr>
                      <w:rFonts w:hint="default" w:ascii="Times New Roman" w:hAnsi="Times New Roman" w:cs="Times New Roman"/>
                      <w:b/>
                      <w:bCs/>
                      <w:color w:val="auto"/>
                      <w:szCs w:val="21"/>
                      <w:highlight w:val="none"/>
                      <w:lang w:val="en-US" w:eastAsia="zh-CN"/>
                    </w:rPr>
                  </w:pPr>
                  <w:r>
                    <w:rPr>
                      <w:rFonts w:hint="default" w:ascii="Times New Roman" w:hAnsi="Times New Roman" w:cs="Times New Roman"/>
                      <w:b/>
                      <w:bCs/>
                      <w:color w:val="auto"/>
                      <w:szCs w:val="21"/>
                      <w:highlight w:val="none"/>
                      <w:lang w:val="en-US" w:eastAsia="zh-CN"/>
                    </w:rPr>
                    <w:t>排放口类型</w:t>
                  </w:r>
                </w:p>
              </w:tc>
            </w:tr>
            <w:tr w14:paraId="5E2D7858">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754" w:type="pct"/>
                  <w:vMerge w:val="continue"/>
                  <w:tcBorders>
                    <w:bottom w:val="single" w:color="auto" w:sz="12" w:space="0"/>
                  </w:tcBorders>
                  <w:noWrap w:val="0"/>
                  <w:vAlign w:val="center"/>
                </w:tcPr>
                <w:p w14:paraId="16D88C13">
                  <w:pPr>
                    <w:pStyle w:val="39"/>
                    <w:keepNext w:val="0"/>
                    <w:keepLines w:val="0"/>
                    <w:pageBreakBefore w:val="0"/>
                    <w:widowControl w:val="0"/>
                    <w:kinsoku/>
                    <w:wordWrap/>
                    <w:overflowPunct/>
                    <w:topLinePunct w:val="0"/>
                    <w:bidi w:val="0"/>
                    <w:ind w:left="0" w:firstLine="0" w:firstLineChars="0"/>
                    <w:textAlignment w:val="auto"/>
                    <w:rPr>
                      <w:rFonts w:hint="default" w:ascii="Times New Roman" w:hAnsi="Times New Roman" w:cs="Times New Roman"/>
                      <w:b/>
                      <w:bCs/>
                      <w:color w:val="auto"/>
                      <w:szCs w:val="21"/>
                      <w:highlight w:val="none"/>
                      <w:lang w:val="en-US" w:eastAsia="zh-CN"/>
                    </w:rPr>
                  </w:pPr>
                </w:p>
              </w:tc>
              <w:tc>
                <w:tcPr>
                  <w:tcW w:w="811" w:type="pct"/>
                  <w:vMerge w:val="continue"/>
                  <w:tcBorders>
                    <w:bottom w:val="single" w:color="auto" w:sz="12" w:space="0"/>
                  </w:tcBorders>
                  <w:noWrap w:val="0"/>
                  <w:vAlign w:val="center"/>
                </w:tcPr>
                <w:p w14:paraId="78CD09B6">
                  <w:pPr>
                    <w:pStyle w:val="39"/>
                    <w:keepNext w:val="0"/>
                    <w:keepLines w:val="0"/>
                    <w:pageBreakBefore w:val="0"/>
                    <w:widowControl w:val="0"/>
                    <w:kinsoku/>
                    <w:wordWrap/>
                    <w:overflowPunct/>
                    <w:topLinePunct w:val="0"/>
                    <w:bidi w:val="0"/>
                    <w:ind w:left="0" w:firstLine="0" w:firstLineChars="0"/>
                    <w:textAlignment w:val="auto"/>
                    <w:rPr>
                      <w:rFonts w:hint="default" w:ascii="Times New Roman" w:hAnsi="Times New Roman" w:cs="Times New Roman"/>
                      <w:b/>
                      <w:bCs/>
                      <w:color w:val="auto"/>
                      <w:szCs w:val="21"/>
                      <w:highlight w:val="none"/>
                      <w:lang w:val="en-US" w:eastAsia="zh-CN"/>
                    </w:rPr>
                  </w:pPr>
                </w:p>
              </w:tc>
              <w:tc>
                <w:tcPr>
                  <w:tcW w:w="525" w:type="pct"/>
                  <w:vMerge w:val="continue"/>
                  <w:tcBorders>
                    <w:bottom w:val="single" w:color="auto" w:sz="12" w:space="0"/>
                  </w:tcBorders>
                  <w:noWrap w:val="0"/>
                  <w:vAlign w:val="center"/>
                </w:tcPr>
                <w:p w14:paraId="119547F1">
                  <w:pPr>
                    <w:pStyle w:val="39"/>
                    <w:keepNext w:val="0"/>
                    <w:keepLines w:val="0"/>
                    <w:pageBreakBefore w:val="0"/>
                    <w:widowControl w:val="0"/>
                    <w:kinsoku/>
                    <w:wordWrap/>
                    <w:overflowPunct/>
                    <w:topLinePunct w:val="0"/>
                    <w:bidi w:val="0"/>
                    <w:ind w:left="0" w:firstLine="0" w:firstLineChars="0"/>
                    <w:textAlignment w:val="auto"/>
                    <w:rPr>
                      <w:rFonts w:hint="default" w:ascii="Times New Roman" w:hAnsi="Times New Roman" w:cs="Times New Roman"/>
                      <w:b/>
                      <w:bCs/>
                      <w:color w:val="auto"/>
                      <w:szCs w:val="21"/>
                      <w:highlight w:val="none"/>
                      <w:lang w:val="en-US" w:eastAsia="zh-CN"/>
                    </w:rPr>
                  </w:pPr>
                </w:p>
              </w:tc>
              <w:tc>
                <w:tcPr>
                  <w:tcW w:w="1444" w:type="pct"/>
                  <w:tcBorders>
                    <w:bottom w:val="single" w:color="auto" w:sz="12" w:space="0"/>
                  </w:tcBorders>
                  <w:noWrap w:val="0"/>
                  <w:vAlign w:val="center"/>
                </w:tcPr>
                <w:p w14:paraId="658A9709">
                  <w:pPr>
                    <w:pStyle w:val="56"/>
                    <w:keepNext w:val="0"/>
                    <w:keepLines w:val="0"/>
                    <w:pageBreakBefore w:val="0"/>
                    <w:widowControl w:val="0"/>
                    <w:kinsoku/>
                    <w:wordWrap/>
                    <w:overflowPunct/>
                    <w:topLinePunct w:val="0"/>
                    <w:bidi w:val="0"/>
                    <w:spacing w:line="240" w:lineRule="auto"/>
                    <w:ind w:left="0" w:firstLine="0" w:firstLineChars="0"/>
                    <w:jc w:val="center"/>
                    <w:textAlignment w:val="auto"/>
                    <w:rPr>
                      <w:rFonts w:hint="default" w:ascii="Times New Roman" w:hAnsi="Times New Roman" w:cs="Times New Roman"/>
                      <w:b/>
                      <w:bCs/>
                      <w:color w:val="auto"/>
                      <w:sz w:val="21"/>
                      <w:szCs w:val="18"/>
                      <w:highlight w:val="none"/>
                    </w:rPr>
                  </w:pPr>
                  <w:r>
                    <w:rPr>
                      <w:rFonts w:hint="default" w:ascii="Times New Roman" w:hAnsi="Times New Roman" w:cs="Times New Roman"/>
                      <w:b/>
                      <w:bCs/>
                      <w:color w:val="auto"/>
                      <w:sz w:val="21"/>
                      <w:szCs w:val="18"/>
                      <w:highlight w:val="none"/>
                    </w:rPr>
                    <w:t>污染防治设施名称及工艺</w:t>
                  </w:r>
                </w:p>
              </w:tc>
              <w:tc>
                <w:tcPr>
                  <w:tcW w:w="680" w:type="pct"/>
                  <w:tcBorders>
                    <w:bottom w:val="single" w:color="auto" w:sz="12" w:space="0"/>
                  </w:tcBorders>
                  <w:noWrap w:val="0"/>
                  <w:vAlign w:val="center"/>
                </w:tcPr>
                <w:p w14:paraId="30468E9F">
                  <w:pPr>
                    <w:pStyle w:val="56"/>
                    <w:keepNext w:val="0"/>
                    <w:keepLines w:val="0"/>
                    <w:pageBreakBefore w:val="0"/>
                    <w:widowControl w:val="0"/>
                    <w:kinsoku/>
                    <w:wordWrap/>
                    <w:overflowPunct/>
                    <w:topLinePunct w:val="0"/>
                    <w:bidi w:val="0"/>
                    <w:spacing w:line="240" w:lineRule="auto"/>
                    <w:ind w:left="0" w:firstLine="0" w:firstLineChars="0"/>
                    <w:jc w:val="center"/>
                    <w:textAlignment w:val="auto"/>
                    <w:rPr>
                      <w:rFonts w:hint="default" w:ascii="Times New Roman" w:hAnsi="Times New Roman" w:cs="Times New Roman"/>
                      <w:b/>
                      <w:bCs/>
                      <w:color w:val="auto"/>
                      <w:sz w:val="21"/>
                      <w:szCs w:val="18"/>
                      <w:highlight w:val="none"/>
                    </w:rPr>
                  </w:pPr>
                  <w:r>
                    <w:rPr>
                      <w:rFonts w:hint="default" w:ascii="Times New Roman" w:hAnsi="Times New Roman" w:cs="Times New Roman"/>
                      <w:b/>
                      <w:bCs/>
                      <w:color w:val="auto"/>
                      <w:sz w:val="21"/>
                      <w:szCs w:val="18"/>
                      <w:highlight w:val="none"/>
                    </w:rPr>
                    <w:t>是否技术可行</w:t>
                  </w:r>
                </w:p>
              </w:tc>
              <w:tc>
                <w:tcPr>
                  <w:tcW w:w="784" w:type="pct"/>
                  <w:vMerge w:val="continue"/>
                  <w:tcBorders>
                    <w:bottom w:val="single" w:color="auto" w:sz="12" w:space="0"/>
                  </w:tcBorders>
                  <w:noWrap w:val="0"/>
                  <w:vAlign w:val="center"/>
                </w:tcPr>
                <w:p w14:paraId="327EFA09">
                  <w:pPr>
                    <w:pStyle w:val="39"/>
                    <w:keepNext w:val="0"/>
                    <w:keepLines w:val="0"/>
                    <w:pageBreakBefore w:val="0"/>
                    <w:widowControl w:val="0"/>
                    <w:kinsoku/>
                    <w:wordWrap/>
                    <w:overflowPunct/>
                    <w:topLinePunct w:val="0"/>
                    <w:bidi w:val="0"/>
                    <w:ind w:left="0" w:firstLine="0" w:firstLineChars="0"/>
                    <w:textAlignment w:val="auto"/>
                    <w:rPr>
                      <w:rFonts w:hint="default" w:ascii="Times New Roman" w:hAnsi="Times New Roman" w:cs="Times New Roman"/>
                      <w:b w:val="0"/>
                      <w:bCs w:val="0"/>
                      <w:color w:val="auto"/>
                      <w:szCs w:val="21"/>
                      <w:highlight w:val="none"/>
                      <w:lang w:val="en-US" w:eastAsia="zh-CN"/>
                    </w:rPr>
                  </w:pPr>
                </w:p>
              </w:tc>
            </w:tr>
            <w:tr w14:paraId="7171A422">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754" w:type="pct"/>
                  <w:tcBorders>
                    <w:top w:val="single" w:color="auto" w:sz="12" w:space="0"/>
                  </w:tcBorders>
                  <w:noWrap w:val="0"/>
                  <w:vAlign w:val="center"/>
                </w:tcPr>
                <w:p w14:paraId="3D68B835">
                  <w:pPr>
                    <w:pStyle w:val="39"/>
                    <w:keepNext w:val="0"/>
                    <w:keepLines w:val="0"/>
                    <w:pageBreakBefore w:val="0"/>
                    <w:widowControl w:val="0"/>
                    <w:kinsoku/>
                    <w:wordWrap/>
                    <w:overflowPunct/>
                    <w:topLinePunct w:val="0"/>
                    <w:bidi w:val="0"/>
                    <w:ind w:left="0" w:firstLine="0" w:firstLineChars="0"/>
                    <w:textAlignment w:val="auto"/>
                    <w:rPr>
                      <w:rFonts w:hint="default" w:ascii="Times New Roman" w:hAnsi="Times New Roman"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切割</w:t>
                  </w:r>
                </w:p>
              </w:tc>
              <w:tc>
                <w:tcPr>
                  <w:tcW w:w="811" w:type="pct"/>
                  <w:tcBorders>
                    <w:top w:val="single" w:color="auto" w:sz="12" w:space="0"/>
                  </w:tcBorders>
                  <w:noWrap w:val="0"/>
                  <w:vAlign w:val="center"/>
                </w:tcPr>
                <w:p w14:paraId="030F673D">
                  <w:pPr>
                    <w:pStyle w:val="39"/>
                    <w:keepNext w:val="0"/>
                    <w:keepLines w:val="0"/>
                    <w:pageBreakBefore w:val="0"/>
                    <w:widowControl w:val="0"/>
                    <w:kinsoku/>
                    <w:wordWrap/>
                    <w:overflowPunct/>
                    <w:topLinePunct w:val="0"/>
                    <w:bidi w:val="0"/>
                    <w:ind w:left="0" w:firstLine="0" w:firstLineChars="0"/>
                    <w:textAlignment w:val="auto"/>
                    <w:rPr>
                      <w:rFonts w:hint="default" w:ascii="Times New Roman" w:hAnsi="Times New Roman" w:cs="Times New Roman"/>
                      <w:b w:val="0"/>
                      <w:bCs w:val="0"/>
                      <w:color w:val="auto"/>
                      <w:szCs w:val="21"/>
                      <w:highlight w:val="none"/>
                      <w:lang w:val="en-US" w:eastAsia="zh-CN"/>
                    </w:rPr>
                  </w:pPr>
                  <w:r>
                    <w:rPr>
                      <w:rFonts w:hint="default" w:ascii="Times New Roman" w:hAnsi="Times New Roman" w:cs="Times New Roman"/>
                      <w:b w:val="0"/>
                      <w:bCs w:val="0"/>
                      <w:color w:val="auto"/>
                      <w:highlight w:val="none"/>
                      <w:lang w:val="en-US" w:eastAsia="zh-CN"/>
                    </w:rPr>
                    <w:t>颗粒物</w:t>
                  </w:r>
                </w:p>
              </w:tc>
              <w:tc>
                <w:tcPr>
                  <w:tcW w:w="525" w:type="pct"/>
                  <w:tcBorders>
                    <w:top w:val="single" w:color="auto" w:sz="12" w:space="0"/>
                  </w:tcBorders>
                  <w:noWrap w:val="0"/>
                  <w:vAlign w:val="center"/>
                </w:tcPr>
                <w:p w14:paraId="3BE2B7B0">
                  <w:pPr>
                    <w:pStyle w:val="39"/>
                    <w:keepNext w:val="0"/>
                    <w:keepLines w:val="0"/>
                    <w:pageBreakBefore w:val="0"/>
                    <w:widowControl w:val="0"/>
                    <w:kinsoku/>
                    <w:wordWrap/>
                    <w:overflowPunct/>
                    <w:topLinePunct w:val="0"/>
                    <w:bidi w:val="0"/>
                    <w:ind w:left="0" w:firstLine="0" w:firstLineChars="0"/>
                    <w:textAlignment w:val="auto"/>
                    <w:rPr>
                      <w:rFonts w:hint="default" w:ascii="Times New Roman" w:hAnsi="Times New Roman"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有组织</w:t>
                  </w:r>
                </w:p>
              </w:tc>
              <w:tc>
                <w:tcPr>
                  <w:tcW w:w="1444" w:type="pct"/>
                  <w:tcBorders>
                    <w:top w:val="single" w:color="auto" w:sz="12" w:space="0"/>
                  </w:tcBorders>
                  <w:noWrap w:val="0"/>
                  <w:vAlign w:val="center"/>
                </w:tcPr>
                <w:p w14:paraId="1CC8E149">
                  <w:pPr>
                    <w:pStyle w:val="56"/>
                    <w:keepNext w:val="0"/>
                    <w:keepLines w:val="0"/>
                    <w:pageBreakBefore w:val="0"/>
                    <w:widowControl w:val="0"/>
                    <w:kinsoku/>
                    <w:wordWrap/>
                    <w:overflowPunct/>
                    <w:topLinePunct w:val="0"/>
                    <w:bidi w:val="0"/>
                    <w:spacing w:line="240" w:lineRule="auto"/>
                    <w:ind w:left="0" w:firstLine="0" w:firstLineChars="0"/>
                    <w:jc w:val="center"/>
                    <w:textAlignment w:val="auto"/>
                    <w:rPr>
                      <w:rFonts w:hint="default" w:ascii="Times New Roman" w:hAnsi="Times New Roman" w:cs="Times New Roman"/>
                      <w:b w:val="0"/>
                      <w:bCs w:val="0"/>
                      <w:color w:val="auto"/>
                      <w:sz w:val="21"/>
                      <w:szCs w:val="18"/>
                      <w:highlight w:val="none"/>
                    </w:rPr>
                  </w:pPr>
                  <w:r>
                    <w:rPr>
                      <w:rFonts w:hint="eastAsia" w:cs="Times New Roman"/>
                      <w:b w:val="0"/>
                      <w:bCs w:val="0"/>
                      <w:color w:val="auto"/>
                      <w:sz w:val="21"/>
                      <w:highlight w:val="none"/>
                      <w:lang w:val="en-US" w:eastAsia="zh-CN"/>
                    </w:rPr>
                    <w:t>袋式除尘器</w:t>
                  </w:r>
                </w:p>
              </w:tc>
              <w:tc>
                <w:tcPr>
                  <w:tcW w:w="680" w:type="pct"/>
                  <w:tcBorders>
                    <w:top w:val="single" w:color="auto" w:sz="12" w:space="0"/>
                  </w:tcBorders>
                  <w:noWrap w:val="0"/>
                  <w:vAlign w:val="center"/>
                </w:tcPr>
                <w:p w14:paraId="21BBE1F2">
                  <w:pPr>
                    <w:pStyle w:val="56"/>
                    <w:keepNext w:val="0"/>
                    <w:keepLines w:val="0"/>
                    <w:pageBreakBefore w:val="0"/>
                    <w:widowControl w:val="0"/>
                    <w:kinsoku/>
                    <w:wordWrap/>
                    <w:overflowPunct/>
                    <w:topLinePunct w:val="0"/>
                    <w:bidi w:val="0"/>
                    <w:spacing w:line="240" w:lineRule="auto"/>
                    <w:ind w:left="0" w:firstLine="0" w:firstLineChars="0"/>
                    <w:jc w:val="center"/>
                    <w:textAlignment w:val="auto"/>
                    <w:rPr>
                      <w:rFonts w:hint="default" w:ascii="Times New Roman" w:hAnsi="Times New Roman" w:cs="Times New Roman"/>
                      <w:b w:val="0"/>
                      <w:bCs w:val="0"/>
                      <w:color w:val="auto"/>
                      <w:sz w:val="21"/>
                      <w:szCs w:val="18"/>
                      <w:highlight w:val="none"/>
                    </w:rPr>
                  </w:pPr>
                  <w:r>
                    <w:rPr>
                      <w:rFonts w:hint="default" w:ascii="Times New Roman" w:hAnsi="Times New Roman" w:cs="Times New Roman"/>
                      <w:b w:val="0"/>
                      <w:bCs w:val="0"/>
                      <w:color w:val="auto"/>
                      <w:sz w:val="21"/>
                      <w:szCs w:val="18"/>
                      <w:highlight w:val="none"/>
                    </w:rPr>
                    <w:t>技术可行</w:t>
                  </w:r>
                </w:p>
              </w:tc>
              <w:tc>
                <w:tcPr>
                  <w:tcW w:w="784" w:type="pct"/>
                  <w:tcBorders>
                    <w:top w:val="single" w:color="auto" w:sz="12" w:space="0"/>
                  </w:tcBorders>
                  <w:noWrap w:val="0"/>
                  <w:vAlign w:val="center"/>
                </w:tcPr>
                <w:p w14:paraId="196E6D5A">
                  <w:pPr>
                    <w:keepNext w:val="0"/>
                    <w:keepLines w:val="0"/>
                    <w:pageBreakBefore w:val="0"/>
                    <w:widowControl w:val="0"/>
                    <w:kinsoku/>
                    <w:wordWrap/>
                    <w:overflowPunct/>
                    <w:topLinePunct w:val="0"/>
                    <w:bidi w:val="0"/>
                    <w:ind w:left="0" w:firstLine="0" w:firstLineChars="0"/>
                    <w:jc w:val="center"/>
                    <w:textAlignment w:val="auto"/>
                    <w:rPr>
                      <w:rFonts w:hint="default" w:ascii="Times New Roman" w:hAnsi="Times New Roman" w:cs="Times New Roman"/>
                      <w:b w:val="0"/>
                      <w:bCs w:val="0"/>
                      <w:color w:val="auto"/>
                      <w:szCs w:val="18"/>
                      <w:highlight w:val="none"/>
                    </w:rPr>
                  </w:pPr>
                  <w:r>
                    <w:rPr>
                      <w:rFonts w:hint="default" w:ascii="Times New Roman" w:hAnsi="Times New Roman" w:cs="Times New Roman"/>
                      <w:b w:val="0"/>
                      <w:bCs w:val="0"/>
                      <w:color w:val="auto"/>
                      <w:highlight w:val="none"/>
                    </w:rPr>
                    <w:t>一般排放口</w:t>
                  </w:r>
                </w:p>
              </w:tc>
            </w:tr>
            <w:tr w14:paraId="23C34064">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754" w:type="pct"/>
                  <w:noWrap w:val="0"/>
                  <w:vAlign w:val="center"/>
                </w:tcPr>
                <w:p w14:paraId="4352C370">
                  <w:pPr>
                    <w:pStyle w:val="39"/>
                    <w:keepNext w:val="0"/>
                    <w:keepLines w:val="0"/>
                    <w:pageBreakBefore w:val="0"/>
                    <w:widowControl w:val="0"/>
                    <w:kinsoku/>
                    <w:wordWrap/>
                    <w:overflowPunct/>
                    <w:topLinePunct w:val="0"/>
                    <w:bidi w:val="0"/>
                    <w:ind w:left="0" w:firstLine="0" w:firstLineChars="0"/>
                    <w:textAlignment w:val="auto"/>
                    <w:rPr>
                      <w:rFonts w:hint="default" w:ascii="Times New Roman" w:hAnsi="Times New Roman" w:cs="Times New Roman"/>
                      <w:b w:val="0"/>
                      <w:bCs w:val="0"/>
                      <w:color w:val="auto"/>
                      <w:szCs w:val="21"/>
                      <w:highlight w:val="none"/>
                      <w:lang w:val="en-US" w:eastAsia="zh-CN"/>
                    </w:rPr>
                  </w:pPr>
                  <w:r>
                    <w:rPr>
                      <w:rFonts w:hint="default" w:ascii="Times New Roman" w:hAnsi="Times New Roman" w:cs="Times New Roman"/>
                      <w:b w:val="0"/>
                      <w:bCs w:val="0"/>
                      <w:color w:val="auto"/>
                      <w:highlight w:val="none"/>
                      <w:lang w:val="en-US" w:eastAsia="zh-CN"/>
                    </w:rPr>
                    <w:t>焊接</w:t>
                  </w:r>
                </w:p>
              </w:tc>
              <w:tc>
                <w:tcPr>
                  <w:tcW w:w="811" w:type="pct"/>
                  <w:noWrap w:val="0"/>
                  <w:vAlign w:val="center"/>
                </w:tcPr>
                <w:p w14:paraId="6E161910">
                  <w:pPr>
                    <w:pStyle w:val="39"/>
                    <w:keepNext w:val="0"/>
                    <w:keepLines w:val="0"/>
                    <w:pageBreakBefore w:val="0"/>
                    <w:widowControl w:val="0"/>
                    <w:kinsoku/>
                    <w:wordWrap/>
                    <w:overflowPunct/>
                    <w:topLinePunct w:val="0"/>
                    <w:bidi w:val="0"/>
                    <w:ind w:left="0" w:firstLine="0" w:firstLineChars="0"/>
                    <w:textAlignment w:val="auto"/>
                    <w:rPr>
                      <w:rFonts w:hint="default" w:ascii="Times New Roman" w:hAnsi="Times New Roman" w:cs="Times New Roman"/>
                      <w:b w:val="0"/>
                      <w:bCs w:val="0"/>
                      <w:color w:val="auto"/>
                      <w:szCs w:val="21"/>
                      <w:highlight w:val="none"/>
                      <w:lang w:val="en-US" w:eastAsia="zh-CN"/>
                    </w:rPr>
                  </w:pPr>
                  <w:r>
                    <w:rPr>
                      <w:rFonts w:hint="default" w:ascii="Times New Roman" w:hAnsi="Times New Roman" w:cs="Times New Roman"/>
                      <w:b w:val="0"/>
                      <w:bCs w:val="0"/>
                      <w:color w:val="auto"/>
                      <w:highlight w:val="none"/>
                      <w:lang w:val="en-US" w:eastAsia="zh-CN"/>
                    </w:rPr>
                    <w:t>颗粒物</w:t>
                  </w:r>
                </w:p>
              </w:tc>
              <w:tc>
                <w:tcPr>
                  <w:tcW w:w="525" w:type="pct"/>
                  <w:noWrap w:val="0"/>
                  <w:vAlign w:val="center"/>
                </w:tcPr>
                <w:p w14:paraId="13012150">
                  <w:pPr>
                    <w:pStyle w:val="39"/>
                    <w:keepNext w:val="0"/>
                    <w:keepLines w:val="0"/>
                    <w:pageBreakBefore w:val="0"/>
                    <w:widowControl w:val="0"/>
                    <w:kinsoku/>
                    <w:wordWrap/>
                    <w:overflowPunct/>
                    <w:topLinePunct w:val="0"/>
                    <w:bidi w:val="0"/>
                    <w:ind w:left="0" w:firstLine="0" w:firstLineChars="0"/>
                    <w:textAlignment w:val="auto"/>
                    <w:rPr>
                      <w:rFonts w:hint="default" w:ascii="Times New Roman" w:hAnsi="Times New Roman"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无组织</w:t>
                  </w:r>
                </w:p>
              </w:tc>
              <w:tc>
                <w:tcPr>
                  <w:tcW w:w="1444" w:type="pct"/>
                  <w:noWrap w:val="0"/>
                  <w:vAlign w:val="center"/>
                </w:tcPr>
                <w:p w14:paraId="0795747F">
                  <w:pPr>
                    <w:pStyle w:val="56"/>
                    <w:keepNext w:val="0"/>
                    <w:keepLines w:val="0"/>
                    <w:pageBreakBefore w:val="0"/>
                    <w:widowControl w:val="0"/>
                    <w:kinsoku/>
                    <w:wordWrap/>
                    <w:overflowPunct/>
                    <w:topLinePunct w:val="0"/>
                    <w:bidi w:val="0"/>
                    <w:spacing w:line="240" w:lineRule="auto"/>
                    <w:ind w:left="0" w:firstLine="0" w:firstLineChars="0"/>
                    <w:jc w:val="center"/>
                    <w:textAlignment w:val="auto"/>
                    <w:rPr>
                      <w:rFonts w:hint="default" w:ascii="Times New Roman" w:hAnsi="Times New Roman" w:cs="Times New Roman"/>
                      <w:b w:val="0"/>
                      <w:bCs w:val="0"/>
                      <w:color w:val="auto"/>
                      <w:sz w:val="21"/>
                      <w:szCs w:val="18"/>
                      <w:highlight w:val="none"/>
                    </w:rPr>
                  </w:pPr>
                  <w:r>
                    <w:rPr>
                      <w:rFonts w:hint="default" w:ascii="Times New Roman" w:hAnsi="Times New Roman" w:cs="Times New Roman"/>
                      <w:b w:val="0"/>
                      <w:bCs w:val="0"/>
                      <w:color w:val="auto"/>
                      <w:sz w:val="21"/>
                      <w:szCs w:val="18"/>
                      <w:highlight w:val="none"/>
                    </w:rPr>
                    <w:t>焊接烟尘净化器</w:t>
                  </w:r>
                </w:p>
              </w:tc>
              <w:tc>
                <w:tcPr>
                  <w:tcW w:w="680" w:type="pct"/>
                  <w:noWrap w:val="0"/>
                  <w:vAlign w:val="center"/>
                </w:tcPr>
                <w:p w14:paraId="627916F6">
                  <w:pPr>
                    <w:pStyle w:val="56"/>
                    <w:keepNext w:val="0"/>
                    <w:keepLines w:val="0"/>
                    <w:pageBreakBefore w:val="0"/>
                    <w:widowControl w:val="0"/>
                    <w:kinsoku/>
                    <w:wordWrap/>
                    <w:overflowPunct/>
                    <w:topLinePunct w:val="0"/>
                    <w:bidi w:val="0"/>
                    <w:spacing w:line="240" w:lineRule="auto"/>
                    <w:ind w:left="0" w:firstLine="0" w:firstLineChars="0"/>
                    <w:jc w:val="center"/>
                    <w:textAlignment w:val="auto"/>
                    <w:rPr>
                      <w:rFonts w:hint="default" w:ascii="Times New Roman" w:hAnsi="Times New Roman" w:cs="Times New Roman"/>
                      <w:b w:val="0"/>
                      <w:bCs w:val="0"/>
                      <w:color w:val="auto"/>
                      <w:sz w:val="21"/>
                      <w:szCs w:val="18"/>
                      <w:highlight w:val="none"/>
                    </w:rPr>
                  </w:pPr>
                  <w:r>
                    <w:rPr>
                      <w:rFonts w:hint="default" w:ascii="Times New Roman" w:hAnsi="Times New Roman" w:cs="Times New Roman"/>
                      <w:b w:val="0"/>
                      <w:bCs w:val="0"/>
                      <w:color w:val="auto"/>
                      <w:sz w:val="21"/>
                      <w:szCs w:val="18"/>
                      <w:highlight w:val="none"/>
                    </w:rPr>
                    <w:t>技术可行</w:t>
                  </w:r>
                </w:p>
              </w:tc>
              <w:tc>
                <w:tcPr>
                  <w:tcW w:w="784" w:type="pct"/>
                  <w:noWrap w:val="0"/>
                  <w:vAlign w:val="center"/>
                </w:tcPr>
                <w:p w14:paraId="3BEBEF9B">
                  <w:pPr>
                    <w:keepNext w:val="0"/>
                    <w:keepLines w:val="0"/>
                    <w:pageBreakBefore w:val="0"/>
                    <w:widowControl w:val="0"/>
                    <w:kinsoku/>
                    <w:wordWrap/>
                    <w:overflowPunct/>
                    <w:topLinePunct w:val="0"/>
                    <w:bidi w:val="0"/>
                    <w:ind w:left="0" w:firstLine="0" w:firstLineChars="0"/>
                    <w:jc w:val="center"/>
                    <w:textAlignment w:val="auto"/>
                    <w:rPr>
                      <w:rFonts w:hint="default" w:ascii="Times New Roman" w:hAnsi="Times New Roman" w:cs="Times New Roman"/>
                      <w:b w:val="0"/>
                      <w:bCs w:val="0"/>
                      <w:color w:val="auto"/>
                      <w:szCs w:val="18"/>
                      <w:highlight w:val="none"/>
                    </w:rPr>
                  </w:pPr>
                  <w:r>
                    <w:rPr>
                      <w:rFonts w:hint="default" w:ascii="Times New Roman" w:hAnsi="Times New Roman" w:cs="Times New Roman"/>
                      <w:b w:val="0"/>
                      <w:bCs w:val="0"/>
                      <w:color w:val="auto"/>
                      <w:szCs w:val="18"/>
                      <w:highlight w:val="none"/>
                    </w:rPr>
                    <w:t>无组织排口</w:t>
                  </w:r>
                </w:p>
              </w:tc>
            </w:tr>
            <w:tr w14:paraId="1CD4EDB5">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754" w:type="pct"/>
                  <w:noWrap w:val="0"/>
                  <w:vAlign w:val="center"/>
                </w:tcPr>
                <w:p w14:paraId="05FC20DD">
                  <w:pPr>
                    <w:pStyle w:val="39"/>
                    <w:keepNext w:val="0"/>
                    <w:keepLines w:val="0"/>
                    <w:pageBreakBefore w:val="0"/>
                    <w:widowControl w:val="0"/>
                    <w:kinsoku/>
                    <w:wordWrap/>
                    <w:overflowPunct/>
                    <w:topLinePunct w:val="0"/>
                    <w:bidi w:val="0"/>
                    <w:ind w:left="0" w:firstLine="0" w:firstLineChars="0"/>
                    <w:textAlignment w:val="auto"/>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抛丸打磨</w:t>
                  </w:r>
                </w:p>
              </w:tc>
              <w:tc>
                <w:tcPr>
                  <w:tcW w:w="811" w:type="pct"/>
                  <w:noWrap w:val="0"/>
                  <w:vAlign w:val="center"/>
                </w:tcPr>
                <w:p w14:paraId="3D780905">
                  <w:pPr>
                    <w:pStyle w:val="39"/>
                    <w:keepNext w:val="0"/>
                    <w:keepLines w:val="0"/>
                    <w:pageBreakBefore w:val="0"/>
                    <w:widowControl w:val="0"/>
                    <w:kinsoku/>
                    <w:wordWrap/>
                    <w:overflowPunct/>
                    <w:topLinePunct w:val="0"/>
                    <w:bidi w:val="0"/>
                    <w:ind w:left="0" w:firstLine="0" w:firstLineChars="0"/>
                    <w:textAlignment w:val="auto"/>
                    <w:rPr>
                      <w:rFonts w:hint="default" w:ascii="Times New Roman" w:hAnsi="Times New Roman" w:cs="Times New Roman"/>
                      <w:b w:val="0"/>
                      <w:bCs w:val="0"/>
                      <w:color w:val="auto"/>
                      <w:szCs w:val="21"/>
                      <w:highlight w:val="none"/>
                      <w:lang w:val="en-US" w:eastAsia="zh-CN"/>
                    </w:rPr>
                  </w:pPr>
                  <w:r>
                    <w:rPr>
                      <w:rFonts w:hint="default" w:ascii="Times New Roman" w:hAnsi="Times New Roman" w:cs="Times New Roman"/>
                      <w:b w:val="0"/>
                      <w:bCs w:val="0"/>
                      <w:color w:val="auto"/>
                      <w:highlight w:val="none"/>
                      <w:lang w:val="en-US" w:eastAsia="zh-CN"/>
                    </w:rPr>
                    <w:t>颗粒物</w:t>
                  </w:r>
                </w:p>
              </w:tc>
              <w:tc>
                <w:tcPr>
                  <w:tcW w:w="525" w:type="pct"/>
                  <w:noWrap w:val="0"/>
                  <w:vAlign w:val="center"/>
                </w:tcPr>
                <w:p w14:paraId="7EBDFA3F">
                  <w:pPr>
                    <w:pStyle w:val="39"/>
                    <w:keepNext w:val="0"/>
                    <w:keepLines w:val="0"/>
                    <w:pageBreakBefore w:val="0"/>
                    <w:widowControl w:val="0"/>
                    <w:kinsoku/>
                    <w:wordWrap/>
                    <w:overflowPunct/>
                    <w:topLinePunct w:val="0"/>
                    <w:bidi w:val="0"/>
                    <w:ind w:left="0" w:firstLine="0" w:firstLineChars="0"/>
                    <w:textAlignment w:val="auto"/>
                    <w:rPr>
                      <w:rFonts w:hint="default" w:ascii="Times New Roman" w:hAnsi="Times New Roman"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有组织</w:t>
                  </w:r>
                </w:p>
              </w:tc>
              <w:tc>
                <w:tcPr>
                  <w:tcW w:w="1444" w:type="pct"/>
                  <w:noWrap w:val="0"/>
                  <w:vAlign w:val="center"/>
                </w:tcPr>
                <w:p w14:paraId="69028095">
                  <w:pPr>
                    <w:pStyle w:val="56"/>
                    <w:keepNext w:val="0"/>
                    <w:keepLines w:val="0"/>
                    <w:pageBreakBefore w:val="0"/>
                    <w:widowControl w:val="0"/>
                    <w:kinsoku/>
                    <w:wordWrap/>
                    <w:overflowPunct/>
                    <w:topLinePunct w:val="0"/>
                    <w:bidi w:val="0"/>
                    <w:spacing w:line="240" w:lineRule="auto"/>
                    <w:ind w:left="0" w:firstLine="0" w:firstLineChars="0"/>
                    <w:jc w:val="center"/>
                    <w:textAlignment w:val="auto"/>
                    <w:rPr>
                      <w:rFonts w:hint="default" w:ascii="Times New Roman" w:hAnsi="Times New Roman" w:cs="Times New Roman"/>
                      <w:b w:val="0"/>
                      <w:bCs w:val="0"/>
                      <w:color w:val="auto"/>
                      <w:sz w:val="21"/>
                      <w:szCs w:val="18"/>
                      <w:highlight w:val="none"/>
                    </w:rPr>
                  </w:pPr>
                  <w:r>
                    <w:rPr>
                      <w:rFonts w:hint="eastAsia" w:cs="Times New Roman"/>
                      <w:b w:val="0"/>
                      <w:bCs w:val="0"/>
                      <w:color w:val="auto"/>
                      <w:sz w:val="21"/>
                      <w:highlight w:val="none"/>
                      <w:lang w:val="en-US" w:eastAsia="zh-CN"/>
                    </w:rPr>
                    <w:t>袋式除尘器</w:t>
                  </w:r>
                </w:p>
              </w:tc>
              <w:tc>
                <w:tcPr>
                  <w:tcW w:w="680" w:type="pct"/>
                  <w:noWrap w:val="0"/>
                  <w:vAlign w:val="center"/>
                </w:tcPr>
                <w:p w14:paraId="67625EC0">
                  <w:pPr>
                    <w:pStyle w:val="56"/>
                    <w:keepNext w:val="0"/>
                    <w:keepLines w:val="0"/>
                    <w:pageBreakBefore w:val="0"/>
                    <w:widowControl w:val="0"/>
                    <w:kinsoku/>
                    <w:wordWrap/>
                    <w:overflowPunct/>
                    <w:topLinePunct w:val="0"/>
                    <w:bidi w:val="0"/>
                    <w:spacing w:line="240" w:lineRule="auto"/>
                    <w:ind w:left="0" w:firstLine="0" w:firstLineChars="0"/>
                    <w:jc w:val="center"/>
                    <w:textAlignment w:val="auto"/>
                    <w:rPr>
                      <w:rFonts w:hint="default" w:ascii="Times New Roman" w:hAnsi="Times New Roman" w:cs="Times New Roman"/>
                      <w:b w:val="0"/>
                      <w:bCs w:val="0"/>
                      <w:color w:val="auto"/>
                      <w:sz w:val="21"/>
                      <w:szCs w:val="18"/>
                      <w:highlight w:val="none"/>
                    </w:rPr>
                  </w:pPr>
                  <w:r>
                    <w:rPr>
                      <w:rFonts w:hint="default" w:ascii="Times New Roman" w:hAnsi="Times New Roman" w:cs="Times New Roman"/>
                      <w:b w:val="0"/>
                      <w:bCs w:val="0"/>
                      <w:color w:val="auto"/>
                      <w:sz w:val="21"/>
                      <w:szCs w:val="18"/>
                      <w:highlight w:val="none"/>
                    </w:rPr>
                    <w:t>技术可行</w:t>
                  </w:r>
                </w:p>
              </w:tc>
              <w:tc>
                <w:tcPr>
                  <w:tcW w:w="784" w:type="pct"/>
                  <w:noWrap w:val="0"/>
                  <w:vAlign w:val="center"/>
                </w:tcPr>
                <w:p w14:paraId="21D51877">
                  <w:pPr>
                    <w:keepNext w:val="0"/>
                    <w:keepLines w:val="0"/>
                    <w:pageBreakBefore w:val="0"/>
                    <w:widowControl w:val="0"/>
                    <w:kinsoku/>
                    <w:wordWrap/>
                    <w:overflowPunct/>
                    <w:topLinePunct w:val="0"/>
                    <w:bidi w:val="0"/>
                    <w:ind w:left="0" w:firstLine="0" w:firstLineChars="0"/>
                    <w:jc w:val="center"/>
                    <w:textAlignment w:val="auto"/>
                    <w:rPr>
                      <w:rFonts w:hint="default" w:ascii="Times New Roman" w:hAnsi="Times New Roman" w:cs="Times New Roman"/>
                      <w:b w:val="0"/>
                      <w:bCs w:val="0"/>
                      <w:color w:val="auto"/>
                      <w:szCs w:val="18"/>
                      <w:highlight w:val="none"/>
                    </w:rPr>
                  </w:pPr>
                  <w:r>
                    <w:rPr>
                      <w:rFonts w:hint="default" w:ascii="Times New Roman" w:hAnsi="Times New Roman" w:cs="Times New Roman"/>
                      <w:b w:val="0"/>
                      <w:bCs w:val="0"/>
                      <w:color w:val="auto"/>
                      <w:highlight w:val="none"/>
                    </w:rPr>
                    <w:t>一般排放口</w:t>
                  </w:r>
                </w:p>
              </w:tc>
            </w:tr>
            <w:tr w14:paraId="420CE74A">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754" w:type="pct"/>
                  <w:vMerge w:val="restart"/>
                  <w:noWrap w:val="0"/>
                  <w:vAlign w:val="center"/>
                </w:tcPr>
                <w:p w14:paraId="5F00499E">
                  <w:pPr>
                    <w:pStyle w:val="39"/>
                    <w:keepNext w:val="0"/>
                    <w:keepLines w:val="0"/>
                    <w:pageBreakBefore w:val="0"/>
                    <w:widowControl w:val="0"/>
                    <w:kinsoku/>
                    <w:wordWrap/>
                    <w:overflowPunct/>
                    <w:topLinePunct w:val="0"/>
                    <w:bidi w:val="0"/>
                    <w:ind w:left="0" w:firstLine="0" w:firstLineChars="0"/>
                    <w:textAlignment w:val="auto"/>
                    <w:rPr>
                      <w:rFonts w:hint="default" w:ascii="Times New Roman" w:hAnsi="Times New Roman"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喷</w:t>
                  </w:r>
                  <w:r>
                    <w:rPr>
                      <w:rFonts w:hint="eastAsia" w:cs="Times New Roman"/>
                      <w:b w:val="0"/>
                      <w:bCs w:val="0"/>
                      <w:color w:val="auto"/>
                      <w:szCs w:val="21"/>
                      <w:highlight w:val="none"/>
                      <w:lang w:val="en-US" w:eastAsia="zh-CN"/>
                    </w:rPr>
                    <w:t>塑、</w:t>
                  </w:r>
                  <w:r>
                    <w:rPr>
                      <w:rFonts w:hint="default" w:ascii="Times New Roman" w:hAnsi="Times New Roman" w:cs="Times New Roman"/>
                      <w:b w:val="0"/>
                      <w:bCs w:val="0"/>
                      <w:color w:val="auto"/>
                      <w:szCs w:val="21"/>
                      <w:highlight w:val="none"/>
                      <w:lang w:val="en-US" w:eastAsia="zh-CN"/>
                    </w:rPr>
                    <w:t>烘干</w:t>
                  </w:r>
                </w:p>
              </w:tc>
              <w:tc>
                <w:tcPr>
                  <w:tcW w:w="811" w:type="pct"/>
                  <w:vMerge w:val="restart"/>
                  <w:noWrap w:val="0"/>
                  <w:vAlign w:val="center"/>
                </w:tcPr>
                <w:p w14:paraId="1F5FB835">
                  <w:pPr>
                    <w:pStyle w:val="39"/>
                    <w:keepNext w:val="0"/>
                    <w:keepLines w:val="0"/>
                    <w:pageBreakBefore w:val="0"/>
                    <w:widowControl w:val="0"/>
                    <w:kinsoku/>
                    <w:wordWrap/>
                    <w:overflowPunct/>
                    <w:topLinePunct w:val="0"/>
                    <w:bidi w:val="0"/>
                    <w:ind w:left="0" w:firstLine="0" w:firstLineChars="0"/>
                    <w:textAlignment w:val="auto"/>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颗粒物</w:t>
                  </w:r>
                  <w:r>
                    <w:rPr>
                      <w:rFonts w:hint="eastAsia" w:cs="Times New Roman"/>
                      <w:b w:val="0"/>
                      <w:bCs w:val="0"/>
                      <w:color w:val="auto"/>
                      <w:highlight w:val="none"/>
                      <w:lang w:val="en-US" w:eastAsia="zh-CN"/>
                    </w:rPr>
                    <w:t>、</w:t>
                  </w:r>
                </w:p>
                <w:p w14:paraId="5636ABEA">
                  <w:pPr>
                    <w:pStyle w:val="39"/>
                    <w:keepNext w:val="0"/>
                    <w:keepLines w:val="0"/>
                    <w:pageBreakBefore w:val="0"/>
                    <w:widowControl w:val="0"/>
                    <w:kinsoku/>
                    <w:wordWrap/>
                    <w:overflowPunct/>
                    <w:topLinePunct w:val="0"/>
                    <w:bidi w:val="0"/>
                    <w:ind w:left="0" w:leftChars="0" w:firstLine="0" w:firstLineChars="0"/>
                    <w:textAlignment w:val="auto"/>
                    <w:rPr>
                      <w:rFonts w:hint="default" w:ascii="Times New Roman" w:hAnsi="Times New Roman"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非甲烷总烃</w:t>
                  </w:r>
                </w:p>
              </w:tc>
              <w:tc>
                <w:tcPr>
                  <w:tcW w:w="525" w:type="pct"/>
                  <w:vMerge w:val="restart"/>
                  <w:noWrap w:val="0"/>
                  <w:vAlign w:val="center"/>
                </w:tcPr>
                <w:p w14:paraId="0FF4DF07">
                  <w:pPr>
                    <w:pStyle w:val="39"/>
                    <w:keepNext w:val="0"/>
                    <w:keepLines w:val="0"/>
                    <w:pageBreakBefore w:val="0"/>
                    <w:widowControl w:val="0"/>
                    <w:kinsoku/>
                    <w:wordWrap/>
                    <w:overflowPunct/>
                    <w:topLinePunct w:val="0"/>
                    <w:bidi w:val="0"/>
                    <w:ind w:left="0" w:leftChars="0" w:firstLine="0" w:firstLineChars="0"/>
                    <w:jc w:val="both"/>
                    <w:textAlignment w:val="auto"/>
                    <w:rPr>
                      <w:rFonts w:hint="default" w:ascii="Times New Roman" w:hAnsi="Times New Roman"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有组织</w:t>
                  </w:r>
                </w:p>
              </w:tc>
              <w:tc>
                <w:tcPr>
                  <w:tcW w:w="1444" w:type="pct"/>
                  <w:noWrap w:val="0"/>
                  <w:vAlign w:val="center"/>
                </w:tcPr>
                <w:p w14:paraId="582D1B0A">
                  <w:pPr>
                    <w:pStyle w:val="56"/>
                    <w:keepNext w:val="0"/>
                    <w:keepLines w:val="0"/>
                    <w:pageBreakBefore w:val="0"/>
                    <w:widowControl w:val="0"/>
                    <w:kinsoku/>
                    <w:wordWrap/>
                    <w:overflowPunct/>
                    <w:topLinePunct w:val="0"/>
                    <w:bidi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18"/>
                      <w:highlight w:val="none"/>
                      <w:lang w:val="en-US" w:eastAsia="zh-CN"/>
                    </w:rPr>
                  </w:pPr>
                  <w:r>
                    <w:rPr>
                      <w:rFonts w:hint="eastAsia" w:cs="Times New Roman"/>
                      <w:b w:val="0"/>
                      <w:bCs w:val="0"/>
                      <w:color w:val="auto"/>
                      <w:sz w:val="21"/>
                      <w:szCs w:val="18"/>
                      <w:highlight w:val="none"/>
                      <w:lang w:val="en-US" w:eastAsia="zh-CN"/>
                    </w:rPr>
                    <w:t>袋式除尘器</w:t>
                  </w:r>
                </w:p>
              </w:tc>
              <w:tc>
                <w:tcPr>
                  <w:tcW w:w="680" w:type="pct"/>
                  <w:noWrap w:val="0"/>
                  <w:vAlign w:val="center"/>
                </w:tcPr>
                <w:p w14:paraId="58E6512B">
                  <w:pPr>
                    <w:pStyle w:val="56"/>
                    <w:keepNext w:val="0"/>
                    <w:keepLines w:val="0"/>
                    <w:pageBreakBefore w:val="0"/>
                    <w:widowControl w:val="0"/>
                    <w:kinsoku/>
                    <w:wordWrap/>
                    <w:overflowPunct/>
                    <w:topLinePunct w:val="0"/>
                    <w:bidi w:val="0"/>
                    <w:spacing w:line="240" w:lineRule="auto"/>
                    <w:ind w:left="0" w:firstLine="0" w:firstLineChars="0"/>
                    <w:jc w:val="center"/>
                    <w:textAlignment w:val="auto"/>
                    <w:rPr>
                      <w:rFonts w:hint="default" w:ascii="Times New Roman" w:hAnsi="Times New Roman" w:cs="Times New Roman"/>
                      <w:b w:val="0"/>
                      <w:bCs w:val="0"/>
                      <w:color w:val="auto"/>
                      <w:sz w:val="21"/>
                      <w:szCs w:val="18"/>
                      <w:highlight w:val="none"/>
                    </w:rPr>
                  </w:pPr>
                  <w:r>
                    <w:rPr>
                      <w:rFonts w:hint="default" w:ascii="Times New Roman" w:hAnsi="Times New Roman" w:cs="Times New Roman"/>
                      <w:b w:val="0"/>
                      <w:bCs w:val="0"/>
                      <w:color w:val="auto"/>
                      <w:sz w:val="21"/>
                      <w:szCs w:val="18"/>
                      <w:highlight w:val="none"/>
                    </w:rPr>
                    <w:t>技术可行</w:t>
                  </w:r>
                </w:p>
              </w:tc>
              <w:tc>
                <w:tcPr>
                  <w:tcW w:w="784" w:type="pct"/>
                  <w:vMerge w:val="restart"/>
                  <w:noWrap w:val="0"/>
                  <w:vAlign w:val="center"/>
                </w:tcPr>
                <w:p w14:paraId="729EDC2C">
                  <w:pPr>
                    <w:pStyle w:val="56"/>
                    <w:keepNext w:val="0"/>
                    <w:keepLines w:val="0"/>
                    <w:pageBreakBefore w:val="0"/>
                    <w:widowControl w:val="0"/>
                    <w:kinsoku/>
                    <w:wordWrap/>
                    <w:overflowPunct/>
                    <w:topLinePunct w:val="0"/>
                    <w:bidi w:val="0"/>
                    <w:spacing w:line="240" w:lineRule="auto"/>
                    <w:ind w:left="0" w:firstLine="0" w:firstLineChars="0"/>
                    <w:jc w:val="center"/>
                    <w:textAlignment w:val="auto"/>
                    <w:rPr>
                      <w:rFonts w:hint="default" w:ascii="Times New Roman" w:hAnsi="Times New Roman" w:cs="Times New Roman"/>
                      <w:b w:val="0"/>
                      <w:bCs w:val="0"/>
                      <w:color w:val="auto"/>
                      <w:sz w:val="21"/>
                      <w:highlight w:val="none"/>
                    </w:rPr>
                  </w:pPr>
                  <w:r>
                    <w:rPr>
                      <w:rFonts w:hint="default" w:ascii="Times New Roman" w:hAnsi="Times New Roman" w:cs="Times New Roman"/>
                      <w:b w:val="0"/>
                      <w:bCs w:val="0"/>
                      <w:color w:val="auto"/>
                      <w:sz w:val="21"/>
                      <w:highlight w:val="none"/>
                    </w:rPr>
                    <w:t>一般排放口</w:t>
                  </w:r>
                </w:p>
              </w:tc>
            </w:tr>
            <w:tr w14:paraId="5E238552">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754" w:type="pct"/>
                  <w:vMerge w:val="continue"/>
                  <w:noWrap w:val="0"/>
                  <w:vAlign w:val="center"/>
                </w:tcPr>
                <w:p w14:paraId="3F8CEFD5">
                  <w:pPr>
                    <w:pStyle w:val="39"/>
                    <w:keepNext w:val="0"/>
                    <w:keepLines w:val="0"/>
                    <w:pageBreakBefore w:val="0"/>
                    <w:widowControl w:val="0"/>
                    <w:kinsoku/>
                    <w:wordWrap/>
                    <w:overflowPunct/>
                    <w:topLinePunct w:val="0"/>
                    <w:bidi w:val="0"/>
                    <w:ind w:left="0" w:firstLine="0" w:firstLineChars="0"/>
                    <w:textAlignment w:val="auto"/>
                    <w:rPr>
                      <w:rFonts w:hint="default" w:ascii="Times New Roman" w:hAnsi="Times New Roman" w:cs="Times New Roman"/>
                      <w:b w:val="0"/>
                      <w:bCs w:val="0"/>
                      <w:color w:val="auto"/>
                      <w:szCs w:val="21"/>
                      <w:highlight w:val="none"/>
                      <w:lang w:val="en-US" w:eastAsia="zh-CN"/>
                    </w:rPr>
                  </w:pPr>
                </w:p>
              </w:tc>
              <w:tc>
                <w:tcPr>
                  <w:tcW w:w="811" w:type="pct"/>
                  <w:vMerge w:val="continue"/>
                  <w:noWrap w:val="0"/>
                  <w:vAlign w:val="center"/>
                </w:tcPr>
                <w:p w14:paraId="7ADCBFCE">
                  <w:pPr>
                    <w:pStyle w:val="39"/>
                    <w:keepNext w:val="0"/>
                    <w:keepLines w:val="0"/>
                    <w:pageBreakBefore w:val="0"/>
                    <w:widowControl w:val="0"/>
                    <w:kinsoku/>
                    <w:wordWrap/>
                    <w:overflowPunct/>
                    <w:topLinePunct w:val="0"/>
                    <w:bidi w:val="0"/>
                    <w:ind w:left="0" w:leftChars="0" w:firstLine="0" w:firstLineChars="0"/>
                    <w:textAlignment w:val="auto"/>
                    <w:rPr>
                      <w:rFonts w:hint="default" w:ascii="Times New Roman" w:hAnsi="Times New Roman" w:cs="Times New Roman"/>
                      <w:b w:val="0"/>
                      <w:bCs w:val="0"/>
                      <w:color w:val="auto"/>
                      <w:szCs w:val="21"/>
                      <w:highlight w:val="none"/>
                      <w:lang w:val="en-US" w:eastAsia="zh-CN"/>
                    </w:rPr>
                  </w:pPr>
                </w:p>
              </w:tc>
              <w:tc>
                <w:tcPr>
                  <w:tcW w:w="525" w:type="pct"/>
                  <w:vMerge w:val="continue"/>
                  <w:noWrap w:val="0"/>
                  <w:vAlign w:val="center"/>
                </w:tcPr>
                <w:p w14:paraId="00B54D13">
                  <w:pPr>
                    <w:pStyle w:val="39"/>
                    <w:keepNext w:val="0"/>
                    <w:keepLines w:val="0"/>
                    <w:pageBreakBefore w:val="0"/>
                    <w:widowControl w:val="0"/>
                    <w:kinsoku/>
                    <w:wordWrap/>
                    <w:overflowPunct/>
                    <w:topLinePunct w:val="0"/>
                    <w:bidi w:val="0"/>
                    <w:ind w:left="0" w:leftChars="0" w:firstLine="0" w:firstLineChars="0"/>
                    <w:textAlignment w:val="auto"/>
                    <w:rPr>
                      <w:rFonts w:hint="default" w:ascii="Times New Roman" w:hAnsi="Times New Roman" w:cs="Times New Roman"/>
                      <w:b w:val="0"/>
                      <w:bCs w:val="0"/>
                      <w:color w:val="auto"/>
                      <w:szCs w:val="21"/>
                      <w:highlight w:val="none"/>
                      <w:lang w:val="en-US" w:eastAsia="zh-CN"/>
                    </w:rPr>
                  </w:pPr>
                </w:p>
              </w:tc>
              <w:tc>
                <w:tcPr>
                  <w:tcW w:w="1444" w:type="pct"/>
                  <w:noWrap w:val="0"/>
                  <w:vAlign w:val="center"/>
                </w:tcPr>
                <w:p w14:paraId="4614EA65">
                  <w:pPr>
                    <w:pStyle w:val="56"/>
                    <w:keepNext w:val="0"/>
                    <w:keepLines w:val="0"/>
                    <w:pageBreakBefore w:val="0"/>
                    <w:widowControl w:val="0"/>
                    <w:kinsoku/>
                    <w:wordWrap/>
                    <w:overflowPunct/>
                    <w:topLinePunct w:val="0"/>
                    <w:bidi w:val="0"/>
                    <w:spacing w:line="240" w:lineRule="auto"/>
                    <w:ind w:left="0" w:leftChars="0" w:firstLine="0" w:firstLineChars="0"/>
                    <w:jc w:val="center"/>
                    <w:textAlignment w:val="auto"/>
                    <w:rPr>
                      <w:rFonts w:hint="default" w:ascii="Times New Roman" w:hAnsi="Times New Roman" w:cs="Times New Roman"/>
                      <w:b w:val="0"/>
                      <w:bCs w:val="0"/>
                      <w:color w:val="auto"/>
                      <w:sz w:val="21"/>
                      <w:szCs w:val="18"/>
                      <w:highlight w:val="none"/>
                    </w:rPr>
                  </w:pPr>
                  <w:r>
                    <w:rPr>
                      <w:rFonts w:hint="eastAsia" w:cs="Times New Roman"/>
                      <w:b w:val="0"/>
                      <w:bCs w:val="0"/>
                      <w:color w:val="auto"/>
                      <w:sz w:val="21"/>
                      <w:szCs w:val="18"/>
                      <w:highlight w:val="none"/>
                      <w:lang w:val="en-US" w:eastAsia="zh-CN"/>
                    </w:rPr>
                    <w:t>活性炭吸附+</w:t>
                  </w:r>
                  <w:r>
                    <w:rPr>
                      <w:rFonts w:hint="default" w:ascii="Times New Roman" w:hAnsi="Times New Roman" w:cs="Times New Roman"/>
                      <w:b w:val="0"/>
                      <w:bCs w:val="0"/>
                      <w:color w:val="auto"/>
                      <w:sz w:val="21"/>
                      <w:szCs w:val="18"/>
                      <w:highlight w:val="none"/>
                    </w:rPr>
                    <w:t>催化燃烧装置</w:t>
                  </w:r>
                </w:p>
              </w:tc>
              <w:tc>
                <w:tcPr>
                  <w:tcW w:w="680" w:type="pct"/>
                  <w:noWrap w:val="0"/>
                  <w:vAlign w:val="center"/>
                </w:tcPr>
                <w:p w14:paraId="2CBF45A9">
                  <w:pPr>
                    <w:pStyle w:val="56"/>
                    <w:keepNext w:val="0"/>
                    <w:keepLines w:val="0"/>
                    <w:pageBreakBefore w:val="0"/>
                    <w:widowControl w:val="0"/>
                    <w:kinsoku/>
                    <w:wordWrap/>
                    <w:overflowPunct/>
                    <w:topLinePunct w:val="0"/>
                    <w:bidi w:val="0"/>
                    <w:spacing w:line="240" w:lineRule="auto"/>
                    <w:ind w:left="0" w:leftChars="0" w:firstLine="0" w:firstLineChars="0"/>
                    <w:jc w:val="center"/>
                    <w:textAlignment w:val="auto"/>
                    <w:rPr>
                      <w:rFonts w:hint="default" w:ascii="Times New Roman" w:hAnsi="Times New Roman" w:cs="Times New Roman"/>
                      <w:b w:val="0"/>
                      <w:bCs w:val="0"/>
                      <w:color w:val="auto"/>
                      <w:sz w:val="21"/>
                      <w:szCs w:val="18"/>
                      <w:highlight w:val="none"/>
                    </w:rPr>
                  </w:pPr>
                  <w:r>
                    <w:rPr>
                      <w:rFonts w:hint="default" w:ascii="Times New Roman" w:hAnsi="Times New Roman" w:cs="Times New Roman"/>
                      <w:b w:val="0"/>
                      <w:bCs w:val="0"/>
                      <w:color w:val="auto"/>
                      <w:sz w:val="21"/>
                      <w:szCs w:val="18"/>
                      <w:highlight w:val="none"/>
                    </w:rPr>
                    <w:t>技术可行</w:t>
                  </w:r>
                </w:p>
              </w:tc>
              <w:tc>
                <w:tcPr>
                  <w:tcW w:w="784" w:type="pct"/>
                  <w:vMerge w:val="continue"/>
                  <w:noWrap w:val="0"/>
                  <w:vAlign w:val="center"/>
                </w:tcPr>
                <w:p w14:paraId="210D0C50">
                  <w:pPr>
                    <w:pStyle w:val="56"/>
                    <w:keepNext w:val="0"/>
                    <w:keepLines w:val="0"/>
                    <w:pageBreakBefore w:val="0"/>
                    <w:widowControl w:val="0"/>
                    <w:kinsoku/>
                    <w:wordWrap/>
                    <w:overflowPunct/>
                    <w:topLinePunct w:val="0"/>
                    <w:bidi w:val="0"/>
                    <w:spacing w:line="240" w:lineRule="auto"/>
                    <w:ind w:left="0" w:leftChars="0" w:firstLine="0" w:firstLineChars="0"/>
                    <w:jc w:val="center"/>
                    <w:textAlignment w:val="auto"/>
                    <w:rPr>
                      <w:rFonts w:hint="default" w:ascii="Times New Roman" w:hAnsi="Times New Roman" w:cs="Times New Roman"/>
                      <w:b w:val="0"/>
                      <w:bCs w:val="0"/>
                      <w:color w:val="auto"/>
                      <w:sz w:val="21"/>
                      <w:highlight w:val="none"/>
                    </w:rPr>
                  </w:pPr>
                </w:p>
              </w:tc>
            </w:tr>
            <w:tr w14:paraId="1F4ABEA1">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trPr>
              <w:tc>
                <w:tcPr>
                  <w:tcW w:w="754" w:type="pct"/>
                  <w:noWrap w:val="0"/>
                  <w:vAlign w:val="center"/>
                </w:tcPr>
                <w:p w14:paraId="58C1C5E4">
                  <w:pPr>
                    <w:pStyle w:val="39"/>
                    <w:keepNext w:val="0"/>
                    <w:keepLines w:val="0"/>
                    <w:pageBreakBefore w:val="0"/>
                    <w:widowControl w:val="0"/>
                    <w:kinsoku/>
                    <w:wordWrap/>
                    <w:overflowPunct/>
                    <w:topLinePunct w:val="0"/>
                    <w:bidi w:val="0"/>
                    <w:ind w:left="0" w:firstLine="0" w:firstLineChars="0"/>
                    <w:textAlignment w:val="auto"/>
                    <w:rPr>
                      <w:rFonts w:hint="default" w:ascii="Times New Roman" w:hAnsi="Times New Roman" w:cs="Times New Roman"/>
                      <w:b w:val="0"/>
                      <w:bCs w:val="0"/>
                      <w:color w:val="auto"/>
                      <w:szCs w:val="21"/>
                      <w:highlight w:val="none"/>
                      <w:lang w:val="en-US" w:eastAsia="zh-CN"/>
                    </w:rPr>
                  </w:pPr>
                  <w:r>
                    <w:rPr>
                      <w:rFonts w:hint="eastAsia" w:ascii="Times New Roman" w:hAnsi="Times New Roman" w:cs="Times New Roman"/>
                      <w:b w:val="0"/>
                      <w:bCs w:val="0"/>
                      <w:color w:val="auto"/>
                      <w:szCs w:val="21"/>
                      <w:highlight w:val="none"/>
                      <w:lang w:val="en-US" w:eastAsia="zh-CN"/>
                    </w:rPr>
                    <w:t>未收集的</w:t>
                  </w:r>
                  <w:r>
                    <w:rPr>
                      <w:rFonts w:hint="default" w:ascii="Times New Roman" w:hAnsi="Times New Roman" w:cs="Times New Roman"/>
                      <w:b w:val="0"/>
                      <w:bCs w:val="0"/>
                      <w:color w:val="auto"/>
                      <w:szCs w:val="21"/>
                      <w:highlight w:val="none"/>
                      <w:lang w:val="en-US" w:eastAsia="zh-CN"/>
                    </w:rPr>
                    <w:t>喷</w:t>
                  </w:r>
                  <w:r>
                    <w:rPr>
                      <w:rFonts w:hint="eastAsia" w:cs="Times New Roman"/>
                      <w:b w:val="0"/>
                      <w:bCs w:val="0"/>
                      <w:color w:val="auto"/>
                      <w:szCs w:val="21"/>
                      <w:highlight w:val="none"/>
                      <w:lang w:val="en-US" w:eastAsia="zh-CN"/>
                    </w:rPr>
                    <w:t>塑、</w:t>
                  </w:r>
                  <w:r>
                    <w:rPr>
                      <w:rFonts w:hint="default" w:ascii="Times New Roman" w:hAnsi="Times New Roman" w:cs="Times New Roman"/>
                      <w:b w:val="0"/>
                      <w:bCs w:val="0"/>
                      <w:color w:val="auto"/>
                      <w:szCs w:val="21"/>
                      <w:highlight w:val="none"/>
                      <w:lang w:val="en-US" w:eastAsia="zh-CN"/>
                    </w:rPr>
                    <w:t>烘干</w:t>
                  </w:r>
                  <w:r>
                    <w:rPr>
                      <w:rFonts w:hint="eastAsia" w:ascii="Times New Roman" w:hAnsi="Times New Roman" w:cs="Times New Roman"/>
                      <w:b w:val="0"/>
                      <w:bCs w:val="0"/>
                      <w:color w:val="auto"/>
                      <w:szCs w:val="21"/>
                      <w:highlight w:val="none"/>
                      <w:lang w:val="en-US" w:eastAsia="zh-CN"/>
                    </w:rPr>
                    <w:t>废气</w:t>
                  </w:r>
                </w:p>
              </w:tc>
              <w:tc>
                <w:tcPr>
                  <w:tcW w:w="811" w:type="pct"/>
                  <w:noWrap w:val="0"/>
                  <w:vAlign w:val="center"/>
                </w:tcPr>
                <w:p w14:paraId="4E91D528">
                  <w:pPr>
                    <w:pStyle w:val="39"/>
                    <w:keepNext w:val="0"/>
                    <w:keepLines w:val="0"/>
                    <w:pageBreakBefore w:val="0"/>
                    <w:widowControl w:val="0"/>
                    <w:kinsoku/>
                    <w:wordWrap/>
                    <w:overflowPunct/>
                    <w:topLinePunct w:val="0"/>
                    <w:bidi w:val="0"/>
                    <w:ind w:left="0" w:firstLine="0" w:firstLineChars="0"/>
                    <w:textAlignment w:val="auto"/>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颗粒物</w:t>
                  </w:r>
                  <w:r>
                    <w:rPr>
                      <w:rFonts w:hint="eastAsia" w:cs="Times New Roman"/>
                      <w:b w:val="0"/>
                      <w:bCs w:val="0"/>
                      <w:color w:val="auto"/>
                      <w:highlight w:val="none"/>
                      <w:lang w:val="en-US" w:eastAsia="zh-CN"/>
                    </w:rPr>
                    <w:t>、</w:t>
                  </w:r>
                </w:p>
                <w:p w14:paraId="0FD67E01">
                  <w:pPr>
                    <w:pStyle w:val="39"/>
                    <w:keepNext w:val="0"/>
                    <w:keepLines w:val="0"/>
                    <w:pageBreakBefore w:val="0"/>
                    <w:widowControl w:val="0"/>
                    <w:kinsoku/>
                    <w:wordWrap/>
                    <w:overflowPunct/>
                    <w:topLinePunct w:val="0"/>
                    <w:bidi w:val="0"/>
                    <w:ind w:left="0" w:leftChars="0" w:firstLine="0" w:firstLineChars="0"/>
                    <w:textAlignment w:val="auto"/>
                    <w:rPr>
                      <w:rFonts w:hint="default" w:ascii="Times New Roman" w:hAnsi="Times New Roman"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非甲烷总烃</w:t>
                  </w:r>
                </w:p>
              </w:tc>
              <w:tc>
                <w:tcPr>
                  <w:tcW w:w="525" w:type="pct"/>
                  <w:noWrap w:val="0"/>
                  <w:vAlign w:val="center"/>
                </w:tcPr>
                <w:p w14:paraId="226208E4">
                  <w:pPr>
                    <w:pStyle w:val="39"/>
                    <w:keepNext w:val="0"/>
                    <w:keepLines w:val="0"/>
                    <w:pageBreakBefore w:val="0"/>
                    <w:widowControl w:val="0"/>
                    <w:kinsoku/>
                    <w:wordWrap/>
                    <w:overflowPunct/>
                    <w:topLinePunct w:val="0"/>
                    <w:bidi w:val="0"/>
                    <w:ind w:left="0" w:leftChars="0" w:firstLine="0" w:firstLineChars="0"/>
                    <w:textAlignment w:val="auto"/>
                    <w:rPr>
                      <w:rFonts w:hint="default" w:ascii="Times New Roman" w:hAnsi="Times New Roman" w:cs="Times New Roman"/>
                      <w:b w:val="0"/>
                      <w:bCs w:val="0"/>
                      <w:color w:val="auto"/>
                      <w:szCs w:val="21"/>
                      <w:highlight w:val="none"/>
                      <w:lang w:val="en-US" w:eastAsia="zh-CN"/>
                    </w:rPr>
                  </w:pPr>
                  <w:r>
                    <w:rPr>
                      <w:rFonts w:hint="eastAsia" w:cs="Times New Roman"/>
                      <w:b w:val="0"/>
                      <w:bCs w:val="0"/>
                      <w:color w:val="auto"/>
                      <w:szCs w:val="21"/>
                      <w:highlight w:val="none"/>
                      <w:lang w:val="en-US" w:eastAsia="zh-CN"/>
                    </w:rPr>
                    <w:t>无组织</w:t>
                  </w:r>
                </w:p>
              </w:tc>
              <w:tc>
                <w:tcPr>
                  <w:tcW w:w="1444" w:type="pct"/>
                  <w:noWrap w:val="0"/>
                  <w:vAlign w:val="center"/>
                </w:tcPr>
                <w:p w14:paraId="70532ABB">
                  <w:pPr>
                    <w:pStyle w:val="56"/>
                    <w:keepNext w:val="0"/>
                    <w:keepLines w:val="0"/>
                    <w:pageBreakBefore w:val="0"/>
                    <w:widowControl w:val="0"/>
                    <w:kinsoku/>
                    <w:wordWrap/>
                    <w:overflowPunct/>
                    <w:topLinePunct w:val="0"/>
                    <w:bidi w:val="0"/>
                    <w:spacing w:line="240" w:lineRule="auto"/>
                    <w:ind w:left="0" w:leftChars="0" w:firstLine="0" w:firstLineChars="0"/>
                    <w:jc w:val="center"/>
                    <w:textAlignment w:val="auto"/>
                    <w:rPr>
                      <w:rFonts w:hint="default" w:cs="Times New Roman"/>
                      <w:b w:val="0"/>
                      <w:bCs w:val="0"/>
                      <w:color w:val="auto"/>
                      <w:sz w:val="21"/>
                      <w:szCs w:val="18"/>
                      <w:highlight w:val="none"/>
                      <w:lang w:val="en-US" w:eastAsia="zh-CN"/>
                    </w:rPr>
                  </w:pPr>
                  <w:r>
                    <w:rPr>
                      <w:rFonts w:hint="eastAsia" w:cs="Times New Roman"/>
                      <w:b w:val="0"/>
                      <w:bCs w:val="0"/>
                      <w:color w:val="auto"/>
                      <w:sz w:val="21"/>
                      <w:szCs w:val="18"/>
                      <w:highlight w:val="none"/>
                      <w:lang w:val="en-US" w:eastAsia="zh-CN"/>
                    </w:rPr>
                    <w:t>/</w:t>
                  </w:r>
                </w:p>
              </w:tc>
              <w:tc>
                <w:tcPr>
                  <w:tcW w:w="680" w:type="pct"/>
                  <w:noWrap w:val="0"/>
                  <w:vAlign w:val="center"/>
                </w:tcPr>
                <w:p w14:paraId="31974DEC">
                  <w:pPr>
                    <w:pStyle w:val="56"/>
                    <w:keepNext w:val="0"/>
                    <w:keepLines w:val="0"/>
                    <w:pageBreakBefore w:val="0"/>
                    <w:widowControl w:val="0"/>
                    <w:kinsoku/>
                    <w:wordWrap/>
                    <w:overflowPunct/>
                    <w:topLinePunct w:val="0"/>
                    <w:bidi w:val="0"/>
                    <w:spacing w:line="240" w:lineRule="auto"/>
                    <w:ind w:left="0" w:leftChars="0" w:firstLine="0" w:firstLineChars="0"/>
                    <w:jc w:val="center"/>
                    <w:textAlignment w:val="auto"/>
                    <w:rPr>
                      <w:rFonts w:hint="default" w:ascii="Times New Roman" w:hAnsi="Times New Roman" w:cs="Times New Roman"/>
                      <w:b w:val="0"/>
                      <w:bCs w:val="0"/>
                      <w:color w:val="auto"/>
                      <w:sz w:val="21"/>
                      <w:szCs w:val="18"/>
                      <w:highlight w:val="none"/>
                    </w:rPr>
                  </w:pPr>
                  <w:r>
                    <w:rPr>
                      <w:rFonts w:hint="default" w:ascii="Times New Roman" w:hAnsi="Times New Roman" w:cs="Times New Roman"/>
                      <w:b w:val="0"/>
                      <w:bCs w:val="0"/>
                      <w:color w:val="auto"/>
                      <w:sz w:val="21"/>
                      <w:szCs w:val="18"/>
                      <w:highlight w:val="none"/>
                    </w:rPr>
                    <w:t>技术可行</w:t>
                  </w:r>
                </w:p>
              </w:tc>
              <w:tc>
                <w:tcPr>
                  <w:tcW w:w="784" w:type="pct"/>
                  <w:noWrap w:val="0"/>
                  <w:vAlign w:val="center"/>
                </w:tcPr>
                <w:p w14:paraId="583FFF09">
                  <w:pPr>
                    <w:pStyle w:val="56"/>
                    <w:keepNext w:val="0"/>
                    <w:keepLines w:val="0"/>
                    <w:pageBreakBefore w:val="0"/>
                    <w:widowControl w:val="0"/>
                    <w:kinsoku/>
                    <w:wordWrap/>
                    <w:overflowPunct/>
                    <w:topLinePunct w:val="0"/>
                    <w:bidi w:val="0"/>
                    <w:spacing w:line="240" w:lineRule="auto"/>
                    <w:ind w:left="0" w:leftChars="0" w:firstLine="0" w:firstLineChars="0"/>
                    <w:jc w:val="center"/>
                    <w:textAlignment w:val="auto"/>
                    <w:rPr>
                      <w:rFonts w:hint="default" w:ascii="Times New Roman" w:hAnsi="Times New Roman" w:cs="Times New Roman"/>
                      <w:b w:val="0"/>
                      <w:bCs w:val="0"/>
                      <w:color w:val="auto"/>
                      <w:sz w:val="21"/>
                      <w:highlight w:val="none"/>
                    </w:rPr>
                  </w:pPr>
                  <w:r>
                    <w:rPr>
                      <w:rFonts w:hint="default" w:ascii="Times New Roman" w:hAnsi="Times New Roman" w:cs="Times New Roman"/>
                      <w:b w:val="0"/>
                      <w:bCs w:val="0"/>
                      <w:color w:val="auto"/>
                      <w:sz w:val="21"/>
                      <w:highlight w:val="none"/>
                    </w:rPr>
                    <w:t>无组织排口</w:t>
                  </w:r>
                </w:p>
              </w:tc>
            </w:tr>
          </w:tbl>
          <w:p w14:paraId="2AD58897">
            <w:pPr>
              <w:keepNext w:val="0"/>
              <w:keepLines w:val="0"/>
              <w:pageBreakBefore w:val="0"/>
              <w:widowControl/>
              <w:suppressLineNumbers w:val="0"/>
              <w:kinsoku/>
              <w:wordWrap/>
              <w:overflowPunct/>
              <w:topLinePunct w:val="0"/>
              <w:autoSpaceDE/>
              <w:autoSpaceDN/>
              <w:bidi w:val="0"/>
              <w:spacing w:line="360" w:lineRule="auto"/>
              <w:ind w:left="0"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rPr>
              <w:t>参照《排污许可证申请与核发技术规范 铁路、船舶、航空航天和其他运输设备制造业》（HJ1124-2020）推荐的废气污染治理措施，本项目采取的处理措施属于《排污许可证申请与核发技术规范 铁路、船舶、航空航天和其他运输设备制造业》（HJ1124-2020）中可行的技术。</w:t>
            </w:r>
          </w:p>
          <w:p w14:paraId="491B4A89">
            <w:pPr>
              <w:keepNext w:val="0"/>
              <w:keepLines w:val="0"/>
              <w:pageBreakBefore w:val="0"/>
              <w:widowControl/>
              <w:suppressLineNumbers w:val="0"/>
              <w:kinsoku/>
              <w:wordWrap/>
              <w:overflowPunct/>
              <w:topLinePunct w:val="0"/>
              <w:autoSpaceDE/>
              <w:autoSpaceDN/>
              <w:bidi w:val="0"/>
              <w:spacing w:line="360" w:lineRule="auto"/>
              <w:ind w:right="0"/>
              <w:jc w:val="left"/>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cs="Times New Roman"/>
                <w:b/>
                <w:bCs/>
                <w:color w:val="auto"/>
                <w:sz w:val="24"/>
                <w:szCs w:val="24"/>
                <w:highlight w:val="none"/>
                <w:lang w:val="en-US" w:eastAsia="zh-CN"/>
              </w:rPr>
              <w:t>4</w:t>
            </w:r>
            <w:r>
              <w:rPr>
                <w:rFonts w:hint="default" w:ascii="Times New Roman" w:hAnsi="Times New Roman" w:eastAsia="宋体" w:cs="Times New Roman"/>
                <w:b/>
                <w:bCs/>
                <w:color w:val="auto"/>
                <w:sz w:val="24"/>
                <w:szCs w:val="24"/>
                <w:highlight w:val="none"/>
                <w:lang w:val="en-US" w:eastAsia="zh-CN"/>
              </w:rPr>
              <w:t>非正常工况</w:t>
            </w:r>
          </w:p>
          <w:p w14:paraId="2CF21BD5">
            <w:pPr>
              <w:widowControl/>
              <w:spacing w:line="360" w:lineRule="auto"/>
              <w:ind w:firstLine="480" w:firstLineChars="200"/>
              <w:rPr>
                <w:rFonts w:hint="eastAsia" w:cs="Times New Roman"/>
                <w:color w:val="auto"/>
                <w:sz w:val="24"/>
                <w:szCs w:val="32"/>
                <w:highlight w:val="none"/>
                <w:lang w:val="en-US" w:eastAsia="zh-CN"/>
              </w:rPr>
            </w:pPr>
            <w:r>
              <w:rPr>
                <w:rFonts w:hint="default" w:ascii="Times New Roman" w:hAnsi="Times New Roman" w:cs="Times New Roman"/>
                <w:color w:val="auto"/>
                <w:sz w:val="24"/>
                <w:szCs w:val="32"/>
                <w:highlight w:val="none"/>
              </w:rPr>
              <w:t>本项目非正常工况主要为</w:t>
            </w:r>
            <w:r>
              <w:rPr>
                <w:rFonts w:hint="eastAsia" w:cs="Times New Roman"/>
                <w:color w:val="auto"/>
                <w:sz w:val="24"/>
                <w:szCs w:val="32"/>
                <w:highlight w:val="none"/>
                <w:lang w:val="en-US" w:eastAsia="zh-CN"/>
              </w:rPr>
              <w:t>除尘器失效、运行异常、催化燃烧设备中</w:t>
            </w:r>
            <w:r>
              <w:rPr>
                <w:rFonts w:hint="default" w:ascii="Times New Roman" w:hAnsi="Times New Roman" w:cs="Times New Roman"/>
                <w:color w:val="auto"/>
                <w:sz w:val="24"/>
                <w:szCs w:val="32"/>
                <w:highlight w:val="none"/>
              </w:rPr>
              <w:t>活性炭未及时更换与活性炭运行异常</w:t>
            </w:r>
            <w:r>
              <w:rPr>
                <w:rFonts w:hint="eastAsia" w:ascii="Times New Roman" w:hAnsi="Times New Roman" w:cs="Times New Roman"/>
                <w:color w:val="auto"/>
                <w:sz w:val="24"/>
                <w:szCs w:val="32"/>
                <w:highlight w:val="none"/>
                <w:lang w:eastAsia="zh-CN"/>
              </w:rPr>
              <w:t>，</w:t>
            </w:r>
            <w:r>
              <w:rPr>
                <w:rFonts w:hint="eastAsia" w:ascii="Times New Roman" w:hAnsi="Times New Roman" w:cs="Times New Roman"/>
                <w:color w:val="auto"/>
                <w:sz w:val="24"/>
                <w:szCs w:val="32"/>
                <w:highlight w:val="none"/>
                <w:lang w:val="en-US" w:eastAsia="zh-CN"/>
              </w:rPr>
              <w:t>即处理效率为“0”的情况下计算</w:t>
            </w:r>
            <w:r>
              <w:rPr>
                <w:rFonts w:hint="eastAsia" w:cs="Times New Roman"/>
                <w:color w:val="auto"/>
                <w:sz w:val="24"/>
                <w:szCs w:val="32"/>
                <w:highlight w:val="none"/>
                <w:lang w:val="en-US" w:eastAsia="zh-CN"/>
              </w:rPr>
              <w:t>。</w:t>
            </w:r>
          </w:p>
          <w:p w14:paraId="6B7C21CC">
            <w:pPr>
              <w:widowControl/>
              <w:spacing w:line="360" w:lineRule="auto"/>
              <w:ind w:firstLine="480" w:firstLineChars="200"/>
              <w:rPr>
                <w:rFonts w:hint="eastAsia" w:ascii="Times New Roman" w:hAnsi="Times New Roman" w:eastAsia="宋体" w:cs="Times New Roman"/>
                <w:color w:val="auto"/>
                <w:sz w:val="24"/>
                <w:szCs w:val="32"/>
                <w:highlight w:val="none"/>
                <w:lang w:val="en-US" w:eastAsia="zh-CN"/>
              </w:rPr>
            </w:pPr>
            <w:r>
              <w:rPr>
                <w:rFonts w:hint="default" w:ascii="Times New Roman" w:hAnsi="Times New Roman" w:cs="Times New Roman"/>
                <w:color w:val="auto"/>
                <w:sz w:val="24"/>
                <w:szCs w:val="32"/>
                <w:highlight w:val="none"/>
              </w:rPr>
              <w:t>切割钢材</w:t>
            </w:r>
            <w:r>
              <w:rPr>
                <w:rFonts w:hint="eastAsia" w:ascii="Times New Roman" w:hAnsi="Times New Roman" w:cs="Times New Roman"/>
                <w:color w:val="auto"/>
                <w:sz w:val="24"/>
                <w:szCs w:val="32"/>
                <w:highlight w:val="none"/>
                <w:lang w:val="en-US" w:eastAsia="zh-CN"/>
              </w:rPr>
              <w:t>产生的</w:t>
            </w:r>
            <w:r>
              <w:rPr>
                <w:rFonts w:hint="default" w:ascii="Times New Roman" w:hAnsi="Times New Roman" w:cs="Times New Roman"/>
                <w:color w:val="auto"/>
                <w:sz w:val="24"/>
                <w:szCs w:val="32"/>
                <w:highlight w:val="none"/>
              </w:rPr>
              <w:t>颗粒</w:t>
            </w:r>
            <w:r>
              <w:rPr>
                <w:rFonts w:hint="default" w:ascii="Times New Roman" w:hAnsi="Times New Roman" w:cs="Times New Roman"/>
                <w:color w:val="auto"/>
                <w:sz w:val="24"/>
                <w:szCs w:val="24"/>
                <w:highlight w:val="none"/>
              </w:rPr>
              <w:t>物</w:t>
            </w:r>
            <w:r>
              <w:rPr>
                <w:rFonts w:hint="eastAsia" w:cs="Times New Roman"/>
                <w:color w:val="auto"/>
                <w:sz w:val="24"/>
                <w:szCs w:val="32"/>
                <w:highlight w:val="none"/>
                <w:lang w:val="en-US" w:eastAsia="zh-CN"/>
              </w:rPr>
              <w:t>经袋式除尘器</w:t>
            </w:r>
            <w:r>
              <w:rPr>
                <w:rFonts w:hint="default" w:ascii="Times New Roman" w:hAnsi="Times New Roman" w:cs="Times New Roman"/>
                <w:color w:val="auto"/>
                <w:sz w:val="24"/>
                <w:szCs w:val="32"/>
                <w:highlight w:val="none"/>
              </w:rPr>
              <w:t>处理后通过1根经15米高排气筒（DA00</w:t>
            </w:r>
            <w:r>
              <w:rPr>
                <w:rFonts w:hint="eastAsia" w:cs="Times New Roman"/>
                <w:color w:val="auto"/>
                <w:sz w:val="24"/>
                <w:szCs w:val="32"/>
                <w:highlight w:val="none"/>
                <w:lang w:val="en-US" w:eastAsia="zh-CN"/>
              </w:rPr>
              <w:t>1</w:t>
            </w:r>
            <w:r>
              <w:rPr>
                <w:rFonts w:hint="default" w:ascii="Times New Roman" w:hAnsi="Times New Roman" w:cs="Times New Roman"/>
                <w:color w:val="auto"/>
                <w:sz w:val="24"/>
                <w:szCs w:val="32"/>
                <w:highlight w:val="none"/>
              </w:rPr>
              <w:t>）排放。</w:t>
            </w:r>
            <w:r>
              <w:rPr>
                <w:rFonts w:hint="default" w:ascii="Times New Roman" w:hAnsi="Times New Roman" w:cs="Times New Roman"/>
                <w:color w:val="auto"/>
                <w:sz w:val="24"/>
                <w:szCs w:val="24"/>
                <w:highlight w:val="none"/>
              </w:rPr>
              <w:t>产生量</w:t>
            </w:r>
            <w:r>
              <w:rPr>
                <w:rFonts w:hint="eastAsia" w:cs="Times New Roman"/>
                <w:color w:val="auto"/>
                <w:sz w:val="24"/>
                <w:szCs w:val="24"/>
                <w:highlight w:val="none"/>
                <w:lang w:val="en-US" w:eastAsia="zh-CN"/>
              </w:rPr>
              <w:t>1.73</w:t>
            </w:r>
            <w:r>
              <w:rPr>
                <w:rFonts w:hint="default" w:ascii="Times New Roman" w:hAnsi="Times New Roman" w:cs="Times New Roman"/>
                <w:color w:val="auto"/>
                <w:sz w:val="24"/>
                <w:szCs w:val="24"/>
                <w:highlight w:val="none"/>
              </w:rPr>
              <w:t>t/a，</w:t>
            </w:r>
            <w:r>
              <w:rPr>
                <w:rFonts w:hint="eastAsia" w:ascii="Times New Roman" w:hAnsi="Times New Roman" w:cs="Times New Roman"/>
                <w:color w:val="auto"/>
                <w:sz w:val="24"/>
                <w:szCs w:val="24"/>
                <w:highlight w:val="none"/>
                <w:lang w:val="en-US" w:eastAsia="zh-CN"/>
              </w:rPr>
              <w:t>年工作时长2400h，则DA001除尘器</w:t>
            </w:r>
            <w:r>
              <w:rPr>
                <w:rFonts w:hint="eastAsia" w:ascii="Times New Roman" w:hAnsi="Times New Roman" w:cs="Times New Roman"/>
                <w:color w:val="auto"/>
                <w:sz w:val="24"/>
                <w:szCs w:val="32"/>
                <w:highlight w:val="none"/>
                <w:lang w:val="en-US" w:eastAsia="zh-CN"/>
              </w:rPr>
              <w:t>处理效率为“0”的情况下排放</w:t>
            </w:r>
            <w:r>
              <w:rPr>
                <w:rFonts w:hint="default" w:ascii="Times New Roman" w:hAnsi="Times New Roman" w:cs="Times New Roman"/>
                <w:color w:val="auto"/>
                <w:sz w:val="24"/>
                <w:szCs w:val="24"/>
                <w:highlight w:val="none"/>
              </w:rPr>
              <w:t>速率</w:t>
            </w:r>
            <w:r>
              <w:rPr>
                <w:rFonts w:hint="eastAsia" w:ascii="Times New Roman" w:hAnsi="Times New Roman" w:cs="Times New Roman"/>
                <w:color w:val="auto"/>
                <w:sz w:val="24"/>
                <w:szCs w:val="24"/>
                <w:highlight w:val="none"/>
                <w:lang w:eastAsia="zh-CN"/>
              </w:rPr>
              <w:t>：</w:t>
            </w:r>
            <w:r>
              <w:rPr>
                <w:rFonts w:hint="eastAsia" w:cs="Times New Roman"/>
                <w:color w:val="auto"/>
                <w:sz w:val="24"/>
                <w:szCs w:val="24"/>
                <w:highlight w:val="none"/>
                <w:lang w:val="en-US" w:eastAsia="zh-CN"/>
              </w:rPr>
              <w:t>0.722</w:t>
            </w:r>
            <w:r>
              <w:rPr>
                <w:rFonts w:hint="default" w:ascii="Times New Roman" w:hAnsi="Times New Roman" w:cs="Times New Roman"/>
                <w:color w:val="auto"/>
                <w:sz w:val="24"/>
                <w:szCs w:val="24"/>
                <w:highlight w:val="none"/>
              </w:rPr>
              <w:t>kg/h。</w:t>
            </w:r>
            <w:r>
              <w:rPr>
                <w:rFonts w:hint="eastAsia" w:ascii="Times New Roman" w:hAnsi="Times New Roman" w:cs="Times New Roman"/>
                <w:color w:val="auto"/>
                <w:sz w:val="24"/>
                <w:szCs w:val="32"/>
                <w:highlight w:val="none"/>
                <w:lang w:val="en-US" w:eastAsia="zh-CN"/>
              </w:rPr>
              <w:t>排放</w:t>
            </w:r>
            <w:r>
              <w:rPr>
                <w:rFonts w:hint="eastAsia" w:ascii="Times New Roman" w:hAnsi="Times New Roman" w:cs="Times New Roman"/>
                <w:color w:val="auto"/>
                <w:sz w:val="24"/>
                <w:szCs w:val="24"/>
                <w:highlight w:val="none"/>
                <w:lang w:val="en-US" w:eastAsia="zh-CN"/>
              </w:rPr>
              <w:t>浓度</w:t>
            </w:r>
            <w:r>
              <w:rPr>
                <w:rFonts w:hint="eastAsia" w:cs="Times New Roman"/>
                <w:color w:val="auto"/>
                <w:sz w:val="24"/>
                <w:szCs w:val="24"/>
                <w:highlight w:val="none"/>
                <w:lang w:val="en-US" w:eastAsia="zh-CN"/>
              </w:rPr>
              <w:t>144.4</w:t>
            </w:r>
            <w:r>
              <w:rPr>
                <w:rFonts w:hint="default" w:ascii="Times New Roman" w:hAnsi="Times New Roman" w:cs="Times New Roman"/>
                <w:b w:val="0"/>
                <w:bCs w:val="0"/>
                <w:color w:val="auto"/>
                <w:sz w:val="24"/>
                <w:szCs w:val="24"/>
                <w:highlight w:val="none"/>
              </w:rPr>
              <w:t>mg/m³</w:t>
            </w:r>
            <w:r>
              <w:rPr>
                <w:rFonts w:hint="eastAsia" w:ascii="Times New Roman" w:hAnsi="Times New Roman" w:cs="Times New Roman"/>
                <w:b w:val="0"/>
                <w:bCs w:val="0"/>
                <w:color w:val="auto"/>
                <w:sz w:val="24"/>
                <w:szCs w:val="24"/>
                <w:highlight w:val="none"/>
                <w:lang w:eastAsia="zh-CN"/>
              </w:rPr>
              <w:t>。</w:t>
            </w:r>
          </w:p>
          <w:p w14:paraId="1798A472">
            <w:pPr>
              <w:widowControl/>
              <w:spacing w:line="360" w:lineRule="auto"/>
              <w:ind w:firstLine="480" w:firstLineChars="200"/>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抛丸粉尘</w:t>
            </w:r>
            <w:r>
              <w:rPr>
                <w:rFonts w:hint="eastAsia" w:cs="Times New Roman"/>
                <w:color w:val="auto"/>
                <w:sz w:val="24"/>
                <w:szCs w:val="32"/>
                <w:highlight w:val="none"/>
                <w:lang w:val="en-US" w:eastAsia="zh-CN"/>
              </w:rPr>
              <w:t>经袋式除尘器</w:t>
            </w:r>
            <w:r>
              <w:rPr>
                <w:rFonts w:hint="default" w:ascii="Times New Roman" w:hAnsi="Times New Roman" w:cs="Times New Roman"/>
                <w:color w:val="auto"/>
                <w:sz w:val="24"/>
                <w:szCs w:val="32"/>
                <w:highlight w:val="none"/>
              </w:rPr>
              <w:t>处理后通过1根经15米高排气筒（DA002）排放。需要抛丸处理的钢材为</w:t>
            </w:r>
            <w:r>
              <w:rPr>
                <w:rFonts w:hint="eastAsia" w:cs="Times New Roman"/>
                <w:color w:val="auto"/>
                <w:sz w:val="24"/>
                <w:szCs w:val="32"/>
                <w:highlight w:val="none"/>
                <w:lang w:val="en-US" w:eastAsia="zh-CN"/>
              </w:rPr>
              <w:t>2175t</w:t>
            </w:r>
            <w:r>
              <w:rPr>
                <w:rFonts w:hint="default" w:ascii="Times New Roman" w:hAnsi="Times New Roman" w:cs="Times New Roman"/>
                <w:color w:val="auto"/>
                <w:sz w:val="24"/>
                <w:szCs w:val="32"/>
                <w:highlight w:val="none"/>
              </w:rPr>
              <w:t>/a，有效工作时间按2400h计，</w:t>
            </w:r>
            <w:r>
              <w:rPr>
                <w:rFonts w:hint="eastAsia" w:ascii="Times New Roman" w:hAnsi="Times New Roman" w:cs="Times New Roman"/>
                <w:color w:val="auto"/>
                <w:sz w:val="24"/>
                <w:szCs w:val="24"/>
                <w:highlight w:val="none"/>
                <w:lang w:val="en-US" w:eastAsia="zh-CN"/>
              </w:rPr>
              <w:t>除尘器</w:t>
            </w:r>
            <w:r>
              <w:rPr>
                <w:rFonts w:hint="eastAsia" w:ascii="Times New Roman" w:hAnsi="Times New Roman" w:cs="Times New Roman"/>
                <w:color w:val="auto"/>
                <w:sz w:val="24"/>
                <w:szCs w:val="32"/>
                <w:highlight w:val="none"/>
                <w:lang w:val="en-US" w:eastAsia="zh-CN"/>
              </w:rPr>
              <w:t>处理效率为“0”的情况下</w:t>
            </w:r>
            <w:r>
              <w:rPr>
                <w:rFonts w:hint="default" w:ascii="Times New Roman" w:hAnsi="Times New Roman" w:cs="Times New Roman"/>
                <w:color w:val="auto"/>
                <w:sz w:val="24"/>
                <w:szCs w:val="32"/>
                <w:highlight w:val="none"/>
              </w:rPr>
              <w:t>则粉尘</w:t>
            </w:r>
            <w:r>
              <w:rPr>
                <w:rFonts w:hint="eastAsia" w:ascii="Times New Roman" w:hAnsi="Times New Roman" w:cs="Times New Roman"/>
                <w:color w:val="auto"/>
                <w:sz w:val="24"/>
                <w:szCs w:val="32"/>
                <w:highlight w:val="none"/>
                <w:lang w:val="en-US" w:eastAsia="zh-CN"/>
              </w:rPr>
              <w:t>排放</w:t>
            </w:r>
            <w:r>
              <w:rPr>
                <w:rFonts w:hint="default" w:ascii="Times New Roman" w:hAnsi="Times New Roman" w:cs="Times New Roman"/>
                <w:color w:val="auto"/>
                <w:sz w:val="24"/>
                <w:szCs w:val="32"/>
                <w:highlight w:val="none"/>
              </w:rPr>
              <w:t>量</w:t>
            </w:r>
            <w:r>
              <w:rPr>
                <w:rFonts w:hint="eastAsia" w:ascii="Times New Roman" w:hAnsi="Times New Roman" w:cs="Times New Roman"/>
                <w:color w:val="auto"/>
                <w:sz w:val="24"/>
                <w:szCs w:val="32"/>
                <w:highlight w:val="none"/>
                <w:lang w:eastAsia="zh-CN"/>
              </w:rPr>
              <w:t>：</w:t>
            </w:r>
            <w:r>
              <w:rPr>
                <w:rFonts w:hint="eastAsia" w:cs="Times New Roman"/>
                <w:color w:val="auto"/>
                <w:sz w:val="24"/>
                <w:szCs w:val="32"/>
                <w:highlight w:val="none"/>
                <w:lang w:val="en-US" w:eastAsia="zh-CN"/>
              </w:rPr>
              <w:t>4.76</w:t>
            </w:r>
            <w:r>
              <w:rPr>
                <w:rFonts w:hint="default" w:ascii="Times New Roman" w:hAnsi="Times New Roman" w:cs="Times New Roman"/>
                <w:color w:val="auto"/>
                <w:sz w:val="24"/>
                <w:szCs w:val="32"/>
                <w:highlight w:val="none"/>
              </w:rPr>
              <w:t>t/a，</w:t>
            </w:r>
            <w:r>
              <w:rPr>
                <w:rFonts w:hint="eastAsia" w:ascii="Times New Roman" w:hAnsi="Times New Roman" w:cs="Times New Roman"/>
                <w:color w:val="auto"/>
                <w:sz w:val="24"/>
                <w:szCs w:val="32"/>
                <w:highlight w:val="none"/>
                <w:lang w:val="en-US" w:eastAsia="zh-CN"/>
              </w:rPr>
              <w:t>排放</w:t>
            </w:r>
            <w:r>
              <w:rPr>
                <w:rFonts w:hint="default" w:ascii="Times New Roman" w:hAnsi="Times New Roman" w:cs="Times New Roman"/>
                <w:color w:val="auto"/>
                <w:sz w:val="24"/>
                <w:szCs w:val="32"/>
                <w:highlight w:val="none"/>
              </w:rPr>
              <w:t>速率为1.</w:t>
            </w:r>
            <w:r>
              <w:rPr>
                <w:rFonts w:hint="eastAsia" w:cs="Times New Roman"/>
                <w:color w:val="auto"/>
                <w:sz w:val="24"/>
                <w:szCs w:val="32"/>
                <w:highlight w:val="none"/>
                <w:lang w:val="en-US" w:eastAsia="zh-CN"/>
              </w:rPr>
              <w:t>98</w:t>
            </w:r>
            <w:r>
              <w:rPr>
                <w:rFonts w:hint="default" w:ascii="Times New Roman" w:hAnsi="Times New Roman" w:cs="Times New Roman"/>
                <w:color w:val="auto"/>
                <w:sz w:val="24"/>
                <w:szCs w:val="32"/>
                <w:highlight w:val="none"/>
              </w:rPr>
              <w:t>kg/h，</w:t>
            </w:r>
            <w:r>
              <w:rPr>
                <w:rFonts w:hint="eastAsia" w:ascii="Times New Roman" w:hAnsi="Times New Roman" w:cs="Times New Roman"/>
                <w:color w:val="auto"/>
                <w:sz w:val="24"/>
                <w:szCs w:val="32"/>
                <w:highlight w:val="none"/>
                <w:lang w:val="en-US" w:eastAsia="zh-CN"/>
              </w:rPr>
              <w:t>排放</w:t>
            </w:r>
            <w:r>
              <w:rPr>
                <w:rFonts w:hint="default" w:ascii="Times New Roman" w:hAnsi="Times New Roman" w:cs="Times New Roman"/>
                <w:color w:val="auto"/>
                <w:sz w:val="24"/>
                <w:szCs w:val="32"/>
                <w:highlight w:val="none"/>
              </w:rPr>
              <w:t>浓度为</w:t>
            </w:r>
            <w:r>
              <w:rPr>
                <w:rFonts w:hint="eastAsia" w:cs="Times New Roman"/>
                <w:color w:val="auto"/>
                <w:sz w:val="24"/>
                <w:szCs w:val="32"/>
                <w:highlight w:val="none"/>
                <w:lang w:val="en-US" w:eastAsia="zh-CN"/>
              </w:rPr>
              <w:t>396</w:t>
            </w:r>
            <w:r>
              <w:rPr>
                <w:rFonts w:hint="default" w:ascii="Times New Roman" w:hAnsi="Times New Roman" w:cs="Times New Roman"/>
                <w:color w:val="auto"/>
                <w:sz w:val="24"/>
                <w:szCs w:val="32"/>
                <w:highlight w:val="none"/>
              </w:rPr>
              <w:t>mg/m</w:t>
            </w:r>
            <w:r>
              <w:rPr>
                <w:rFonts w:hint="default" w:ascii="Times New Roman" w:hAnsi="Times New Roman" w:cs="Times New Roman"/>
                <w:color w:val="auto"/>
                <w:sz w:val="24"/>
                <w:szCs w:val="32"/>
                <w:highlight w:val="none"/>
                <w:vertAlign w:val="superscript"/>
              </w:rPr>
              <w:t>3</w:t>
            </w:r>
            <w:r>
              <w:rPr>
                <w:rFonts w:hint="default" w:ascii="Times New Roman" w:hAnsi="Times New Roman" w:cs="Times New Roman"/>
                <w:color w:val="auto"/>
                <w:sz w:val="24"/>
                <w:szCs w:val="32"/>
                <w:highlight w:val="none"/>
              </w:rPr>
              <w:t>。</w:t>
            </w:r>
          </w:p>
          <w:p w14:paraId="615B8593">
            <w:pPr>
              <w:widowControl/>
              <w:spacing w:line="360" w:lineRule="auto"/>
              <w:ind w:firstLine="480" w:firstLineChars="200"/>
              <w:rPr>
                <w:rFonts w:hint="eastAsia" w:ascii="Times New Roman" w:hAnsi="Times New Roman" w:eastAsia="宋体" w:cs="Times New Roman"/>
                <w:color w:val="auto"/>
                <w:sz w:val="24"/>
                <w:szCs w:val="32"/>
                <w:highlight w:val="none"/>
                <w:lang w:val="en-US" w:eastAsia="zh-CN"/>
              </w:rPr>
            </w:pPr>
            <w:r>
              <w:rPr>
                <w:rFonts w:hint="eastAsia" w:cs="Times New Roman"/>
                <w:color w:val="auto"/>
                <w:sz w:val="24"/>
                <w:szCs w:val="32"/>
                <w:highlight w:val="none"/>
                <w:lang w:val="en-US" w:eastAsia="zh-CN"/>
              </w:rPr>
              <w:t>喷塑及烘干过程中产生的颗粒物经袋式除尘器处理后</w:t>
            </w:r>
            <w:r>
              <w:rPr>
                <w:rFonts w:hint="default" w:ascii="Times New Roman" w:hAnsi="Times New Roman" w:cs="Times New Roman"/>
                <w:color w:val="auto"/>
                <w:sz w:val="24"/>
                <w:szCs w:val="32"/>
                <w:highlight w:val="none"/>
              </w:rPr>
              <w:t>经15米高排气筒（DA00</w:t>
            </w:r>
            <w:r>
              <w:rPr>
                <w:rFonts w:hint="eastAsia" w:cs="Times New Roman"/>
                <w:color w:val="auto"/>
                <w:sz w:val="24"/>
                <w:szCs w:val="32"/>
                <w:highlight w:val="none"/>
                <w:lang w:val="en-US" w:eastAsia="zh-CN"/>
              </w:rPr>
              <w:t>3</w:t>
            </w:r>
            <w:r>
              <w:rPr>
                <w:rFonts w:hint="default" w:ascii="Times New Roman" w:hAnsi="Times New Roman" w:cs="Times New Roman"/>
                <w:color w:val="auto"/>
                <w:sz w:val="24"/>
                <w:szCs w:val="32"/>
                <w:highlight w:val="none"/>
              </w:rPr>
              <w:t>）排放</w:t>
            </w:r>
            <w:r>
              <w:rPr>
                <w:rFonts w:hint="eastAsia" w:cs="Times New Roman"/>
                <w:color w:val="auto"/>
                <w:sz w:val="24"/>
                <w:szCs w:val="32"/>
                <w:highlight w:val="none"/>
                <w:lang w:eastAsia="zh-CN"/>
              </w:rPr>
              <w:t>，</w:t>
            </w:r>
            <w:r>
              <w:rPr>
                <w:rFonts w:hint="eastAsia" w:cs="Times New Roman"/>
                <w:color w:val="auto"/>
                <w:sz w:val="24"/>
                <w:szCs w:val="32"/>
                <w:highlight w:val="none"/>
                <w:lang w:val="en-US" w:eastAsia="zh-CN"/>
              </w:rPr>
              <w:t>产生的非甲烷总烃经“活性炭吸附+催化燃烧”后</w:t>
            </w:r>
            <w:r>
              <w:rPr>
                <w:rFonts w:hint="default" w:ascii="Times New Roman" w:hAnsi="Times New Roman" w:cs="Times New Roman"/>
                <w:color w:val="auto"/>
                <w:sz w:val="24"/>
                <w:szCs w:val="32"/>
                <w:highlight w:val="none"/>
              </w:rPr>
              <w:t>经15米高排气筒（DA00</w:t>
            </w:r>
            <w:r>
              <w:rPr>
                <w:rFonts w:hint="eastAsia" w:cs="Times New Roman"/>
                <w:color w:val="auto"/>
                <w:sz w:val="24"/>
                <w:szCs w:val="32"/>
                <w:highlight w:val="none"/>
                <w:lang w:val="en-US" w:eastAsia="zh-CN"/>
              </w:rPr>
              <w:t>3</w:t>
            </w:r>
            <w:r>
              <w:rPr>
                <w:rFonts w:hint="default" w:ascii="Times New Roman" w:hAnsi="Times New Roman" w:cs="Times New Roman"/>
                <w:color w:val="auto"/>
                <w:sz w:val="24"/>
                <w:szCs w:val="32"/>
                <w:highlight w:val="none"/>
              </w:rPr>
              <w:t>）排放</w:t>
            </w:r>
            <w:r>
              <w:rPr>
                <w:rFonts w:hint="eastAsia" w:cs="Times New Roman"/>
                <w:color w:val="auto"/>
                <w:sz w:val="24"/>
                <w:szCs w:val="32"/>
                <w:highlight w:val="none"/>
                <w:lang w:eastAsia="zh-CN"/>
              </w:rPr>
              <w:t>。</w:t>
            </w:r>
            <w:r>
              <w:rPr>
                <w:rFonts w:hint="eastAsia" w:ascii="Times New Roman" w:hAnsi="Times New Roman" w:cs="Times New Roman"/>
                <w:color w:val="auto"/>
                <w:sz w:val="24"/>
                <w:szCs w:val="24"/>
                <w:highlight w:val="none"/>
                <w:lang w:val="en-US" w:eastAsia="zh-CN"/>
              </w:rPr>
              <w:t>除尘器</w:t>
            </w:r>
            <w:r>
              <w:rPr>
                <w:rFonts w:hint="eastAsia" w:ascii="Times New Roman" w:hAnsi="Times New Roman" w:cs="Times New Roman"/>
                <w:color w:val="auto"/>
                <w:sz w:val="24"/>
                <w:szCs w:val="32"/>
                <w:highlight w:val="none"/>
                <w:lang w:val="en-US" w:eastAsia="zh-CN"/>
              </w:rPr>
              <w:t>处理效率为“0”的情况下</w:t>
            </w:r>
            <w:r>
              <w:rPr>
                <w:rFonts w:hint="default" w:ascii="Times New Roman" w:hAnsi="Times New Roman" w:cs="Times New Roman"/>
                <w:color w:val="auto"/>
                <w:sz w:val="24"/>
                <w:szCs w:val="32"/>
                <w:highlight w:val="none"/>
              </w:rPr>
              <w:t>则粉尘</w:t>
            </w:r>
            <w:r>
              <w:rPr>
                <w:rFonts w:hint="eastAsia" w:ascii="Times New Roman" w:hAnsi="Times New Roman" w:cs="Times New Roman"/>
                <w:color w:val="auto"/>
                <w:sz w:val="24"/>
                <w:szCs w:val="32"/>
                <w:highlight w:val="none"/>
                <w:lang w:val="en-US" w:eastAsia="zh-CN"/>
              </w:rPr>
              <w:t>排放</w:t>
            </w:r>
            <w:r>
              <w:rPr>
                <w:rFonts w:hint="default" w:ascii="Times New Roman" w:hAnsi="Times New Roman" w:cs="Times New Roman"/>
                <w:color w:val="auto"/>
                <w:sz w:val="24"/>
                <w:szCs w:val="32"/>
                <w:highlight w:val="none"/>
              </w:rPr>
              <w:t>量</w:t>
            </w:r>
            <w:r>
              <w:rPr>
                <w:rFonts w:hint="eastAsia" w:ascii="Times New Roman" w:hAnsi="Times New Roman" w:cs="Times New Roman"/>
                <w:color w:val="auto"/>
                <w:sz w:val="24"/>
                <w:szCs w:val="32"/>
                <w:highlight w:val="none"/>
                <w:lang w:eastAsia="zh-CN"/>
              </w:rPr>
              <w:t>：</w:t>
            </w:r>
            <w:r>
              <w:rPr>
                <w:rFonts w:hint="eastAsia" w:cs="Times New Roman"/>
                <w:color w:val="auto"/>
                <w:sz w:val="24"/>
                <w:szCs w:val="32"/>
                <w:highlight w:val="none"/>
                <w:lang w:val="en-US" w:eastAsia="zh-CN"/>
              </w:rPr>
              <w:t>21</w:t>
            </w:r>
            <w:r>
              <w:rPr>
                <w:rFonts w:hint="default" w:ascii="Times New Roman" w:hAnsi="Times New Roman" w:cs="Times New Roman"/>
                <w:color w:val="auto"/>
                <w:sz w:val="24"/>
                <w:szCs w:val="32"/>
                <w:highlight w:val="none"/>
              </w:rPr>
              <w:t>t/a，</w:t>
            </w:r>
            <w:r>
              <w:rPr>
                <w:rFonts w:hint="eastAsia" w:ascii="Times New Roman" w:hAnsi="Times New Roman" w:cs="Times New Roman"/>
                <w:color w:val="auto"/>
                <w:sz w:val="24"/>
                <w:szCs w:val="32"/>
                <w:highlight w:val="none"/>
                <w:lang w:val="en-US" w:eastAsia="zh-CN"/>
              </w:rPr>
              <w:t>排放</w:t>
            </w:r>
            <w:r>
              <w:rPr>
                <w:rFonts w:hint="default" w:ascii="Times New Roman" w:hAnsi="Times New Roman" w:cs="Times New Roman"/>
                <w:color w:val="auto"/>
                <w:sz w:val="24"/>
                <w:szCs w:val="32"/>
                <w:highlight w:val="none"/>
              </w:rPr>
              <w:t>速率为</w:t>
            </w:r>
            <w:r>
              <w:rPr>
                <w:rFonts w:hint="eastAsia" w:cs="Times New Roman"/>
                <w:color w:val="auto"/>
                <w:sz w:val="24"/>
                <w:szCs w:val="32"/>
                <w:highlight w:val="none"/>
                <w:lang w:val="en-US" w:eastAsia="zh-CN"/>
              </w:rPr>
              <w:t>13.12</w:t>
            </w:r>
            <w:r>
              <w:rPr>
                <w:rFonts w:hint="default" w:ascii="Times New Roman" w:hAnsi="Times New Roman" w:cs="Times New Roman"/>
                <w:color w:val="auto"/>
                <w:sz w:val="24"/>
                <w:szCs w:val="32"/>
                <w:highlight w:val="none"/>
              </w:rPr>
              <w:t>kg/h，</w:t>
            </w:r>
            <w:r>
              <w:rPr>
                <w:rFonts w:hint="eastAsia" w:ascii="Times New Roman" w:hAnsi="Times New Roman" w:cs="Times New Roman"/>
                <w:color w:val="auto"/>
                <w:sz w:val="24"/>
                <w:szCs w:val="32"/>
                <w:highlight w:val="none"/>
                <w:lang w:val="en-US" w:eastAsia="zh-CN"/>
              </w:rPr>
              <w:t>排放</w:t>
            </w:r>
            <w:r>
              <w:rPr>
                <w:rFonts w:hint="default" w:ascii="Times New Roman" w:hAnsi="Times New Roman" w:cs="Times New Roman"/>
                <w:color w:val="auto"/>
                <w:sz w:val="24"/>
                <w:szCs w:val="32"/>
                <w:highlight w:val="none"/>
              </w:rPr>
              <w:t>浓度为</w:t>
            </w:r>
            <w:r>
              <w:rPr>
                <w:rFonts w:hint="eastAsia" w:cs="Times New Roman"/>
                <w:color w:val="auto"/>
                <w:sz w:val="24"/>
                <w:szCs w:val="32"/>
                <w:highlight w:val="none"/>
                <w:lang w:val="en-US" w:eastAsia="zh-CN"/>
              </w:rPr>
              <w:t>1312</w:t>
            </w:r>
            <w:r>
              <w:rPr>
                <w:rFonts w:hint="default" w:ascii="Times New Roman" w:hAnsi="Times New Roman" w:cs="Times New Roman"/>
                <w:color w:val="auto"/>
                <w:sz w:val="24"/>
                <w:szCs w:val="32"/>
                <w:highlight w:val="none"/>
              </w:rPr>
              <w:t>mg/m</w:t>
            </w:r>
            <w:r>
              <w:rPr>
                <w:rFonts w:hint="default" w:ascii="Times New Roman" w:hAnsi="Times New Roman" w:cs="Times New Roman"/>
                <w:color w:val="auto"/>
                <w:sz w:val="24"/>
                <w:szCs w:val="32"/>
                <w:highlight w:val="none"/>
                <w:vertAlign w:val="superscript"/>
              </w:rPr>
              <w:t>3</w:t>
            </w:r>
            <w:r>
              <w:rPr>
                <w:rFonts w:hint="default" w:ascii="Times New Roman" w:hAnsi="Times New Roman" w:cs="Times New Roman"/>
                <w:color w:val="auto"/>
                <w:sz w:val="24"/>
                <w:szCs w:val="32"/>
                <w:highlight w:val="none"/>
              </w:rPr>
              <w:t>。</w:t>
            </w:r>
            <w:r>
              <w:rPr>
                <w:rFonts w:hint="eastAsia" w:cs="Times New Roman"/>
                <w:color w:val="auto"/>
                <w:sz w:val="24"/>
                <w:szCs w:val="24"/>
                <w:highlight w:val="none"/>
                <w:lang w:val="en-US" w:eastAsia="zh-CN"/>
              </w:rPr>
              <w:t>活性炭及催化燃烧装置失效</w:t>
            </w:r>
            <w:r>
              <w:rPr>
                <w:rFonts w:hint="eastAsia" w:ascii="Times New Roman" w:hAnsi="Times New Roman" w:cs="Times New Roman"/>
                <w:color w:val="auto"/>
                <w:sz w:val="24"/>
                <w:szCs w:val="32"/>
                <w:highlight w:val="none"/>
                <w:lang w:val="en-US" w:eastAsia="zh-CN"/>
              </w:rPr>
              <w:t>的情况下</w:t>
            </w:r>
            <w:r>
              <w:rPr>
                <w:rFonts w:hint="default" w:ascii="Times New Roman" w:hAnsi="Times New Roman" w:cs="Times New Roman"/>
                <w:color w:val="auto"/>
                <w:sz w:val="24"/>
                <w:szCs w:val="32"/>
                <w:highlight w:val="none"/>
              </w:rPr>
              <w:t>则</w:t>
            </w:r>
            <w:r>
              <w:rPr>
                <w:rFonts w:hint="eastAsia" w:cs="Times New Roman"/>
                <w:color w:val="auto"/>
                <w:sz w:val="24"/>
                <w:szCs w:val="32"/>
                <w:highlight w:val="none"/>
                <w:lang w:val="en-US" w:eastAsia="zh-CN"/>
              </w:rPr>
              <w:t>非甲烷总烃</w:t>
            </w:r>
            <w:r>
              <w:rPr>
                <w:rFonts w:hint="eastAsia" w:ascii="Times New Roman" w:hAnsi="Times New Roman" w:cs="Times New Roman"/>
                <w:color w:val="auto"/>
                <w:sz w:val="24"/>
                <w:szCs w:val="32"/>
                <w:highlight w:val="none"/>
                <w:lang w:val="en-US" w:eastAsia="zh-CN"/>
              </w:rPr>
              <w:t>排放</w:t>
            </w:r>
            <w:r>
              <w:rPr>
                <w:rFonts w:hint="default" w:ascii="Times New Roman" w:hAnsi="Times New Roman" w:cs="Times New Roman"/>
                <w:color w:val="auto"/>
                <w:sz w:val="24"/>
                <w:szCs w:val="32"/>
                <w:highlight w:val="none"/>
              </w:rPr>
              <w:t>量</w:t>
            </w:r>
            <w:r>
              <w:rPr>
                <w:rFonts w:hint="eastAsia" w:ascii="Times New Roman" w:hAnsi="Times New Roman" w:cs="Times New Roman"/>
                <w:color w:val="auto"/>
                <w:sz w:val="24"/>
                <w:szCs w:val="32"/>
                <w:highlight w:val="none"/>
                <w:lang w:eastAsia="zh-CN"/>
              </w:rPr>
              <w:t>：</w:t>
            </w:r>
            <w:r>
              <w:rPr>
                <w:rFonts w:hint="eastAsia" w:cs="Times New Roman"/>
                <w:color w:val="auto"/>
                <w:sz w:val="24"/>
                <w:szCs w:val="32"/>
                <w:highlight w:val="none"/>
                <w:lang w:val="en-US" w:eastAsia="zh-CN"/>
              </w:rPr>
              <w:t>0.084</w:t>
            </w:r>
            <w:r>
              <w:rPr>
                <w:rFonts w:hint="default" w:ascii="Times New Roman" w:hAnsi="Times New Roman" w:cs="Times New Roman"/>
                <w:color w:val="auto"/>
                <w:sz w:val="24"/>
                <w:szCs w:val="32"/>
                <w:highlight w:val="none"/>
              </w:rPr>
              <w:t>t/a，</w:t>
            </w:r>
            <w:r>
              <w:rPr>
                <w:rFonts w:hint="eastAsia" w:ascii="Times New Roman" w:hAnsi="Times New Roman" w:cs="Times New Roman"/>
                <w:color w:val="auto"/>
                <w:sz w:val="24"/>
                <w:szCs w:val="32"/>
                <w:highlight w:val="none"/>
                <w:lang w:val="en-US" w:eastAsia="zh-CN"/>
              </w:rPr>
              <w:t>排放</w:t>
            </w:r>
            <w:r>
              <w:rPr>
                <w:rFonts w:hint="default" w:ascii="Times New Roman" w:hAnsi="Times New Roman" w:cs="Times New Roman"/>
                <w:color w:val="auto"/>
                <w:sz w:val="24"/>
                <w:szCs w:val="32"/>
                <w:highlight w:val="none"/>
              </w:rPr>
              <w:t>速率为</w:t>
            </w:r>
            <w:r>
              <w:rPr>
                <w:rFonts w:hint="eastAsia" w:cs="Times New Roman"/>
                <w:color w:val="auto"/>
                <w:sz w:val="24"/>
                <w:szCs w:val="32"/>
                <w:highlight w:val="none"/>
                <w:lang w:val="en-US" w:eastAsia="zh-CN"/>
              </w:rPr>
              <w:t>0.105</w:t>
            </w:r>
            <w:r>
              <w:rPr>
                <w:rFonts w:hint="default" w:ascii="Times New Roman" w:hAnsi="Times New Roman" w:cs="Times New Roman"/>
                <w:color w:val="auto"/>
                <w:sz w:val="24"/>
                <w:szCs w:val="32"/>
                <w:highlight w:val="none"/>
              </w:rPr>
              <w:t>kg/h，</w:t>
            </w:r>
            <w:r>
              <w:rPr>
                <w:rFonts w:hint="eastAsia" w:ascii="Times New Roman" w:hAnsi="Times New Roman" w:cs="Times New Roman"/>
                <w:color w:val="auto"/>
                <w:sz w:val="24"/>
                <w:szCs w:val="32"/>
                <w:highlight w:val="none"/>
                <w:lang w:val="en-US" w:eastAsia="zh-CN"/>
              </w:rPr>
              <w:t>排放</w:t>
            </w:r>
            <w:r>
              <w:rPr>
                <w:rFonts w:hint="default" w:ascii="Times New Roman" w:hAnsi="Times New Roman" w:cs="Times New Roman"/>
                <w:color w:val="auto"/>
                <w:sz w:val="24"/>
                <w:szCs w:val="32"/>
                <w:highlight w:val="none"/>
              </w:rPr>
              <w:t>浓度为</w:t>
            </w:r>
            <w:r>
              <w:rPr>
                <w:rFonts w:hint="eastAsia" w:cs="Times New Roman"/>
                <w:color w:val="auto"/>
                <w:sz w:val="24"/>
                <w:szCs w:val="32"/>
                <w:highlight w:val="none"/>
                <w:lang w:val="en-US" w:eastAsia="zh-CN"/>
              </w:rPr>
              <w:t>21</w:t>
            </w:r>
            <w:r>
              <w:rPr>
                <w:rFonts w:hint="default" w:ascii="Times New Roman" w:hAnsi="Times New Roman" w:cs="Times New Roman"/>
                <w:color w:val="auto"/>
                <w:sz w:val="24"/>
                <w:szCs w:val="32"/>
                <w:highlight w:val="none"/>
              </w:rPr>
              <w:t>mg/m</w:t>
            </w:r>
            <w:r>
              <w:rPr>
                <w:rFonts w:hint="default" w:ascii="Times New Roman" w:hAnsi="Times New Roman" w:cs="Times New Roman"/>
                <w:color w:val="auto"/>
                <w:sz w:val="24"/>
                <w:szCs w:val="32"/>
                <w:highlight w:val="none"/>
                <w:vertAlign w:val="superscript"/>
              </w:rPr>
              <w:t>3</w:t>
            </w:r>
            <w:r>
              <w:rPr>
                <w:rFonts w:hint="default" w:ascii="Times New Roman" w:hAnsi="Times New Roman" w:cs="Times New Roman"/>
                <w:color w:val="auto"/>
                <w:sz w:val="24"/>
                <w:szCs w:val="32"/>
                <w:highlight w:val="none"/>
              </w:rPr>
              <w:t>。</w:t>
            </w:r>
          </w:p>
          <w:p w14:paraId="3E3E6A66">
            <w:pPr>
              <w:widowControl/>
              <w:spacing w:line="360" w:lineRule="auto"/>
              <w:ind w:firstLine="480" w:firstLineChars="200"/>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非正常工况废气污染物产生及排放情况详见表4-</w:t>
            </w:r>
            <w:r>
              <w:rPr>
                <w:rFonts w:hint="eastAsia" w:cs="Times New Roman"/>
                <w:color w:val="auto"/>
                <w:sz w:val="24"/>
                <w:szCs w:val="32"/>
                <w:highlight w:val="none"/>
                <w:lang w:val="en-US" w:eastAsia="zh-CN"/>
              </w:rPr>
              <w:t>7</w:t>
            </w:r>
            <w:r>
              <w:rPr>
                <w:rFonts w:hint="default" w:ascii="Times New Roman" w:hAnsi="Times New Roman" w:cs="Times New Roman"/>
                <w:color w:val="auto"/>
                <w:sz w:val="24"/>
                <w:szCs w:val="32"/>
                <w:highlight w:val="none"/>
              </w:rPr>
              <w:t>。</w:t>
            </w:r>
          </w:p>
          <w:p w14:paraId="6ED80A70">
            <w:pPr>
              <w:pStyle w:val="7"/>
              <w:keepNext w:val="0"/>
              <w:numPr>
                <w:ilvl w:val="2"/>
                <w:numId w:val="0"/>
              </w:numPr>
              <w:tabs>
                <w:tab w:val="left" w:pos="851"/>
              </w:tabs>
              <w:spacing w:before="0" w:beforeLines="0" w:after="0" w:afterLines="0" w:line="240" w:lineRule="auto"/>
              <w:jc w:val="center"/>
              <w:textAlignment w:val="bottom"/>
              <w:rPr>
                <w:rFonts w:hint="default" w:ascii="Times New Roman" w:hAnsi="Times New Roman" w:cs="Times New Roman"/>
                <w:b/>
                <w:bCs/>
                <w:color w:val="auto"/>
                <w:sz w:val="21"/>
                <w:szCs w:val="22"/>
                <w:highlight w:val="none"/>
              </w:rPr>
            </w:pPr>
            <w:r>
              <w:rPr>
                <w:rFonts w:hint="default" w:ascii="Times New Roman" w:hAnsi="Times New Roman" w:cs="Times New Roman"/>
                <w:b/>
                <w:bCs/>
                <w:color w:val="auto"/>
                <w:sz w:val="21"/>
                <w:szCs w:val="22"/>
                <w:highlight w:val="none"/>
              </w:rPr>
              <w:t>表4-</w:t>
            </w:r>
            <w:r>
              <w:rPr>
                <w:rFonts w:hint="eastAsia" w:cs="Times New Roman"/>
                <w:b/>
                <w:bCs/>
                <w:color w:val="auto"/>
                <w:sz w:val="21"/>
                <w:szCs w:val="22"/>
                <w:highlight w:val="none"/>
                <w:lang w:val="en-US" w:eastAsia="zh-CN"/>
              </w:rPr>
              <w:t>7</w:t>
            </w:r>
            <w:r>
              <w:rPr>
                <w:rFonts w:hint="default" w:ascii="Times New Roman" w:hAnsi="Times New Roman" w:cs="Times New Roman"/>
                <w:b/>
                <w:bCs/>
                <w:color w:val="auto"/>
                <w:sz w:val="21"/>
                <w:szCs w:val="22"/>
                <w:highlight w:val="none"/>
              </w:rPr>
              <w:t xml:space="preserve">   非正常工况废气污染物产生及排放情况</w:t>
            </w:r>
          </w:p>
          <w:tbl>
            <w:tblPr>
              <w:tblStyle w:val="26"/>
              <w:tblW w:w="4994"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2"/>
              <w:gridCol w:w="880"/>
              <w:gridCol w:w="968"/>
              <w:gridCol w:w="923"/>
              <w:gridCol w:w="838"/>
              <w:gridCol w:w="1633"/>
              <w:gridCol w:w="2148"/>
            </w:tblGrid>
            <w:tr w14:paraId="6732E5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39" w:type="pct"/>
                  <w:noWrap w:val="0"/>
                  <w:vAlign w:val="center"/>
                </w:tcPr>
                <w:p w14:paraId="1D12E0A7">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排放源</w:t>
                  </w:r>
                </w:p>
              </w:tc>
              <w:tc>
                <w:tcPr>
                  <w:tcW w:w="543" w:type="pct"/>
                  <w:noWrap w:val="0"/>
                  <w:vAlign w:val="center"/>
                </w:tcPr>
                <w:p w14:paraId="68E20D9E">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污染物</w:t>
                  </w:r>
                </w:p>
              </w:tc>
              <w:tc>
                <w:tcPr>
                  <w:tcW w:w="597" w:type="pct"/>
                  <w:noWrap w:val="0"/>
                  <w:vAlign w:val="center"/>
                </w:tcPr>
                <w:p w14:paraId="09778718">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排放速率kg/h</w:t>
                  </w:r>
                </w:p>
              </w:tc>
              <w:tc>
                <w:tcPr>
                  <w:tcW w:w="569" w:type="pct"/>
                  <w:noWrap w:val="0"/>
                  <w:vAlign w:val="center"/>
                </w:tcPr>
                <w:p w14:paraId="0C8C66F3">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排放浓度mg/m³</w:t>
                  </w:r>
                </w:p>
              </w:tc>
              <w:tc>
                <w:tcPr>
                  <w:tcW w:w="517" w:type="pct"/>
                  <w:noWrap w:val="0"/>
                  <w:vAlign w:val="center"/>
                </w:tcPr>
                <w:p w14:paraId="7C86D057">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持续</w:t>
                  </w:r>
                </w:p>
                <w:p w14:paraId="1227E06C">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时间</w:t>
                  </w:r>
                </w:p>
              </w:tc>
              <w:tc>
                <w:tcPr>
                  <w:tcW w:w="1007" w:type="pct"/>
                  <w:noWrap w:val="0"/>
                  <w:vAlign w:val="center"/>
                </w:tcPr>
                <w:p w14:paraId="416C8936">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非正常工况</w:t>
                  </w:r>
                </w:p>
              </w:tc>
              <w:tc>
                <w:tcPr>
                  <w:tcW w:w="1325" w:type="pct"/>
                  <w:noWrap w:val="0"/>
                  <w:vAlign w:val="center"/>
                </w:tcPr>
                <w:p w14:paraId="6CC856A3">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应对措施</w:t>
                  </w:r>
                </w:p>
              </w:tc>
            </w:tr>
            <w:tr w14:paraId="7D4C5D5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439" w:type="pct"/>
                  <w:noWrap w:val="0"/>
                  <w:vAlign w:val="center"/>
                </w:tcPr>
                <w:p w14:paraId="10BD6128">
                  <w:pPr>
                    <w:jc w:val="center"/>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除尘器</w:t>
                  </w:r>
                </w:p>
              </w:tc>
              <w:tc>
                <w:tcPr>
                  <w:tcW w:w="543" w:type="pct"/>
                  <w:noWrap w:val="0"/>
                  <w:vAlign w:val="center"/>
                </w:tcPr>
                <w:p w14:paraId="61C6F140">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颗粒物</w:t>
                  </w:r>
                </w:p>
              </w:tc>
              <w:tc>
                <w:tcPr>
                  <w:tcW w:w="597" w:type="pct"/>
                  <w:noWrap w:val="0"/>
                  <w:vAlign w:val="center"/>
                </w:tcPr>
                <w:p w14:paraId="493C784E">
                  <w:pPr>
                    <w:jc w:val="center"/>
                    <w:rPr>
                      <w:rFonts w:hint="default" w:ascii="Times New Roman" w:hAnsi="Times New Roman" w:eastAsia="宋体" w:cs="Times New Roman"/>
                      <w:color w:val="auto"/>
                      <w:szCs w:val="21"/>
                      <w:highlight w:val="none"/>
                      <w:lang w:val="en-US" w:eastAsia="zh-CN"/>
                    </w:rPr>
                  </w:pPr>
                  <w:r>
                    <w:rPr>
                      <w:rFonts w:hint="eastAsia" w:cs="Times New Roman"/>
                      <w:color w:val="auto"/>
                      <w:sz w:val="24"/>
                      <w:szCs w:val="32"/>
                      <w:highlight w:val="none"/>
                      <w:lang w:val="en-US" w:eastAsia="zh-CN"/>
                    </w:rPr>
                    <w:t>0.72</w:t>
                  </w:r>
                </w:p>
              </w:tc>
              <w:tc>
                <w:tcPr>
                  <w:tcW w:w="569" w:type="pct"/>
                  <w:noWrap w:val="0"/>
                  <w:vAlign w:val="center"/>
                </w:tcPr>
                <w:p w14:paraId="34F816F5">
                  <w:pPr>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144.4</w:t>
                  </w:r>
                </w:p>
              </w:tc>
              <w:tc>
                <w:tcPr>
                  <w:tcW w:w="517" w:type="pct"/>
                  <w:noWrap w:val="0"/>
                  <w:vAlign w:val="center"/>
                </w:tcPr>
                <w:p w14:paraId="67390E56">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1h</w:t>
                  </w:r>
                </w:p>
              </w:tc>
              <w:tc>
                <w:tcPr>
                  <w:tcW w:w="1007" w:type="pct"/>
                  <w:noWrap w:val="0"/>
                  <w:vAlign w:val="center"/>
                </w:tcPr>
                <w:p w14:paraId="44D95F1B">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布袋破损</w:t>
                  </w:r>
                </w:p>
              </w:tc>
              <w:tc>
                <w:tcPr>
                  <w:tcW w:w="1325" w:type="pct"/>
                  <w:noWrap w:val="0"/>
                  <w:vAlign w:val="center"/>
                </w:tcPr>
                <w:p w14:paraId="359D4821">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日常维护、及时检修、定期更换布袋</w:t>
                  </w:r>
                </w:p>
              </w:tc>
            </w:tr>
            <w:tr w14:paraId="6B83DD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39" w:type="pct"/>
                  <w:noWrap w:val="0"/>
                  <w:vAlign w:val="center"/>
                </w:tcPr>
                <w:p w14:paraId="3907BF87">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除尘器</w:t>
                  </w:r>
                </w:p>
              </w:tc>
              <w:tc>
                <w:tcPr>
                  <w:tcW w:w="543" w:type="pct"/>
                  <w:noWrap w:val="0"/>
                  <w:vAlign w:val="center"/>
                </w:tcPr>
                <w:p w14:paraId="59CCFEEA">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颗粒物</w:t>
                  </w:r>
                </w:p>
              </w:tc>
              <w:tc>
                <w:tcPr>
                  <w:tcW w:w="597" w:type="pct"/>
                  <w:noWrap w:val="0"/>
                  <w:vAlign w:val="center"/>
                </w:tcPr>
                <w:p w14:paraId="144015CD">
                  <w:pPr>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1.98</w:t>
                  </w:r>
                </w:p>
              </w:tc>
              <w:tc>
                <w:tcPr>
                  <w:tcW w:w="569" w:type="pct"/>
                  <w:noWrap w:val="0"/>
                  <w:vAlign w:val="center"/>
                </w:tcPr>
                <w:p w14:paraId="55D350B6">
                  <w:pPr>
                    <w:jc w:val="center"/>
                    <w:rPr>
                      <w:rFonts w:hint="default" w:ascii="Times New Roman" w:hAnsi="Times New Roman" w:eastAsia="宋体" w:cs="Times New Roman"/>
                      <w:color w:val="auto"/>
                      <w:szCs w:val="21"/>
                      <w:highlight w:val="none"/>
                      <w:lang w:val="en-US" w:eastAsia="zh-CN"/>
                    </w:rPr>
                  </w:pPr>
                  <w:r>
                    <w:rPr>
                      <w:rFonts w:hint="eastAsia" w:cs="Times New Roman"/>
                      <w:color w:val="auto"/>
                      <w:kern w:val="0"/>
                      <w:szCs w:val="21"/>
                      <w:highlight w:val="none"/>
                      <w:lang w:val="en-US" w:eastAsia="zh-CN" w:bidi="ar"/>
                    </w:rPr>
                    <w:t>396</w:t>
                  </w:r>
                </w:p>
              </w:tc>
              <w:tc>
                <w:tcPr>
                  <w:tcW w:w="517" w:type="pct"/>
                  <w:noWrap w:val="0"/>
                  <w:vAlign w:val="center"/>
                </w:tcPr>
                <w:p w14:paraId="0F358B4D">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1h</w:t>
                  </w:r>
                </w:p>
              </w:tc>
              <w:tc>
                <w:tcPr>
                  <w:tcW w:w="1007" w:type="pct"/>
                  <w:noWrap w:val="0"/>
                  <w:vAlign w:val="center"/>
                </w:tcPr>
                <w:p w14:paraId="205E1A21">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布袋破损</w:t>
                  </w:r>
                </w:p>
              </w:tc>
              <w:tc>
                <w:tcPr>
                  <w:tcW w:w="1325" w:type="pct"/>
                  <w:noWrap w:val="0"/>
                  <w:vAlign w:val="center"/>
                </w:tcPr>
                <w:p w14:paraId="63937C4F">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日常维护、及时检修、定期更换布袋</w:t>
                  </w:r>
                </w:p>
              </w:tc>
            </w:tr>
            <w:tr w14:paraId="50C405A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13" w:type="dxa"/>
                  <w:noWrap w:val="0"/>
                  <w:vAlign w:val="center"/>
                </w:tcPr>
                <w:p w14:paraId="77AABC1A">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除尘器</w:t>
                  </w:r>
                </w:p>
              </w:tc>
              <w:tc>
                <w:tcPr>
                  <w:tcW w:w="881" w:type="dxa"/>
                  <w:noWrap w:val="0"/>
                  <w:vAlign w:val="center"/>
                </w:tcPr>
                <w:p w14:paraId="2955AE82">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颗粒物</w:t>
                  </w:r>
                </w:p>
              </w:tc>
              <w:tc>
                <w:tcPr>
                  <w:tcW w:w="967" w:type="dxa"/>
                  <w:noWrap w:val="0"/>
                  <w:vAlign w:val="center"/>
                </w:tcPr>
                <w:p w14:paraId="3757AE2E">
                  <w:pPr>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13.12</w:t>
                  </w:r>
                </w:p>
              </w:tc>
              <w:tc>
                <w:tcPr>
                  <w:tcW w:w="922" w:type="dxa"/>
                  <w:noWrap w:val="0"/>
                  <w:vAlign w:val="center"/>
                </w:tcPr>
                <w:p w14:paraId="671DD8D0">
                  <w:pPr>
                    <w:jc w:val="center"/>
                    <w:rPr>
                      <w:rFonts w:hint="default" w:ascii="Times New Roman" w:hAnsi="Times New Roman" w:eastAsia="宋体" w:cs="Times New Roman"/>
                      <w:color w:val="auto"/>
                      <w:kern w:val="0"/>
                      <w:szCs w:val="21"/>
                      <w:highlight w:val="none"/>
                      <w:lang w:val="en-US" w:eastAsia="zh-CN" w:bidi="ar"/>
                    </w:rPr>
                  </w:pPr>
                  <w:r>
                    <w:rPr>
                      <w:rFonts w:hint="eastAsia" w:cs="Times New Roman"/>
                      <w:color w:val="auto"/>
                      <w:kern w:val="0"/>
                      <w:szCs w:val="21"/>
                      <w:highlight w:val="none"/>
                      <w:lang w:val="en-US" w:eastAsia="zh-CN" w:bidi="ar"/>
                    </w:rPr>
                    <w:t>1312</w:t>
                  </w:r>
                </w:p>
              </w:tc>
              <w:tc>
                <w:tcPr>
                  <w:tcW w:w="838" w:type="dxa"/>
                  <w:noWrap w:val="0"/>
                  <w:vAlign w:val="center"/>
                </w:tcPr>
                <w:p w14:paraId="7C4733F4">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1h</w:t>
                  </w:r>
                </w:p>
              </w:tc>
              <w:tc>
                <w:tcPr>
                  <w:tcW w:w="1633" w:type="dxa"/>
                  <w:noWrap w:val="0"/>
                  <w:vAlign w:val="center"/>
                </w:tcPr>
                <w:p w14:paraId="27BA7169">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布袋破损</w:t>
                  </w:r>
                </w:p>
              </w:tc>
              <w:tc>
                <w:tcPr>
                  <w:tcW w:w="2149" w:type="dxa"/>
                  <w:noWrap w:val="0"/>
                  <w:vAlign w:val="center"/>
                </w:tcPr>
                <w:p w14:paraId="2B359F05">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日常维护、及时检修、定期更换布袋</w:t>
                  </w:r>
                </w:p>
              </w:tc>
            </w:tr>
            <w:tr w14:paraId="16916E5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39" w:type="pct"/>
                  <w:noWrap w:val="0"/>
                  <w:vAlign w:val="center"/>
                </w:tcPr>
                <w:p w14:paraId="3BEF5674">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催化燃烧装置</w:t>
                  </w:r>
                </w:p>
              </w:tc>
              <w:tc>
                <w:tcPr>
                  <w:tcW w:w="543" w:type="pct"/>
                  <w:noWrap w:val="0"/>
                  <w:vAlign w:val="center"/>
                </w:tcPr>
                <w:p w14:paraId="6A2835A2">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VOCs</w:t>
                  </w:r>
                </w:p>
              </w:tc>
              <w:tc>
                <w:tcPr>
                  <w:tcW w:w="597" w:type="pct"/>
                  <w:noWrap w:val="0"/>
                  <w:vAlign w:val="center"/>
                </w:tcPr>
                <w:p w14:paraId="1393E1FC">
                  <w:pPr>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0.105</w:t>
                  </w:r>
                </w:p>
              </w:tc>
              <w:tc>
                <w:tcPr>
                  <w:tcW w:w="569" w:type="pct"/>
                  <w:noWrap w:val="0"/>
                  <w:vAlign w:val="center"/>
                </w:tcPr>
                <w:p w14:paraId="7D5AA5BC">
                  <w:pPr>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21</w:t>
                  </w:r>
                </w:p>
              </w:tc>
              <w:tc>
                <w:tcPr>
                  <w:tcW w:w="517" w:type="pct"/>
                  <w:noWrap w:val="0"/>
                  <w:vAlign w:val="center"/>
                </w:tcPr>
                <w:p w14:paraId="59EE665A">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1h</w:t>
                  </w:r>
                </w:p>
              </w:tc>
              <w:tc>
                <w:tcPr>
                  <w:tcW w:w="1007" w:type="pct"/>
                  <w:noWrap w:val="0"/>
                  <w:vAlign w:val="center"/>
                </w:tcPr>
                <w:p w14:paraId="1E7FA9B4">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活性炭</w:t>
                  </w:r>
                  <w:r>
                    <w:rPr>
                      <w:rFonts w:hint="eastAsia" w:ascii="Times New Roman" w:hAnsi="Times New Roman" w:cs="Times New Roman"/>
                      <w:color w:val="auto"/>
                      <w:szCs w:val="21"/>
                      <w:highlight w:val="none"/>
                      <w:lang w:val="en-US" w:eastAsia="zh-CN"/>
                    </w:rPr>
                    <w:t>失效</w:t>
                  </w:r>
                </w:p>
              </w:tc>
              <w:tc>
                <w:tcPr>
                  <w:tcW w:w="1325" w:type="pct"/>
                  <w:noWrap w:val="0"/>
                  <w:vAlign w:val="center"/>
                </w:tcPr>
                <w:p w14:paraId="3966E6FA">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日常维护、及时检修、定期更换活性炭及催化剂</w:t>
                  </w:r>
                </w:p>
              </w:tc>
            </w:tr>
          </w:tbl>
          <w:p w14:paraId="5DDC448D">
            <w:pPr>
              <w:pStyle w:val="12"/>
              <w:spacing w:before="0" w:after="0" w:line="360" w:lineRule="auto"/>
              <w:ind w:right="0"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非正常工况下，建设单位要定时检修，保证环保设备的正常运营。为了进一步减少非正常工况废气污染物排放，拟采取以下措施：</w:t>
            </w:r>
          </w:p>
          <w:p w14:paraId="7FD80540">
            <w:pPr>
              <w:pStyle w:val="12"/>
              <w:spacing w:before="0" w:after="0" w:line="360" w:lineRule="auto"/>
              <w:ind w:right="0"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①双回路电源，防止突然断电引起非正常排放。</w:t>
            </w:r>
          </w:p>
          <w:p w14:paraId="0EBCF18F">
            <w:pPr>
              <w:pStyle w:val="12"/>
              <w:spacing w:before="0" w:after="0" w:line="360" w:lineRule="auto"/>
              <w:ind w:right="0"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②定期检查、维修、维护各种设备，尤其是各种动力泵、各种风机等。</w:t>
            </w:r>
          </w:p>
          <w:p w14:paraId="4A6F860A">
            <w:pPr>
              <w:pStyle w:val="12"/>
              <w:spacing w:before="0" w:after="0" w:line="360" w:lineRule="auto"/>
              <w:ind w:right="0"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③加强管理和培训，防止因操作失误或玩忽职守引起非正常排放。</w:t>
            </w:r>
          </w:p>
          <w:p w14:paraId="571C5061">
            <w:pPr>
              <w:pStyle w:val="12"/>
              <w:spacing w:before="0" w:after="0" w:line="360" w:lineRule="auto"/>
              <w:ind w:right="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rPr>
              <w:t>④加强环境管理，在冬季等不利气象条件下，停产检修。</w:t>
            </w:r>
          </w:p>
          <w:p w14:paraId="5C6C3A7F">
            <w:pPr>
              <w:pStyle w:val="7"/>
              <w:pageBreakBefore w:val="0"/>
              <w:numPr>
                <w:ilvl w:val="0"/>
                <w:numId w:val="0"/>
              </w:numPr>
              <w:tabs>
                <w:tab w:val="left" w:pos="1892"/>
              </w:tabs>
              <w:kinsoku/>
              <w:wordWrap/>
              <w:overflowPunct/>
              <w:topLinePunct w:val="0"/>
              <w:autoSpaceDE/>
              <w:autoSpaceDN/>
              <w:bidi w:val="0"/>
              <w:spacing w:beforeLines="0" w:afterLines="0" w:line="360" w:lineRule="auto"/>
              <w:ind w:right="0" w:rightChars="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cs="Times New Roman"/>
                <w:b/>
                <w:bCs/>
                <w:color w:val="auto"/>
                <w:sz w:val="24"/>
                <w:szCs w:val="24"/>
                <w:highlight w:val="none"/>
                <w:lang w:val="en-US" w:eastAsia="zh-CN"/>
              </w:rPr>
              <w:t>5</w:t>
            </w:r>
            <w:r>
              <w:rPr>
                <w:rFonts w:hint="eastAsia" w:cs="Times New Roman"/>
                <w:b/>
                <w:bCs/>
                <w:color w:val="auto"/>
                <w:sz w:val="24"/>
                <w:szCs w:val="24"/>
                <w:highlight w:val="none"/>
                <w:lang w:val="en-US" w:eastAsia="zh-CN"/>
              </w:rPr>
              <w:t>废气</w:t>
            </w:r>
            <w:r>
              <w:rPr>
                <w:rFonts w:hint="default" w:ascii="Times New Roman" w:hAnsi="Times New Roman" w:eastAsia="宋体" w:cs="Times New Roman"/>
                <w:b/>
                <w:bCs/>
                <w:color w:val="auto"/>
                <w:sz w:val="24"/>
                <w:szCs w:val="24"/>
                <w:highlight w:val="none"/>
              </w:rPr>
              <w:t>监测计划、排放口基本情况</w:t>
            </w:r>
          </w:p>
          <w:p w14:paraId="4588E34E">
            <w:pPr>
              <w:spacing w:line="360" w:lineRule="auto"/>
              <w:ind w:firstLine="480" w:firstLineChars="200"/>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根据《固定污染源排污许可分类管理名录》（2019），本项目属于登记管理排放单位，根据《排污单位自行监测技术指南 总则》(HJ 819-2017)</w:t>
            </w:r>
            <w:r>
              <w:rPr>
                <w:rFonts w:hint="default" w:ascii="Times New Roman" w:hAnsi="Times New Roman" w:cs="Times New Roman"/>
                <w:color w:val="auto"/>
                <w:sz w:val="24"/>
                <w:szCs w:val="32"/>
                <w:highlight w:val="none"/>
                <w:lang w:val="en-US" w:eastAsia="zh-CN"/>
              </w:rPr>
              <w:t>及《排污单位自行监测技术指南 涂装》（HJ 1086-2020）</w:t>
            </w:r>
            <w:r>
              <w:rPr>
                <w:rFonts w:hint="default" w:ascii="Times New Roman" w:hAnsi="Times New Roman" w:cs="Times New Roman"/>
                <w:color w:val="auto"/>
                <w:sz w:val="24"/>
                <w:szCs w:val="32"/>
                <w:highlight w:val="none"/>
              </w:rPr>
              <w:t>，本项目废气监测计划见表4-</w:t>
            </w:r>
            <w:r>
              <w:rPr>
                <w:rFonts w:hint="eastAsia" w:cs="Times New Roman"/>
                <w:color w:val="auto"/>
                <w:sz w:val="24"/>
                <w:szCs w:val="32"/>
                <w:highlight w:val="none"/>
                <w:lang w:val="en-US" w:eastAsia="zh-CN"/>
              </w:rPr>
              <w:t>8</w:t>
            </w:r>
            <w:r>
              <w:rPr>
                <w:rFonts w:hint="default" w:ascii="Times New Roman" w:hAnsi="Times New Roman" w:cs="Times New Roman"/>
                <w:color w:val="auto"/>
                <w:sz w:val="24"/>
                <w:szCs w:val="32"/>
                <w:highlight w:val="none"/>
              </w:rPr>
              <w:t>。</w:t>
            </w:r>
          </w:p>
          <w:p w14:paraId="7C51A9C9">
            <w:pPr>
              <w:pStyle w:val="7"/>
              <w:keepNext w:val="0"/>
              <w:numPr>
                <w:ilvl w:val="2"/>
                <w:numId w:val="0"/>
              </w:numPr>
              <w:tabs>
                <w:tab w:val="left" w:pos="851"/>
              </w:tabs>
              <w:spacing w:before="0" w:beforeLines="0" w:after="0" w:afterLines="0" w:line="240" w:lineRule="auto"/>
              <w:jc w:val="center"/>
              <w:textAlignment w:val="bottom"/>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表4-</w:t>
            </w:r>
            <w:r>
              <w:rPr>
                <w:rFonts w:hint="eastAsia" w:cs="Times New Roman"/>
                <w:color w:val="auto"/>
                <w:sz w:val="21"/>
                <w:szCs w:val="22"/>
                <w:highlight w:val="none"/>
                <w:lang w:val="en-US" w:eastAsia="zh-CN"/>
              </w:rPr>
              <w:t>8</w:t>
            </w:r>
            <w:r>
              <w:rPr>
                <w:rFonts w:hint="default" w:ascii="Times New Roman" w:hAnsi="Times New Roman" w:cs="Times New Roman"/>
                <w:color w:val="auto"/>
                <w:sz w:val="21"/>
                <w:szCs w:val="22"/>
                <w:highlight w:val="none"/>
              </w:rPr>
              <w:t xml:space="preserve">   废气监测计划一览表</w:t>
            </w:r>
          </w:p>
          <w:tbl>
            <w:tblPr>
              <w:tblStyle w:val="26"/>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293"/>
              <w:gridCol w:w="1158"/>
              <w:gridCol w:w="4223"/>
            </w:tblGrid>
            <w:tr w14:paraId="4550839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 w:type="pct"/>
                  <w:tcBorders>
                    <w:bottom w:val="single" w:color="auto" w:sz="12" w:space="0"/>
                  </w:tcBorders>
                  <w:noWrap w:val="0"/>
                  <w:vAlign w:val="center"/>
                </w:tcPr>
                <w:p w14:paraId="57A56DD9">
                  <w:pPr>
                    <w:topLinePun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监测位置</w:t>
                  </w:r>
                </w:p>
              </w:tc>
              <w:tc>
                <w:tcPr>
                  <w:tcW w:w="797" w:type="pct"/>
                  <w:tcBorders>
                    <w:bottom w:val="single" w:color="auto" w:sz="12" w:space="0"/>
                  </w:tcBorders>
                  <w:noWrap w:val="0"/>
                  <w:vAlign w:val="center"/>
                </w:tcPr>
                <w:p w14:paraId="26411BDA">
                  <w:pPr>
                    <w:topLinePun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监测因子</w:t>
                  </w:r>
                </w:p>
              </w:tc>
              <w:tc>
                <w:tcPr>
                  <w:tcW w:w="714" w:type="pct"/>
                  <w:tcBorders>
                    <w:bottom w:val="single" w:color="auto" w:sz="12" w:space="0"/>
                  </w:tcBorders>
                  <w:noWrap w:val="0"/>
                  <w:vAlign w:val="center"/>
                </w:tcPr>
                <w:p w14:paraId="3699897A">
                  <w:pPr>
                    <w:topLinePun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监测频次</w:t>
                  </w:r>
                </w:p>
              </w:tc>
              <w:tc>
                <w:tcPr>
                  <w:tcW w:w="2603" w:type="pct"/>
                  <w:tcBorders>
                    <w:bottom w:val="single" w:color="auto" w:sz="12" w:space="0"/>
                  </w:tcBorders>
                  <w:noWrap w:val="0"/>
                  <w:vAlign w:val="center"/>
                </w:tcPr>
                <w:p w14:paraId="7B00D8CE">
                  <w:pPr>
                    <w:topLinePun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执行标准</w:t>
                  </w:r>
                </w:p>
              </w:tc>
            </w:tr>
            <w:tr w14:paraId="6D5D5CF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 w:type="pct"/>
                  <w:tcBorders>
                    <w:top w:val="single" w:color="auto" w:sz="12" w:space="0"/>
                    <w:bottom w:val="single" w:color="auto" w:sz="4" w:space="0"/>
                  </w:tcBorders>
                  <w:noWrap w:val="0"/>
                  <w:vAlign w:val="center"/>
                </w:tcPr>
                <w:p w14:paraId="5519E800">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排气筒DA001</w:t>
                  </w:r>
                </w:p>
              </w:tc>
              <w:tc>
                <w:tcPr>
                  <w:tcW w:w="797" w:type="pct"/>
                  <w:tcBorders>
                    <w:top w:val="single" w:color="auto" w:sz="12" w:space="0"/>
                    <w:bottom w:val="single" w:color="auto" w:sz="4" w:space="0"/>
                  </w:tcBorders>
                  <w:noWrap w:val="0"/>
                  <w:vAlign w:val="center"/>
                </w:tcPr>
                <w:p w14:paraId="2E2BA692">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颗粒物</w:t>
                  </w:r>
                </w:p>
              </w:tc>
              <w:tc>
                <w:tcPr>
                  <w:tcW w:w="714" w:type="pct"/>
                  <w:tcBorders>
                    <w:top w:val="single" w:color="auto" w:sz="12" w:space="0"/>
                    <w:bottom w:val="single" w:color="auto" w:sz="4" w:space="0"/>
                  </w:tcBorders>
                  <w:noWrap w:val="0"/>
                  <w:vAlign w:val="center"/>
                </w:tcPr>
                <w:p w14:paraId="1B03A6B9">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1次/年</w:t>
                  </w:r>
                </w:p>
              </w:tc>
              <w:tc>
                <w:tcPr>
                  <w:tcW w:w="2603" w:type="pct"/>
                  <w:vMerge w:val="restart"/>
                  <w:tcBorders>
                    <w:top w:val="single" w:color="auto" w:sz="12" w:space="0"/>
                  </w:tcBorders>
                  <w:noWrap w:val="0"/>
                  <w:vAlign w:val="center"/>
                </w:tcPr>
                <w:p w14:paraId="0CA01857">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《大气污染物综合排放标准》（</w:t>
                  </w:r>
                  <w:r>
                    <w:rPr>
                      <w:rFonts w:hint="default" w:ascii="Times New Roman" w:hAnsi="Times New Roman" w:eastAsia="Times New Roman" w:cs="Times New Roman"/>
                      <w:color w:val="auto"/>
                      <w:highlight w:val="none"/>
                    </w:rPr>
                    <w:t>GB16297- 1996</w:t>
                  </w:r>
                  <w:r>
                    <w:rPr>
                      <w:rFonts w:hint="default" w:ascii="Times New Roman" w:hAnsi="Times New Roman" w:cs="Times New Roman"/>
                      <w:color w:val="auto"/>
                      <w:highlight w:val="none"/>
                    </w:rPr>
                    <w:t>）表</w:t>
                  </w:r>
                  <w:r>
                    <w:rPr>
                      <w:rFonts w:hint="default" w:ascii="Times New Roman" w:hAnsi="Times New Roman" w:eastAsia="Times New Roman" w:cs="Times New Roman"/>
                      <w:color w:val="auto"/>
                      <w:highlight w:val="none"/>
                    </w:rPr>
                    <w:t>2</w:t>
                  </w:r>
                  <w:r>
                    <w:rPr>
                      <w:rFonts w:hint="default" w:ascii="Times New Roman" w:hAnsi="Times New Roman" w:cs="Times New Roman"/>
                      <w:color w:val="auto"/>
                      <w:highlight w:val="none"/>
                    </w:rPr>
                    <w:t>中相关限值要求</w:t>
                  </w:r>
                </w:p>
              </w:tc>
            </w:tr>
            <w:tr w14:paraId="4C3F4E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85" w:type="pct"/>
                  <w:tcBorders>
                    <w:top w:val="single" w:color="auto" w:sz="4" w:space="0"/>
                    <w:left w:val="nil"/>
                  </w:tcBorders>
                  <w:noWrap w:val="0"/>
                  <w:vAlign w:val="center"/>
                </w:tcPr>
                <w:p w14:paraId="39C89F0D">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排气筒DA002</w:t>
                  </w:r>
                </w:p>
              </w:tc>
              <w:tc>
                <w:tcPr>
                  <w:tcW w:w="797" w:type="pct"/>
                  <w:tcBorders>
                    <w:top w:val="single" w:color="auto" w:sz="4" w:space="0"/>
                  </w:tcBorders>
                  <w:noWrap w:val="0"/>
                  <w:vAlign w:val="center"/>
                </w:tcPr>
                <w:p w14:paraId="45E78E12">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颗粒物</w:t>
                  </w:r>
                </w:p>
              </w:tc>
              <w:tc>
                <w:tcPr>
                  <w:tcW w:w="714" w:type="pct"/>
                  <w:tcBorders>
                    <w:top w:val="single" w:color="auto" w:sz="4" w:space="0"/>
                  </w:tcBorders>
                  <w:noWrap w:val="0"/>
                  <w:vAlign w:val="center"/>
                </w:tcPr>
                <w:p w14:paraId="0CFB71C0">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1次/年</w:t>
                  </w:r>
                </w:p>
              </w:tc>
              <w:tc>
                <w:tcPr>
                  <w:tcW w:w="2603" w:type="pct"/>
                  <w:vMerge w:val="continue"/>
                  <w:noWrap w:val="0"/>
                  <w:vAlign w:val="center"/>
                </w:tcPr>
                <w:p w14:paraId="13928973">
                  <w:pPr>
                    <w:topLinePunct/>
                    <w:jc w:val="center"/>
                    <w:rPr>
                      <w:rFonts w:hint="default" w:ascii="Times New Roman" w:hAnsi="Times New Roman" w:cs="Times New Roman"/>
                      <w:color w:val="auto"/>
                      <w:szCs w:val="21"/>
                      <w:highlight w:val="none"/>
                    </w:rPr>
                  </w:pPr>
                </w:p>
              </w:tc>
            </w:tr>
            <w:tr w14:paraId="36D185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 w:type="pct"/>
                  <w:tcBorders>
                    <w:top w:val="single" w:color="auto" w:sz="4" w:space="0"/>
                    <w:left w:val="nil"/>
                  </w:tcBorders>
                  <w:shd w:val="clear" w:color="auto" w:fill="auto"/>
                  <w:noWrap w:val="0"/>
                  <w:vAlign w:val="center"/>
                </w:tcPr>
                <w:p w14:paraId="495FB430">
                  <w:pPr>
                    <w:topLinePunct/>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排气筒DA00</w:t>
                  </w:r>
                  <w:r>
                    <w:rPr>
                      <w:rFonts w:hint="eastAsia" w:ascii="Times New Roman" w:hAnsi="Times New Roman" w:cs="Times New Roman"/>
                      <w:color w:val="auto"/>
                      <w:szCs w:val="21"/>
                      <w:highlight w:val="none"/>
                      <w:lang w:val="en-US" w:eastAsia="zh-CN"/>
                    </w:rPr>
                    <w:t>3</w:t>
                  </w:r>
                </w:p>
              </w:tc>
              <w:tc>
                <w:tcPr>
                  <w:tcW w:w="797" w:type="pct"/>
                  <w:tcBorders>
                    <w:top w:val="single" w:color="auto" w:sz="4" w:space="0"/>
                  </w:tcBorders>
                  <w:shd w:val="clear" w:color="auto" w:fill="auto"/>
                  <w:noWrap w:val="0"/>
                  <w:vAlign w:val="center"/>
                </w:tcPr>
                <w:p w14:paraId="750317FC">
                  <w:pPr>
                    <w:topLinePun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颗粒物</w:t>
                  </w:r>
                </w:p>
              </w:tc>
              <w:tc>
                <w:tcPr>
                  <w:tcW w:w="714" w:type="pct"/>
                  <w:tcBorders>
                    <w:top w:val="single" w:color="auto" w:sz="4" w:space="0"/>
                  </w:tcBorders>
                  <w:shd w:val="clear" w:color="auto" w:fill="auto"/>
                  <w:noWrap w:val="0"/>
                  <w:vAlign w:val="center"/>
                </w:tcPr>
                <w:p w14:paraId="02F30EFF">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1次/年</w:t>
                  </w:r>
                </w:p>
              </w:tc>
              <w:tc>
                <w:tcPr>
                  <w:tcW w:w="2603" w:type="pct"/>
                  <w:vMerge w:val="continue"/>
                  <w:noWrap w:val="0"/>
                  <w:vAlign w:val="center"/>
                </w:tcPr>
                <w:p w14:paraId="0914092D">
                  <w:pPr>
                    <w:topLinePunct/>
                    <w:jc w:val="center"/>
                    <w:rPr>
                      <w:rFonts w:hint="default" w:ascii="Times New Roman" w:hAnsi="Times New Roman" w:cs="Times New Roman"/>
                      <w:color w:val="auto"/>
                      <w:szCs w:val="21"/>
                      <w:highlight w:val="none"/>
                    </w:rPr>
                  </w:pPr>
                </w:p>
              </w:tc>
            </w:tr>
            <w:tr w14:paraId="2C34464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 w:type="pct"/>
                  <w:tcBorders>
                    <w:top w:val="single" w:color="auto" w:sz="4" w:space="0"/>
                    <w:left w:val="nil"/>
                  </w:tcBorders>
                  <w:noWrap w:val="0"/>
                  <w:vAlign w:val="center"/>
                </w:tcPr>
                <w:p w14:paraId="27BCBCAD">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排气筒DA003</w:t>
                  </w:r>
                </w:p>
              </w:tc>
              <w:tc>
                <w:tcPr>
                  <w:tcW w:w="797" w:type="pct"/>
                  <w:tcBorders>
                    <w:top w:val="single" w:color="auto" w:sz="4" w:space="0"/>
                  </w:tcBorders>
                  <w:noWrap w:val="0"/>
                  <w:vAlign w:val="center"/>
                </w:tcPr>
                <w:p w14:paraId="526479AC">
                  <w:pPr>
                    <w:topLinePunct/>
                    <w:jc w:val="center"/>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kern w:val="0"/>
                      <w:szCs w:val="21"/>
                      <w:highlight w:val="none"/>
                    </w:rPr>
                    <w:t>VOCs</w:t>
                  </w:r>
                </w:p>
              </w:tc>
              <w:tc>
                <w:tcPr>
                  <w:tcW w:w="714" w:type="pct"/>
                  <w:tcBorders>
                    <w:top w:val="single" w:color="auto" w:sz="4" w:space="0"/>
                  </w:tcBorders>
                  <w:noWrap w:val="0"/>
                  <w:vAlign w:val="center"/>
                </w:tcPr>
                <w:p w14:paraId="4D60B3AE">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1次/年</w:t>
                  </w:r>
                </w:p>
              </w:tc>
              <w:tc>
                <w:tcPr>
                  <w:tcW w:w="2603" w:type="pct"/>
                  <w:noWrap w:val="0"/>
                  <w:vAlign w:val="center"/>
                </w:tcPr>
                <w:p w14:paraId="6BCCB38C">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《重污染天气重点行业应急减排措施制定技术指南》表39-1 A级企业排放限值</w:t>
                  </w:r>
                </w:p>
              </w:tc>
            </w:tr>
            <w:tr w14:paraId="5C08E7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 w:type="pct"/>
                  <w:noWrap w:val="0"/>
                  <w:vAlign w:val="center"/>
                </w:tcPr>
                <w:p w14:paraId="5A1472F5">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厂房外</w:t>
                  </w:r>
                </w:p>
              </w:tc>
              <w:tc>
                <w:tcPr>
                  <w:tcW w:w="797" w:type="pct"/>
                  <w:noWrap w:val="0"/>
                  <w:vAlign w:val="center"/>
                </w:tcPr>
                <w:p w14:paraId="66F5FF35">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VOCs</w:t>
                  </w:r>
                </w:p>
              </w:tc>
              <w:tc>
                <w:tcPr>
                  <w:tcW w:w="714" w:type="pct"/>
                  <w:noWrap w:val="0"/>
                  <w:vAlign w:val="center"/>
                </w:tcPr>
                <w:p w14:paraId="223C3517">
                  <w:pPr>
                    <w:jc w:val="center"/>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1次/</w:t>
                  </w:r>
                  <w:r>
                    <w:rPr>
                      <w:rFonts w:hint="eastAsia" w:cs="Times New Roman"/>
                      <w:color w:val="auto"/>
                      <w:szCs w:val="21"/>
                      <w:highlight w:val="none"/>
                      <w:lang w:val="en-US" w:eastAsia="zh-CN"/>
                    </w:rPr>
                    <w:t>半年</w:t>
                  </w:r>
                </w:p>
              </w:tc>
              <w:tc>
                <w:tcPr>
                  <w:tcW w:w="2603" w:type="pct"/>
                  <w:noWrap w:val="0"/>
                  <w:vAlign w:val="center"/>
                </w:tcPr>
                <w:p w14:paraId="10E3728C">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《挥发性有机物无组织排放控制标准》（GB37822-2019）表A.1中特别排放限值（监控点处1h浓度平均值6.0mg/m³）</w:t>
                  </w:r>
                </w:p>
              </w:tc>
            </w:tr>
            <w:tr w14:paraId="7FE5743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 w:type="pct"/>
                  <w:noWrap w:val="0"/>
                  <w:vAlign w:val="center"/>
                </w:tcPr>
                <w:p w14:paraId="1B16BD3E">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厂界上风向1个点、下风向3个点</w:t>
                  </w:r>
                </w:p>
              </w:tc>
              <w:tc>
                <w:tcPr>
                  <w:tcW w:w="797" w:type="pct"/>
                  <w:noWrap w:val="0"/>
                  <w:vAlign w:val="center"/>
                </w:tcPr>
                <w:p w14:paraId="1C656B67">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VOCs、颗粒物</w:t>
                  </w:r>
                </w:p>
              </w:tc>
              <w:tc>
                <w:tcPr>
                  <w:tcW w:w="714" w:type="pct"/>
                  <w:noWrap w:val="0"/>
                  <w:vAlign w:val="center"/>
                </w:tcPr>
                <w:p w14:paraId="4E076B03">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1次/年</w:t>
                  </w:r>
                </w:p>
              </w:tc>
              <w:tc>
                <w:tcPr>
                  <w:tcW w:w="2603" w:type="pct"/>
                  <w:noWrap w:val="0"/>
                  <w:vAlign w:val="center"/>
                </w:tcPr>
                <w:p w14:paraId="519C873F">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《大气污染物综合排放标准》（</w:t>
                  </w:r>
                  <w:r>
                    <w:rPr>
                      <w:rFonts w:hint="default" w:ascii="Times New Roman" w:hAnsi="Times New Roman" w:eastAsia="Times New Roman" w:cs="Times New Roman"/>
                      <w:color w:val="auto"/>
                      <w:highlight w:val="none"/>
                    </w:rPr>
                    <w:t>GB16297- 1996</w:t>
                  </w:r>
                  <w:r>
                    <w:rPr>
                      <w:rFonts w:hint="default" w:ascii="Times New Roman" w:hAnsi="Times New Roman" w:cs="Times New Roman"/>
                      <w:color w:val="auto"/>
                      <w:highlight w:val="none"/>
                    </w:rPr>
                    <w:t>）表</w:t>
                  </w:r>
                  <w:r>
                    <w:rPr>
                      <w:rFonts w:hint="default" w:ascii="Times New Roman" w:hAnsi="Times New Roman" w:eastAsia="Times New Roman" w:cs="Times New Roman"/>
                      <w:color w:val="auto"/>
                      <w:highlight w:val="none"/>
                    </w:rPr>
                    <w:t>2</w:t>
                  </w:r>
                  <w:r>
                    <w:rPr>
                      <w:rFonts w:hint="default" w:ascii="Times New Roman" w:hAnsi="Times New Roman" w:cs="Times New Roman"/>
                      <w:color w:val="auto"/>
                      <w:highlight w:val="none"/>
                    </w:rPr>
                    <w:t>中相关限值要求</w:t>
                  </w:r>
                  <w:r>
                    <w:rPr>
                      <w:rFonts w:hint="default" w:ascii="Times New Roman" w:hAnsi="Times New Roman" w:cs="Times New Roman"/>
                      <w:color w:val="auto"/>
                      <w:szCs w:val="21"/>
                      <w:highlight w:val="none"/>
                    </w:rPr>
                    <w:t>（颗粒物：1.0mg/m³；VOCs4.0mg/m³）</w:t>
                  </w:r>
                </w:p>
              </w:tc>
            </w:tr>
          </w:tbl>
          <w:p w14:paraId="7C782F89">
            <w:pPr>
              <w:pStyle w:val="25"/>
              <w:spacing w:after="0" w:line="520" w:lineRule="exact"/>
              <w:ind w:left="0" w:leftChars="0" w:firstLine="0"/>
              <w:jc w:val="center"/>
              <w:rPr>
                <w:rFonts w:ascii="Times New Roman" w:hAnsi="Times New Roman"/>
                <w:b/>
                <w:bCs/>
                <w:color w:val="auto"/>
                <w:sz w:val="21"/>
                <w:szCs w:val="21"/>
                <w:highlight w:val="none"/>
              </w:rPr>
            </w:pPr>
            <w:r>
              <w:rPr>
                <w:rFonts w:ascii="Times New Roman" w:hAnsi="Times New Roman"/>
                <w:b/>
                <w:bCs/>
                <w:color w:val="auto"/>
                <w:sz w:val="21"/>
                <w:szCs w:val="21"/>
                <w:highlight w:val="none"/>
              </w:rPr>
              <w:t>表</w:t>
            </w:r>
            <w:r>
              <w:rPr>
                <w:rFonts w:hint="eastAsia" w:ascii="Times New Roman" w:hAnsi="Times New Roman"/>
                <w:b/>
                <w:bCs/>
                <w:color w:val="auto"/>
                <w:sz w:val="21"/>
                <w:szCs w:val="21"/>
                <w:highlight w:val="none"/>
                <w:lang w:val="en-US" w:eastAsia="zh-CN"/>
              </w:rPr>
              <w:t>4-</w:t>
            </w:r>
            <w:r>
              <w:rPr>
                <w:rFonts w:hint="eastAsia"/>
                <w:b/>
                <w:bCs/>
                <w:color w:val="auto"/>
                <w:sz w:val="21"/>
                <w:szCs w:val="21"/>
                <w:highlight w:val="none"/>
                <w:lang w:val="en-US" w:eastAsia="zh-CN"/>
              </w:rPr>
              <w:t>9</w:t>
            </w:r>
            <w:r>
              <w:rPr>
                <w:rFonts w:ascii="Times New Roman" w:hAnsi="Times New Roman"/>
                <w:b/>
                <w:bCs/>
                <w:color w:val="auto"/>
                <w:sz w:val="21"/>
                <w:szCs w:val="21"/>
                <w:highlight w:val="none"/>
              </w:rPr>
              <w:t xml:space="preserve">   废气排口情况表</w:t>
            </w:r>
          </w:p>
          <w:tbl>
            <w:tblPr>
              <w:tblStyle w:val="26"/>
              <w:tblW w:w="5000" w:type="pct"/>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965"/>
              <w:gridCol w:w="984"/>
              <w:gridCol w:w="880"/>
              <w:gridCol w:w="613"/>
              <w:gridCol w:w="587"/>
              <w:gridCol w:w="520"/>
              <w:gridCol w:w="466"/>
              <w:gridCol w:w="716"/>
              <w:gridCol w:w="379"/>
              <w:gridCol w:w="572"/>
              <w:gridCol w:w="702"/>
            </w:tblGrid>
            <w:tr w14:paraId="360BC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3" w:type="pct"/>
                  <w:vMerge w:val="restart"/>
                  <w:vAlign w:val="center"/>
                </w:tcPr>
                <w:p w14:paraId="76C3DDC6">
                  <w:pPr>
                    <w:topLinePun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排放口名称及编号</w:t>
                  </w:r>
                </w:p>
              </w:tc>
              <w:tc>
                <w:tcPr>
                  <w:tcW w:w="1202" w:type="pct"/>
                  <w:gridSpan w:val="2"/>
                  <w:vAlign w:val="center"/>
                </w:tcPr>
                <w:p w14:paraId="5AF7469A">
                  <w:pPr>
                    <w:topLinePun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排气筒底部中心坐标</w:t>
                  </w:r>
                </w:p>
              </w:tc>
              <w:tc>
                <w:tcPr>
                  <w:tcW w:w="543" w:type="pct"/>
                  <w:vMerge w:val="restart"/>
                  <w:vAlign w:val="center"/>
                </w:tcPr>
                <w:p w14:paraId="4D947B01">
                  <w:pPr>
                    <w:topLinePun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排气筒底部海拔高度(m)</w:t>
                  </w:r>
                </w:p>
              </w:tc>
              <w:tc>
                <w:tcPr>
                  <w:tcW w:w="1349" w:type="pct"/>
                  <w:gridSpan w:val="4"/>
                  <w:vAlign w:val="center"/>
                </w:tcPr>
                <w:p w14:paraId="2FFAD832">
                  <w:pPr>
                    <w:topLinePun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排气筒参数</w:t>
                  </w:r>
                </w:p>
              </w:tc>
              <w:tc>
                <w:tcPr>
                  <w:tcW w:w="675" w:type="pct"/>
                  <w:gridSpan w:val="2"/>
                  <w:vAlign w:val="center"/>
                </w:tcPr>
                <w:p w14:paraId="2A32D6EE">
                  <w:pPr>
                    <w:topLinePun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运行参数</w:t>
                  </w:r>
                </w:p>
              </w:tc>
              <w:tc>
                <w:tcPr>
                  <w:tcW w:w="786" w:type="pct"/>
                  <w:gridSpan w:val="2"/>
                  <w:vAlign w:val="center"/>
                </w:tcPr>
                <w:p w14:paraId="019B6680">
                  <w:pPr>
                    <w:topLinePun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运行参数</w:t>
                  </w:r>
                </w:p>
              </w:tc>
            </w:tr>
            <w:tr w14:paraId="30E5E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3" w:type="pct"/>
                  <w:vMerge w:val="continue"/>
                  <w:vAlign w:val="center"/>
                </w:tcPr>
                <w:p w14:paraId="07F92FD7">
                  <w:pPr>
                    <w:topLinePunct/>
                    <w:jc w:val="center"/>
                    <w:rPr>
                      <w:rFonts w:hint="default" w:ascii="Times New Roman" w:hAnsi="Times New Roman" w:eastAsia="宋体" w:cs="Times New Roman"/>
                      <w:color w:val="auto"/>
                      <w:szCs w:val="21"/>
                      <w:highlight w:val="none"/>
                    </w:rPr>
                  </w:pPr>
                </w:p>
              </w:tc>
              <w:tc>
                <w:tcPr>
                  <w:tcW w:w="595" w:type="pct"/>
                  <w:vAlign w:val="center"/>
                </w:tcPr>
                <w:p w14:paraId="3A1CAA3B">
                  <w:pPr>
                    <w:topLinePun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经度</w:t>
                  </w:r>
                </w:p>
              </w:tc>
              <w:tc>
                <w:tcPr>
                  <w:tcW w:w="607" w:type="pct"/>
                  <w:vAlign w:val="center"/>
                </w:tcPr>
                <w:p w14:paraId="67B11FC9">
                  <w:pPr>
                    <w:topLinePun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纬度</w:t>
                  </w:r>
                </w:p>
              </w:tc>
              <w:tc>
                <w:tcPr>
                  <w:tcW w:w="543" w:type="pct"/>
                  <w:vMerge w:val="continue"/>
                  <w:vAlign w:val="center"/>
                </w:tcPr>
                <w:p w14:paraId="1CC228D9">
                  <w:pPr>
                    <w:topLinePunct/>
                    <w:jc w:val="center"/>
                    <w:rPr>
                      <w:rFonts w:hint="default" w:ascii="Times New Roman" w:hAnsi="Times New Roman" w:eastAsia="宋体" w:cs="Times New Roman"/>
                      <w:color w:val="auto"/>
                      <w:szCs w:val="21"/>
                      <w:highlight w:val="none"/>
                    </w:rPr>
                  </w:pPr>
                </w:p>
              </w:tc>
              <w:tc>
                <w:tcPr>
                  <w:tcW w:w="378" w:type="pct"/>
                  <w:vAlign w:val="center"/>
                </w:tcPr>
                <w:p w14:paraId="00FAB56B">
                  <w:pPr>
                    <w:topLinePun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排气筒高度(m)</w:t>
                  </w:r>
                </w:p>
              </w:tc>
              <w:tc>
                <w:tcPr>
                  <w:tcW w:w="362" w:type="pct"/>
                  <w:vAlign w:val="center"/>
                </w:tcPr>
                <w:p w14:paraId="2DF583BE">
                  <w:pPr>
                    <w:topLinePun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排气筒出口内经(m)</w:t>
                  </w:r>
                </w:p>
              </w:tc>
              <w:tc>
                <w:tcPr>
                  <w:tcW w:w="320" w:type="pct"/>
                  <w:vAlign w:val="center"/>
                </w:tcPr>
                <w:p w14:paraId="45D99609">
                  <w:pPr>
                    <w:topLinePun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烟气</w:t>
                  </w:r>
                </w:p>
                <w:p w14:paraId="5F2D8102">
                  <w:pPr>
                    <w:topLinePun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流速(m/s)</w:t>
                  </w:r>
                </w:p>
              </w:tc>
              <w:tc>
                <w:tcPr>
                  <w:tcW w:w="287" w:type="pct"/>
                  <w:vAlign w:val="center"/>
                </w:tcPr>
                <w:p w14:paraId="02BCF71A">
                  <w:pPr>
                    <w:topLinePun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烟气温度(℃)</w:t>
                  </w:r>
                </w:p>
              </w:tc>
              <w:tc>
                <w:tcPr>
                  <w:tcW w:w="441" w:type="pct"/>
                  <w:vAlign w:val="center"/>
                </w:tcPr>
                <w:p w14:paraId="5CF95524">
                  <w:pPr>
                    <w:topLinePun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年排放小时数(h)</w:t>
                  </w:r>
                </w:p>
              </w:tc>
              <w:tc>
                <w:tcPr>
                  <w:tcW w:w="233" w:type="pct"/>
                  <w:vAlign w:val="center"/>
                </w:tcPr>
                <w:p w14:paraId="45AE53C7">
                  <w:pPr>
                    <w:topLinePun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排放工况</w:t>
                  </w:r>
                </w:p>
              </w:tc>
              <w:tc>
                <w:tcPr>
                  <w:tcW w:w="352" w:type="pct"/>
                  <w:vAlign w:val="center"/>
                </w:tcPr>
                <w:p w14:paraId="19435A30">
                  <w:pPr>
                    <w:topLinePun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污染源名称</w:t>
                  </w:r>
                </w:p>
              </w:tc>
              <w:tc>
                <w:tcPr>
                  <w:tcW w:w="433" w:type="pct"/>
                  <w:vAlign w:val="center"/>
                </w:tcPr>
                <w:p w14:paraId="4B4379D2">
                  <w:pPr>
                    <w:topLinePun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污染物排放速率(kg/h)</w:t>
                  </w:r>
                </w:p>
              </w:tc>
            </w:tr>
            <w:tr w14:paraId="4A05D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3" w:type="pct"/>
                  <w:tcBorders>
                    <w:tl2br w:val="nil"/>
                    <w:tr2bl w:val="nil"/>
                  </w:tcBorders>
                  <w:vAlign w:val="center"/>
                </w:tcPr>
                <w:p w14:paraId="0A756054">
                  <w:pPr>
                    <w:topLinePunct/>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原材料加工车间排口</w:t>
                  </w:r>
                  <w:r>
                    <w:rPr>
                      <w:rFonts w:hint="default" w:ascii="Times New Roman" w:hAnsi="Times New Roman" w:eastAsia="宋体" w:cs="Times New Roman"/>
                      <w:color w:val="auto"/>
                      <w:szCs w:val="21"/>
                      <w:highlight w:val="none"/>
                    </w:rPr>
                    <w:t>DA001</w:t>
                  </w:r>
                </w:p>
              </w:tc>
              <w:tc>
                <w:tcPr>
                  <w:tcW w:w="595" w:type="pct"/>
                  <w:tcBorders>
                    <w:tl2br w:val="nil"/>
                    <w:tr2bl w:val="nil"/>
                  </w:tcBorders>
                  <w:vAlign w:val="center"/>
                </w:tcPr>
                <w:p w14:paraId="1F14A3FB">
                  <w:pPr>
                    <w:topLinePunct/>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87</w:t>
                  </w:r>
                  <w:r>
                    <w:rPr>
                      <w:rFonts w:hint="default" w:ascii="Times New Roman" w:hAnsi="Times New Roman" w:eastAsia="宋体" w:cs="Times New Roman"/>
                      <w:color w:val="auto"/>
                      <w:szCs w:val="21"/>
                      <w:highlight w:val="none"/>
                      <w:lang w:val="en-US" w:eastAsia="zh-CN"/>
                    </w:rPr>
                    <w:t>°</w:t>
                  </w:r>
                  <w:r>
                    <w:rPr>
                      <w:rFonts w:hint="eastAsia" w:ascii="Times New Roman" w:hAnsi="Times New Roman" w:eastAsia="宋体" w:cs="Times New Roman"/>
                      <w:color w:val="auto"/>
                      <w:szCs w:val="21"/>
                      <w:highlight w:val="none"/>
                      <w:lang w:val="en-US" w:eastAsia="zh-CN"/>
                    </w:rPr>
                    <w:t>13′20.13″</w:t>
                  </w:r>
                </w:p>
              </w:tc>
              <w:tc>
                <w:tcPr>
                  <w:tcW w:w="607" w:type="pct"/>
                  <w:tcBorders>
                    <w:tl2br w:val="nil"/>
                    <w:tr2bl w:val="nil"/>
                  </w:tcBorders>
                  <w:vAlign w:val="center"/>
                </w:tcPr>
                <w:p w14:paraId="7FAD3046">
                  <w:pPr>
                    <w:topLinePunct/>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44</w:t>
                  </w:r>
                  <w:r>
                    <w:rPr>
                      <w:rFonts w:hint="default" w:ascii="Times New Roman" w:hAnsi="Times New Roman" w:eastAsia="宋体" w:cs="Times New Roman"/>
                      <w:color w:val="auto"/>
                      <w:szCs w:val="21"/>
                      <w:highlight w:val="none"/>
                      <w:lang w:val="en-US" w:eastAsia="zh-CN"/>
                    </w:rPr>
                    <w:t>°</w:t>
                  </w:r>
                  <w:r>
                    <w:rPr>
                      <w:rFonts w:hint="eastAsia" w:ascii="Times New Roman" w:hAnsi="Times New Roman" w:eastAsia="宋体" w:cs="Times New Roman"/>
                      <w:color w:val="auto"/>
                      <w:szCs w:val="21"/>
                      <w:highlight w:val="none"/>
                      <w:lang w:val="en-US" w:eastAsia="zh-CN"/>
                    </w:rPr>
                    <w:t>02′27.62″</w:t>
                  </w:r>
                </w:p>
              </w:tc>
              <w:tc>
                <w:tcPr>
                  <w:tcW w:w="543" w:type="pct"/>
                  <w:tcBorders>
                    <w:tl2br w:val="nil"/>
                    <w:tr2bl w:val="nil"/>
                  </w:tcBorders>
                  <w:vAlign w:val="center"/>
                </w:tcPr>
                <w:p w14:paraId="7725FB66">
                  <w:pPr>
                    <w:topLinePunct/>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579</w:t>
                  </w:r>
                </w:p>
              </w:tc>
              <w:tc>
                <w:tcPr>
                  <w:tcW w:w="378" w:type="pct"/>
                  <w:tcBorders>
                    <w:tl2br w:val="nil"/>
                    <w:tr2bl w:val="nil"/>
                  </w:tcBorders>
                  <w:vAlign w:val="center"/>
                </w:tcPr>
                <w:p w14:paraId="00794E5D">
                  <w:pPr>
                    <w:topLinePun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15</w:t>
                  </w:r>
                </w:p>
              </w:tc>
              <w:tc>
                <w:tcPr>
                  <w:tcW w:w="362" w:type="pct"/>
                  <w:tcBorders>
                    <w:tl2br w:val="nil"/>
                    <w:tr2bl w:val="nil"/>
                  </w:tcBorders>
                  <w:vAlign w:val="center"/>
                </w:tcPr>
                <w:p w14:paraId="58D8DD3A">
                  <w:pPr>
                    <w:topLinePunct/>
                    <w:jc w:val="center"/>
                    <w:rPr>
                      <w:rFonts w:hint="eastAsia"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0.</w:t>
                  </w:r>
                  <w:r>
                    <w:rPr>
                      <w:rFonts w:hint="eastAsia" w:ascii="Times New Roman" w:hAnsi="Times New Roman" w:eastAsia="宋体" w:cs="Times New Roman"/>
                      <w:color w:val="auto"/>
                      <w:szCs w:val="21"/>
                      <w:highlight w:val="none"/>
                      <w:lang w:val="en-US" w:eastAsia="zh-CN"/>
                    </w:rPr>
                    <w:t>4</w:t>
                  </w:r>
                </w:p>
              </w:tc>
              <w:tc>
                <w:tcPr>
                  <w:tcW w:w="320" w:type="pct"/>
                  <w:tcBorders>
                    <w:tl2br w:val="nil"/>
                    <w:tr2bl w:val="nil"/>
                  </w:tcBorders>
                  <w:vAlign w:val="center"/>
                </w:tcPr>
                <w:p w14:paraId="5BF3CF0F">
                  <w:pPr>
                    <w:topLinePunct/>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11</w:t>
                  </w:r>
                </w:p>
              </w:tc>
              <w:tc>
                <w:tcPr>
                  <w:tcW w:w="287" w:type="pct"/>
                  <w:tcBorders>
                    <w:tl2br w:val="nil"/>
                    <w:tr2bl w:val="nil"/>
                  </w:tcBorders>
                  <w:vAlign w:val="center"/>
                </w:tcPr>
                <w:p w14:paraId="34914E51">
                  <w:pPr>
                    <w:topLinePun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25</w:t>
                  </w:r>
                </w:p>
              </w:tc>
              <w:tc>
                <w:tcPr>
                  <w:tcW w:w="441" w:type="pct"/>
                  <w:tcBorders>
                    <w:tl2br w:val="nil"/>
                    <w:tr2bl w:val="nil"/>
                  </w:tcBorders>
                  <w:vAlign w:val="center"/>
                </w:tcPr>
                <w:p w14:paraId="7D993C9A">
                  <w:pPr>
                    <w:topLinePunct/>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2400</w:t>
                  </w:r>
                </w:p>
              </w:tc>
              <w:tc>
                <w:tcPr>
                  <w:tcW w:w="233" w:type="pct"/>
                  <w:tcBorders>
                    <w:tl2br w:val="nil"/>
                    <w:tr2bl w:val="nil"/>
                  </w:tcBorders>
                  <w:vAlign w:val="center"/>
                </w:tcPr>
                <w:p w14:paraId="43C7741C">
                  <w:pPr>
                    <w:topLinePun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正常</w:t>
                  </w:r>
                </w:p>
              </w:tc>
              <w:tc>
                <w:tcPr>
                  <w:tcW w:w="352" w:type="pct"/>
                  <w:tcBorders>
                    <w:tl2br w:val="nil"/>
                    <w:tr2bl w:val="nil"/>
                  </w:tcBorders>
                  <w:vAlign w:val="center"/>
                </w:tcPr>
                <w:p w14:paraId="40DED3DC">
                  <w:pPr>
                    <w:topLinePun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颗粒物</w:t>
                  </w:r>
                </w:p>
              </w:tc>
              <w:tc>
                <w:tcPr>
                  <w:tcW w:w="433" w:type="pct"/>
                  <w:tcBorders>
                    <w:tl2br w:val="nil"/>
                    <w:tr2bl w:val="nil"/>
                  </w:tcBorders>
                  <w:vAlign w:val="center"/>
                </w:tcPr>
                <w:p w14:paraId="2FF9A0D1">
                  <w:pPr>
                    <w:topLinePunct/>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0.032</w:t>
                  </w:r>
                </w:p>
              </w:tc>
            </w:tr>
            <w:tr w14:paraId="395D1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3" w:type="pct"/>
                  <w:tcBorders>
                    <w:tl2br w:val="nil"/>
                    <w:tr2bl w:val="nil"/>
                  </w:tcBorders>
                  <w:vAlign w:val="center"/>
                </w:tcPr>
                <w:p w14:paraId="31E858A4">
                  <w:pPr>
                    <w:topLinePunct/>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机电一体化车间</w:t>
                  </w:r>
                  <w:r>
                    <w:rPr>
                      <w:rFonts w:hint="default" w:ascii="Times New Roman" w:hAnsi="Times New Roman" w:eastAsia="宋体" w:cs="Times New Roman"/>
                      <w:color w:val="auto"/>
                      <w:szCs w:val="21"/>
                      <w:highlight w:val="none"/>
                    </w:rPr>
                    <w:t>排口DA00</w:t>
                  </w:r>
                  <w:r>
                    <w:rPr>
                      <w:rFonts w:hint="eastAsia" w:ascii="Times New Roman" w:hAnsi="Times New Roman" w:eastAsia="宋体" w:cs="Times New Roman"/>
                      <w:color w:val="auto"/>
                      <w:szCs w:val="21"/>
                      <w:highlight w:val="none"/>
                      <w:lang w:val="en-US" w:eastAsia="zh-CN"/>
                    </w:rPr>
                    <w:t>2</w:t>
                  </w:r>
                </w:p>
              </w:tc>
              <w:tc>
                <w:tcPr>
                  <w:tcW w:w="595" w:type="pct"/>
                  <w:tcBorders>
                    <w:tl2br w:val="nil"/>
                    <w:tr2bl w:val="nil"/>
                  </w:tcBorders>
                  <w:vAlign w:val="center"/>
                </w:tcPr>
                <w:p w14:paraId="67620C53">
                  <w:pPr>
                    <w:topLinePunct/>
                    <w:jc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87</w:t>
                  </w:r>
                  <w:r>
                    <w:rPr>
                      <w:rFonts w:hint="default" w:ascii="Times New Roman" w:hAnsi="Times New Roman" w:eastAsia="宋体" w:cs="Times New Roman"/>
                      <w:color w:val="auto"/>
                      <w:szCs w:val="21"/>
                      <w:highlight w:val="none"/>
                      <w:lang w:val="en-US" w:eastAsia="zh-CN"/>
                    </w:rPr>
                    <w:t>°</w:t>
                  </w:r>
                  <w:r>
                    <w:rPr>
                      <w:rFonts w:hint="eastAsia" w:ascii="Times New Roman" w:hAnsi="Times New Roman" w:eastAsia="宋体" w:cs="Times New Roman"/>
                      <w:color w:val="auto"/>
                      <w:szCs w:val="21"/>
                      <w:highlight w:val="none"/>
                      <w:lang w:val="en-US" w:eastAsia="zh-CN"/>
                    </w:rPr>
                    <w:t>13′16.74″</w:t>
                  </w:r>
                </w:p>
              </w:tc>
              <w:tc>
                <w:tcPr>
                  <w:tcW w:w="607" w:type="pct"/>
                  <w:tcBorders>
                    <w:tl2br w:val="nil"/>
                    <w:tr2bl w:val="nil"/>
                  </w:tcBorders>
                  <w:vAlign w:val="center"/>
                </w:tcPr>
                <w:p w14:paraId="395E6364">
                  <w:pPr>
                    <w:topLinePunct/>
                    <w:jc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44</w:t>
                  </w:r>
                  <w:r>
                    <w:rPr>
                      <w:rFonts w:hint="default" w:ascii="Times New Roman" w:hAnsi="Times New Roman" w:eastAsia="宋体" w:cs="Times New Roman"/>
                      <w:color w:val="auto"/>
                      <w:szCs w:val="21"/>
                      <w:highlight w:val="none"/>
                      <w:lang w:val="en-US" w:eastAsia="zh-CN"/>
                    </w:rPr>
                    <w:t>°</w:t>
                  </w:r>
                  <w:r>
                    <w:rPr>
                      <w:rFonts w:hint="eastAsia" w:ascii="Times New Roman" w:hAnsi="Times New Roman" w:eastAsia="宋体" w:cs="Times New Roman"/>
                      <w:color w:val="auto"/>
                      <w:szCs w:val="21"/>
                      <w:highlight w:val="none"/>
                      <w:lang w:val="en-US" w:eastAsia="zh-CN"/>
                    </w:rPr>
                    <w:t>02′29.11″</w:t>
                  </w:r>
                </w:p>
              </w:tc>
              <w:tc>
                <w:tcPr>
                  <w:tcW w:w="543" w:type="pct"/>
                  <w:tcBorders>
                    <w:tl2br w:val="nil"/>
                    <w:tr2bl w:val="nil"/>
                  </w:tcBorders>
                  <w:shd w:val="clear" w:color="auto" w:fill="auto"/>
                  <w:vAlign w:val="center"/>
                </w:tcPr>
                <w:p w14:paraId="082FB878">
                  <w:pPr>
                    <w:topLinePunct/>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579</w:t>
                  </w:r>
                </w:p>
              </w:tc>
              <w:tc>
                <w:tcPr>
                  <w:tcW w:w="378" w:type="pct"/>
                  <w:tcBorders>
                    <w:tl2br w:val="nil"/>
                    <w:tr2bl w:val="nil"/>
                  </w:tcBorders>
                  <w:shd w:val="clear" w:color="auto" w:fill="auto"/>
                  <w:vAlign w:val="center"/>
                </w:tcPr>
                <w:p w14:paraId="16073D2D">
                  <w:pPr>
                    <w:topLinePun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15</w:t>
                  </w:r>
                </w:p>
              </w:tc>
              <w:tc>
                <w:tcPr>
                  <w:tcW w:w="362" w:type="pct"/>
                  <w:tcBorders>
                    <w:tl2br w:val="nil"/>
                    <w:tr2bl w:val="nil"/>
                  </w:tcBorders>
                  <w:shd w:val="clear" w:color="auto" w:fill="auto"/>
                  <w:vAlign w:val="center"/>
                </w:tcPr>
                <w:p w14:paraId="22E57988">
                  <w:pPr>
                    <w:topLinePunct/>
                    <w:jc w:val="center"/>
                    <w:rPr>
                      <w:rFonts w:hint="eastAsia"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0.</w:t>
                  </w:r>
                  <w:r>
                    <w:rPr>
                      <w:rFonts w:hint="eastAsia" w:ascii="Times New Roman" w:hAnsi="Times New Roman" w:eastAsia="宋体" w:cs="Times New Roman"/>
                      <w:color w:val="auto"/>
                      <w:szCs w:val="21"/>
                      <w:highlight w:val="none"/>
                      <w:lang w:val="en-US" w:eastAsia="zh-CN"/>
                    </w:rPr>
                    <w:t>4</w:t>
                  </w:r>
                </w:p>
              </w:tc>
              <w:tc>
                <w:tcPr>
                  <w:tcW w:w="320" w:type="pct"/>
                  <w:tcBorders>
                    <w:tl2br w:val="nil"/>
                    <w:tr2bl w:val="nil"/>
                  </w:tcBorders>
                  <w:shd w:val="clear" w:color="auto" w:fill="auto"/>
                  <w:vAlign w:val="center"/>
                </w:tcPr>
                <w:p w14:paraId="31C1BEFF">
                  <w:pPr>
                    <w:topLinePunct/>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11</w:t>
                  </w:r>
                </w:p>
              </w:tc>
              <w:tc>
                <w:tcPr>
                  <w:tcW w:w="287" w:type="pct"/>
                  <w:tcBorders>
                    <w:tl2br w:val="nil"/>
                    <w:tr2bl w:val="nil"/>
                  </w:tcBorders>
                  <w:vAlign w:val="center"/>
                </w:tcPr>
                <w:p w14:paraId="290DFB2F">
                  <w:pPr>
                    <w:topLinePunct/>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25</w:t>
                  </w:r>
                </w:p>
              </w:tc>
              <w:tc>
                <w:tcPr>
                  <w:tcW w:w="441" w:type="pct"/>
                  <w:tcBorders>
                    <w:tl2br w:val="nil"/>
                    <w:tr2bl w:val="nil"/>
                  </w:tcBorders>
                  <w:vAlign w:val="center"/>
                </w:tcPr>
                <w:p w14:paraId="17B068FE">
                  <w:pPr>
                    <w:topLinePunct/>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2400</w:t>
                  </w:r>
                </w:p>
              </w:tc>
              <w:tc>
                <w:tcPr>
                  <w:tcW w:w="233" w:type="pct"/>
                  <w:tcBorders>
                    <w:tl2br w:val="nil"/>
                    <w:tr2bl w:val="nil"/>
                  </w:tcBorders>
                  <w:shd w:val="clear" w:color="auto" w:fill="auto"/>
                  <w:vAlign w:val="center"/>
                </w:tcPr>
                <w:p w14:paraId="56EE72DF">
                  <w:pPr>
                    <w:topLinePun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正常</w:t>
                  </w:r>
                </w:p>
              </w:tc>
              <w:tc>
                <w:tcPr>
                  <w:tcW w:w="352" w:type="pct"/>
                  <w:tcBorders>
                    <w:tl2br w:val="nil"/>
                    <w:tr2bl w:val="nil"/>
                  </w:tcBorders>
                  <w:shd w:val="clear" w:color="auto" w:fill="auto"/>
                  <w:vAlign w:val="center"/>
                </w:tcPr>
                <w:p w14:paraId="526F8185">
                  <w:pPr>
                    <w:topLinePun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非甲烷总烃</w:t>
                  </w:r>
                </w:p>
              </w:tc>
              <w:tc>
                <w:tcPr>
                  <w:tcW w:w="433" w:type="pct"/>
                  <w:tcBorders>
                    <w:tl2br w:val="nil"/>
                    <w:tr2bl w:val="nil"/>
                  </w:tcBorders>
                  <w:vAlign w:val="center"/>
                </w:tcPr>
                <w:p w14:paraId="6B8D8230">
                  <w:pPr>
                    <w:topLinePunct/>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0.089</w:t>
                  </w:r>
                </w:p>
              </w:tc>
            </w:tr>
            <w:tr w14:paraId="651D2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443" w:type="pct"/>
                  <w:vMerge w:val="restart"/>
                  <w:tcBorders>
                    <w:tl2br w:val="nil"/>
                    <w:tr2bl w:val="nil"/>
                  </w:tcBorders>
                  <w:vAlign w:val="center"/>
                </w:tcPr>
                <w:p w14:paraId="1CC01113">
                  <w:pPr>
                    <w:topLinePunct/>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机械精加工车间</w:t>
                  </w:r>
                  <w:r>
                    <w:rPr>
                      <w:rFonts w:hint="default" w:ascii="Times New Roman" w:hAnsi="Times New Roman" w:eastAsia="宋体" w:cs="Times New Roman"/>
                      <w:color w:val="auto"/>
                      <w:szCs w:val="21"/>
                      <w:highlight w:val="none"/>
                    </w:rPr>
                    <w:t>排口DA00</w:t>
                  </w:r>
                  <w:r>
                    <w:rPr>
                      <w:rFonts w:hint="eastAsia" w:ascii="Times New Roman" w:hAnsi="Times New Roman" w:eastAsia="宋体" w:cs="Times New Roman"/>
                      <w:color w:val="auto"/>
                      <w:szCs w:val="21"/>
                      <w:highlight w:val="none"/>
                      <w:lang w:val="en-US" w:eastAsia="zh-CN"/>
                    </w:rPr>
                    <w:t>3</w:t>
                  </w:r>
                </w:p>
              </w:tc>
              <w:tc>
                <w:tcPr>
                  <w:tcW w:w="595" w:type="pct"/>
                  <w:vMerge w:val="restart"/>
                  <w:tcBorders>
                    <w:tl2br w:val="nil"/>
                    <w:tr2bl w:val="nil"/>
                  </w:tcBorders>
                  <w:vAlign w:val="center"/>
                </w:tcPr>
                <w:p w14:paraId="6261D7B7">
                  <w:pPr>
                    <w:topLinePunct/>
                    <w:jc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87</w:t>
                  </w:r>
                  <w:r>
                    <w:rPr>
                      <w:rFonts w:hint="default" w:ascii="Times New Roman" w:hAnsi="Times New Roman" w:eastAsia="宋体" w:cs="Times New Roman"/>
                      <w:color w:val="auto"/>
                      <w:szCs w:val="21"/>
                      <w:highlight w:val="none"/>
                      <w:lang w:val="en-US" w:eastAsia="zh-CN"/>
                    </w:rPr>
                    <w:t>°</w:t>
                  </w:r>
                  <w:r>
                    <w:rPr>
                      <w:rFonts w:hint="eastAsia" w:ascii="Times New Roman" w:hAnsi="Times New Roman" w:eastAsia="宋体" w:cs="Times New Roman"/>
                      <w:color w:val="auto"/>
                      <w:szCs w:val="21"/>
                      <w:highlight w:val="none"/>
                      <w:lang w:val="en-US" w:eastAsia="zh-CN"/>
                    </w:rPr>
                    <w:t>13′18.36″</w:t>
                  </w:r>
                </w:p>
              </w:tc>
              <w:tc>
                <w:tcPr>
                  <w:tcW w:w="607" w:type="pct"/>
                  <w:vMerge w:val="restart"/>
                  <w:tcBorders>
                    <w:tl2br w:val="nil"/>
                    <w:tr2bl w:val="nil"/>
                  </w:tcBorders>
                  <w:vAlign w:val="center"/>
                </w:tcPr>
                <w:p w14:paraId="6847B9E3">
                  <w:pPr>
                    <w:topLinePunct/>
                    <w:jc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44</w:t>
                  </w:r>
                  <w:r>
                    <w:rPr>
                      <w:rFonts w:hint="default" w:ascii="Times New Roman" w:hAnsi="Times New Roman" w:eastAsia="宋体" w:cs="Times New Roman"/>
                      <w:color w:val="auto"/>
                      <w:szCs w:val="21"/>
                      <w:highlight w:val="none"/>
                      <w:lang w:val="en-US" w:eastAsia="zh-CN"/>
                    </w:rPr>
                    <w:t>°</w:t>
                  </w:r>
                  <w:r>
                    <w:rPr>
                      <w:rFonts w:hint="eastAsia" w:ascii="Times New Roman" w:hAnsi="Times New Roman" w:eastAsia="宋体" w:cs="Times New Roman"/>
                      <w:color w:val="auto"/>
                      <w:szCs w:val="21"/>
                      <w:highlight w:val="none"/>
                      <w:lang w:val="en-US" w:eastAsia="zh-CN"/>
                    </w:rPr>
                    <w:t>02′32.64″</w:t>
                  </w:r>
                </w:p>
              </w:tc>
              <w:tc>
                <w:tcPr>
                  <w:tcW w:w="543" w:type="pct"/>
                  <w:vMerge w:val="restart"/>
                  <w:tcBorders>
                    <w:tl2br w:val="nil"/>
                    <w:tr2bl w:val="nil"/>
                  </w:tcBorders>
                  <w:shd w:val="clear" w:color="auto" w:fill="auto"/>
                  <w:vAlign w:val="center"/>
                </w:tcPr>
                <w:p w14:paraId="702A2D8A">
                  <w:pPr>
                    <w:topLinePunct/>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578</w:t>
                  </w:r>
                </w:p>
              </w:tc>
              <w:tc>
                <w:tcPr>
                  <w:tcW w:w="378" w:type="pct"/>
                  <w:vMerge w:val="restart"/>
                  <w:tcBorders>
                    <w:tl2br w:val="nil"/>
                    <w:tr2bl w:val="nil"/>
                  </w:tcBorders>
                  <w:shd w:val="clear" w:color="auto" w:fill="auto"/>
                  <w:vAlign w:val="center"/>
                </w:tcPr>
                <w:p w14:paraId="65E48562">
                  <w:pPr>
                    <w:topLinePun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15</w:t>
                  </w:r>
                </w:p>
              </w:tc>
              <w:tc>
                <w:tcPr>
                  <w:tcW w:w="362" w:type="pct"/>
                  <w:vMerge w:val="restart"/>
                  <w:tcBorders>
                    <w:tl2br w:val="nil"/>
                    <w:tr2bl w:val="nil"/>
                  </w:tcBorders>
                  <w:shd w:val="clear" w:color="auto" w:fill="auto"/>
                  <w:vAlign w:val="center"/>
                </w:tcPr>
                <w:p w14:paraId="26C5A685">
                  <w:pPr>
                    <w:topLinePunct/>
                    <w:jc w:val="center"/>
                    <w:rPr>
                      <w:rFonts w:hint="eastAsia"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0.</w:t>
                  </w:r>
                  <w:r>
                    <w:rPr>
                      <w:rFonts w:hint="eastAsia" w:ascii="Times New Roman" w:hAnsi="Times New Roman" w:eastAsia="宋体" w:cs="Times New Roman"/>
                      <w:color w:val="auto"/>
                      <w:szCs w:val="21"/>
                      <w:highlight w:val="none"/>
                      <w:lang w:val="en-US" w:eastAsia="zh-CN"/>
                    </w:rPr>
                    <w:t>4</w:t>
                  </w:r>
                </w:p>
              </w:tc>
              <w:tc>
                <w:tcPr>
                  <w:tcW w:w="320" w:type="pct"/>
                  <w:vMerge w:val="restart"/>
                  <w:tcBorders>
                    <w:tl2br w:val="nil"/>
                    <w:tr2bl w:val="nil"/>
                  </w:tcBorders>
                  <w:shd w:val="clear" w:color="auto" w:fill="auto"/>
                  <w:vAlign w:val="center"/>
                </w:tcPr>
                <w:p w14:paraId="13E37434">
                  <w:pPr>
                    <w:topLinePunct/>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15</w:t>
                  </w:r>
                </w:p>
              </w:tc>
              <w:tc>
                <w:tcPr>
                  <w:tcW w:w="287" w:type="pct"/>
                  <w:vMerge w:val="restart"/>
                  <w:tcBorders>
                    <w:tl2br w:val="nil"/>
                    <w:tr2bl w:val="nil"/>
                  </w:tcBorders>
                  <w:vAlign w:val="center"/>
                </w:tcPr>
                <w:p w14:paraId="5377123B">
                  <w:pPr>
                    <w:topLinePunct/>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60</w:t>
                  </w:r>
                </w:p>
              </w:tc>
              <w:tc>
                <w:tcPr>
                  <w:tcW w:w="441" w:type="pct"/>
                  <w:vMerge w:val="restart"/>
                  <w:tcBorders>
                    <w:tl2br w:val="nil"/>
                    <w:tr2bl w:val="nil"/>
                  </w:tcBorders>
                  <w:shd w:val="clear" w:color="auto" w:fill="auto"/>
                  <w:vAlign w:val="center"/>
                </w:tcPr>
                <w:p w14:paraId="7BE29711">
                  <w:pPr>
                    <w:topLinePunct/>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2400</w:t>
                  </w:r>
                </w:p>
              </w:tc>
              <w:tc>
                <w:tcPr>
                  <w:tcW w:w="233" w:type="pct"/>
                  <w:vMerge w:val="restart"/>
                  <w:tcBorders>
                    <w:tl2br w:val="nil"/>
                    <w:tr2bl w:val="nil"/>
                  </w:tcBorders>
                  <w:shd w:val="clear" w:color="auto" w:fill="auto"/>
                  <w:vAlign w:val="center"/>
                </w:tcPr>
                <w:p w14:paraId="4CF186B2">
                  <w:pPr>
                    <w:topLinePun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正常</w:t>
                  </w:r>
                </w:p>
              </w:tc>
              <w:tc>
                <w:tcPr>
                  <w:tcW w:w="352" w:type="pct"/>
                  <w:tcBorders>
                    <w:tl2br w:val="nil"/>
                    <w:tr2bl w:val="nil"/>
                  </w:tcBorders>
                  <w:shd w:val="clear" w:color="auto" w:fill="auto"/>
                  <w:vAlign w:val="center"/>
                </w:tcPr>
                <w:p w14:paraId="2C44FBA8">
                  <w:pPr>
                    <w:topLinePun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颗粒物</w:t>
                  </w:r>
                </w:p>
              </w:tc>
              <w:tc>
                <w:tcPr>
                  <w:tcW w:w="433" w:type="pct"/>
                  <w:tcBorders>
                    <w:tl2br w:val="nil"/>
                    <w:tr2bl w:val="nil"/>
                  </w:tcBorders>
                  <w:vAlign w:val="center"/>
                </w:tcPr>
                <w:p w14:paraId="44F7838E">
                  <w:pPr>
                    <w:topLinePunct/>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0.59</w:t>
                  </w:r>
                </w:p>
              </w:tc>
            </w:tr>
            <w:tr w14:paraId="39660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443" w:type="pct"/>
                  <w:vMerge w:val="continue"/>
                  <w:tcBorders>
                    <w:tl2br w:val="nil"/>
                    <w:tr2bl w:val="nil"/>
                  </w:tcBorders>
                  <w:vAlign w:val="center"/>
                </w:tcPr>
                <w:p w14:paraId="4B09D08F">
                  <w:pPr>
                    <w:topLinePunct/>
                    <w:jc w:val="center"/>
                    <w:rPr>
                      <w:color w:val="auto"/>
                    </w:rPr>
                  </w:pPr>
                </w:p>
              </w:tc>
              <w:tc>
                <w:tcPr>
                  <w:tcW w:w="595" w:type="pct"/>
                  <w:vMerge w:val="continue"/>
                  <w:tcBorders>
                    <w:tl2br w:val="nil"/>
                    <w:tr2bl w:val="nil"/>
                  </w:tcBorders>
                  <w:vAlign w:val="center"/>
                </w:tcPr>
                <w:p w14:paraId="17081D2A">
                  <w:pPr>
                    <w:topLinePunct/>
                    <w:jc w:val="center"/>
                    <w:rPr>
                      <w:color w:val="auto"/>
                    </w:rPr>
                  </w:pPr>
                </w:p>
              </w:tc>
              <w:tc>
                <w:tcPr>
                  <w:tcW w:w="607" w:type="pct"/>
                  <w:vMerge w:val="continue"/>
                  <w:tcBorders>
                    <w:tl2br w:val="nil"/>
                    <w:tr2bl w:val="nil"/>
                  </w:tcBorders>
                  <w:vAlign w:val="center"/>
                </w:tcPr>
                <w:p w14:paraId="3EE666EA">
                  <w:pPr>
                    <w:topLinePunct/>
                    <w:jc w:val="center"/>
                    <w:rPr>
                      <w:color w:val="auto"/>
                    </w:rPr>
                  </w:pPr>
                </w:p>
              </w:tc>
              <w:tc>
                <w:tcPr>
                  <w:tcW w:w="543" w:type="pct"/>
                  <w:vMerge w:val="continue"/>
                  <w:tcBorders>
                    <w:tl2br w:val="nil"/>
                    <w:tr2bl w:val="nil"/>
                  </w:tcBorders>
                  <w:shd w:val="clear" w:color="auto" w:fill="auto"/>
                  <w:vAlign w:val="center"/>
                </w:tcPr>
                <w:p w14:paraId="2F346D2E">
                  <w:pPr>
                    <w:topLinePunct/>
                    <w:jc w:val="center"/>
                    <w:rPr>
                      <w:color w:val="auto"/>
                    </w:rPr>
                  </w:pPr>
                </w:p>
              </w:tc>
              <w:tc>
                <w:tcPr>
                  <w:tcW w:w="378" w:type="pct"/>
                  <w:vMerge w:val="continue"/>
                  <w:tcBorders>
                    <w:tl2br w:val="nil"/>
                    <w:tr2bl w:val="nil"/>
                  </w:tcBorders>
                  <w:shd w:val="clear" w:color="auto" w:fill="auto"/>
                  <w:vAlign w:val="center"/>
                </w:tcPr>
                <w:p w14:paraId="5B30E611">
                  <w:pPr>
                    <w:topLinePunct/>
                    <w:jc w:val="center"/>
                    <w:rPr>
                      <w:color w:val="auto"/>
                    </w:rPr>
                  </w:pPr>
                </w:p>
              </w:tc>
              <w:tc>
                <w:tcPr>
                  <w:tcW w:w="362" w:type="pct"/>
                  <w:vMerge w:val="continue"/>
                  <w:tcBorders>
                    <w:tl2br w:val="nil"/>
                    <w:tr2bl w:val="nil"/>
                  </w:tcBorders>
                  <w:shd w:val="clear" w:color="auto" w:fill="auto"/>
                  <w:vAlign w:val="center"/>
                </w:tcPr>
                <w:p w14:paraId="0A6FE573">
                  <w:pPr>
                    <w:topLinePunct/>
                    <w:jc w:val="center"/>
                    <w:rPr>
                      <w:color w:val="auto"/>
                    </w:rPr>
                  </w:pPr>
                </w:p>
              </w:tc>
              <w:tc>
                <w:tcPr>
                  <w:tcW w:w="320" w:type="pct"/>
                  <w:vMerge w:val="continue"/>
                  <w:tcBorders>
                    <w:tl2br w:val="nil"/>
                    <w:tr2bl w:val="nil"/>
                  </w:tcBorders>
                  <w:shd w:val="clear" w:color="auto" w:fill="auto"/>
                  <w:vAlign w:val="center"/>
                </w:tcPr>
                <w:p w14:paraId="0D9B1DA9">
                  <w:pPr>
                    <w:topLinePunct/>
                    <w:jc w:val="center"/>
                    <w:rPr>
                      <w:color w:val="auto"/>
                    </w:rPr>
                  </w:pPr>
                </w:p>
              </w:tc>
              <w:tc>
                <w:tcPr>
                  <w:tcW w:w="287" w:type="pct"/>
                  <w:vMerge w:val="continue"/>
                  <w:tcBorders>
                    <w:tl2br w:val="nil"/>
                    <w:tr2bl w:val="nil"/>
                  </w:tcBorders>
                  <w:vAlign w:val="center"/>
                </w:tcPr>
                <w:p w14:paraId="6717F978">
                  <w:pPr>
                    <w:topLinePunct/>
                    <w:jc w:val="center"/>
                    <w:rPr>
                      <w:color w:val="auto"/>
                    </w:rPr>
                  </w:pPr>
                </w:p>
              </w:tc>
              <w:tc>
                <w:tcPr>
                  <w:tcW w:w="441" w:type="pct"/>
                  <w:vMerge w:val="continue"/>
                  <w:tcBorders>
                    <w:tl2br w:val="nil"/>
                    <w:tr2bl w:val="nil"/>
                  </w:tcBorders>
                  <w:shd w:val="clear" w:color="auto" w:fill="auto"/>
                  <w:vAlign w:val="center"/>
                </w:tcPr>
                <w:p w14:paraId="6DA6A06F">
                  <w:pPr>
                    <w:topLinePunct/>
                    <w:jc w:val="center"/>
                    <w:rPr>
                      <w:color w:val="auto"/>
                    </w:rPr>
                  </w:pPr>
                </w:p>
              </w:tc>
              <w:tc>
                <w:tcPr>
                  <w:tcW w:w="233" w:type="pct"/>
                  <w:vMerge w:val="continue"/>
                  <w:tcBorders>
                    <w:tl2br w:val="nil"/>
                    <w:tr2bl w:val="nil"/>
                  </w:tcBorders>
                  <w:shd w:val="clear" w:color="auto" w:fill="auto"/>
                  <w:vAlign w:val="center"/>
                </w:tcPr>
                <w:p w14:paraId="6B0E465B">
                  <w:pPr>
                    <w:topLinePunct/>
                    <w:jc w:val="center"/>
                    <w:rPr>
                      <w:color w:val="auto"/>
                    </w:rPr>
                  </w:pPr>
                </w:p>
              </w:tc>
              <w:tc>
                <w:tcPr>
                  <w:tcW w:w="352" w:type="pct"/>
                  <w:tcBorders>
                    <w:tl2br w:val="nil"/>
                    <w:tr2bl w:val="nil"/>
                  </w:tcBorders>
                  <w:shd w:val="clear" w:color="auto" w:fill="auto"/>
                  <w:vAlign w:val="center"/>
                </w:tcPr>
                <w:p w14:paraId="41FEBB13">
                  <w:pPr>
                    <w:topLinePunct/>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VOCs</w:t>
                  </w:r>
                </w:p>
              </w:tc>
              <w:tc>
                <w:tcPr>
                  <w:tcW w:w="433" w:type="pct"/>
                  <w:tcBorders>
                    <w:tl2br w:val="nil"/>
                    <w:tr2bl w:val="nil"/>
                  </w:tcBorders>
                  <w:vAlign w:val="center"/>
                </w:tcPr>
                <w:p w14:paraId="08EA0299">
                  <w:pPr>
                    <w:topLinePunct/>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0.01</w:t>
                  </w:r>
                </w:p>
              </w:tc>
            </w:tr>
          </w:tbl>
          <w:p w14:paraId="391492A0">
            <w:pPr>
              <w:pageBreakBefore w:val="0"/>
              <w:widowControl w:val="0"/>
              <w:kinsoku/>
              <w:wordWrap/>
              <w:overflowPunct/>
              <w:topLinePunct w:val="0"/>
              <w:autoSpaceDE/>
              <w:autoSpaceDN/>
              <w:bidi w:val="0"/>
              <w:adjustRightInd/>
              <w:snapToGrid/>
              <w:spacing w:before="0" w:after="0" w:line="360" w:lineRule="auto"/>
              <w:ind w:right="0"/>
              <w:jc w:val="both"/>
              <w:textAlignment w:val="auto"/>
              <w:rPr>
                <w:rFonts w:hint="eastAsia" w:cs="Times New Roman"/>
                <w:b/>
                <w:bCs/>
                <w:color w:val="auto"/>
                <w:sz w:val="24"/>
                <w:szCs w:val="24"/>
                <w:highlight w:val="none"/>
                <w:lang w:val="en-US" w:eastAsia="zh-CN"/>
              </w:rPr>
            </w:pPr>
          </w:p>
          <w:p w14:paraId="2EB693A1">
            <w:pPr>
              <w:pageBreakBefore w:val="0"/>
              <w:widowControl w:val="0"/>
              <w:kinsoku/>
              <w:wordWrap/>
              <w:overflowPunct/>
              <w:topLinePunct w:val="0"/>
              <w:autoSpaceDE/>
              <w:autoSpaceDN/>
              <w:bidi w:val="0"/>
              <w:adjustRightInd/>
              <w:snapToGrid/>
              <w:spacing w:before="0" w:after="0" w:line="360" w:lineRule="auto"/>
              <w:ind w:right="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cs="Times New Roman"/>
                <w:b/>
                <w:bCs/>
                <w:color w:val="auto"/>
                <w:sz w:val="24"/>
                <w:szCs w:val="24"/>
                <w:highlight w:val="none"/>
                <w:lang w:val="en-US" w:eastAsia="zh-CN"/>
              </w:rPr>
              <w:t>1.6</w:t>
            </w:r>
            <w:r>
              <w:rPr>
                <w:rFonts w:hint="eastAsia" w:ascii="Times New Roman" w:hAnsi="Times New Roman" w:eastAsia="宋体" w:cs="Times New Roman"/>
                <w:b/>
                <w:bCs/>
                <w:color w:val="auto"/>
                <w:kern w:val="2"/>
                <w:sz w:val="24"/>
                <w:szCs w:val="24"/>
                <w:highlight w:val="none"/>
                <w:lang w:val="en-US" w:eastAsia="zh-CN" w:bidi="ar-SA"/>
              </w:rPr>
              <w:t>环境影响分析</w:t>
            </w:r>
          </w:p>
          <w:p w14:paraId="5755565D">
            <w:pPr>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宋体" w:cs="Times New Roman"/>
                <w:color w:val="auto"/>
                <w:kern w:val="2"/>
                <w:sz w:val="24"/>
                <w:szCs w:val="24"/>
                <w:highlight w:val="none"/>
                <w:lang w:val="en-US" w:eastAsia="zh-CN"/>
              </w:rPr>
            </w:pPr>
            <w:r>
              <w:rPr>
                <w:rFonts w:hint="eastAsia" w:ascii="Times New Roman" w:hAnsi="Times New Roman" w:eastAsia="宋体" w:cs="Times New Roman"/>
                <w:color w:val="auto"/>
                <w:kern w:val="2"/>
                <w:sz w:val="24"/>
                <w:szCs w:val="24"/>
                <w:highlight w:val="none"/>
                <w:lang w:val="en-US" w:eastAsia="zh-CN"/>
              </w:rPr>
              <w:t>根据《建设项目环境影响报告表编制技术指南（污染影响类）（试行）》要求“结合建设项目所在区域环境质量现状、环境保护目标、项目采取的污染治理措施及污染物排放强度、排放方式，定性分析废气排放的环境影响”。因此本次环评环境影响分析进行定性分析。</w:t>
            </w:r>
          </w:p>
          <w:p w14:paraId="6DE159A6">
            <w:pPr>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t>依据《环境影响评价技术导则 大气环境》（HJ2.2-2018），本项目属于二级评价，大气评价范围为5km，环境空气质量现状需调查项目所在区域环境质量达标情况以及污染物情况。</w:t>
            </w:r>
          </w:p>
          <w:p w14:paraId="202360BB">
            <w:pPr>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宋体" w:cs="Times New Roman"/>
                <w:color w:val="auto"/>
                <w:kern w:val="2"/>
                <w:sz w:val="24"/>
                <w:szCs w:val="24"/>
                <w:highlight w:val="none"/>
                <w:lang w:val="en-US" w:eastAsia="zh-CN"/>
              </w:rPr>
            </w:pPr>
            <w:r>
              <w:rPr>
                <w:rFonts w:hint="eastAsia" w:ascii="Times New Roman" w:hAnsi="Times New Roman" w:eastAsia="宋体" w:cs="Times New Roman"/>
                <w:color w:val="auto"/>
                <w:kern w:val="2"/>
                <w:sz w:val="24"/>
                <w:szCs w:val="24"/>
                <w:highlight w:val="none"/>
                <w:lang w:val="en-US" w:eastAsia="zh-CN"/>
              </w:rPr>
              <w:t>本项目厂界外500米范围内无自然保护区、风景名胜区、文化区</w:t>
            </w:r>
            <w:r>
              <w:rPr>
                <w:rFonts w:hint="eastAsia" w:cs="Times New Roman"/>
                <w:color w:val="auto"/>
                <w:kern w:val="2"/>
                <w:sz w:val="24"/>
                <w:szCs w:val="24"/>
                <w:highlight w:val="none"/>
                <w:lang w:val="en-US" w:eastAsia="zh-CN"/>
              </w:rPr>
              <w:t>，不存在环境空气</w:t>
            </w:r>
            <w:r>
              <w:rPr>
                <w:rFonts w:hint="eastAsia" w:ascii="Times New Roman" w:hAnsi="Times New Roman" w:eastAsia="宋体" w:cs="Times New Roman"/>
                <w:color w:val="auto"/>
                <w:kern w:val="2"/>
                <w:sz w:val="24"/>
                <w:szCs w:val="24"/>
                <w:highlight w:val="none"/>
                <w:lang w:val="en-US" w:eastAsia="zh-CN"/>
              </w:rPr>
              <w:t>保护目标。</w:t>
            </w:r>
          </w:p>
          <w:p w14:paraId="2B0136DD">
            <w:pPr>
              <w:pStyle w:val="7"/>
              <w:pageBreakBefore w:val="0"/>
              <w:kinsoku/>
              <w:wordWrap/>
              <w:overflowPunct/>
              <w:topLinePunct w:val="0"/>
              <w:autoSpaceDE/>
              <w:autoSpaceDN/>
              <w:bidi w:val="0"/>
              <w:spacing w:beforeLines="0" w:afterLines="0" w:line="360" w:lineRule="auto"/>
              <w:ind w:right="0" w:firstLine="480" w:firstLineChars="200"/>
              <w:jc w:val="both"/>
              <w:textAlignment w:val="auto"/>
              <w:rPr>
                <w:rFonts w:hint="default" w:cs="Times New Roman"/>
                <w:b/>
                <w:bCs/>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本项目下料切割工序产生的颗粒物经袋式除尘器处理后通过15m高排气筒（DA001）排放，满足</w:t>
            </w:r>
            <w:r>
              <w:rPr>
                <w:rFonts w:hint="default" w:ascii="Times New Roman" w:hAnsi="Times New Roman" w:eastAsia="宋体" w:cs="Times New Roman"/>
                <w:color w:val="auto"/>
                <w:kern w:val="2"/>
                <w:sz w:val="24"/>
                <w:szCs w:val="24"/>
                <w:highlight w:val="none"/>
                <w:lang w:val="en-US" w:eastAsia="zh-CN" w:bidi="ar-SA"/>
              </w:rPr>
              <w:t>《大气污染物综合排放标准》（GB16297-1996）中表2新污染源大气污染物排放限值</w:t>
            </w:r>
            <w:r>
              <w:rPr>
                <w:rFonts w:hint="eastAsia" w:cs="Times New Roman"/>
                <w:color w:val="auto"/>
                <w:kern w:val="2"/>
                <w:sz w:val="24"/>
                <w:szCs w:val="24"/>
                <w:highlight w:val="none"/>
                <w:lang w:val="en-US" w:eastAsia="zh-CN" w:bidi="ar-SA"/>
              </w:rPr>
              <w:t>（</w:t>
            </w:r>
            <w:r>
              <w:rPr>
                <w:rFonts w:hint="eastAsia" w:cs="宋体"/>
                <w:color w:val="auto"/>
                <w:sz w:val="24"/>
                <w:szCs w:val="24"/>
                <w:highlight w:val="none"/>
                <w:vertAlign w:val="baseline"/>
                <w:lang w:val="en-US" w:eastAsia="zh-CN"/>
              </w:rPr>
              <w:t>120mg/</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eastAsia" w:cs="Times New Roman"/>
                <w:color w:val="auto"/>
                <w:kern w:val="2"/>
                <w:sz w:val="24"/>
                <w:szCs w:val="24"/>
                <w:highlight w:val="none"/>
                <w:lang w:val="en-US" w:eastAsia="zh-CN" w:bidi="ar-SA"/>
              </w:rPr>
              <w:t>）；</w:t>
            </w:r>
            <w:r>
              <w:rPr>
                <w:rFonts w:hint="eastAsia" w:cs="宋体"/>
                <w:color w:val="auto"/>
                <w:sz w:val="24"/>
                <w:szCs w:val="24"/>
                <w:highlight w:val="none"/>
                <w:vertAlign w:val="baseline"/>
                <w:lang w:val="en-US" w:eastAsia="zh-CN"/>
              </w:rPr>
              <w:t>本项目抛丸打磨工序产生的颗粒物经袋式除尘器处理后通过15m高排气筒（DA002）排放，满足</w:t>
            </w:r>
            <w:r>
              <w:rPr>
                <w:rFonts w:hint="default" w:ascii="Times New Roman" w:hAnsi="Times New Roman" w:eastAsia="宋体" w:cs="Times New Roman"/>
                <w:color w:val="auto"/>
                <w:kern w:val="2"/>
                <w:sz w:val="24"/>
                <w:szCs w:val="24"/>
                <w:highlight w:val="none"/>
                <w:lang w:val="en-US" w:eastAsia="zh-CN" w:bidi="ar-SA"/>
              </w:rPr>
              <w:t>《大气污染物综合排放标准》（GB16297-1996）中表2新污染源大气污染物排放限值</w:t>
            </w:r>
            <w:r>
              <w:rPr>
                <w:rFonts w:hint="eastAsia" w:cs="Times New Roman"/>
                <w:color w:val="auto"/>
                <w:kern w:val="2"/>
                <w:sz w:val="24"/>
                <w:szCs w:val="24"/>
                <w:highlight w:val="none"/>
                <w:lang w:val="en-US" w:eastAsia="zh-CN" w:bidi="ar-SA"/>
              </w:rPr>
              <w:t>（</w:t>
            </w:r>
            <w:r>
              <w:rPr>
                <w:rFonts w:hint="eastAsia" w:cs="宋体"/>
                <w:color w:val="auto"/>
                <w:sz w:val="24"/>
                <w:szCs w:val="24"/>
                <w:highlight w:val="none"/>
                <w:vertAlign w:val="baseline"/>
                <w:lang w:val="en-US" w:eastAsia="zh-CN"/>
              </w:rPr>
              <w:t>120mg/</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eastAsia" w:cs="Times New Roman"/>
                <w:color w:val="auto"/>
                <w:kern w:val="2"/>
                <w:sz w:val="24"/>
                <w:szCs w:val="24"/>
                <w:highlight w:val="none"/>
                <w:lang w:val="en-US" w:eastAsia="zh-CN" w:bidi="ar-SA"/>
              </w:rPr>
              <w:t>）；本项目焊接工序产生的焊烟经移动式烟尘净化器处理后无组织排放，处理后满足</w:t>
            </w:r>
            <w:r>
              <w:rPr>
                <w:rFonts w:hint="default" w:ascii="Times New Roman" w:hAnsi="Times New Roman" w:eastAsia="宋体" w:cs="Times New Roman"/>
                <w:color w:val="auto"/>
                <w:kern w:val="2"/>
                <w:sz w:val="24"/>
                <w:szCs w:val="24"/>
                <w:highlight w:val="none"/>
                <w:lang w:val="en-US" w:eastAsia="zh-CN" w:bidi="ar-SA"/>
              </w:rPr>
              <w:t>《大气污染物综合排放标准》（GB16297-1996）中表2新污染源大气污染物排放限值中无组织排放监控浓度限值要求</w:t>
            </w:r>
            <w:r>
              <w:rPr>
                <w:rFonts w:hint="eastAsia" w:cs="Times New Roman"/>
                <w:color w:val="auto"/>
                <w:kern w:val="2"/>
                <w:sz w:val="24"/>
                <w:szCs w:val="24"/>
                <w:highlight w:val="none"/>
                <w:lang w:val="en-US" w:eastAsia="zh-CN" w:bidi="ar-SA"/>
              </w:rPr>
              <w:t>；本项目喷塑烘干工序产生的颗粒物经袋式除尘器处理后</w:t>
            </w:r>
            <w:r>
              <w:rPr>
                <w:rFonts w:hint="eastAsia" w:cs="宋体"/>
                <w:color w:val="auto"/>
                <w:sz w:val="24"/>
                <w:szCs w:val="24"/>
                <w:highlight w:val="none"/>
                <w:vertAlign w:val="baseline"/>
                <w:lang w:val="en-US" w:eastAsia="zh-CN"/>
              </w:rPr>
              <w:t>通过15m高排气筒（DA003）排放，满足</w:t>
            </w:r>
            <w:r>
              <w:rPr>
                <w:rFonts w:hint="default" w:ascii="Times New Roman" w:hAnsi="Times New Roman" w:eastAsia="宋体" w:cs="Times New Roman"/>
                <w:color w:val="auto"/>
                <w:kern w:val="2"/>
                <w:sz w:val="24"/>
                <w:szCs w:val="24"/>
                <w:highlight w:val="none"/>
                <w:lang w:val="en-US" w:eastAsia="zh-CN" w:bidi="ar-SA"/>
              </w:rPr>
              <w:t>《大气污染物综合排放标准》（GB16297-1996）中表2新污染源大气污染物排放限值</w:t>
            </w:r>
            <w:r>
              <w:rPr>
                <w:rFonts w:hint="eastAsia" w:cs="Times New Roman"/>
                <w:color w:val="auto"/>
                <w:kern w:val="2"/>
                <w:sz w:val="24"/>
                <w:szCs w:val="24"/>
                <w:highlight w:val="none"/>
                <w:lang w:val="en-US" w:eastAsia="zh-CN" w:bidi="ar-SA"/>
              </w:rPr>
              <w:t>，</w:t>
            </w:r>
            <w:r>
              <w:rPr>
                <w:rFonts w:hint="eastAsia" w:cs="宋体"/>
                <w:color w:val="auto"/>
                <w:sz w:val="24"/>
                <w:szCs w:val="24"/>
                <w:highlight w:val="none"/>
                <w:vertAlign w:val="baseline"/>
                <w:lang w:val="en-US" w:eastAsia="zh-CN"/>
              </w:rPr>
              <w:t>产生的非甲烷总烃经活性炭吸附+催化燃烧处理后通过15m高排气筒（DA003）排放，满足</w:t>
            </w:r>
            <w:r>
              <w:rPr>
                <w:rFonts w:hint="default" w:ascii="Times New Roman" w:hAnsi="Times New Roman" w:eastAsia="宋体" w:cs="Times New Roman"/>
                <w:color w:val="auto"/>
                <w:kern w:val="2"/>
                <w:sz w:val="24"/>
                <w:szCs w:val="24"/>
                <w:highlight w:val="none"/>
                <w:lang w:val="en-US" w:eastAsia="zh-CN" w:bidi="ar-SA"/>
              </w:rPr>
              <w:t>《重污染天气重点行业应急减排措施制定技术指南》表39-1 A级企业排放限值</w:t>
            </w:r>
            <w:r>
              <w:rPr>
                <w:rFonts w:hint="eastAsia" w:cs="Times New Roman"/>
                <w:color w:val="auto"/>
                <w:kern w:val="2"/>
                <w:sz w:val="24"/>
                <w:szCs w:val="24"/>
                <w:highlight w:val="none"/>
                <w:lang w:val="en-US" w:eastAsia="zh-CN" w:bidi="ar-SA"/>
              </w:rPr>
              <w:t>。除尘器未收集的颗粒物无组织排放，通过洒水降尘，加大车间通风量控制，满足</w:t>
            </w:r>
            <w:r>
              <w:rPr>
                <w:rFonts w:hint="default" w:ascii="Times New Roman" w:hAnsi="Times New Roman" w:eastAsia="宋体" w:cs="Times New Roman"/>
                <w:color w:val="auto"/>
                <w:kern w:val="2"/>
                <w:sz w:val="24"/>
                <w:szCs w:val="24"/>
                <w:highlight w:val="none"/>
                <w:lang w:val="en-US" w:eastAsia="zh-CN" w:bidi="ar-SA"/>
              </w:rPr>
              <w:t>《大气污染物综合排放标准》（GB16297-1996）中表2新污染源大气污染物排放限值中无组织排放监控浓度限值要求</w:t>
            </w:r>
            <w:r>
              <w:rPr>
                <w:rFonts w:hint="eastAsia" w:cs="Times New Roman"/>
                <w:color w:val="auto"/>
                <w:kern w:val="2"/>
                <w:sz w:val="24"/>
                <w:szCs w:val="24"/>
                <w:highlight w:val="none"/>
                <w:lang w:val="en-US" w:eastAsia="zh-CN" w:bidi="ar-SA"/>
              </w:rPr>
              <w:t>。厂界内无组织非甲烷总烃最大排放量为活性炭吸附+催化燃烧未收集到的非甲烷总烃（0.26mg/m</w:t>
            </w:r>
            <w:r>
              <w:rPr>
                <w:rFonts w:hint="eastAsia" w:cs="Times New Roman"/>
                <w:color w:val="auto"/>
                <w:kern w:val="2"/>
                <w:sz w:val="24"/>
                <w:szCs w:val="24"/>
                <w:highlight w:val="none"/>
                <w:vertAlign w:val="superscript"/>
                <w:lang w:val="en-US" w:eastAsia="zh-CN" w:bidi="ar-SA"/>
              </w:rPr>
              <w:t>3</w:t>
            </w:r>
            <w:r>
              <w:rPr>
                <w:rFonts w:hint="eastAsia" w:cs="Times New Roman"/>
                <w:color w:val="auto"/>
                <w:kern w:val="2"/>
                <w:sz w:val="24"/>
                <w:szCs w:val="24"/>
                <w:highlight w:val="none"/>
                <w:lang w:val="en-US" w:eastAsia="zh-CN" w:bidi="ar-SA"/>
              </w:rPr>
              <w:t>）与未完全处理的非甲烷总烃（</w:t>
            </w:r>
            <w:r>
              <w:rPr>
                <w:rFonts w:hint="eastAsia" w:cs="Times New Roman"/>
                <w:color w:val="auto"/>
                <w:sz w:val="24"/>
                <w:szCs w:val="24"/>
                <w:highlight w:val="none"/>
                <w:lang w:val="en-US" w:eastAsia="zh-CN"/>
              </w:rPr>
              <w:t>3.8</w:t>
            </w:r>
            <w:r>
              <w:rPr>
                <w:rFonts w:hint="default" w:ascii="Times New Roman" w:hAnsi="Times New Roman" w:cs="Times New Roman"/>
                <w:color w:val="auto"/>
                <w:sz w:val="24"/>
                <w:szCs w:val="24"/>
                <w:highlight w:val="none"/>
              </w:rPr>
              <w:t>mg/m</w:t>
            </w:r>
            <w:r>
              <w:rPr>
                <w:rFonts w:hint="default" w:ascii="Times New Roman" w:hAnsi="Times New Roman" w:cs="Times New Roman"/>
                <w:color w:val="auto"/>
                <w:sz w:val="24"/>
                <w:szCs w:val="24"/>
                <w:highlight w:val="none"/>
                <w:vertAlign w:val="superscript"/>
              </w:rPr>
              <w:t>3</w:t>
            </w:r>
            <w:r>
              <w:rPr>
                <w:rFonts w:hint="eastAsia" w:cs="Times New Roman"/>
                <w:color w:val="auto"/>
                <w:kern w:val="2"/>
                <w:sz w:val="24"/>
                <w:szCs w:val="24"/>
                <w:highlight w:val="none"/>
                <w:lang w:val="en-US" w:eastAsia="zh-CN" w:bidi="ar-SA"/>
              </w:rPr>
              <w:t>）之和，经计算得4.06</w:t>
            </w:r>
            <w:r>
              <w:rPr>
                <w:rFonts w:hint="default" w:ascii="Times New Roman" w:hAnsi="Times New Roman" w:cs="Times New Roman"/>
                <w:color w:val="auto"/>
                <w:sz w:val="24"/>
                <w:szCs w:val="24"/>
                <w:highlight w:val="none"/>
              </w:rPr>
              <w:t>mg/m</w:t>
            </w:r>
            <w:r>
              <w:rPr>
                <w:rFonts w:hint="default" w:ascii="Times New Roman" w:hAnsi="Times New Roman" w:cs="Times New Roman"/>
                <w:color w:val="auto"/>
                <w:sz w:val="24"/>
                <w:szCs w:val="24"/>
                <w:highlight w:val="none"/>
                <w:vertAlign w:val="superscript"/>
              </w:rPr>
              <w:t>3</w:t>
            </w:r>
            <w:r>
              <w:rPr>
                <w:rFonts w:hint="eastAsia" w:cs="Times New Roman"/>
                <w:color w:val="auto"/>
                <w:kern w:val="2"/>
                <w:sz w:val="24"/>
                <w:szCs w:val="24"/>
                <w:highlight w:val="none"/>
                <w:lang w:val="en-US" w:eastAsia="zh-CN" w:bidi="ar-SA"/>
              </w:rPr>
              <w:t>，产生的无组织非甲烷总烃通过加大车间通风量控制，满足</w:t>
            </w:r>
            <w:r>
              <w:rPr>
                <w:rFonts w:hint="default" w:ascii="Times New Roman" w:hAnsi="Times New Roman" w:eastAsia="宋体" w:cs="Times New Roman"/>
                <w:color w:val="auto"/>
                <w:kern w:val="2"/>
                <w:sz w:val="24"/>
                <w:szCs w:val="24"/>
                <w:highlight w:val="none"/>
                <w:lang w:val="en-US" w:eastAsia="zh-CN" w:bidi="ar-SA"/>
              </w:rPr>
              <w:t>《挥发性有机物无组织排放控制标准》（GB37822-2019）表A.1中特别排放限值</w:t>
            </w:r>
            <w:r>
              <w:rPr>
                <w:rFonts w:hint="eastAsia" w:cs="Times New Roman"/>
                <w:color w:val="auto"/>
                <w:kern w:val="2"/>
                <w:sz w:val="24"/>
                <w:szCs w:val="24"/>
                <w:highlight w:val="none"/>
                <w:lang w:val="en-US" w:eastAsia="zh-CN" w:bidi="ar-SA"/>
              </w:rPr>
              <w:t>（6.0</w:t>
            </w:r>
            <w:r>
              <w:rPr>
                <w:rFonts w:hint="default" w:ascii="Times New Roman" w:hAnsi="Times New Roman" w:cs="Times New Roman"/>
                <w:color w:val="auto"/>
                <w:sz w:val="24"/>
                <w:szCs w:val="24"/>
                <w:highlight w:val="none"/>
              </w:rPr>
              <w:t>mg/m</w:t>
            </w:r>
            <w:r>
              <w:rPr>
                <w:rFonts w:hint="default" w:ascii="Times New Roman" w:hAnsi="Times New Roman" w:cs="Times New Roman"/>
                <w:color w:val="auto"/>
                <w:sz w:val="24"/>
                <w:szCs w:val="24"/>
                <w:highlight w:val="none"/>
                <w:vertAlign w:val="superscript"/>
              </w:rPr>
              <w:t>3</w:t>
            </w:r>
            <w:r>
              <w:rPr>
                <w:rFonts w:hint="eastAsia" w:cs="Times New Roman"/>
                <w:color w:val="auto"/>
                <w:kern w:val="2"/>
                <w:sz w:val="24"/>
                <w:szCs w:val="24"/>
                <w:highlight w:val="none"/>
                <w:lang w:val="en-US" w:eastAsia="zh-CN" w:bidi="ar-SA"/>
              </w:rPr>
              <w:t>）。室内产生的TVOC浓度为收集系统未收集到的非甲烷总烃，产生量为1.68kg/a，产生浓度0.26mg/m</w:t>
            </w:r>
            <w:r>
              <w:rPr>
                <w:rFonts w:hint="eastAsia" w:cs="Times New Roman"/>
                <w:color w:val="auto"/>
                <w:kern w:val="2"/>
                <w:sz w:val="24"/>
                <w:szCs w:val="24"/>
                <w:highlight w:val="none"/>
                <w:vertAlign w:val="superscript"/>
                <w:lang w:val="en-US" w:eastAsia="zh-CN" w:bidi="ar-SA"/>
              </w:rPr>
              <w:t>3</w:t>
            </w:r>
            <w:r>
              <w:rPr>
                <w:rFonts w:hint="eastAsia" w:cs="Times New Roman"/>
                <w:color w:val="auto"/>
                <w:kern w:val="2"/>
                <w:sz w:val="24"/>
                <w:szCs w:val="24"/>
                <w:highlight w:val="none"/>
                <w:vertAlign w:val="baseline"/>
                <w:lang w:val="en-US" w:eastAsia="zh-CN" w:bidi="ar-SA"/>
              </w:rPr>
              <w:t>，</w:t>
            </w:r>
            <w:r>
              <w:rPr>
                <w:rFonts w:hint="eastAsia" w:cs="宋体"/>
                <w:color w:val="auto"/>
                <w:sz w:val="24"/>
                <w:szCs w:val="24"/>
                <w:highlight w:val="none"/>
                <w:vertAlign w:val="baseline"/>
                <w:lang w:val="en-US" w:eastAsia="zh-CN"/>
              </w:rPr>
              <w:t>满足</w:t>
            </w:r>
            <w:r>
              <w:rPr>
                <w:rFonts w:hint="default" w:ascii="Times New Roman" w:hAnsi="Times New Roman" w:eastAsia="宋体" w:cs="Times New Roman"/>
                <w:color w:val="auto"/>
                <w:kern w:val="2"/>
                <w:sz w:val="24"/>
                <w:szCs w:val="24"/>
                <w:highlight w:val="none"/>
                <w:lang w:val="en-US" w:eastAsia="zh-CN" w:bidi="ar-SA"/>
              </w:rPr>
              <w:t>《重污染天气重点行业应急减排措施制定技术指南》表39-1 A级企业排放限值</w:t>
            </w:r>
            <w:r>
              <w:rPr>
                <w:rFonts w:hint="eastAsia" w:cs="Times New Roman"/>
                <w:color w:val="auto"/>
                <w:kern w:val="2"/>
                <w:sz w:val="24"/>
                <w:szCs w:val="24"/>
                <w:highlight w:val="none"/>
                <w:lang w:val="en-US" w:eastAsia="zh-CN" w:bidi="ar-SA"/>
              </w:rPr>
              <w:t>。</w:t>
            </w:r>
          </w:p>
          <w:p w14:paraId="147BAE49">
            <w:pPr>
              <w:pStyle w:val="7"/>
              <w:pageBreakBefore w:val="0"/>
              <w:kinsoku/>
              <w:wordWrap/>
              <w:overflowPunct/>
              <w:topLinePunct w:val="0"/>
              <w:autoSpaceDE/>
              <w:autoSpaceDN/>
              <w:bidi w:val="0"/>
              <w:spacing w:beforeLines="0" w:afterLines="0" w:line="360" w:lineRule="auto"/>
              <w:ind w:right="0"/>
              <w:textAlignment w:val="auto"/>
              <w:rPr>
                <w:rFonts w:hint="eastAsia"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b/>
                <w:bCs/>
                <w:color w:val="auto"/>
                <w:sz w:val="24"/>
                <w:szCs w:val="24"/>
                <w:highlight w:val="none"/>
                <w:lang w:val="en-US" w:eastAsia="zh-CN"/>
              </w:rPr>
              <w:t>2.废水</w:t>
            </w:r>
          </w:p>
          <w:p w14:paraId="21E0822F">
            <w:pPr>
              <w:pageBreakBefore w:val="0"/>
              <w:kinsoku/>
              <w:wordWrap/>
              <w:overflowPunct/>
              <w:topLinePunct w:val="0"/>
              <w:autoSpaceDE/>
              <w:autoSpaceDN/>
              <w:bidi w:val="0"/>
              <w:spacing w:line="360" w:lineRule="auto"/>
              <w:ind w:right="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2.1环境影响分析</w:t>
            </w:r>
          </w:p>
          <w:p w14:paraId="148FCCF8">
            <w:pPr>
              <w:pageBreakBefore w:val="0"/>
              <w:kinsoku/>
              <w:wordWrap/>
              <w:overflowPunct/>
              <w:topLinePunct w:val="0"/>
              <w:autoSpaceDE/>
              <w:autoSpaceDN/>
              <w:bidi w:val="0"/>
              <w:spacing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本项目污水排放主要为生活污水，生活污水排放量约</w:t>
            </w:r>
            <w:r>
              <w:rPr>
                <w:rFonts w:hint="eastAsia" w:cs="Times New Roman"/>
                <w:color w:val="auto"/>
                <w:sz w:val="24"/>
                <w:szCs w:val="24"/>
                <w:highlight w:val="none"/>
                <w:lang w:val="en-US" w:eastAsia="zh-CN"/>
              </w:rPr>
              <w:t>1800</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/a，主要污染物为COD、NH</w:t>
            </w:r>
            <w:r>
              <w:rPr>
                <w:rFonts w:hint="default" w:ascii="Times New Roman" w:hAnsi="Times New Roman" w:eastAsia="宋体" w:cs="Times New Roman"/>
                <w:color w:val="auto"/>
                <w:sz w:val="24"/>
                <w:szCs w:val="24"/>
                <w:highlight w:val="none"/>
                <w:vertAlign w:val="subscript"/>
              </w:rPr>
              <w:t>3</w:t>
            </w:r>
            <w:r>
              <w:rPr>
                <w:rFonts w:hint="default" w:ascii="Times New Roman" w:hAnsi="Times New Roman" w:eastAsia="宋体" w:cs="Times New Roman"/>
                <w:color w:val="auto"/>
                <w:sz w:val="24"/>
                <w:szCs w:val="24"/>
                <w:highlight w:val="none"/>
              </w:rPr>
              <w:t>-N等，项目排放生活污水排入</w:t>
            </w:r>
            <w:r>
              <w:rPr>
                <w:rFonts w:hint="eastAsia" w:cs="Times New Roman"/>
                <w:color w:val="auto"/>
                <w:sz w:val="24"/>
                <w:szCs w:val="24"/>
                <w:highlight w:val="none"/>
                <w:lang w:val="en-US" w:eastAsia="zh-CN"/>
              </w:rPr>
              <w:t>昌吉市城北污水处理厂</w:t>
            </w:r>
            <w:r>
              <w:rPr>
                <w:rFonts w:hint="default" w:ascii="Times New Roman" w:hAnsi="Times New Roman" w:eastAsia="宋体" w:cs="Times New Roman"/>
                <w:color w:val="auto"/>
                <w:sz w:val="24"/>
                <w:szCs w:val="24"/>
                <w:highlight w:val="none"/>
              </w:rPr>
              <w:t>。</w:t>
            </w:r>
          </w:p>
          <w:p w14:paraId="3D96B9FD">
            <w:pPr>
              <w:pStyle w:val="6"/>
              <w:pageBreakBefore w:val="0"/>
              <w:kinsoku/>
              <w:wordWrap/>
              <w:overflowPunct/>
              <w:topLinePunct w:val="0"/>
              <w:autoSpaceDE/>
              <w:autoSpaceDN/>
              <w:bidi w:val="0"/>
              <w:spacing w:beforeLines="0" w:afterLines="0" w:line="360" w:lineRule="auto"/>
              <w:ind w:left="0" w:right="0"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本项目污水排放属间接排放，每天的污水量产生量较小，污染物浓度较低，排入污水处理厂对其冲击负荷小，不会影响污水处理厂的正常运行。综上所述，本项目的废水排放通过相应的措施处理后对周边水环境影响较小</w:t>
            </w:r>
            <w:r>
              <w:rPr>
                <w:rFonts w:hint="eastAsia" w:cs="Times New Roman"/>
                <w:color w:val="auto"/>
                <w:sz w:val="24"/>
                <w:szCs w:val="24"/>
                <w:highlight w:val="none"/>
                <w:lang w:eastAsia="zh-CN"/>
              </w:rPr>
              <w:t>。</w:t>
            </w:r>
          </w:p>
          <w:p w14:paraId="6900AD57">
            <w:pPr>
              <w:pStyle w:val="7"/>
              <w:pageBreakBefore w:val="0"/>
              <w:kinsoku/>
              <w:wordWrap/>
              <w:overflowPunct/>
              <w:topLinePunct w:val="0"/>
              <w:autoSpaceDE/>
              <w:autoSpaceDN/>
              <w:bidi w:val="0"/>
              <w:spacing w:beforeLines="0" w:afterLines="0" w:line="360" w:lineRule="auto"/>
              <w:ind w:right="0"/>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2.2</w:t>
            </w:r>
            <w:r>
              <w:rPr>
                <w:rFonts w:hint="default" w:ascii="Times New Roman" w:hAnsi="Times New Roman" w:eastAsia="宋体" w:cs="Times New Roman"/>
                <w:b/>
                <w:bCs/>
                <w:color w:val="auto"/>
                <w:sz w:val="24"/>
                <w:szCs w:val="24"/>
                <w:highlight w:val="none"/>
              </w:rPr>
              <w:t>废水产生情况及处置措施</w:t>
            </w:r>
          </w:p>
          <w:p w14:paraId="64356D27">
            <w:pPr>
              <w:pStyle w:val="22"/>
              <w:pageBreakBefore w:val="0"/>
              <w:kinsoku/>
              <w:wordWrap/>
              <w:overflowPunct/>
              <w:topLinePunct w:val="0"/>
              <w:autoSpaceDE/>
              <w:autoSpaceDN/>
              <w:bidi w:val="0"/>
              <w:spacing w:line="360" w:lineRule="auto"/>
              <w:ind w:left="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根据水量平衡分析，本项目营运期劳动定员</w:t>
            </w:r>
            <w:r>
              <w:rPr>
                <w:rFonts w:hint="eastAsia" w:cs="Times New Roman"/>
                <w:color w:val="auto"/>
                <w:sz w:val="24"/>
                <w:szCs w:val="24"/>
                <w:highlight w:val="none"/>
                <w:lang w:val="en-US" w:eastAsia="zh-CN"/>
              </w:rPr>
              <w:t>150</w:t>
            </w:r>
            <w:r>
              <w:rPr>
                <w:rFonts w:hint="eastAsia" w:ascii="Times New Roman" w:hAnsi="Times New Roman" w:eastAsia="宋体" w:cs="Times New Roman"/>
                <w:color w:val="auto"/>
                <w:sz w:val="24"/>
                <w:szCs w:val="24"/>
                <w:highlight w:val="none"/>
                <w:lang w:val="en-US" w:eastAsia="zh-CN"/>
              </w:rPr>
              <w:t>人</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生活污水</w:t>
            </w:r>
            <w:r>
              <w:rPr>
                <w:rFonts w:hint="default" w:ascii="Times New Roman" w:hAnsi="Times New Roman" w:eastAsia="宋体" w:cs="Times New Roman"/>
                <w:color w:val="auto"/>
                <w:sz w:val="24"/>
                <w:szCs w:val="24"/>
                <w:highlight w:val="none"/>
                <w:lang w:val="en-US" w:eastAsia="zh-CN"/>
              </w:rPr>
              <w:t>主要污染物为COD、SS、BOD</w:t>
            </w:r>
            <w:r>
              <w:rPr>
                <w:rFonts w:hint="default" w:ascii="Times New Roman" w:hAnsi="Times New Roman" w:eastAsia="宋体" w:cs="Times New Roman"/>
                <w:color w:val="auto"/>
                <w:sz w:val="24"/>
                <w:szCs w:val="24"/>
                <w:highlight w:val="none"/>
                <w:vertAlign w:val="subscript"/>
                <w:lang w:val="en-US" w:eastAsia="zh-CN"/>
              </w:rPr>
              <w:t>5</w:t>
            </w:r>
            <w:r>
              <w:rPr>
                <w:rFonts w:hint="default" w:ascii="Times New Roman" w:hAnsi="Times New Roman" w:eastAsia="宋体" w:cs="Times New Roman"/>
                <w:color w:val="auto"/>
                <w:sz w:val="24"/>
                <w:szCs w:val="24"/>
                <w:highlight w:val="none"/>
                <w:lang w:val="en-US" w:eastAsia="zh-CN"/>
              </w:rPr>
              <w:t>、NH</w:t>
            </w:r>
            <w:r>
              <w:rPr>
                <w:rFonts w:hint="default" w:ascii="Times New Roman" w:hAnsi="Times New Roman" w:eastAsia="宋体" w:cs="Times New Roman"/>
                <w:color w:val="auto"/>
                <w:sz w:val="24"/>
                <w:szCs w:val="24"/>
                <w:highlight w:val="none"/>
                <w:vertAlign w:val="subscript"/>
                <w:lang w:val="en-US" w:eastAsia="zh-CN"/>
              </w:rPr>
              <w:t>3</w:t>
            </w:r>
            <w:r>
              <w:rPr>
                <w:rFonts w:hint="default" w:ascii="Times New Roman" w:hAnsi="Times New Roman" w:eastAsia="宋体" w:cs="Times New Roman"/>
                <w:color w:val="auto"/>
                <w:sz w:val="24"/>
                <w:szCs w:val="24"/>
                <w:highlight w:val="none"/>
                <w:lang w:val="en-US" w:eastAsia="zh-CN"/>
              </w:rPr>
              <w:t>-N等。每人每天用水量按照50L/人.d计，</w:t>
            </w:r>
            <w:r>
              <w:rPr>
                <w:rFonts w:hint="eastAsia" w:cs="Times New Roman"/>
                <w:color w:val="auto"/>
                <w:sz w:val="24"/>
                <w:szCs w:val="24"/>
                <w:highlight w:val="none"/>
                <w:lang w:val="en-US" w:eastAsia="zh-CN"/>
              </w:rPr>
              <w:t>年工作天数300天，</w:t>
            </w:r>
            <w:r>
              <w:rPr>
                <w:rFonts w:hint="default" w:ascii="Times New Roman" w:hAnsi="Times New Roman" w:eastAsia="宋体" w:cs="Times New Roman"/>
                <w:color w:val="auto"/>
                <w:sz w:val="24"/>
                <w:szCs w:val="24"/>
                <w:highlight w:val="none"/>
                <w:lang w:val="en-US" w:eastAsia="zh-CN"/>
              </w:rPr>
              <w:t>则用水量为</w:t>
            </w:r>
            <w:r>
              <w:rPr>
                <w:rFonts w:hint="eastAsia" w:cs="Times New Roman"/>
                <w:color w:val="auto"/>
                <w:sz w:val="24"/>
                <w:szCs w:val="24"/>
                <w:highlight w:val="none"/>
                <w:lang w:val="en-US" w:eastAsia="zh-CN"/>
              </w:rPr>
              <w:t>7.5</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w:t>
            </w: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2250</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/a</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，排放的污水量按用水量的80%计，则排水量约为</w:t>
            </w:r>
            <w:r>
              <w:rPr>
                <w:rFonts w:hint="eastAsia" w:ascii="Times New Roman" w:hAnsi="Times New Roman" w:eastAsia="宋体" w:cs="Times New Roman"/>
                <w:color w:val="auto"/>
                <w:sz w:val="24"/>
                <w:szCs w:val="24"/>
                <w:highlight w:val="none"/>
                <w:lang w:val="en-US" w:eastAsia="zh-CN"/>
              </w:rPr>
              <w:t>6.0</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/d（</w:t>
            </w:r>
            <w:r>
              <w:rPr>
                <w:rFonts w:hint="eastAsia" w:ascii="Times New Roman" w:hAnsi="Times New Roman" w:eastAsia="宋体" w:cs="Times New Roman"/>
                <w:color w:val="auto"/>
                <w:sz w:val="24"/>
                <w:szCs w:val="24"/>
                <w:highlight w:val="none"/>
                <w:lang w:val="en-US" w:eastAsia="zh-CN"/>
              </w:rPr>
              <w:t>1800</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/a）。生活污水排入污水管网，最终排入</w:t>
            </w:r>
            <w:r>
              <w:rPr>
                <w:rFonts w:hint="eastAsia" w:cs="Times New Roman"/>
                <w:color w:val="auto"/>
                <w:sz w:val="24"/>
                <w:szCs w:val="24"/>
                <w:highlight w:val="none"/>
                <w:lang w:val="en-US" w:eastAsia="zh-CN"/>
              </w:rPr>
              <w:t>昌吉市城北污水处理厂</w:t>
            </w:r>
            <w:r>
              <w:rPr>
                <w:rFonts w:hint="default" w:ascii="Times New Roman" w:hAnsi="Times New Roman" w:eastAsia="宋体" w:cs="Times New Roman"/>
                <w:color w:val="auto"/>
                <w:sz w:val="24"/>
                <w:szCs w:val="24"/>
                <w:highlight w:val="none"/>
                <w:lang w:val="en-US" w:eastAsia="zh-CN"/>
              </w:rPr>
              <w:t>处理，对项目区周围水环境影响较小。</w:t>
            </w:r>
          </w:p>
          <w:p w14:paraId="6F47A411">
            <w:pPr>
              <w:pStyle w:val="38"/>
              <w:pageBreakBefore w:val="0"/>
              <w:kinsoku/>
              <w:wordWrap/>
              <w:overflowPunct/>
              <w:topLinePunct w:val="0"/>
              <w:autoSpaceDE/>
              <w:autoSpaceDN/>
              <w:bidi w:val="0"/>
              <w:spacing w:line="240" w:lineRule="auto"/>
              <w:ind w:left="0" w:right="0" w:firstLine="422" w:firstLineChars="200"/>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表4-</w:t>
            </w:r>
            <w:r>
              <w:rPr>
                <w:rFonts w:hint="eastAsia" w:cs="Times New Roman"/>
                <w:b/>
                <w:bCs/>
                <w:color w:val="auto"/>
                <w:sz w:val="21"/>
                <w:szCs w:val="21"/>
                <w:highlight w:val="none"/>
                <w:lang w:val="en-US" w:eastAsia="zh-CN"/>
              </w:rPr>
              <w:t xml:space="preserve">10   </w:t>
            </w:r>
            <w:r>
              <w:rPr>
                <w:rFonts w:hint="default" w:ascii="Times New Roman" w:hAnsi="Times New Roman" w:eastAsia="宋体" w:cs="Times New Roman"/>
                <w:b/>
                <w:bCs/>
                <w:color w:val="auto"/>
                <w:sz w:val="21"/>
                <w:szCs w:val="21"/>
                <w:highlight w:val="none"/>
                <w:lang w:val="en-US" w:eastAsia="zh-CN"/>
              </w:rPr>
              <w:t>污水排放量及污染物浓度一览表</w:t>
            </w:r>
          </w:p>
          <w:tbl>
            <w:tblPr>
              <w:tblStyle w:val="27"/>
              <w:tblW w:w="496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887"/>
              <w:gridCol w:w="1114"/>
              <w:gridCol w:w="1095"/>
              <w:gridCol w:w="1686"/>
              <w:gridCol w:w="1061"/>
              <w:gridCol w:w="1102"/>
            </w:tblGrid>
            <w:tr w14:paraId="17F383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4" w:type="pct"/>
                  <w:vMerge w:val="restart"/>
                  <w:tcBorders>
                    <w:bottom w:val="single" w:color="auto" w:sz="4" w:space="0"/>
                  </w:tcBorders>
                  <w:vAlign w:val="center"/>
                </w:tcPr>
                <w:p w14:paraId="1B2B2F2A">
                  <w:pPr>
                    <w:pStyle w:val="39"/>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污染源</w:t>
                  </w:r>
                </w:p>
              </w:tc>
              <w:tc>
                <w:tcPr>
                  <w:tcW w:w="551" w:type="pct"/>
                  <w:vMerge w:val="restart"/>
                  <w:tcBorders>
                    <w:bottom w:val="single" w:color="auto" w:sz="4" w:space="0"/>
                  </w:tcBorders>
                  <w:vAlign w:val="center"/>
                </w:tcPr>
                <w:p w14:paraId="32CFFEB3">
                  <w:pPr>
                    <w:pStyle w:val="39"/>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污染物</w:t>
                  </w:r>
                </w:p>
              </w:tc>
              <w:tc>
                <w:tcPr>
                  <w:tcW w:w="1372" w:type="pct"/>
                  <w:gridSpan w:val="2"/>
                  <w:tcBorders>
                    <w:bottom w:val="single" w:color="auto" w:sz="4" w:space="0"/>
                  </w:tcBorders>
                  <w:vAlign w:val="center"/>
                </w:tcPr>
                <w:p w14:paraId="0FA6722E">
                  <w:pPr>
                    <w:pStyle w:val="39"/>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产生情况</w:t>
                  </w:r>
                </w:p>
              </w:tc>
              <w:tc>
                <w:tcPr>
                  <w:tcW w:w="1047" w:type="pct"/>
                  <w:vMerge w:val="restart"/>
                  <w:tcBorders>
                    <w:bottom w:val="single" w:color="auto" w:sz="4" w:space="0"/>
                  </w:tcBorders>
                  <w:vAlign w:val="center"/>
                </w:tcPr>
                <w:p w14:paraId="3F33FACC">
                  <w:pPr>
                    <w:pStyle w:val="39"/>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排放去向</w:t>
                  </w:r>
                </w:p>
              </w:tc>
              <w:tc>
                <w:tcPr>
                  <w:tcW w:w="1343" w:type="pct"/>
                  <w:gridSpan w:val="2"/>
                  <w:tcBorders>
                    <w:bottom w:val="single" w:color="auto" w:sz="4" w:space="0"/>
                  </w:tcBorders>
                  <w:vAlign w:val="center"/>
                </w:tcPr>
                <w:p w14:paraId="04B87CE4">
                  <w:pPr>
                    <w:pStyle w:val="39"/>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排放情况</w:t>
                  </w:r>
                </w:p>
              </w:tc>
            </w:tr>
            <w:tr w14:paraId="2E0626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4" w:type="pct"/>
                  <w:vMerge w:val="continue"/>
                  <w:tcBorders>
                    <w:top w:val="single" w:color="auto" w:sz="4" w:space="0"/>
                    <w:bottom w:val="single" w:color="auto" w:sz="12" w:space="0"/>
                  </w:tcBorders>
                  <w:vAlign w:val="center"/>
                </w:tcPr>
                <w:p w14:paraId="2FC50A62">
                  <w:pPr>
                    <w:pStyle w:val="39"/>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rPr>
                      <w:rFonts w:hint="default" w:ascii="Times New Roman" w:hAnsi="Times New Roman" w:eastAsia="宋体" w:cs="Times New Roman"/>
                      <w:b/>
                      <w:bCs/>
                      <w:color w:val="auto"/>
                      <w:sz w:val="21"/>
                      <w:szCs w:val="21"/>
                      <w:highlight w:val="none"/>
                      <w:lang w:val="en-US" w:eastAsia="zh-CN"/>
                    </w:rPr>
                  </w:pPr>
                </w:p>
              </w:tc>
              <w:tc>
                <w:tcPr>
                  <w:tcW w:w="551" w:type="pct"/>
                  <w:vMerge w:val="continue"/>
                  <w:tcBorders>
                    <w:top w:val="single" w:color="auto" w:sz="4" w:space="0"/>
                    <w:bottom w:val="single" w:color="auto" w:sz="12" w:space="0"/>
                  </w:tcBorders>
                  <w:vAlign w:val="center"/>
                </w:tcPr>
                <w:p w14:paraId="3CF3E6F8">
                  <w:pPr>
                    <w:pStyle w:val="39"/>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rPr>
                      <w:rFonts w:hint="default" w:ascii="Times New Roman" w:hAnsi="Times New Roman" w:eastAsia="宋体" w:cs="Times New Roman"/>
                      <w:b/>
                      <w:bCs/>
                      <w:color w:val="auto"/>
                      <w:sz w:val="21"/>
                      <w:szCs w:val="21"/>
                      <w:highlight w:val="none"/>
                      <w:lang w:val="en-US" w:eastAsia="zh-CN"/>
                    </w:rPr>
                  </w:pPr>
                </w:p>
              </w:tc>
              <w:tc>
                <w:tcPr>
                  <w:tcW w:w="692" w:type="pct"/>
                  <w:tcBorders>
                    <w:top w:val="single" w:color="auto" w:sz="4" w:space="0"/>
                    <w:bottom w:val="single" w:color="auto" w:sz="12" w:space="0"/>
                  </w:tcBorders>
                  <w:vAlign w:val="center"/>
                </w:tcPr>
                <w:p w14:paraId="1E1C57C5">
                  <w:pPr>
                    <w:pStyle w:val="39"/>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产生量</w:t>
                  </w:r>
                </w:p>
              </w:tc>
              <w:tc>
                <w:tcPr>
                  <w:tcW w:w="679" w:type="pct"/>
                  <w:tcBorders>
                    <w:top w:val="single" w:color="auto" w:sz="4" w:space="0"/>
                    <w:bottom w:val="single" w:color="auto" w:sz="12" w:space="0"/>
                  </w:tcBorders>
                  <w:vAlign w:val="center"/>
                </w:tcPr>
                <w:p w14:paraId="391CF569">
                  <w:pPr>
                    <w:pStyle w:val="39"/>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浓度</w:t>
                  </w:r>
                </w:p>
              </w:tc>
              <w:tc>
                <w:tcPr>
                  <w:tcW w:w="1047" w:type="pct"/>
                  <w:vMerge w:val="continue"/>
                  <w:tcBorders>
                    <w:top w:val="single" w:color="auto" w:sz="4" w:space="0"/>
                    <w:bottom w:val="single" w:color="auto" w:sz="12" w:space="0"/>
                  </w:tcBorders>
                  <w:vAlign w:val="center"/>
                </w:tcPr>
                <w:p w14:paraId="1FD31B6C">
                  <w:pPr>
                    <w:pStyle w:val="39"/>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rPr>
                      <w:rFonts w:hint="default" w:ascii="Times New Roman" w:hAnsi="Times New Roman" w:eastAsia="宋体" w:cs="Times New Roman"/>
                      <w:b/>
                      <w:bCs/>
                      <w:color w:val="auto"/>
                      <w:sz w:val="21"/>
                      <w:szCs w:val="21"/>
                      <w:highlight w:val="none"/>
                      <w:lang w:val="en-US" w:eastAsia="zh-CN"/>
                    </w:rPr>
                  </w:pPr>
                </w:p>
              </w:tc>
              <w:tc>
                <w:tcPr>
                  <w:tcW w:w="659" w:type="pct"/>
                  <w:tcBorders>
                    <w:top w:val="single" w:color="auto" w:sz="4" w:space="0"/>
                    <w:bottom w:val="single" w:color="auto" w:sz="12" w:space="0"/>
                  </w:tcBorders>
                  <w:vAlign w:val="center"/>
                </w:tcPr>
                <w:p w14:paraId="63BDC9EA">
                  <w:pPr>
                    <w:pStyle w:val="39"/>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排放量t/d</w:t>
                  </w:r>
                </w:p>
              </w:tc>
              <w:tc>
                <w:tcPr>
                  <w:tcW w:w="684" w:type="pct"/>
                  <w:tcBorders>
                    <w:top w:val="single" w:color="auto" w:sz="4" w:space="0"/>
                    <w:bottom w:val="single" w:color="auto" w:sz="12" w:space="0"/>
                  </w:tcBorders>
                  <w:vAlign w:val="center"/>
                </w:tcPr>
                <w:p w14:paraId="31CA43AD">
                  <w:pPr>
                    <w:pStyle w:val="39"/>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浓度mg/L</w:t>
                  </w:r>
                </w:p>
              </w:tc>
            </w:tr>
            <w:tr w14:paraId="262296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4" w:type="pct"/>
                  <w:vMerge w:val="restart"/>
                  <w:tcBorders>
                    <w:top w:val="single" w:color="auto" w:sz="12" w:space="0"/>
                    <w:tl2br w:val="nil"/>
                    <w:tr2bl w:val="nil"/>
                  </w:tcBorders>
                  <w:vAlign w:val="center"/>
                </w:tcPr>
                <w:p w14:paraId="24F674D0">
                  <w:pPr>
                    <w:pStyle w:val="39"/>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生活污水</w:t>
                  </w:r>
                </w:p>
                <w:p w14:paraId="631EBBEF">
                  <w:pPr>
                    <w:pStyle w:val="39"/>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1800</w:t>
                  </w:r>
                  <w:r>
                    <w:rPr>
                      <w:rFonts w:hint="default" w:ascii="Times New Roman" w:hAnsi="Times New Roman" w:eastAsia="宋体" w:cs="Times New Roman"/>
                      <w:b w:val="0"/>
                      <w:bCs w:val="0"/>
                      <w:color w:val="auto"/>
                      <w:sz w:val="24"/>
                      <w:szCs w:val="24"/>
                      <w:highlight w:val="none"/>
                    </w:rPr>
                    <w:t>m</w:t>
                  </w:r>
                  <w:r>
                    <w:rPr>
                      <w:rFonts w:hint="default" w:ascii="Times New Roman" w:hAnsi="Times New Roman" w:eastAsia="宋体" w:cs="Times New Roman"/>
                      <w:b w:val="0"/>
                      <w:bCs w:val="0"/>
                      <w:color w:val="auto"/>
                      <w:sz w:val="24"/>
                      <w:szCs w:val="24"/>
                      <w:highlight w:val="none"/>
                      <w:vertAlign w:val="superscript"/>
                    </w:rPr>
                    <w:t>3</w:t>
                  </w:r>
                  <w:r>
                    <w:rPr>
                      <w:rFonts w:hint="default" w:ascii="Times New Roman" w:hAnsi="Times New Roman" w:eastAsia="宋体" w:cs="Times New Roman"/>
                      <w:b w:val="0"/>
                      <w:bCs w:val="0"/>
                      <w:color w:val="auto"/>
                      <w:sz w:val="21"/>
                      <w:szCs w:val="21"/>
                      <w:highlight w:val="none"/>
                      <w:lang w:val="en-US" w:eastAsia="zh-CN"/>
                    </w:rPr>
                    <w:t>/a</w:t>
                  </w:r>
                </w:p>
              </w:tc>
              <w:tc>
                <w:tcPr>
                  <w:tcW w:w="551" w:type="pct"/>
                  <w:tcBorders>
                    <w:top w:val="single" w:color="auto" w:sz="12" w:space="0"/>
                    <w:tl2br w:val="nil"/>
                    <w:tr2bl w:val="nil"/>
                  </w:tcBorders>
                  <w:vAlign w:val="center"/>
                </w:tcPr>
                <w:p w14:paraId="2E488E77">
                  <w:pPr>
                    <w:pStyle w:val="39"/>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COD</w:t>
                  </w:r>
                </w:p>
              </w:tc>
              <w:tc>
                <w:tcPr>
                  <w:tcW w:w="692" w:type="pct"/>
                  <w:tcBorders>
                    <w:top w:val="single" w:color="auto" w:sz="12" w:space="0"/>
                    <w:tl2br w:val="nil"/>
                    <w:tr2bl w:val="nil"/>
                  </w:tcBorders>
                  <w:vAlign w:val="center"/>
                </w:tcPr>
                <w:p w14:paraId="6AAB4DCE">
                  <w:pPr>
                    <w:pStyle w:val="39"/>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0.63</w:t>
                  </w:r>
                  <w:r>
                    <w:rPr>
                      <w:rFonts w:hint="default" w:ascii="Times New Roman" w:hAnsi="Times New Roman" w:eastAsia="宋体" w:cs="Times New Roman"/>
                      <w:b w:val="0"/>
                      <w:bCs w:val="0"/>
                      <w:color w:val="auto"/>
                      <w:sz w:val="21"/>
                      <w:szCs w:val="21"/>
                      <w:highlight w:val="none"/>
                      <w:lang w:val="en-US" w:eastAsia="zh-CN"/>
                    </w:rPr>
                    <w:t>t/a</w:t>
                  </w:r>
                </w:p>
              </w:tc>
              <w:tc>
                <w:tcPr>
                  <w:tcW w:w="679" w:type="pct"/>
                  <w:tcBorders>
                    <w:top w:val="single" w:color="auto" w:sz="12" w:space="0"/>
                    <w:tl2br w:val="nil"/>
                    <w:tr2bl w:val="nil"/>
                  </w:tcBorders>
                  <w:vAlign w:val="center"/>
                </w:tcPr>
                <w:p w14:paraId="3C8681FE">
                  <w:pPr>
                    <w:pStyle w:val="39"/>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350mg/L</w:t>
                  </w:r>
                </w:p>
              </w:tc>
              <w:tc>
                <w:tcPr>
                  <w:tcW w:w="1047" w:type="pct"/>
                  <w:vMerge w:val="restart"/>
                  <w:tcBorders>
                    <w:top w:val="single" w:color="auto" w:sz="12" w:space="0"/>
                    <w:tl2br w:val="nil"/>
                    <w:tr2bl w:val="nil"/>
                  </w:tcBorders>
                  <w:vAlign w:val="center"/>
                </w:tcPr>
                <w:p w14:paraId="0E6E3F10">
                  <w:pPr>
                    <w:pStyle w:val="39"/>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排入</w:t>
                  </w:r>
                  <w:r>
                    <w:rPr>
                      <w:rFonts w:hint="default" w:ascii="Times New Roman" w:hAnsi="Times New Roman" w:eastAsia="宋体" w:cs="Times New Roman"/>
                      <w:b w:val="0"/>
                      <w:bCs w:val="0"/>
                      <w:color w:val="auto"/>
                      <w:sz w:val="21"/>
                      <w:szCs w:val="21"/>
                      <w:highlight w:val="none"/>
                      <w:lang w:val="en-US" w:eastAsia="zh-CN"/>
                    </w:rPr>
                    <w:t>污水管网，最终排入</w:t>
                  </w:r>
                  <w:r>
                    <w:rPr>
                      <w:rFonts w:hint="eastAsia" w:cs="Times New Roman"/>
                      <w:b w:val="0"/>
                      <w:bCs w:val="0"/>
                      <w:color w:val="auto"/>
                      <w:sz w:val="21"/>
                      <w:szCs w:val="21"/>
                      <w:highlight w:val="none"/>
                      <w:lang w:val="en-US" w:eastAsia="zh-CN"/>
                    </w:rPr>
                    <w:t>昌吉市城北污水处理厂</w:t>
                  </w:r>
                </w:p>
              </w:tc>
              <w:tc>
                <w:tcPr>
                  <w:tcW w:w="1061" w:type="dxa"/>
                  <w:tcBorders>
                    <w:top w:val="single" w:color="auto" w:sz="12" w:space="0"/>
                    <w:tl2br w:val="nil"/>
                    <w:tr2bl w:val="nil"/>
                  </w:tcBorders>
                  <w:vAlign w:val="center"/>
                </w:tcPr>
                <w:p w14:paraId="4E42C306">
                  <w:pPr>
                    <w:pStyle w:val="39"/>
                    <w:keepNext w:val="0"/>
                    <w:keepLines w:val="0"/>
                    <w:pageBreakBefore w:val="0"/>
                    <w:widowControl w:val="0"/>
                    <w:kinsoku/>
                    <w:wordWrap/>
                    <w:overflowPunct/>
                    <w:topLinePunct w:val="0"/>
                    <w:autoSpaceDE/>
                    <w:autoSpaceDN/>
                    <w:bidi w:val="0"/>
                    <w:spacing w:line="240" w:lineRule="auto"/>
                    <w:ind w:left="0" w:leftChars="0" w:right="0" w:rightChars="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0.63</w:t>
                  </w:r>
                  <w:r>
                    <w:rPr>
                      <w:rFonts w:hint="default" w:ascii="Times New Roman" w:hAnsi="Times New Roman" w:eastAsia="宋体" w:cs="Times New Roman"/>
                      <w:b w:val="0"/>
                      <w:bCs w:val="0"/>
                      <w:color w:val="auto"/>
                      <w:sz w:val="21"/>
                      <w:szCs w:val="21"/>
                      <w:highlight w:val="none"/>
                      <w:lang w:val="en-US" w:eastAsia="zh-CN"/>
                    </w:rPr>
                    <w:t>t/a</w:t>
                  </w:r>
                </w:p>
              </w:tc>
              <w:tc>
                <w:tcPr>
                  <w:tcW w:w="684" w:type="pct"/>
                  <w:tcBorders>
                    <w:top w:val="single" w:color="auto" w:sz="12" w:space="0"/>
                    <w:tl2br w:val="nil"/>
                    <w:tr2bl w:val="nil"/>
                  </w:tcBorders>
                  <w:vAlign w:val="center"/>
                </w:tcPr>
                <w:p w14:paraId="420D3649">
                  <w:pPr>
                    <w:pStyle w:val="39"/>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350mg/L</w:t>
                  </w:r>
                </w:p>
              </w:tc>
            </w:tr>
            <w:tr w14:paraId="5048F6A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4" w:type="pct"/>
                  <w:vMerge w:val="continue"/>
                  <w:tcBorders>
                    <w:tl2br w:val="nil"/>
                    <w:tr2bl w:val="nil"/>
                  </w:tcBorders>
                  <w:vAlign w:val="center"/>
                </w:tcPr>
                <w:p w14:paraId="224A76E0">
                  <w:pPr>
                    <w:pStyle w:val="39"/>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p>
              </w:tc>
              <w:tc>
                <w:tcPr>
                  <w:tcW w:w="551" w:type="pct"/>
                  <w:tcBorders>
                    <w:tl2br w:val="nil"/>
                    <w:tr2bl w:val="nil"/>
                  </w:tcBorders>
                  <w:vAlign w:val="center"/>
                </w:tcPr>
                <w:p w14:paraId="0E570F49">
                  <w:pPr>
                    <w:pStyle w:val="39"/>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SS</w:t>
                  </w:r>
                </w:p>
              </w:tc>
              <w:tc>
                <w:tcPr>
                  <w:tcW w:w="692" w:type="pct"/>
                  <w:tcBorders>
                    <w:tl2br w:val="nil"/>
                    <w:tr2bl w:val="nil"/>
                  </w:tcBorders>
                  <w:vAlign w:val="center"/>
                </w:tcPr>
                <w:p w14:paraId="23F2880F">
                  <w:pPr>
                    <w:pStyle w:val="39"/>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0.36</w:t>
                  </w:r>
                  <w:r>
                    <w:rPr>
                      <w:rFonts w:hint="default" w:ascii="Times New Roman" w:hAnsi="Times New Roman" w:eastAsia="宋体" w:cs="Times New Roman"/>
                      <w:b w:val="0"/>
                      <w:bCs w:val="0"/>
                      <w:color w:val="auto"/>
                      <w:sz w:val="21"/>
                      <w:szCs w:val="21"/>
                      <w:highlight w:val="none"/>
                      <w:lang w:val="en-US" w:eastAsia="zh-CN"/>
                    </w:rPr>
                    <w:t>t/a</w:t>
                  </w:r>
                </w:p>
              </w:tc>
              <w:tc>
                <w:tcPr>
                  <w:tcW w:w="679" w:type="pct"/>
                  <w:tcBorders>
                    <w:tl2br w:val="nil"/>
                    <w:tr2bl w:val="nil"/>
                  </w:tcBorders>
                  <w:vAlign w:val="center"/>
                </w:tcPr>
                <w:p w14:paraId="3E5B1C27">
                  <w:pPr>
                    <w:pStyle w:val="39"/>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200mg/L</w:t>
                  </w:r>
                </w:p>
              </w:tc>
              <w:tc>
                <w:tcPr>
                  <w:tcW w:w="1047" w:type="pct"/>
                  <w:vMerge w:val="continue"/>
                  <w:tcBorders>
                    <w:tl2br w:val="nil"/>
                    <w:tr2bl w:val="nil"/>
                  </w:tcBorders>
                  <w:vAlign w:val="center"/>
                </w:tcPr>
                <w:p w14:paraId="39534A3D">
                  <w:pPr>
                    <w:pStyle w:val="39"/>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p>
              </w:tc>
              <w:tc>
                <w:tcPr>
                  <w:tcW w:w="1061" w:type="dxa"/>
                  <w:tcBorders>
                    <w:tl2br w:val="nil"/>
                    <w:tr2bl w:val="nil"/>
                  </w:tcBorders>
                  <w:vAlign w:val="center"/>
                </w:tcPr>
                <w:p w14:paraId="74D9F251">
                  <w:pPr>
                    <w:pStyle w:val="39"/>
                    <w:keepNext w:val="0"/>
                    <w:keepLines w:val="0"/>
                    <w:pageBreakBefore w:val="0"/>
                    <w:widowControl w:val="0"/>
                    <w:kinsoku/>
                    <w:wordWrap/>
                    <w:overflowPunct/>
                    <w:topLinePunct w:val="0"/>
                    <w:autoSpaceDE/>
                    <w:autoSpaceDN/>
                    <w:bidi w:val="0"/>
                    <w:spacing w:line="240" w:lineRule="auto"/>
                    <w:ind w:left="0" w:leftChars="0" w:right="0" w:rightChars="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0.36</w:t>
                  </w:r>
                  <w:r>
                    <w:rPr>
                      <w:rFonts w:hint="default" w:ascii="Times New Roman" w:hAnsi="Times New Roman" w:eastAsia="宋体" w:cs="Times New Roman"/>
                      <w:b w:val="0"/>
                      <w:bCs w:val="0"/>
                      <w:color w:val="auto"/>
                      <w:sz w:val="21"/>
                      <w:szCs w:val="21"/>
                      <w:highlight w:val="none"/>
                      <w:lang w:val="en-US" w:eastAsia="zh-CN"/>
                    </w:rPr>
                    <w:t>t/a</w:t>
                  </w:r>
                </w:p>
              </w:tc>
              <w:tc>
                <w:tcPr>
                  <w:tcW w:w="684" w:type="pct"/>
                  <w:tcBorders>
                    <w:tl2br w:val="nil"/>
                    <w:tr2bl w:val="nil"/>
                  </w:tcBorders>
                  <w:vAlign w:val="center"/>
                </w:tcPr>
                <w:p w14:paraId="383B3669">
                  <w:pPr>
                    <w:pStyle w:val="39"/>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200mg/L</w:t>
                  </w:r>
                </w:p>
              </w:tc>
            </w:tr>
            <w:tr w14:paraId="3F4A899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4" w:type="pct"/>
                  <w:vMerge w:val="continue"/>
                  <w:tcBorders>
                    <w:tl2br w:val="nil"/>
                    <w:tr2bl w:val="nil"/>
                  </w:tcBorders>
                  <w:vAlign w:val="center"/>
                </w:tcPr>
                <w:p w14:paraId="484A7DB7">
                  <w:pPr>
                    <w:pStyle w:val="39"/>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p>
              </w:tc>
              <w:tc>
                <w:tcPr>
                  <w:tcW w:w="551" w:type="pct"/>
                  <w:tcBorders>
                    <w:tl2br w:val="nil"/>
                    <w:tr2bl w:val="nil"/>
                  </w:tcBorders>
                  <w:vAlign w:val="center"/>
                </w:tcPr>
                <w:p w14:paraId="7344F355">
                  <w:pPr>
                    <w:pStyle w:val="39"/>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BOD</w:t>
                  </w:r>
                  <w:r>
                    <w:rPr>
                      <w:rFonts w:hint="default" w:ascii="Times New Roman" w:hAnsi="Times New Roman" w:eastAsia="宋体" w:cs="Times New Roman"/>
                      <w:b w:val="0"/>
                      <w:bCs w:val="0"/>
                      <w:color w:val="auto"/>
                      <w:sz w:val="21"/>
                      <w:szCs w:val="21"/>
                      <w:highlight w:val="none"/>
                      <w:vertAlign w:val="subscript"/>
                      <w:lang w:val="en-US" w:eastAsia="zh-CN"/>
                    </w:rPr>
                    <w:t>5</w:t>
                  </w:r>
                </w:p>
              </w:tc>
              <w:tc>
                <w:tcPr>
                  <w:tcW w:w="692" w:type="pct"/>
                  <w:tcBorders>
                    <w:tl2br w:val="nil"/>
                    <w:tr2bl w:val="nil"/>
                  </w:tcBorders>
                  <w:vAlign w:val="center"/>
                </w:tcPr>
                <w:p w14:paraId="73FC1A5F">
                  <w:pPr>
                    <w:pStyle w:val="39"/>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0.45</w:t>
                  </w:r>
                  <w:r>
                    <w:rPr>
                      <w:rFonts w:hint="default" w:ascii="Times New Roman" w:hAnsi="Times New Roman" w:eastAsia="宋体" w:cs="Times New Roman"/>
                      <w:b w:val="0"/>
                      <w:bCs w:val="0"/>
                      <w:color w:val="auto"/>
                      <w:sz w:val="21"/>
                      <w:szCs w:val="21"/>
                      <w:highlight w:val="none"/>
                      <w:lang w:val="en-US" w:eastAsia="zh-CN"/>
                    </w:rPr>
                    <w:t>t/a</w:t>
                  </w:r>
                </w:p>
              </w:tc>
              <w:tc>
                <w:tcPr>
                  <w:tcW w:w="679" w:type="pct"/>
                  <w:tcBorders>
                    <w:tl2br w:val="nil"/>
                    <w:tr2bl w:val="nil"/>
                  </w:tcBorders>
                  <w:vAlign w:val="center"/>
                </w:tcPr>
                <w:p w14:paraId="709DFDAD">
                  <w:pPr>
                    <w:pStyle w:val="39"/>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250mg/L</w:t>
                  </w:r>
                </w:p>
              </w:tc>
              <w:tc>
                <w:tcPr>
                  <w:tcW w:w="1047" w:type="pct"/>
                  <w:vMerge w:val="continue"/>
                  <w:tcBorders>
                    <w:tl2br w:val="nil"/>
                    <w:tr2bl w:val="nil"/>
                  </w:tcBorders>
                  <w:vAlign w:val="center"/>
                </w:tcPr>
                <w:p w14:paraId="4C4B92D7">
                  <w:pPr>
                    <w:pStyle w:val="39"/>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p>
              </w:tc>
              <w:tc>
                <w:tcPr>
                  <w:tcW w:w="1061" w:type="dxa"/>
                  <w:tcBorders>
                    <w:tl2br w:val="nil"/>
                    <w:tr2bl w:val="nil"/>
                  </w:tcBorders>
                  <w:vAlign w:val="center"/>
                </w:tcPr>
                <w:p w14:paraId="0BFF3A67">
                  <w:pPr>
                    <w:pStyle w:val="39"/>
                    <w:keepNext w:val="0"/>
                    <w:keepLines w:val="0"/>
                    <w:pageBreakBefore w:val="0"/>
                    <w:widowControl w:val="0"/>
                    <w:kinsoku/>
                    <w:wordWrap/>
                    <w:overflowPunct/>
                    <w:topLinePunct w:val="0"/>
                    <w:autoSpaceDE/>
                    <w:autoSpaceDN/>
                    <w:bidi w:val="0"/>
                    <w:spacing w:line="240" w:lineRule="auto"/>
                    <w:ind w:left="0" w:leftChars="0" w:right="0" w:rightChars="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0.45</w:t>
                  </w:r>
                  <w:r>
                    <w:rPr>
                      <w:rFonts w:hint="default" w:ascii="Times New Roman" w:hAnsi="Times New Roman" w:eastAsia="宋体" w:cs="Times New Roman"/>
                      <w:b w:val="0"/>
                      <w:bCs w:val="0"/>
                      <w:color w:val="auto"/>
                      <w:sz w:val="21"/>
                      <w:szCs w:val="21"/>
                      <w:highlight w:val="none"/>
                      <w:lang w:val="en-US" w:eastAsia="zh-CN"/>
                    </w:rPr>
                    <w:t>t/a</w:t>
                  </w:r>
                </w:p>
              </w:tc>
              <w:tc>
                <w:tcPr>
                  <w:tcW w:w="684" w:type="pct"/>
                  <w:tcBorders>
                    <w:tl2br w:val="nil"/>
                    <w:tr2bl w:val="nil"/>
                  </w:tcBorders>
                  <w:vAlign w:val="center"/>
                </w:tcPr>
                <w:p w14:paraId="350F2B26">
                  <w:pPr>
                    <w:pStyle w:val="39"/>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250mg/L</w:t>
                  </w:r>
                </w:p>
              </w:tc>
            </w:tr>
            <w:tr w14:paraId="0F01F23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4" w:type="pct"/>
                  <w:vMerge w:val="continue"/>
                  <w:tcBorders>
                    <w:tl2br w:val="nil"/>
                    <w:tr2bl w:val="nil"/>
                  </w:tcBorders>
                  <w:vAlign w:val="center"/>
                </w:tcPr>
                <w:p w14:paraId="646AFA15">
                  <w:pPr>
                    <w:pStyle w:val="39"/>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p>
              </w:tc>
              <w:tc>
                <w:tcPr>
                  <w:tcW w:w="551" w:type="pct"/>
                  <w:tcBorders>
                    <w:tl2br w:val="nil"/>
                    <w:tr2bl w:val="nil"/>
                  </w:tcBorders>
                  <w:vAlign w:val="center"/>
                </w:tcPr>
                <w:p w14:paraId="5850976E">
                  <w:pPr>
                    <w:pStyle w:val="39"/>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NH</w:t>
                  </w:r>
                  <w:r>
                    <w:rPr>
                      <w:rFonts w:hint="default" w:ascii="Times New Roman" w:hAnsi="Times New Roman" w:eastAsia="宋体" w:cs="Times New Roman"/>
                      <w:b w:val="0"/>
                      <w:bCs w:val="0"/>
                      <w:color w:val="auto"/>
                      <w:sz w:val="21"/>
                      <w:szCs w:val="21"/>
                      <w:highlight w:val="none"/>
                      <w:vertAlign w:val="subscript"/>
                      <w:lang w:val="en-US" w:eastAsia="zh-CN"/>
                    </w:rPr>
                    <w:t>3</w:t>
                  </w:r>
                  <w:r>
                    <w:rPr>
                      <w:rFonts w:hint="default" w:ascii="Times New Roman" w:hAnsi="Times New Roman" w:eastAsia="宋体" w:cs="Times New Roman"/>
                      <w:b w:val="0"/>
                      <w:bCs w:val="0"/>
                      <w:color w:val="auto"/>
                      <w:sz w:val="21"/>
                      <w:szCs w:val="21"/>
                      <w:highlight w:val="none"/>
                      <w:lang w:val="en-US" w:eastAsia="zh-CN"/>
                    </w:rPr>
                    <w:t>-N</w:t>
                  </w:r>
                </w:p>
              </w:tc>
              <w:tc>
                <w:tcPr>
                  <w:tcW w:w="692" w:type="pct"/>
                  <w:tcBorders>
                    <w:tl2br w:val="nil"/>
                    <w:tr2bl w:val="nil"/>
                  </w:tcBorders>
                  <w:vAlign w:val="center"/>
                </w:tcPr>
                <w:p w14:paraId="5208F57D">
                  <w:pPr>
                    <w:pStyle w:val="39"/>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0.072</w:t>
                  </w:r>
                  <w:r>
                    <w:rPr>
                      <w:rFonts w:hint="default" w:ascii="Times New Roman" w:hAnsi="Times New Roman" w:eastAsia="宋体" w:cs="Times New Roman"/>
                      <w:b w:val="0"/>
                      <w:bCs w:val="0"/>
                      <w:color w:val="auto"/>
                      <w:sz w:val="21"/>
                      <w:szCs w:val="21"/>
                      <w:highlight w:val="none"/>
                      <w:lang w:val="en-US" w:eastAsia="zh-CN"/>
                    </w:rPr>
                    <w:t>t/a</w:t>
                  </w:r>
                </w:p>
              </w:tc>
              <w:tc>
                <w:tcPr>
                  <w:tcW w:w="679" w:type="pct"/>
                  <w:tcBorders>
                    <w:tl2br w:val="nil"/>
                    <w:tr2bl w:val="nil"/>
                  </w:tcBorders>
                  <w:vAlign w:val="center"/>
                </w:tcPr>
                <w:p w14:paraId="1BA0A1E8">
                  <w:pPr>
                    <w:pStyle w:val="39"/>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40mg/L</w:t>
                  </w:r>
                </w:p>
              </w:tc>
              <w:tc>
                <w:tcPr>
                  <w:tcW w:w="1047" w:type="pct"/>
                  <w:vMerge w:val="continue"/>
                  <w:tcBorders>
                    <w:tl2br w:val="nil"/>
                    <w:tr2bl w:val="nil"/>
                  </w:tcBorders>
                  <w:vAlign w:val="center"/>
                </w:tcPr>
                <w:p w14:paraId="65D54C2E">
                  <w:pPr>
                    <w:pStyle w:val="39"/>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p>
              </w:tc>
              <w:tc>
                <w:tcPr>
                  <w:tcW w:w="1061" w:type="dxa"/>
                  <w:tcBorders>
                    <w:tl2br w:val="nil"/>
                    <w:tr2bl w:val="nil"/>
                  </w:tcBorders>
                  <w:vAlign w:val="center"/>
                </w:tcPr>
                <w:p w14:paraId="13737DEE">
                  <w:pPr>
                    <w:pStyle w:val="39"/>
                    <w:keepNext w:val="0"/>
                    <w:keepLines w:val="0"/>
                    <w:pageBreakBefore w:val="0"/>
                    <w:widowControl w:val="0"/>
                    <w:kinsoku/>
                    <w:wordWrap/>
                    <w:overflowPunct/>
                    <w:topLinePunct w:val="0"/>
                    <w:autoSpaceDE/>
                    <w:autoSpaceDN/>
                    <w:bidi w:val="0"/>
                    <w:spacing w:line="240" w:lineRule="auto"/>
                    <w:ind w:left="0" w:leftChars="0" w:right="0" w:rightChars="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0.072</w:t>
                  </w:r>
                  <w:r>
                    <w:rPr>
                      <w:rFonts w:hint="default" w:ascii="Times New Roman" w:hAnsi="Times New Roman" w:eastAsia="宋体" w:cs="Times New Roman"/>
                      <w:b w:val="0"/>
                      <w:bCs w:val="0"/>
                      <w:color w:val="auto"/>
                      <w:sz w:val="21"/>
                      <w:szCs w:val="21"/>
                      <w:highlight w:val="none"/>
                      <w:lang w:val="en-US" w:eastAsia="zh-CN"/>
                    </w:rPr>
                    <w:t>t/a</w:t>
                  </w:r>
                </w:p>
              </w:tc>
              <w:tc>
                <w:tcPr>
                  <w:tcW w:w="684" w:type="pct"/>
                  <w:tcBorders>
                    <w:tl2br w:val="nil"/>
                    <w:tr2bl w:val="nil"/>
                  </w:tcBorders>
                  <w:vAlign w:val="center"/>
                </w:tcPr>
                <w:p w14:paraId="60B4EB05">
                  <w:pPr>
                    <w:pStyle w:val="39"/>
                    <w:keepNext w:val="0"/>
                    <w:keepLines w:val="0"/>
                    <w:pageBreakBefore w:val="0"/>
                    <w:widowControl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40mg/L</w:t>
                  </w:r>
                </w:p>
              </w:tc>
            </w:tr>
          </w:tbl>
          <w:p w14:paraId="391E7807">
            <w:pPr>
              <w:pStyle w:val="7"/>
              <w:pageBreakBefore w:val="0"/>
              <w:kinsoku/>
              <w:wordWrap/>
              <w:overflowPunct/>
              <w:topLinePunct w:val="0"/>
              <w:autoSpaceDE/>
              <w:autoSpaceDN/>
              <w:bidi w:val="0"/>
              <w:spacing w:beforeLines="0" w:afterLines="0" w:line="360" w:lineRule="auto"/>
              <w:ind w:right="0"/>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2.3</w:t>
            </w:r>
            <w:r>
              <w:rPr>
                <w:rFonts w:hint="default" w:ascii="Times New Roman" w:hAnsi="Times New Roman" w:eastAsia="宋体" w:cs="Times New Roman"/>
                <w:b/>
                <w:bCs/>
                <w:color w:val="auto"/>
                <w:sz w:val="24"/>
                <w:szCs w:val="24"/>
                <w:highlight w:val="none"/>
              </w:rPr>
              <w:t>污水处理措施依托可行性分析</w:t>
            </w:r>
          </w:p>
          <w:p w14:paraId="014A03D2">
            <w:pPr>
              <w:pStyle w:val="22"/>
              <w:pageBreakBefore w:val="0"/>
              <w:kinsoku/>
              <w:wordWrap/>
              <w:overflowPunct/>
              <w:topLinePunct w:val="0"/>
              <w:autoSpaceDE/>
              <w:autoSpaceDN/>
              <w:bidi w:val="0"/>
              <w:spacing w:line="360" w:lineRule="auto"/>
              <w:ind w:left="0" w:right="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eastAsia="zh-CN"/>
              </w:rPr>
              <w:t>昌吉市城北污水处理厂位于新疆昌吉国家农业科技园区新材料工业组团东南侧、“500干渠”公路与老龙河交汇处东北角</w:t>
            </w:r>
            <w:r>
              <w:rPr>
                <w:rFonts w:hint="default" w:ascii="Times New Roman" w:hAnsi="Times New Roman" w:eastAsia="宋体" w:cs="Times New Roman"/>
                <w:color w:val="auto"/>
                <w:sz w:val="24"/>
                <w:szCs w:val="24"/>
                <w:highlight w:val="none"/>
              </w:rPr>
              <w:t>，一期设计日处理污水能力为5万立方米，二期设计日处理污水能力为10万立方米，接水范围为：中心城区西部污水分区、大西渠镇、二六工镇、三工镇、佃坝镇、滨湖镇、六工镇</w:t>
            </w:r>
            <w:r>
              <w:rPr>
                <w:rFonts w:hint="eastAsia" w:cs="Times New Roman"/>
                <w:color w:val="auto"/>
                <w:sz w:val="24"/>
                <w:szCs w:val="24"/>
                <w:highlight w:val="none"/>
                <w:lang w:eastAsia="zh-CN"/>
              </w:rPr>
              <w:t>。2020 年1月10日，新疆维吾尔自治区生态环境厅对《昌吉市城北污水处理厂建设项目环境影响报告书》进行了批复（新环审〔2020〕7号）；项目于2020年4月动工建设，2022年7月完工开始投入试运行；于2024年3月申领了排污许可证（排污许可证编号：11652301010246485F001V）</w:t>
            </w:r>
            <w:r>
              <w:rPr>
                <w:rFonts w:hint="eastAsia" w:cs="Times New Roman"/>
                <w:color w:val="auto"/>
                <w:sz w:val="24"/>
                <w:szCs w:val="24"/>
                <w:highlight w:val="none"/>
                <w:lang w:val="en-US" w:eastAsia="zh-CN"/>
              </w:rPr>
              <w:t>，2024年8月完成竣工环境保护验收。废水总排口中各项指标日均值均满足《城镇污水处理厂污染物排放标准》（GB18918-2002）中一级A标准及表2中最高允许排放浓度（日均值）的要求</w:t>
            </w:r>
            <w:r>
              <w:rPr>
                <w:rFonts w:hint="default" w:ascii="Times New Roman" w:hAnsi="Times New Roman" w:eastAsia="宋体" w:cs="Times New Roman"/>
                <w:color w:val="auto"/>
                <w:sz w:val="24"/>
                <w:szCs w:val="24"/>
                <w:highlight w:val="none"/>
              </w:rPr>
              <w:t>。目前日处理水量约</w:t>
            </w:r>
            <w:r>
              <w:rPr>
                <w:rFonts w:hint="eastAsia" w:cs="Times New Roman"/>
                <w:color w:val="auto"/>
                <w:sz w:val="24"/>
                <w:szCs w:val="24"/>
                <w:highlight w:val="none"/>
                <w:lang w:val="en-US" w:eastAsia="zh-CN"/>
              </w:rPr>
              <w:t>4.6</w:t>
            </w:r>
            <w:r>
              <w:rPr>
                <w:rFonts w:hint="default" w:ascii="Times New Roman" w:hAnsi="Times New Roman" w:eastAsia="宋体" w:cs="Times New Roman"/>
                <w:color w:val="auto"/>
                <w:sz w:val="24"/>
                <w:szCs w:val="24"/>
                <w:highlight w:val="none"/>
              </w:rPr>
              <w:t>万m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/日</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污水处理采用“预曝气+中间沉淀池+多模式A/A/O+高效沉淀池+转盘滤池+次氯酸钠消毒”处理工艺。本项目污水排放量约</w:t>
            </w:r>
            <w:r>
              <w:rPr>
                <w:rFonts w:hint="eastAsia" w:cs="Times New Roman"/>
                <w:color w:val="auto"/>
                <w:sz w:val="24"/>
                <w:szCs w:val="24"/>
                <w:highlight w:val="none"/>
                <w:lang w:val="en-US" w:eastAsia="zh-CN"/>
              </w:rPr>
              <w:t>6.0</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/d，排放量较小，目前该污水处理厂余量充足，</w:t>
            </w:r>
            <w:r>
              <w:rPr>
                <w:rFonts w:hint="eastAsia" w:cs="Times New Roman"/>
                <w:color w:val="auto"/>
                <w:sz w:val="24"/>
                <w:szCs w:val="24"/>
                <w:highlight w:val="none"/>
                <w:lang w:val="en-US" w:eastAsia="zh-CN"/>
              </w:rPr>
              <w:t>能够满足本项目排污需求。</w:t>
            </w:r>
            <w:r>
              <w:rPr>
                <w:rFonts w:hint="default" w:ascii="Times New Roman" w:hAnsi="Times New Roman" w:eastAsia="宋体" w:cs="Times New Roman"/>
                <w:color w:val="auto"/>
                <w:sz w:val="24"/>
                <w:szCs w:val="24"/>
                <w:highlight w:val="none"/>
              </w:rPr>
              <w:t>本项目生活污水依托排水管网进入</w:t>
            </w:r>
            <w:r>
              <w:rPr>
                <w:rFonts w:hint="eastAsia" w:cs="Times New Roman"/>
                <w:color w:val="auto"/>
                <w:sz w:val="24"/>
                <w:szCs w:val="24"/>
                <w:highlight w:val="none"/>
                <w:lang w:eastAsia="zh-CN"/>
              </w:rPr>
              <w:t>昌吉市城北污水处理厂</w:t>
            </w:r>
            <w:r>
              <w:rPr>
                <w:rFonts w:hint="default" w:ascii="Times New Roman" w:hAnsi="Times New Roman" w:eastAsia="宋体" w:cs="Times New Roman"/>
                <w:color w:val="auto"/>
                <w:sz w:val="24"/>
                <w:szCs w:val="24"/>
                <w:highlight w:val="none"/>
              </w:rPr>
              <w:t>处理合理、可行。</w:t>
            </w:r>
          </w:p>
          <w:p w14:paraId="6134B04A">
            <w:pPr>
              <w:pStyle w:val="37"/>
              <w:pageBreakBefore w:val="0"/>
              <w:numPr>
                <w:ilvl w:val="0"/>
                <w:numId w:val="0"/>
              </w:numPr>
              <w:tabs>
                <w:tab w:val="left" w:pos="952"/>
              </w:tabs>
              <w:kinsoku/>
              <w:wordWrap/>
              <w:overflowPunct/>
              <w:topLinePunct w:val="0"/>
              <w:autoSpaceDE/>
              <w:autoSpaceDN/>
              <w:bidi w:val="0"/>
              <w:spacing w:line="360" w:lineRule="auto"/>
              <w:ind w:right="0" w:rightChars="0"/>
              <w:jc w:val="both"/>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2.4</w:t>
            </w:r>
            <w:r>
              <w:rPr>
                <w:rFonts w:hint="default" w:ascii="Times New Roman" w:hAnsi="Times New Roman" w:eastAsia="宋体" w:cs="Times New Roman"/>
                <w:b/>
                <w:bCs/>
                <w:color w:val="auto"/>
                <w:sz w:val="24"/>
                <w:szCs w:val="24"/>
                <w:highlight w:val="none"/>
              </w:rPr>
              <w:t>废水排放监测计划</w:t>
            </w:r>
          </w:p>
          <w:p w14:paraId="6707715D">
            <w:pPr>
              <w:pStyle w:val="37"/>
              <w:pageBreakBefore w:val="0"/>
              <w:kinsoku/>
              <w:wordWrap/>
              <w:overflowPunct/>
              <w:topLinePunct w:val="0"/>
              <w:autoSpaceDE/>
              <w:autoSpaceDN/>
              <w:bidi w:val="0"/>
              <w:spacing w:line="360" w:lineRule="auto"/>
              <w:ind w:left="0"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根据《排污单位自行监测技术指南总则》(HJ819-2017)，本项目主要污染物监测计划见表4-</w:t>
            </w:r>
            <w:r>
              <w:rPr>
                <w:rFonts w:hint="eastAsia" w:ascii="Times New Roman" w:hAnsi="Times New Roman" w:cs="Times New Roman"/>
                <w:color w:val="auto"/>
                <w:sz w:val="24"/>
                <w:szCs w:val="24"/>
                <w:highlight w:val="none"/>
                <w:lang w:val="en-US" w:eastAsia="zh-CN"/>
              </w:rPr>
              <w:t>11</w:t>
            </w:r>
            <w:r>
              <w:rPr>
                <w:rFonts w:hint="default" w:ascii="Times New Roman" w:hAnsi="Times New Roman" w:eastAsia="宋体" w:cs="Times New Roman"/>
                <w:color w:val="auto"/>
                <w:sz w:val="24"/>
                <w:szCs w:val="24"/>
                <w:highlight w:val="none"/>
              </w:rPr>
              <w:t>。</w:t>
            </w:r>
          </w:p>
          <w:p w14:paraId="34E61DC4">
            <w:pPr>
              <w:pageBreakBefore w:val="0"/>
              <w:kinsoku/>
              <w:wordWrap/>
              <w:overflowPunct/>
              <w:topLinePunct w:val="0"/>
              <w:autoSpaceDE/>
              <w:autoSpaceDN/>
              <w:bidi w:val="0"/>
              <w:spacing w:line="240" w:lineRule="auto"/>
              <w:ind w:left="0" w:right="0" w:firstLine="422" w:firstLineChars="20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表4-</w:t>
            </w:r>
            <w:r>
              <w:rPr>
                <w:rFonts w:hint="eastAsia" w:cs="Times New Roman"/>
                <w:b/>
                <w:bCs/>
                <w:color w:val="auto"/>
                <w:sz w:val="21"/>
                <w:szCs w:val="21"/>
                <w:highlight w:val="none"/>
                <w:lang w:val="en-US" w:eastAsia="zh-CN"/>
              </w:rPr>
              <w:t xml:space="preserve">11    </w:t>
            </w:r>
            <w:r>
              <w:rPr>
                <w:rFonts w:hint="default" w:ascii="Times New Roman" w:hAnsi="Times New Roman" w:eastAsia="宋体" w:cs="Times New Roman"/>
                <w:b/>
                <w:bCs/>
                <w:color w:val="auto"/>
                <w:sz w:val="21"/>
                <w:szCs w:val="21"/>
                <w:highlight w:val="none"/>
              </w:rPr>
              <w:t>项目运营期水污染物监测计划</w:t>
            </w:r>
          </w:p>
          <w:tbl>
            <w:tblPr>
              <w:tblStyle w:val="26"/>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138"/>
              <w:gridCol w:w="946"/>
              <w:gridCol w:w="1303"/>
              <w:gridCol w:w="1894"/>
              <w:gridCol w:w="1264"/>
              <w:gridCol w:w="1564"/>
            </w:tblGrid>
            <w:tr w14:paraId="741A59C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701" w:type="pct"/>
                  <w:tcBorders>
                    <w:bottom w:val="single" w:color="000000" w:sz="12" w:space="0"/>
                  </w:tcBorders>
                  <w:vAlign w:val="center"/>
                </w:tcPr>
                <w:p w14:paraId="1008633C">
                  <w:pPr>
                    <w:pStyle w:val="3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废水类别</w:t>
                  </w:r>
                </w:p>
              </w:tc>
              <w:tc>
                <w:tcPr>
                  <w:tcW w:w="583" w:type="pct"/>
                  <w:tcBorders>
                    <w:bottom w:val="single" w:color="000000" w:sz="12" w:space="0"/>
                  </w:tcBorders>
                  <w:vAlign w:val="center"/>
                </w:tcPr>
                <w:p w14:paraId="23DAA70D">
                  <w:pPr>
                    <w:pStyle w:val="3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编号</w:t>
                  </w:r>
                </w:p>
              </w:tc>
              <w:tc>
                <w:tcPr>
                  <w:tcW w:w="803" w:type="pct"/>
                  <w:tcBorders>
                    <w:bottom w:val="single" w:color="000000" w:sz="12" w:space="0"/>
                  </w:tcBorders>
                  <w:vAlign w:val="center"/>
                </w:tcPr>
                <w:p w14:paraId="44FC5B8B">
                  <w:pPr>
                    <w:pStyle w:val="3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监测位置</w:t>
                  </w:r>
                </w:p>
              </w:tc>
              <w:tc>
                <w:tcPr>
                  <w:tcW w:w="1167" w:type="pct"/>
                  <w:tcBorders>
                    <w:bottom w:val="single" w:color="000000" w:sz="12" w:space="0"/>
                  </w:tcBorders>
                  <w:vAlign w:val="center"/>
                </w:tcPr>
                <w:p w14:paraId="25FA5A10">
                  <w:pPr>
                    <w:pStyle w:val="3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监测项目</w:t>
                  </w:r>
                </w:p>
              </w:tc>
              <w:tc>
                <w:tcPr>
                  <w:tcW w:w="779" w:type="pct"/>
                  <w:tcBorders>
                    <w:bottom w:val="single" w:color="000000" w:sz="12" w:space="0"/>
                  </w:tcBorders>
                  <w:vAlign w:val="center"/>
                </w:tcPr>
                <w:p w14:paraId="1DEA2B70">
                  <w:pPr>
                    <w:pStyle w:val="3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监测频率</w:t>
                  </w:r>
                </w:p>
              </w:tc>
              <w:tc>
                <w:tcPr>
                  <w:tcW w:w="964" w:type="pct"/>
                  <w:tcBorders>
                    <w:bottom w:val="single" w:color="000000" w:sz="12" w:space="0"/>
                  </w:tcBorders>
                  <w:vAlign w:val="center"/>
                </w:tcPr>
                <w:p w14:paraId="5B384C5A">
                  <w:pPr>
                    <w:pStyle w:val="3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实施单位</w:t>
                  </w:r>
                </w:p>
              </w:tc>
            </w:tr>
            <w:tr w14:paraId="3EF8903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53" w:hRule="atLeast"/>
                <w:jc w:val="center"/>
              </w:trPr>
              <w:tc>
                <w:tcPr>
                  <w:tcW w:w="701" w:type="pct"/>
                  <w:tcBorders>
                    <w:top w:val="single" w:color="000000" w:sz="12" w:space="0"/>
                    <w:tl2br w:val="nil"/>
                    <w:tr2bl w:val="nil"/>
                  </w:tcBorders>
                  <w:vAlign w:val="center"/>
                </w:tcPr>
                <w:p w14:paraId="6DA4346A">
                  <w:pPr>
                    <w:pStyle w:val="3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生活废水</w:t>
                  </w:r>
                </w:p>
              </w:tc>
              <w:tc>
                <w:tcPr>
                  <w:tcW w:w="583" w:type="pct"/>
                  <w:tcBorders>
                    <w:top w:val="single" w:color="000000" w:sz="12" w:space="0"/>
                    <w:tl2br w:val="nil"/>
                    <w:tr2bl w:val="nil"/>
                  </w:tcBorders>
                  <w:vAlign w:val="center"/>
                </w:tcPr>
                <w:p w14:paraId="4B75D9C0">
                  <w:pPr>
                    <w:pStyle w:val="3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DW001</w:t>
                  </w:r>
                </w:p>
              </w:tc>
              <w:tc>
                <w:tcPr>
                  <w:tcW w:w="803" w:type="pct"/>
                  <w:tcBorders>
                    <w:top w:val="single" w:color="000000" w:sz="12" w:space="0"/>
                    <w:tl2br w:val="nil"/>
                    <w:tr2bl w:val="nil"/>
                  </w:tcBorders>
                  <w:vAlign w:val="center"/>
                </w:tcPr>
                <w:p w14:paraId="4FE64275">
                  <w:pPr>
                    <w:pStyle w:val="3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废水总排口</w:t>
                  </w:r>
                </w:p>
              </w:tc>
              <w:tc>
                <w:tcPr>
                  <w:tcW w:w="1167" w:type="pct"/>
                  <w:tcBorders>
                    <w:top w:val="single" w:color="000000" w:sz="12" w:space="0"/>
                    <w:tl2br w:val="nil"/>
                    <w:tr2bl w:val="nil"/>
                  </w:tcBorders>
                  <w:vAlign w:val="center"/>
                </w:tcPr>
                <w:p w14:paraId="22E1D9AD">
                  <w:pPr>
                    <w:pStyle w:val="3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pH、COD、氨氮、</w:t>
                  </w:r>
                </w:p>
                <w:p w14:paraId="58B639F0">
                  <w:pPr>
                    <w:pStyle w:val="3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悬浮物</w:t>
                  </w:r>
                </w:p>
              </w:tc>
              <w:tc>
                <w:tcPr>
                  <w:tcW w:w="779" w:type="pct"/>
                  <w:tcBorders>
                    <w:top w:val="single" w:color="000000" w:sz="12" w:space="0"/>
                    <w:tl2br w:val="nil"/>
                    <w:tr2bl w:val="nil"/>
                  </w:tcBorders>
                  <w:vAlign w:val="center"/>
                </w:tcPr>
                <w:p w14:paraId="4B6293BE">
                  <w:pPr>
                    <w:pStyle w:val="3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次/</w:t>
                  </w:r>
                  <w:r>
                    <w:rPr>
                      <w:rFonts w:hint="eastAsia" w:ascii="Times New Roman" w:hAnsi="Times New Roman" w:cs="Times New Roman"/>
                      <w:color w:val="auto"/>
                      <w:sz w:val="21"/>
                      <w:szCs w:val="21"/>
                      <w:highlight w:val="none"/>
                      <w:lang w:val="en-US" w:eastAsia="zh-CN"/>
                    </w:rPr>
                    <w:t>年</w:t>
                  </w:r>
                </w:p>
              </w:tc>
              <w:tc>
                <w:tcPr>
                  <w:tcW w:w="964" w:type="pct"/>
                  <w:tcBorders>
                    <w:top w:val="single" w:color="000000" w:sz="12" w:space="0"/>
                    <w:tl2br w:val="nil"/>
                    <w:tr2bl w:val="nil"/>
                  </w:tcBorders>
                  <w:vAlign w:val="center"/>
                </w:tcPr>
                <w:p w14:paraId="0911BAED">
                  <w:pPr>
                    <w:pStyle w:val="37"/>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企业自行委托</w:t>
                  </w:r>
                </w:p>
              </w:tc>
            </w:tr>
          </w:tbl>
          <w:p w14:paraId="004B29A8">
            <w:pPr>
              <w:pStyle w:val="7"/>
              <w:pageBreakBefore w:val="0"/>
              <w:kinsoku/>
              <w:wordWrap/>
              <w:overflowPunct/>
              <w:topLinePunct w:val="0"/>
              <w:autoSpaceDE/>
              <w:autoSpaceDN/>
              <w:bidi w:val="0"/>
              <w:spacing w:beforeLines="0" w:afterLines="0" w:line="360" w:lineRule="auto"/>
              <w:ind w:left="0" w:right="0" w:firstLine="480" w:firstLineChars="200"/>
              <w:textAlignment w:val="auto"/>
              <w:rPr>
                <w:rFonts w:hint="default" w:ascii="Times New Roman" w:hAnsi="Times New Roman" w:eastAsia="宋体" w:cs="Times New Roman"/>
                <w:color w:val="auto"/>
                <w:sz w:val="24"/>
                <w:szCs w:val="24"/>
                <w:highlight w:val="none"/>
              </w:rPr>
            </w:pPr>
          </w:p>
          <w:p w14:paraId="6DD838D4">
            <w:pPr>
              <w:pStyle w:val="7"/>
              <w:pageBreakBefore w:val="0"/>
              <w:kinsoku/>
              <w:wordWrap/>
              <w:overflowPunct/>
              <w:topLinePunct w:val="0"/>
              <w:autoSpaceDE/>
              <w:autoSpaceDN/>
              <w:bidi w:val="0"/>
              <w:spacing w:beforeLines="0" w:afterLines="0" w:line="360" w:lineRule="auto"/>
              <w:ind w:right="0"/>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3.噪声</w:t>
            </w:r>
          </w:p>
          <w:p w14:paraId="0C9866C6">
            <w:pPr>
              <w:autoSpaceDE w:val="0"/>
              <w:autoSpaceDN w:val="0"/>
              <w:spacing w:line="360" w:lineRule="auto"/>
              <w:textAlignment w:val="baseline"/>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3.1噪声源</w:t>
            </w:r>
          </w:p>
          <w:p w14:paraId="32BEB193">
            <w:pPr>
              <w:overflowPunct w:val="0"/>
              <w:adjustRightInd w:val="0"/>
              <w:snapToGrid w:val="0"/>
              <w:spacing w:line="48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本项目运营期噪声主要</w:t>
            </w:r>
            <w:r>
              <w:rPr>
                <w:rFonts w:hint="default" w:ascii="Times New Roman" w:hAnsi="Times New Roman" w:eastAsia="宋体" w:cs="Times New Roman"/>
                <w:color w:val="auto"/>
                <w:sz w:val="24"/>
                <w:highlight w:val="none"/>
              </w:rPr>
              <w:t>来自</w:t>
            </w:r>
            <w:r>
              <w:rPr>
                <w:rFonts w:hint="default" w:ascii="Times New Roman" w:hAnsi="Times New Roman" w:eastAsia="宋体" w:cs="Times New Roman"/>
                <w:color w:val="auto"/>
                <w:sz w:val="24"/>
                <w:highlight w:val="none"/>
                <w:lang w:val="en-US" w:eastAsia="zh-CN"/>
              </w:rPr>
              <w:t>二保焊机</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空压机</w:t>
            </w:r>
            <w:r>
              <w:rPr>
                <w:rFonts w:hint="default" w:ascii="Times New Roman" w:hAnsi="Times New Roman" w:eastAsia="宋体" w:cs="Times New Roman"/>
                <w:color w:val="auto"/>
                <w:sz w:val="24"/>
                <w:highlight w:val="none"/>
              </w:rPr>
              <w:t>、数控机床、等离子切割机、</w:t>
            </w:r>
            <w:r>
              <w:rPr>
                <w:rFonts w:hint="default" w:ascii="Times New Roman" w:hAnsi="Times New Roman" w:eastAsia="宋体" w:cs="Times New Roman"/>
                <w:color w:val="auto"/>
                <w:sz w:val="24"/>
                <w:highlight w:val="none"/>
                <w:lang w:val="en-US" w:eastAsia="zh-CN"/>
              </w:rPr>
              <w:t>磨光机</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钻铣床</w:t>
            </w:r>
            <w:r>
              <w:rPr>
                <w:rFonts w:hint="default" w:ascii="Times New Roman" w:hAnsi="Times New Roman" w:eastAsia="宋体" w:cs="Times New Roman"/>
                <w:color w:val="auto"/>
                <w:sz w:val="24"/>
                <w:highlight w:val="none"/>
              </w:rPr>
              <w:t>等，其噪声</w:t>
            </w:r>
            <w:r>
              <w:rPr>
                <w:rFonts w:hint="default" w:ascii="Times New Roman" w:hAnsi="Times New Roman" w:cs="Times New Roman"/>
                <w:color w:val="auto"/>
                <w:sz w:val="24"/>
                <w:highlight w:val="none"/>
              </w:rPr>
              <w:t>值一般在7</w:t>
            </w:r>
            <w:r>
              <w:rPr>
                <w:rFonts w:hint="eastAsia" w:cs="Times New Roman"/>
                <w:color w:val="auto"/>
                <w:sz w:val="24"/>
                <w:highlight w:val="none"/>
                <w:lang w:val="en-US" w:eastAsia="zh-CN"/>
              </w:rPr>
              <w:t>5</w:t>
            </w:r>
            <w:r>
              <w:rPr>
                <w:rFonts w:hint="default" w:ascii="Times New Roman" w:hAnsi="Times New Roman" w:cs="Times New Roman"/>
                <w:color w:val="auto"/>
                <w:sz w:val="24"/>
                <w:highlight w:val="none"/>
              </w:rPr>
              <w:t>~90dB(A)之间。主要噪声源强见表4-1</w:t>
            </w:r>
            <w:r>
              <w:rPr>
                <w:rFonts w:hint="eastAsia" w:cs="Times New Roman"/>
                <w:color w:val="auto"/>
                <w:sz w:val="24"/>
                <w:highlight w:val="none"/>
                <w:lang w:val="en-US" w:eastAsia="zh-CN"/>
              </w:rPr>
              <w:t>2</w:t>
            </w:r>
            <w:r>
              <w:rPr>
                <w:rFonts w:hint="default" w:ascii="Times New Roman" w:hAnsi="Times New Roman" w:cs="Times New Roman"/>
                <w:color w:val="auto"/>
                <w:sz w:val="24"/>
                <w:highlight w:val="none"/>
              </w:rPr>
              <w:t>。</w:t>
            </w:r>
          </w:p>
          <w:p w14:paraId="688CB400">
            <w:pPr>
              <w:autoSpaceDE w:val="0"/>
              <w:autoSpaceDN w:val="0"/>
              <w:adjustRightInd w:val="0"/>
              <w:snapToGrid w:val="0"/>
              <w:jc w:val="center"/>
              <w:textAlignment w:val="baseline"/>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表4-1</w:t>
            </w:r>
            <w:r>
              <w:rPr>
                <w:rFonts w:hint="eastAsia" w:cs="Times New Roman"/>
                <w:b/>
                <w:bCs/>
                <w:color w:val="auto"/>
                <w:highlight w:val="none"/>
                <w:lang w:val="en-US" w:eastAsia="zh-CN"/>
              </w:rPr>
              <w:t>2</w:t>
            </w:r>
            <w:r>
              <w:rPr>
                <w:rFonts w:hint="default" w:ascii="Times New Roman" w:hAnsi="Times New Roman" w:cs="Times New Roman"/>
                <w:b/>
                <w:bCs/>
                <w:color w:val="auto"/>
                <w:highlight w:val="none"/>
              </w:rPr>
              <w:t xml:space="preserve">   主要设备噪声源强  单位：dB(A)</w:t>
            </w:r>
          </w:p>
          <w:tbl>
            <w:tblPr>
              <w:tblStyle w:val="26"/>
              <w:tblW w:w="4998" w:type="pct"/>
              <w:jc w:val="center"/>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0" w:type="dxa"/>
                <w:left w:w="0" w:type="dxa"/>
                <w:bottom w:w="0" w:type="dxa"/>
                <w:right w:w="0" w:type="dxa"/>
              </w:tblCellMar>
            </w:tblPr>
            <w:tblGrid>
              <w:gridCol w:w="492"/>
              <w:gridCol w:w="931"/>
              <w:gridCol w:w="2176"/>
              <w:gridCol w:w="1993"/>
              <w:gridCol w:w="1071"/>
              <w:gridCol w:w="1446"/>
            </w:tblGrid>
            <w:tr w14:paraId="068CAC9D">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303" w:type="pct"/>
                  <w:tcBorders>
                    <w:bottom w:val="single" w:color="000000" w:sz="12" w:space="0"/>
                  </w:tcBorders>
                  <w:noWrap w:val="0"/>
                  <w:vAlign w:val="center"/>
                </w:tcPr>
                <w:p w14:paraId="2C2EC3A8">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序号</w:t>
                  </w:r>
                </w:p>
              </w:tc>
              <w:tc>
                <w:tcPr>
                  <w:tcW w:w="574" w:type="pct"/>
                  <w:tcBorders>
                    <w:bottom w:val="single" w:color="000000" w:sz="12" w:space="0"/>
                  </w:tcBorders>
                  <w:noWrap w:val="0"/>
                  <w:vAlign w:val="center"/>
                </w:tcPr>
                <w:p w14:paraId="3F98301F">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rPr>
                    <w:t>建筑物名称</w:t>
                  </w:r>
                </w:p>
              </w:tc>
              <w:tc>
                <w:tcPr>
                  <w:tcW w:w="1341" w:type="pct"/>
                  <w:tcBorders>
                    <w:bottom w:val="single" w:color="000000" w:sz="12" w:space="0"/>
                  </w:tcBorders>
                  <w:noWrap w:val="0"/>
                  <w:vAlign w:val="center"/>
                </w:tcPr>
                <w:p w14:paraId="6E33A708">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rPr>
                    <w:t>声源名称</w:t>
                  </w:r>
                </w:p>
              </w:tc>
              <w:tc>
                <w:tcPr>
                  <w:tcW w:w="1228" w:type="pct"/>
                  <w:tcBorders>
                    <w:bottom w:val="single" w:color="000000" w:sz="12" w:space="0"/>
                  </w:tcBorders>
                  <w:noWrap w:val="0"/>
                  <w:vAlign w:val="center"/>
                </w:tcPr>
                <w:p w14:paraId="342061E9">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rPr>
                    <w:t>型号</w:t>
                  </w:r>
                </w:p>
              </w:tc>
              <w:tc>
                <w:tcPr>
                  <w:tcW w:w="660" w:type="pct"/>
                  <w:tcBorders>
                    <w:bottom w:val="single" w:color="000000" w:sz="12" w:space="0"/>
                  </w:tcBorders>
                  <w:noWrap w:val="0"/>
                  <w:vAlign w:val="center"/>
                </w:tcPr>
                <w:p w14:paraId="0B32B6C1">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声源源强dB(A)</w:t>
                  </w:r>
                </w:p>
              </w:tc>
              <w:tc>
                <w:tcPr>
                  <w:tcW w:w="891" w:type="pct"/>
                  <w:tcBorders>
                    <w:bottom w:val="single" w:color="000000" w:sz="12" w:space="0"/>
                  </w:tcBorders>
                  <w:noWrap w:val="0"/>
                  <w:vAlign w:val="center"/>
                </w:tcPr>
                <w:p w14:paraId="7B308384">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声源控制措施</w:t>
                  </w:r>
                </w:p>
              </w:tc>
            </w:tr>
            <w:tr w14:paraId="7D857239">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303" w:type="pct"/>
                  <w:tcBorders>
                    <w:top w:val="single" w:color="000000" w:sz="12" w:space="0"/>
                  </w:tcBorders>
                  <w:noWrap w:val="0"/>
                  <w:vAlign w:val="center"/>
                </w:tcPr>
                <w:p w14:paraId="223196D3">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val="0"/>
                      <w:bCs w:val="0"/>
                      <w:color w:val="auto"/>
                      <w:highlight w:val="none"/>
                    </w:rPr>
                  </w:pPr>
                  <w:r>
                    <w:rPr>
                      <w:rFonts w:hint="default" w:ascii="Times New Roman" w:hAnsi="Times New Roman" w:cs="Times New Roman"/>
                      <w:b w:val="0"/>
                      <w:bCs w:val="0"/>
                      <w:color w:val="auto"/>
                      <w:highlight w:val="none"/>
                    </w:rPr>
                    <w:t>1</w:t>
                  </w:r>
                </w:p>
              </w:tc>
              <w:tc>
                <w:tcPr>
                  <w:tcW w:w="574" w:type="pct"/>
                  <w:vMerge w:val="restart"/>
                  <w:tcBorders>
                    <w:top w:val="single" w:color="000000" w:sz="12" w:space="0"/>
                  </w:tcBorders>
                  <w:noWrap w:val="0"/>
                  <w:vAlign w:val="center"/>
                </w:tcPr>
                <w:p w14:paraId="18D52F77">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val="0"/>
                      <w:bCs w:val="0"/>
                      <w:color w:val="auto"/>
                      <w:highlight w:val="none"/>
                      <w:lang w:eastAsia="zh-CN"/>
                    </w:rPr>
                  </w:pPr>
                  <w:r>
                    <w:rPr>
                      <w:rFonts w:hint="default" w:ascii="Times New Roman" w:hAnsi="Times New Roman" w:cs="Times New Roman"/>
                      <w:b w:val="0"/>
                      <w:bCs w:val="0"/>
                      <w:color w:val="auto"/>
                      <w:highlight w:val="none"/>
                      <w:lang w:val="en-US" w:eastAsia="zh-CN"/>
                    </w:rPr>
                    <w:t>厂房</w:t>
                  </w:r>
                </w:p>
              </w:tc>
              <w:tc>
                <w:tcPr>
                  <w:tcW w:w="1341" w:type="pct"/>
                  <w:tcBorders>
                    <w:top w:val="single" w:color="000000" w:sz="12" w:space="0"/>
                  </w:tcBorders>
                  <w:noWrap w:val="0"/>
                  <w:vAlign w:val="center"/>
                </w:tcPr>
                <w:p w14:paraId="60716EC1">
                  <w:pPr>
                    <w:keepNext w:val="0"/>
                    <w:keepLines w:val="0"/>
                    <w:widowControl/>
                    <w:suppressLineNumbers w:val="0"/>
                    <w:jc w:val="center"/>
                    <w:textAlignment w:val="center"/>
                    <w:rPr>
                      <w:rFonts w:hint="default" w:ascii="Times New Roman" w:hAnsi="Times New Roman" w:cs="Times New Roman"/>
                      <w:b w:val="0"/>
                      <w:bCs w:val="0"/>
                      <w:color w:val="auto"/>
                      <w:kern w:val="0"/>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奥太双脉冲二保焊机</w:t>
                  </w:r>
                </w:p>
              </w:tc>
              <w:tc>
                <w:tcPr>
                  <w:tcW w:w="1228" w:type="pct"/>
                  <w:tcBorders>
                    <w:top w:val="single" w:color="000000" w:sz="12" w:space="0"/>
                  </w:tcBorders>
                  <w:noWrap w:val="0"/>
                  <w:vAlign w:val="center"/>
                </w:tcPr>
                <w:p w14:paraId="1BCCE8E8">
                  <w:pPr>
                    <w:keepNext w:val="0"/>
                    <w:keepLines w:val="0"/>
                    <w:widowControl/>
                    <w:suppressLineNumbers w:val="0"/>
                    <w:jc w:val="center"/>
                    <w:textAlignment w:val="center"/>
                    <w:rPr>
                      <w:rFonts w:hint="default" w:ascii="Times New Roman" w:hAnsi="Times New Roman" w:cs="Times New Roman"/>
                      <w:b w:val="0"/>
                      <w:bCs w:val="0"/>
                      <w:color w:val="auto"/>
                      <w:kern w:val="0"/>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NBC-350P</w:t>
                  </w:r>
                </w:p>
              </w:tc>
              <w:tc>
                <w:tcPr>
                  <w:tcW w:w="660" w:type="pct"/>
                  <w:tcBorders>
                    <w:top w:val="single" w:color="000000" w:sz="12" w:space="0"/>
                  </w:tcBorders>
                  <w:noWrap w:val="0"/>
                  <w:vAlign w:val="center"/>
                </w:tcPr>
                <w:p w14:paraId="076F4AC0">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85</w:t>
                  </w:r>
                </w:p>
              </w:tc>
              <w:tc>
                <w:tcPr>
                  <w:tcW w:w="891" w:type="pct"/>
                  <w:tcBorders>
                    <w:top w:val="single" w:color="000000" w:sz="12" w:space="0"/>
                  </w:tcBorders>
                  <w:noWrap w:val="0"/>
                  <w:vAlign w:val="center"/>
                </w:tcPr>
                <w:p w14:paraId="5E516A9C">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szCs w:val="21"/>
                      <w:highlight w:val="none"/>
                    </w:rPr>
                    <w:t>采用低噪声设备、合理布局，隔声罩、减振垫、厂房隔声等措施</w:t>
                  </w:r>
                </w:p>
              </w:tc>
            </w:tr>
            <w:tr w14:paraId="7DCA1615">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303" w:type="pct"/>
                  <w:noWrap w:val="0"/>
                  <w:vAlign w:val="center"/>
                </w:tcPr>
                <w:p w14:paraId="15D61910">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2</w:t>
                  </w:r>
                </w:p>
              </w:tc>
              <w:tc>
                <w:tcPr>
                  <w:tcW w:w="574" w:type="pct"/>
                  <w:vMerge w:val="continue"/>
                  <w:noWrap w:val="0"/>
                  <w:vAlign w:val="center"/>
                </w:tcPr>
                <w:p w14:paraId="496754F4">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val="0"/>
                      <w:bCs w:val="0"/>
                      <w:color w:val="auto"/>
                      <w:highlight w:val="none"/>
                      <w:lang w:val="en-US" w:eastAsia="zh-CN"/>
                    </w:rPr>
                  </w:pPr>
                </w:p>
              </w:tc>
              <w:tc>
                <w:tcPr>
                  <w:tcW w:w="1341" w:type="pct"/>
                  <w:noWrap w:val="0"/>
                  <w:vAlign w:val="center"/>
                </w:tcPr>
                <w:p w14:paraId="495975A9">
                  <w:pPr>
                    <w:keepNext w:val="0"/>
                    <w:keepLines w:val="0"/>
                    <w:widowControl/>
                    <w:suppressLineNumbers w:val="0"/>
                    <w:jc w:val="center"/>
                    <w:textAlignment w:val="center"/>
                    <w:rPr>
                      <w:rFonts w:hint="default" w:ascii="Times New Roman" w:hAnsi="Times New Roman" w:cs="Times New Roman"/>
                      <w:b w:val="0"/>
                      <w:bCs w:val="0"/>
                      <w:color w:val="auto"/>
                      <w:kern w:val="0"/>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激光专用空压机</w:t>
                  </w:r>
                </w:p>
              </w:tc>
              <w:tc>
                <w:tcPr>
                  <w:tcW w:w="1228" w:type="pct"/>
                  <w:noWrap w:val="0"/>
                  <w:vAlign w:val="center"/>
                </w:tcPr>
                <w:p w14:paraId="6D2ADD0E">
                  <w:pPr>
                    <w:keepNext w:val="0"/>
                    <w:keepLines w:val="0"/>
                    <w:widowControl/>
                    <w:suppressLineNumbers w:val="0"/>
                    <w:jc w:val="center"/>
                    <w:textAlignment w:val="center"/>
                    <w:rPr>
                      <w:rFonts w:hint="default" w:ascii="Times New Roman" w:hAnsi="Times New Roman" w:cs="Times New Roman"/>
                      <w:b w:val="0"/>
                      <w:bCs w:val="0"/>
                      <w:color w:val="auto"/>
                      <w:kern w:val="0"/>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TSEPM22-16</w:t>
                  </w:r>
                </w:p>
              </w:tc>
              <w:tc>
                <w:tcPr>
                  <w:tcW w:w="660" w:type="pct"/>
                  <w:noWrap w:val="0"/>
                  <w:vAlign w:val="center"/>
                </w:tcPr>
                <w:p w14:paraId="2EBE0122">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val="0"/>
                      <w:bCs w:val="0"/>
                      <w:color w:val="auto"/>
                      <w:highlight w:val="none"/>
                      <w:lang w:val="en-US" w:eastAsia="zh-CN"/>
                    </w:rPr>
                  </w:pPr>
                  <w:r>
                    <w:rPr>
                      <w:rFonts w:hint="eastAsia" w:cs="Times New Roman"/>
                      <w:b w:val="0"/>
                      <w:bCs w:val="0"/>
                      <w:color w:val="auto"/>
                      <w:highlight w:val="none"/>
                      <w:lang w:val="en-US" w:eastAsia="zh-CN"/>
                    </w:rPr>
                    <w:t>90</w:t>
                  </w:r>
                </w:p>
              </w:tc>
              <w:tc>
                <w:tcPr>
                  <w:tcW w:w="891" w:type="pct"/>
                  <w:noWrap w:val="0"/>
                  <w:vAlign w:val="center"/>
                </w:tcPr>
                <w:p w14:paraId="13D8DCA5">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szCs w:val="21"/>
                      <w:highlight w:val="none"/>
                    </w:rPr>
                    <w:t>采用隔声罩、减振垫等措施</w:t>
                  </w:r>
                </w:p>
              </w:tc>
            </w:tr>
            <w:tr w14:paraId="069E384E">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303" w:type="pct"/>
                  <w:noWrap w:val="0"/>
                  <w:vAlign w:val="center"/>
                </w:tcPr>
                <w:p w14:paraId="05002D3D">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3</w:t>
                  </w:r>
                </w:p>
              </w:tc>
              <w:tc>
                <w:tcPr>
                  <w:tcW w:w="574" w:type="pct"/>
                  <w:vMerge w:val="continue"/>
                  <w:noWrap w:val="0"/>
                  <w:vAlign w:val="center"/>
                </w:tcPr>
                <w:p w14:paraId="0F41E4E1">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val="0"/>
                      <w:bCs w:val="0"/>
                      <w:color w:val="auto"/>
                      <w:highlight w:val="none"/>
                      <w:lang w:val="en-US" w:eastAsia="zh-CN"/>
                    </w:rPr>
                  </w:pPr>
                </w:p>
              </w:tc>
              <w:tc>
                <w:tcPr>
                  <w:tcW w:w="1341" w:type="pct"/>
                  <w:noWrap w:val="0"/>
                  <w:vAlign w:val="center"/>
                </w:tcPr>
                <w:p w14:paraId="23DF38D6">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val="0"/>
                      <w:bCs w:val="0"/>
                      <w:color w:val="auto"/>
                      <w:kern w:val="0"/>
                      <w:szCs w:val="21"/>
                      <w:highlight w:val="none"/>
                      <w:lang w:val="en-US" w:eastAsia="zh-CN"/>
                    </w:rPr>
                  </w:pPr>
                  <w:r>
                    <w:rPr>
                      <w:rFonts w:hint="default" w:ascii="Times New Roman" w:hAnsi="Times New Roman" w:cs="Times New Roman"/>
                      <w:b w:val="0"/>
                      <w:bCs w:val="0"/>
                      <w:color w:val="auto"/>
                      <w:highlight w:val="none"/>
                      <w:lang w:val="en-US" w:eastAsia="zh-CN"/>
                    </w:rPr>
                    <w:t>数控机床</w:t>
                  </w:r>
                </w:p>
              </w:tc>
              <w:tc>
                <w:tcPr>
                  <w:tcW w:w="1228" w:type="pct"/>
                  <w:noWrap w:val="0"/>
                  <w:vAlign w:val="center"/>
                </w:tcPr>
                <w:p w14:paraId="576CBB3A">
                  <w:pPr>
                    <w:keepNext w:val="0"/>
                    <w:keepLines w:val="0"/>
                    <w:pageBreakBefore w:val="0"/>
                    <w:widowControl w:val="0"/>
                    <w:kinsoku/>
                    <w:wordWrap/>
                    <w:overflowPunct/>
                    <w:topLinePunct w:val="0"/>
                    <w:autoSpaceDE/>
                    <w:autoSpaceDN/>
                    <w:bidi w:val="0"/>
                    <w:adjustRightInd/>
                    <w:snapToGrid/>
                    <w:ind w:left="0" w:firstLine="0" w:firstLineChars="0"/>
                    <w:jc w:val="center"/>
                    <w:textAlignment w:val="baseline"/>
                    <w:rPr>
                      <w:rFonts w:hint="default" w:ascii="Times New Roman" w:hAnsi="Times New Roman" w:cs="Times New Roman"/>
                      <w:b w:val="0"/>
                      <w:bCs w:val="0"/>
                      <w:color w:val="auto"/>
                      <w:kern w:val="0"/>
                      <w:szCs w:val="21"/>
                      <w:highlight w:val="none"/>
                    </w:rPr>
                  </w:pPr>
                  <w:r>
                    <w:rPr>
                      <w:rFonts w:hint="default" w:ascii="Times New Roman" w:hAnsi="Times New Roman" w:cs="Times New Roman"/>
                      <w:b w:val="0"/>
                      <w:bCs w:val="0"/>
                      <w:color w:val="auto"/>
                      <w:kern w:val="0"/>
                      <w:szCs w:val="21"/>
                      <w:highlight w:val="none"/>
                    </w:rPr>
                    <w:t>MCV-A-R20×30</w:t>
                  </w:r>
                </w:p>
              </w:tc>
              <w:tc>
                <w:tcPr>
                  <w:tcW w:w="660" w:type="pct"/>
                  <w:noWrap w:val="0"/>
                  <w:vAlign w:val="center"/>
                </w:tcPr>
                <w:p w14:paraId="5098D2FC">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80</w:t>
                  </w:r>
                </w:p>
              </w:tc>
              <w:tc>
                <w:tcPr>
                  <w:tcW w:w="891" w:type="pct"/>
                  <w:noWrap w:val="0"/>
                  <w:vAlign w:val="center"/>
                </w:tcPr>
                <w:p w14:paraId="4FD972BA">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color w:val="auto"/>
                      <w:highlight w:val="none"/>
                      <w:lang w:val="en-US" w:eastAsia="zh-CN"/>
                    </w:rPr>
                  </w:pPr>
                  <w:r>
                    <w:rPr>
                      <w:rFonts w:hint="default" w:ascii="Times New Roman" w:hAnsi="Times New Roman" w:cs="Times New Roman"/>
                      <w:b w:val="0"/>
                      <w:bCs w:val="0"/>
                      <w:color w:val="auto"/>
                      <w:szCs w:val="21"/>
                      <w:highlight w:val="none"/>
                    </w:rPr>
                    <w:t>采用减振垫、厂房隔声等措施</w:t>
                  </w:r>
                </w:p>
              </w:tc>
            </w:tr>
            <w:tr w14:paraId="26680FE0">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303" w:type="pct"/>
                  <w:noWrap w:val="0"/>
                  <w:vAlign w:val="center"/>
                </w:tcPr>
                <w:p w14:paraId="508508F2">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4</w:t>
                  </w:r>
                </w:p>
              </w:tc>
              <w:tc>
                <w:tcPr>
                  <w:tcW w:w="574" w:type="pct"/>
                  <w:vMerge w:val="continue"/>
                  <w:noWrap w:val="0"/>
                  <w:vAlign w:val="center"/>
                </w:tcPr>
                <w:p w14:paraId="470E0E74">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val="0"/>
                      <w:bCs w:val="0"/>
                      <w:color w:val="auto"/>
                      <w:highlight w:val="none"/>
                      <w:lang w:val="en-US" w:eastAsia="zh-CN"/>
                    </w:rPr>
                  </w:pPr>
                </w:p>
              </w:tc>
              <w:tc>
                <w:tcPr>
                  <w:tcW w:w="1341" w:type="pct"/>
                  <w:noWrap w:val="0"/>
                  <w:vAlign w:val="center"/>
                </w:tcPr>
                <w:p w14:paraId="6A56FDE1">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val="0"/>
                      <w:bCs w:val="0"/>
                      <w:color w:val="auto"/>
                      <w:kern w:val="0"/>
                      <w:szCs w:val="21"/>
                      <w:highlight w:val="none"/>
                      <w:lang w:val="en-US" w:eastAsia="zh-CN"/>
                    </w:rPr>
                  </w:pPr>
                  <w:r>
                    <w:rPr>
                      <w:rFonts w:hint="default" w:ascii="Times New Roman" w:hAnsi="Times New Roman" w:cs="Times New Roman"/>
                      <w:b w:val="0"/>
                      <w:bCs w:val="0"/>
                      <w:color w:val="auto"/>
                      <w:highlight w:val="none"/>
                      <w:lang w:val="en-US" w:eastAsia="zh-CN"/>
                    </w:rPr>
                    <w:t>等离子切割机</w:t>
                  </w:r>
                </w:p>
              </w:tc>
              <w:tc>
                <w:tcPr>
                  <w:tcW w:w="1228" w:type="pct"/>
                  <w:noWrap w:val="0"/>
                  <w:vAlign w:val="center"/>
                </w:tcPr>
                <w:p w14:paraId="5E88E576">
                  <w:pPr>
                    <w:keepNext w:val="0"/>
                    <w:keepLines w:val="0"/>
                    <w:pageBreakBefore w:val="0"/>
                    <w:widowControl w:val="0"/>
                    <w:kinsoku/>
                    <w:wordWrap/>
                    <w:overflowPunct/>
                    <w:topLinePunct w:val="0"/>
                    <w:autoSpaceDE/>
                    <w:autoSpaceDN/>
                    <w:bidi w:val="0"/>
                    <w:adjustRightInd/>
                    <w:snapToGrid/>
                    <w:ind w:left="0" w:firstLine="0" w:firstLineChars="0"/>
                    <w:jc w:val="center"/>
                    <w:textAlignment w:val="baseline"/>
                    <w:rPr>
                      <w:rFonts w:hint="default" w:ascii="Times New Roman" w:hAnsi="Times New Roman" w:cs="Times New Roman"/>
                      <w:b w:val="0"/>
                      <w:bCs w:val="0"/>
                      <w:color w:val="auto"/>
                      <w:kern w:val="0"/>
                      <w:szCs w:val="21"/>
                      <w:highlight w:val="none"/>
                    </w:rPr>
                  </w:pPr>
                  <w:r>
                    <w:rPr>
                      <w:rFonts w:hint="default" w:ascii="Times New Roman" w:hAnsi="Times New Roman" w:cs="Times New Roman"/>
                      <w:b w:val="0"/>
                      <w:bCs w:val="0"/>
                      <w:color w:val="auto"/>
                      <w:kern w:val="0"/>
                      <w:szCs w:val="21"/>
                      <w:highlight w:val="none"/>
                    </w:rPr>
                    <w:t>SXE-P2-4500</w:t>
                  </w:r>
                </w:p>
              </w:tc>
              <w:tc>
                <w:tcPr>
                  <w:tcW w:w="660" w:type="pct"/>
                  <w:noWrap w:val="0"/>
                  <w:vAlign w:val="center"/>
                </w:tcPr>
                <w:p w14:paraId="02F25D08">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85</w:t>
                  </w:r>
                </w:p>
              </w:tc>
              <w:tc>
                <w:tcPr>
                  <w:tcW w:w="891" w:type="pct"/>
                  <w:noWrap w:val="0"/>
                  <w:vAlign w:val="center"/>
                </w:tcPr>
                <w:p w14:paraId="14C51748">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color w:val="auto"/>
                      <w:highlight w:val="none"/>
                      <w:lang w:val="en-US" w:eastAsia="zh-CN"/>
                    </w:rPr>
                  </w:pPr>
                  <w:r>
                    <w:rPr>
                      <w:rFonts w:hint="default" w:ascii="Times New Roman" w:hAnsi="Times New Roman" w:cs="Times New Roman"/>
                      <w:b w:val="0"/>
                      <w:bCs w:val="0"/>
                      <w:color w:val="auto"/>
                      <w:szCs w:val="21"/>
                      <w:highlight w:val="none"/>
                    </w:rPr>
                    <w:t>采用低噪声设备、减振垫、厂房隔声等措施</w:t>
                  </w:r>
                </w:p>
              </w:tc>
            </w:tr>
            <w:tr w14:paraId="36284245">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303" w:type="pct"/>
                  <w:noWrap w:val="0"/>
                  <w:vAlign w:val="center"/>
                </w:tcPr>
                <w:p w14:paraId="235917C1">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5</w:t>
                  </w:r>
                </w:p>
              </w:tc>
              <w:tc>
                <w:tcPr>
                  <w:tcW w:w="574" w:type="pct"/>
                  <w:vMerge w:val="continue"/>
                  <w:noWrap w:val="0"/>
                  <w:vAlign w:val="center"/>
                </w:tcPr>
                <w:p w14:paraId="76D87AB6">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val="0"/>
                      <w:bCs w:val="0"/>
                      <w:color w:val="auto"/>
                      <w:highlight w:val="none"/>
                      <w:lang w:val="en-US" w:eastAsia="zh-CN"/>
                    </w:rPr>
                  </w:pPr>
                </w:p>
              </w:tc>
              <w:tc>
                <w:tcPr>
                  <w:tcW w:w="1341" w:type="pct"/>
                  <w:noWrap w:val="0"/>
                  <w:vAlign w:val="center"/>
                </w:tcPr>
                <w:p w14:paraId="6B7783C9">
                  <w:pPr>
                    <w:keepNext w:val="0"/>
                    <w:keepLines w:val="0"/>
                    <w:widowControl/>
                    <w:suppressLineNumbers w:val="0"/>
                    <w:jc w:val="center"/>
                    <w:textAlignment w:val="center"/>
                    <w:rPr>
                      <w:rFonts w:hint="default" w:ascii="Times New Roman" w:hAnsi="Times New Roman" w:cs="Times New Roman"/>
                      <w:b w:val="0"/>
                      <w:bCs w:val="0"/>
                      <w:color w:val="auto"/>
                      <w:kern w:val="0"/>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磨光机</w:t>
                  </w:r>
                </w:p>
              </w:tc>
              <w:tc>
                <w:tcPr>
                  <w:tcW w:w="1228" w:type="pct"/>
                  <w:noWrap w:val="0"/>
                  <w:vAlign w:val="center"/>
                </w:tcPr>
                <w:p w14:paraId="79CF0B94">
                  <w:pPr>
                    <w:keepNext w:val="0"/>
                    <w:keepLines w:val="0"/>
                    <w:widowControl/>
                    <w:suppressLineNumbers w:val="0"/>
                    <w:jc w:val="center"/>
                    <w:textAlignment w:val="center"/>
                    <w:rPr>
                      <w:rFonts w:hint="default" w:ascii="Times New Roman" w:hAnsi="Times New Roman" w:cs="Times New Roman"/>
                      <w:b w:val="0"/>
                      <w:bCs w:val="0"/>
                      <w:color w:val="auto"/>
                      <w:kern w:val="0"/>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LD100</w:t>
                  </w:r>
                </w:p>
              </w:tc>
              <w:tc>
                <w:tcPr>
                  <w:tcW w:w="660" w:type="pct"/>
                  <w:noWrap w:val="0"/>
                  <w:vAlign w:val="center"/>
                </w:tcPr>
                <w:p w14:paraId="6EB7CB97">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75</w:t>
                  </w:r>
                </w:p>
              </w:tc>
              <w:tc>
                <w:tcPr>
                  <w:tcW w:w="891" w:type="pct"/>
                  <w:noWrap w:val="0"/>
                  <w:vAlign w:val="center"/>
                </w:tcPr>
                <w:p w14:paraId="6593C7A0">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color w:val="auto"/>
                      <w:highlight w:val="none"/>
                      <w:lang w:val="en-US" w:eastAsia="zh-CN"/>
                    </w:rPr>
                  </w:pPr>
                  <w:r>
                    <w:rPr>
                      <w:rFonts w:hint="default" w:ascii="Times New Roman" w:hAnsi="Times New Roman" w:cs="Times New Roman"/>
                      <w:b w:val="0"/>
                      <w:bCs w:val="0"/>
                      <w:color w:val="auto"/>
                      <w:szCs w:val="21"/>
                      <w:highlight w:val="none"/>
                    </w:rPr>
                    <w:t>采用低噪声设备、厂房隔声等措施</w:t>
                  </w:r>
                </w:p>
              </w:tc>
            </w:tr>
            <w:tr w14:paraId="3B5422C6">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303" w:type="pct"/>
                  <w:noWrap w:val="0"/>
                  <w:vAlign w:val="center"/>
                </w:tcPr>
                <w:p w14:paraId="070D1993">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6</w:t>
                  </w:r>
                </w:p>
              </w:tc>
              <w:tc>
                <w:tcPr>
                  <w:tcW w:w="574" w:type="pct"/>
                  <w:vMerge w:val="continue"/>
                  <w:noWrap w:val="0"/>
                  <w:vAlign w:val="center"/>
                </w:tcPr>
                <w:p w14:paraId="47B92601">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val="0"/>
                      <w:bCs w:val="0"/>
                      <w:color w:val="auto"/>
                      <w:highlight w:val="none"/>
                      <w:lang w:val="en-US" w:eastAsia="zh-CN"/>
                    </w:rPr>
                  </w:pPr>
                </w:p>
              </w:tc>
              <w:tc>
                <w:tcPr>
                  <w:tcW w:w="1341" w:type="pct"/>
                  <w:noWrap w:val="0"/>
                  <w:vAlign w:val="center"/>
                </w:tcPr>
                <w:p w14:paraId="2F6D3D7B">
                  <w:pPr>
                    <w:keepNext w:val="0"/>
                    <w:keepLines w:val="0"/>
                    <w:widowControl/>
                    <w:suppressLineNumbers w:val="0"/>
                    <w:jc w:val="center"/>
                    <w:textAlignment w:val="center"/>
                    <w:rPr>
                      <w:rFonts w:hint="default" w:ascii="Times New Roman" w:hAnsi="Times New Roman" w:cs="Times New Roman"/>
                      <w:b w:val="0"/>
                      <w:bCs w:val="0"/>
                      <w:color w:val="auto"/>
                      <w:kern w:val="0"/>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钻铣床</w:t>
                  </w:r>
                </w:p>
              </w:tc>
              <w:tc>
                <w:tcPr>
                  <w:tcW w:w="1228" w:type="pct"/>
                  <w:noWrap w:val="0"/>
                  <w:vAlign w:val="center"/>
                </w:tcPr>
                <w:p w14:paraId="2D57102A">
                  <w:pPr>
                    <w:keepNext w:val="0"/>
                    <w:keepLines w:val="0"/>
                    <w:widowControl/>
                    <w:suppressLineNumbers w:val="0"/>
                    <w:jc w:val="center"/>
                    <w:textAlignment w:val="center"/>
                    <w:rPr>
                      <w:rFonts w:hint="default" w:ascii="Times New Roman" w:hAnsi="Times New Roman" w:cs="Times New Roman"/>
                      <w:b w:val="0"/>
                      <w:bCs w:val="0"/>
                      <w:color w:val="auto"/>
                      <w:kern w:val="0"/>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山东ZX50C</w:t>
                  </w:r>
                </w:p>
              </w:tc>
              <w:tc>
                <w:tcPr>
                  <w:tcW w:w="660" w:type="pct"/>
                  <w:noWrap w:val="0"/>
                  <w:vAlign w:val="center"/>
                </w:tcPr>
                <w:p w14:paraId="7F7808C2">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90</w:t>
                  </w:r>
                </w:p>
              </w:tc>
              <w:tc>
                <w:tcPr>
                  <w:tcW w:w="891" w:type="pct"/>
                  <w:noWrap w:val="0"/>
                  <w:vAlign w:val="center"/>
                </w:tcPr>
                <w:p w14:paraId="3D93C961">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color w:val="auto"/>
                      <w:highlight w:val="none"/>
                      <w:lang w:val="en-US" w:eastAsia="zh-CN"/>
                    </w:rPr>
                  </w:pPr>
                  <w:r>
                    <w:rPr>
                      <w:rFonts w:hint="default" w:ascii="Times New Roman" w:hAnsi="Times New Roman" w:cs="Times New Roman"/>
                      <w:b w:val="0"/>
                      <w:bCs w:val="0"/>
                      <w:color w:val="auto"/>
                      <w:szCs w:val="21"/>
                      <w:highlight w:val="none"/>
                    </w:rPr>
                    <w:t>采用减振垫、厂房隔声等措施</w:t>
                  </w:r>
                </w:p>
              </w:tc>
            </w:tr>
            <w:tr w14:paraId="2598D5FB">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303" w:type="pct"/>
                  <w:noWrap w:val="0"/>
                  <w:vAlign w:val="center"/>
                </w:tcPr>
                <w:p w14:paraId="0BC69832">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val="0"/>
                      <w:bCs w:val="0"/>
                      <w:color w:val="auto"/>
                      <w:highlight w:val="none"/>
                      <w:lang w:val="en-US" w:eastAsia="zh-CN"/>
                    </w:rPr>
                  </w:pPr>
                  <w:r>
                    <w:rPr>
                      <w:rFonts w:hint="eastAsia" w:cs="Times New Roman"/>
                      <w:b w:val="0"/>
                      <w:bCs w:val="0"/>
                      <w:color w:val="auto"/>
                      <w:highlight w:val="none"/>
                      <w:lang w:val="en-US" w:eastAsia="zh-CN"/>
                    </w:rPr>
                    <w:t>7</w:t>
                  </w:r>
                </w:p>
              </w:tc>
              <w:tc>
                <w:tcPr>
                  <w:tcW w:w="574" w:type="pct"/>
                  <w:vMerge w:val="continue"/>
                  <w:noWrap w:val="0"/>
                  <w:vAlign w:val="center"/>
                </w:tcPr>
                <w:p w14:paraId="739FBC94">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val="0"/>
                      <w:bCs w:val="0"/>
                      <w:color w:val="auto"/>
                      <w:highlight w:val="none"/>
                      <w:lang w:val="en-US" w:eastAsia="zh-CN"/>
                    </w:rPr>
                  </w:pPr>
                </w:p>
              </w:tc>
              <w:tc>
                <w:tcPr>
                  <w:tcW w:w="1341" w:type="pct"/>
                  <w:noWrap w:val="0"/>
                  <w:vAlign w:val="center"/>
                </w:tcPr>
                <w:p w14:paraId="184432FC">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val="0"/>
                      <w:bCs w:val="0"/>
                      <w:color w:val="auto"/>
                      <w:highlight w:val="none"/>
                      <w:lang w:val="en-US" w:eastAsia="zh-CN"/>
                    </w:rPr>
                  </w:pPr>
                  <w:r>
                    <w:rPr>
                      <w:rFonts w:hint="eastAsia" w:cs="Times New Roman"/>
                      <w:b w:val="0"/>
                      <w:bCs w:val="0"/>
                      <w:color w:val="auto"/>
                      <w:highlight w:val="none"/>
                      <w:lang w:val="en-US" w:eastAsia="zh-CN"/>
                    </w:rPr>
                    <w:t>空压机</w:t>
                  </w:r>
                </w:p>
              </w:tc>
              <w:tc>
                <w:tcPr>
                  <w:tcW w:w="1228" w:type="pct"/>
                  <w:noWrap w:val="0"/>
                  <w:vAlign w:val="center"/>
                </w:tcPr>
                <w:p w14:paraId="1A917EF5">
                  <w:pPr>
                    <w:keepNext w:val="0"/>
                    <w:keepLines w:val="0"/>
                    <w:pageBreakBefore w:val="0"/>
                    <w:widowControl w:val="0"/>
                    <w:kinsoku/>
                    <w:wordWrap/>
                    <w:overflowPunct/>
                    <w:topLinePunct w:val="0"/>
                    <w:autoSpaceDE/>
                    <w:autoSpaceDN/>
                    <w:bidi w:val="0"/>
                    <w:adjustRightInd/>
                    <w:snapToGrid/>
                    <w:ind w:left="0" w:firstLine="0" w:firstLineChars="0"/>
                    <w:jc w:val="center"/>
                    <w:textAlignment w:val="baseline"/>
                    <w:rPr>
                      <w:rFonts w:hint="default" w:ascii="Times New Roman" w:hAnsi="Times New Roman" w:eastAsia="宋体" w:cs="Times New Roman"/>
                      <w:b w:val="0"/>
                      <w:bCs w:val="0"/>
                      <w:color w:val="auto"/>
                      <w:kern w:val="0"/>
                      <w:szCs w:val="21"/>
                      <w:highlight w:val="none"/>
                      <w:lang w:val="en-US" w:eastAsia="zh-CN"/>
                    </w:rPr>
                  </w:pPr>
                  <w:r>
                    <w:rPr>
                      <w:rFonts w:hint="eastAsia" w:cs="Times New Roman"/>
                      <w:b w:val="0"/>
                      <w:bCs w:val="0"/>
                      <w:color w:val="auto"/>
                      <w:kern w:val="0"/>
                      <w:szCs w:val="21"/>
                      <w:highlight w:val="none"/>
                      <w:lang w:val="en-US" w:eastAsia="zh-CN"/>
                    </w:rPr>
                    <w:t>FU08A</w:t>
                  </w:r>
                </w:p>
              </w:tc>
              <w:tc>
                <w:tcPr>
                  <w:tcW w:w="660" w:type="pct"/>
                  <w:noWrap w:val="0"/>
                  <w:vAlign w:val="center"/>
                </w:tcPr>
                <w:p w14:paraId="04415876">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b w:val="0"/>
                      <w:bCs w:val="0"/>
                      <w:color w:val="auto"/>
                      <w:highlight w:val="none"/>
                      <w:lang w:val="en-US" w:eastAsia="zh-CN"/>
                    </w:rPr>
                  </w:pPr>
                  <w:r>
                    <w:rPr>
                      <w:rFonts w:hint="eastAsia" w:cs="Times New Roman"/>
                      <w:b w:val="0"/>
                      <w:bCs w:val="0"/>
                      <w:color w:val="auto"/>
                      <w:highlight w:val="none"/>
                      <w:lang w:val="en-US" w:eastAsia="zh-CN"/>
                    </w:rPr>
                    <w:t>90</w:t>
                  </w:r>
                </w:p>
              </w:tc>
              <w:tc>
                <w:tcPr>
                  <w:tcW w:w="891" w:type="pct"/>
                  <w:noWrap w:val="0"/>
                  <w:vAlign w:val="center"/>
                </w:tcPr>
                <w:p w14:paraId="2AFD0E55">
                  <w:pPr>
                    <w:pStyle w:val="39"/>
                    <w:keepNext w:val="0"/>
                    <w:keepLines w:val="0"/>
                    <w:pageBreakBefore w:val="0"/>
                    <w:widowControl w:val="0"/>
                    <w:kinsoku/>
                    <w:wordWrap/>
                    <w:overflowPunct/>
                    <w:topLinePunct w:val="0"/>
                    <w:autoSpaceDE/>
                    <w:autoSpaceDN/>
                    <w:bidi w:val="0"/>
                    <w:adjustRightInd/>
                    <w:snapToGrid/>
                    <w:spacing w:beforeLines="0" w:afterLines="0"/>
                    <w:ind w:left="0" w:firstLine="0" w:firstLineChars="0"/>
                    <w:rPr>
                      <w:rFonts w:hint="default" w:ascii="Times New Roman" w:hAnsi="Times New Roman" w:cs="Times New Roman"/>
                      <w:color w:val="auto"/>
                      <w:highlight w:val="none"/>
                      <w:lang w:val="en-US" w:eastAsia="zh-CN"/>
                    </w:rPr>
                  </w:pPr>
                  <w:r>
                    <w:rPr>
                      <w:rFonts w:hint="default" w:ascii="Times New Roman" w:hAnsi="Times New Roman" w:cs="Times New Roman"/>
                      <w:b w:val="0"/>
                      <w:bCs w:val="0"/>
                      <w:color w:val="auto"/>
                      <w:szCs w:val="21"/>
                      <w:highlight w:val="none"/>
                    </w:rPr>
                    <w:t>采用隔声罩、减振垫等措施</w:t>
                  </w:r>
                </w:p>
              </w:tc>
            </w:tr>
          </w:tbl>
          <w:p w14:paraId="09216B2B">
            <w:pPr>
              <w:wordWrap w:val="0"/>
              <w:spacing w:line="360" w:lineRule="auto"/>
              <w:ind w:firstLine="482"/>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项目噪声主要来自车间内弧焊机、切割机、数控机床、等离子切割机、平面钻、电焊机等设备运转时产生的噪声，根据同类企业类比，噪声值一般在</w:t>
            </w:r>
            <w:r>
              <w:rPr>
                <w:rFonts w:hint="eastAsia" w:cs="Times New Roman"/>
                <w:color w:val="auto"/>
                <w:sz w:val="24"/>
                <w:highlight w:val="none"/>
                <w:lang w:val="en-US" w:eastAsia="zh-CN"/>
              </w:rPr>
              <w:t>7</w:t>
            </w:r>
            <w:r>
              <w:rPr>
                <w:rFonts w:hint="default" w:ascii="Times New Roman" w:hAnsi="Times New Roman" w:cs="Times New Roman"/>
                <w:color w:val="auto"/>
                <w:sz w:val="24"/>
                <w:highlight w:val="none"/>
              </w:rPr>
              <w:t>5-</w:t>
            </w:r>
            <w:r>
              <w:rPr>
                <w:rFonts w:hint="eastAsia" w:cs="Times New Roman"/>
                <w:color w:val="auto"/>
                <w:sz w:val="24"/>
                <w:highlight w:val="none"/>
                <w:lang w:val="en-US" w:eastAsia="zh-CN"/>
              </w:rPr>
              <w:t>90</w:t>
            </w:r>
            <w:r>
              <w:rPr>
                <w:rFonts w:hint="default" w:ascii="Times New Roman" w:hAnsi="Times New Roman" w:cs="Times New Roman"/>
                <w:color w:val="auto"/>
                <w:sz w:val="24"/>
                <w:highlight w:val="none"/>
              </w:rPr>
              <w:t>dB（A）之间。机器设备均设置在室内，并对高噪声设备采取设减振基础、隔声等措施控制噪声对周围环境的影响。</w:t>
            </w:r>
          </w:p>
          <w:p w14:paraId="1BBE009C">
            <w:pPr>
              <w:spacing w:line="360" w:lineRule="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3.2预测方法</w:t>
            </w:r>
          </w:p>
          <w:p w14:paraId="0C70E566">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噪声源布置较为集中，其对厂界外的声环境影响采取《环境影响评价技术导则声环境》（HJ2.4-2021）中的噪声预测模式。</w:t>
            </w:r>
          </w:p>
          <w:p w14:paraId="1048FDFF">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由于在声波传播的过程中，通过距离衰减、空气吸收衰减到达厂界外，故实际衰减量要低于其预测衰减量，即实际噪声值将略低于其预测值。</w:t>
            </w:r>
          </w:p>
          <w:p w14:paraId="6CE972A9">
            <w:pPr>
              <w:spacing w:line="360" w:lineRule="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3.3噪声影响预测模式</w:t>
            </w:r>
          </w:p>
          <w:p w14:paraId="787847B9">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点声源随传播距离增加引起其衰减值预测模式计算：</w:t>
            </w:r>
          </w:p>
          <w:p w14:paraId="2E6D9B66">
            <w:pPr>
              <w:pStyle w:val="12"/>
              <w:spacing w:before="0" w:after="0"/>
              <w:ind w:right="0" w:firstLine="48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drawing>
                <wp:inline distT="0" distB="0" distL="114300" distR="114300">
                  <wp:extent cx="2005330" cy="362585"/>
                  <wp:effectExtent l="0" t="0" r="6350" b="317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1"/>
                          <a:stretch>
                            <a:fillRect/>
                          </a:stretch>
                        </pic:blipFill>
                        <pic:spPr>
                          <a:xfrm>
                            <a:off x="0" y="0"/>
                            <a:ext cx="2005330" cy="362585"/>
                          </a:xfrm>
                          <a:prstGeom prst="rect">
                            <a:avLst/>
                          </a:prstGeom>
                          <a:noFill/>
                          <a:ln>
                            <a:noFill/>
                          </a:ln>
                        </pic:spPr>
                      </pic:pic>
                    </a:graphicData>
                  </a:graphic>
                </wp:inline>
              </w:drawing>
            </w:r>
          </w:p>
          <w:p w14:paraId="2F4B38B7">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式中：L</w:t>
            </w:r>
            <w:r>
              <w:rPr>
                <w:rFonts w:hint="default" w:ascii="Times New Roman" w:hAnsi="Times New Roman" w:cs="Times New Roman"/>
                <w:color w:val="auto"/>
                <w:sz w:val="24"/>
                <w:highlight w:val="none"/>
                <w:vertAlign w:val="subscript"/>
              </w:rPr>
              <w:t>eq</w:t>
            </w:r>
            <w:r>
              <w:rPr>
                <w:rFonts w:hint="default" w:ascii="Times New Roman" w:hAnsi="Times New Roman" w:cs="Times New Roman"/>
                <w:color w:val="auto"/>
                <w:sz w:val="24"/>
                <w:highlight w:val="none"/>
              </w:rPr>
              <w:t>——预测点的噪声预测值，dB；</w:t>
            </w:r>
          </w:p>
          <w:p w14:paraId="7F55F463">
            <w:pPr>
              <w:spacing w:line="360" w:lineRule="auto"/>
              <w:ind w:firstLine="1200" w:firstLineChars="5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L</w:t>
            </w:r>
            <w:r>
              <w:rPr>
                <w:rFonts w:hint="default" w:ascii="Times New Roman" w:hAnsi="Times New Roman" w:cs="Times New Roman"/>
                <w:color w:val="auto"/>
                <w:sz w:val="24"/>
                <w:highlight w:val="none"/>
                <w:vertAlign w:val="subscript"/>
              </w:rPr>
              <w:t>eqg</w:t>
            </w:r>
            <w:r>
              <w:rPr>
                <w:rFonts w:hint="default" w:ascii="Times New Roman" w:hAnsi="Times New Roman" w:cs="Times New Roman"/>
                <w:color w:val="auto"/>
                <w:sz w:val="24"/>
                <w:highlight w:val="none"/>
              </w:rPr>
              <w:t>——建设项目声源在预测点产生的噪声贡献值，dB；</w:t>
            </w:r>
          </w:p>
          <w:p w14:paraId="1A6710A5">
            <w:pPr>
              <w:spacing w:line="360" w:lineRule="auto"/>
              <w:ind w:firstLine="1200" w:firstLineChars="5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L</w:t>
            </w:r>
            <w:r>
              <w:rPr>
                <w:rFonts w:hint="default" w:ascii="Times New Roman" w:hAnsi="Times New Roman" w:cs="Times New Roman"/>
                <w:color w:val="auto"/>
                <w:sz w:val="24"/>
                <w:highlight w:val="none"/>
                <w:vertAlign w:val="subscript"/>
              </w:rPr>
              <w:t>eqb</w:t>
            </w:r>
            <w:r>
              <w:rPr>
                <w:rFonts w:hint="default" w:ascii="Times New Roman" w:hAnsi="Times New Roman" w:cs="Times New Roman"/>
                <w:color w:val="auto"/>
                <w:sz w:val="24"/>
                <w:highlight w:val="none"/>
              </w:rPr>
              <w:t>——预测点的背景噪声值，dB。</w:t>
            </w:r>
          </w:p>
          <w:p w14:paraId="479B14CE">
            <w:pPr>
              <w:spacing w:line="360" w:lineRule="auto"/>
              <w:ind w:firstLine="480" w:firstLineChars="200"/>
              <w:rPr>
                <w:rFonts w:hint="eastAsia"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产噪设备加设减振基础或减振垫等措施后，噪声能降低噪声级20dB（A），结合距离衰减，项目各设备噪声源同时运行时对厂界噪声贡献值见表4-1</w:t>
            </w:r>
            <w:r>
              <w:rPr>
                <w:rFonts w:hint="eastAsia" w:cs="Times New Roman"/>
                <w:color w:val="auto"/>
                <w:sz w:val="24"/>
                <w:highlight w:val="none"/>
                <w:lang w:val="en-US" w:eastAsia="zh-CN"/>
              </w:rPr>
              <w:t>3</w:t>
            </w:r>
            <w:r>
              <w:rPr>
                <w:rFonts w:hint="eastAsia" w:cs="Times New Roman"/>
                <w:color w:val="auto"/>
                <w:sz w:val="24"/>
                <w:highlight w:val="none"/>
                <w:lang w:eastAsia="zh-CN"/>
              </w:rPr>
              <w:t>，</w:t>
            </w:r>
            <w:r>
              <w:rPr>
                <w:rFonts w:hint="eastAsia" w:cs="Times New Roman"/>
                <w:color w:val="auto"/>
                <w:sz w:val="24"/>
                <w:highlight w:val="none"/>
                <w:lang w:val="en-US" w:eastAsia="zh-CN"/>
              </w:rPr>
              <w:t>本项目夜间不生产，因此无需预测夜间贡献值。</w:t>
            </w:r>
          </w:p>
          <w:p w14:paraId="4B767D90">
            <w:pPr>
              <w:pStyle w:val="9"/>
              <w:spacing w:before="0" w:after="0" w:line="240" w:lineRule="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表4-1</w:t>
            </w:r>
            <w:r>
              <w:rPr>
                <w:rFonts w:hint="eastAsia"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rPr>
              <w:t xml:space="preserve">    厂界噪声预测结果单位：dB(A)</w:t>
            </w:r>
          </w:p>
          <w:tbl>
            <w:tblPr>
              <w:tblStyle w:val="26"/>
              <w:tblW w:w="4998"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1788"/>
              <w:gridCol w:w="1710"/>
              <w:gridCol w:w="1582"/>
              <w:gridCol w:w="1543"/>
              <w:gridCol w:w="1486"/>
            </w:tblGrid>
            <w:tr w14:paraId="55EC7486">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cantSplit/>
                <w:trHeight w:val="23" w:hRule="atLeast"/>
                <w:tblHeader/>
                <w:jc w:val="center"/>
              </w:trPr>
              <w:tc>
                <w:tcPr>
                  <w:tcW w:w="1102" w:type="pct"/>
                  <w:vMerge w:val="restart"/>
                  <w:noWrap w:val="0"/>
                  <w:vAlign w:val="center"/>
                </w:tcPr>
                <w:p w14:paraId="5B6FA393">
                  <w:pPr>
                    <w:pStyle w:val="39"/>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厂界噪声</w:t>
                  </w:r>
                </w:p>
              </w:tc>
              <w:tc>
                <w:tcPr>
                  <w:tcW w:w="1054" w:type="pct"/>
                  <w:noWrap w:val="0"/>
                  <w:vAlign w:val="center"/>
                </w:tcPr>
                <w:p w14:paraId="3EC8CBD9">
                  <w:pPr>
                    <w:pStyle w:val="39"/>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ascii="Times New Roman" w:hAnsi="Times New Roman" w:cs="Times New Roman"/>
                      <w:b/>
                      <w:bCs/>
                      <w:color w:val="auto"/>
                      <w:highlight w:val="none"/>
                    </w:rPr>
                  </w:pPr>
                  <w:r>
                    <w:rPr>
                      <w:rFonts w:hint="eastAsia" w:cs="Times New Roman"/>
                      <w:b/>
                      <w:bCs/>
                      <w:color w:val="auto"/>
                      <w:highlight w:val="none"/>
                      <w:lang w:val="en-US" w:eastAsia="zh-CN"/>
                    </w:rPr>
                    <w:t>东</w:t>
                  </w:r>
                  <w:r>
                    <w:rPr>
                      <w:rFonts w:hint="default" w:ascii="Times New Roman" w:hAnsi="Times New Roman" w:cs="Times New Roman"/>
                      <w:b/>
                      <w:bCs/>
                      <w:color w:val="auto"/>
                      <w:highlight w:val="none"/>
                      <w:lang w:val="en-US" w:eastAsia="zh-CN"/>
                    </w:rPr>
                    <w:t>厂界</w:t>
                  </w:r>
                </w:p>
              </w:tc>
              <w:tc>
                <w:tcPr>
                  <w:tcW w:w="975" w:type="pct"/>
                  <w:noWrap w:val="0"/>
                  <w:vAlign w:val="center"/>
                </w:tcPr>
                <w:p w14:paraId="27C3D46B">
                  <w:pPr>
                    <w:pStyle w:val="39"/>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西</w:t>
                  </w:r>
                  <w:r>
                    <w:rPr>
                      <w:rFonts w:hint="default" w:ascii="Times New Roman" w:hAnsi="Times New Roman" w:cs="Times New Roman"/>
                      <w:b/>
                      <w:bCs/>
                      <w:color w:val="auto"/>
                      <w:highlight w:val="none"/>
                      <w:lang w:val="en-US" w:eastAsia="zh-CN"/>
                    </w:rPr>
                    <w:t>厂界</w:t>
                  </w:r>
                </w:p>
              </w:tc>
              <w:tc>
                <w:tcPr>
                  <w:tcW w:w="951" w:type="pct"/>
                  <w:noWrap w:val="0"/>
                  <w:vAlign w:val="center"/>
                </w:tcPr>
                <w:p w14:paraId="65D5E134">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南</w:t>
                  </w:r>
                  <w:r>
                    <w:rPr>
                      <w:rFonts w:hint="default" w:ascii="Times New Roman" w:hAnsi="Times New Roman" w:cs="Times New Roman"/>
                      <w:b/>
                      <w:bCs/>
                      <w:color w:val="auto"/>
                      <w:highlight w:val="none"/>
                      <w:lang w:val="en-US" w:eastAsia="zh-CN"/>
                    </w:rPr>
                    <w:t>厂界</w:t>
                  </w:r>
                </w:p>
              </w:tc>
              <w:tc>
                <w:tcPr>
                  <w:tcW w:w="915" w:type="pct"/>
                  <w:noWrap w:val="0"/>
                  <w:vAlign w:val="center"/>
                </w:tcPr>
                <w:p w14:paraId="0E55C76F">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北</w:t>
                  </w:r>
                  <w:r>
                    <w:rPr>
                      <w:rFonts w:hint="default" w:ascii="Times New Roman" w:hAnsi="Times New Roman" w:cs="Times New Roman"/>
                      <w:b/>
                      <w:bCs/>
                      <w:color w:val="auto"/>
                      <w:highlight w:val="none"/>
                      <w:lang w:val="en-US" w:eastAsia="zh-CN"/>
                    </w:rPr>
                    <w:t>厂界</w:t>
                  </w:r>
                </w:p>
              </w:tc>
            </w:tr>
            <w:tr w14:paraId="5B6C673D">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cantSplit/>
                <w:trHeight w:val="23" w:hRule="atLeast"/>
                <w:jc w:val="center"/>
              </w:trPr>
              <w:tc>
                <w:tcPr>
                  <w:tcW w:w="1102" w:type="pct"/>
                  <w:vMerge w:val="continue"/>
                  <w:tcBorders>
                    <w:bottom w:val="single" w:color="auto" w:sz="12" w:space="0"/>
                  </w:tcBorders>
                  <w:noWrap w:val="0"/>
                  <w:vAlign w:val="center"/>
                </w:tcPr>
                <w:p w14:paraId="7548D7C3">
                  <w:pPr>
                    <w:pStyle w:val="39"/>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ascii="Times New Roman" w:hAnsi="Times New Roman" w:cs="Times New Roman"/>
                      <w:b/>
                      <w:bCs/>
                      <w:color w:val="auto"/>
                      <w:highlight w:val="none"/>
                      <w:lang w:val="en-US"/>
                    </w:rPr>
                  </w:pPr>
                </w:p>
              </w:tc>
              <w:tc>
                <w:tcPr>
                  <w:tcW w:w="1054" w:type="pct"/>
                  <w:tcBorders>
                    <w:bottom w:val="single" w:color="auto" w:sz="12" w:space="0"/>
                  </w:tcBorders>
                  <w:noWrap w:val="0"/>
                  <w:vAlign w:val="center"/>
                </w:tcPr>
                <w:p w14:paraId="5A61FE47">
                  <w:pPr>
                    <w:pStyle w:val="39"/>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昼</w:t>
                  </w:r>
                </w:p>
              </w:tc>
              <w:tc>
                <w:tcPr>
                  <w:tcW w:w="975" w:type="pct"/>
                  <w:tcBorders>
                    <w:bottom w:val="single" w:color="auto" w:sz="12" w:space="0"/>
                  </w:tcBorders>
                  <w:noWrap w:val="0"/>
                  <w:vAlign w:val="center"/>
                </w:tcPr>
                <w:p w14:paraId="50B3A4EE">
                  <w:pPr>
                    <w:pStyle w:val="39"/>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昼</w:t>
                  </w:r>
                </w:p>
              </w:tc>
              <w:tc>
                <w:tcPr>
                  <w:tcW w:w="951" w:type="pct"/>
                  <w:tcBorders>
                    <w:bottom w:val="single" w:color="auto" w:sz="12" w:space="0"/>
                  </w:tcBorders>
                  <w:noWrap w:val="0"/>
                  <w:vAlign w:val="center"/>
                </w:tcPr>
                <w:p w14:paraId="448948ED">
                  <w:pPr>
                    <w:pStyle w:val="39"/>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昼</w:t>
                  </w:r>
                </w:p>
              </w:tc>
              <w:tc>
                <w:tcPr>
                  <w:tcW w:w="915" w:type="pct"/>
                  <w:tcBorders>
                    <w:bottom w:val="single" w:color="auto" w:sz="12" w:space="0"/>
                  </w:tcBorders>
                  <w:noWrap w:val="0"/>
                  <w:vAlign w:val="center"/>
                </w:tcPr>
                <w:p w14:paraId="748B0F6B">
                  <w:pPr>
                    <w:pStyle w:val="39"/>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昼</w:t>
                  </w:r>
                </w:p>
              </w:tc>
            </w:tr>
            <w:tr w14:paraId="5887755D">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cantSplit/>
                <w:trHeight w:val="23" w:hRule="atLeast"/>
                <w:jc w:val="center"/>
              </w:trPr>
              <w:tc>
                <w:tcPr>
                  <w:tcW w:w="1102" w:type="pct"/>
                  <w:tcBorders>
                    <w:top w:val="single" w:color="auto" w:sz="12" w:space="0"/>
                  </w:tcBorders>
                  <w:noWrap w:val="0"/>
                  <w:vAlign w:val="center"/>
                </w:tcPr>
                <w:p w14:paraId="4C293B1F">
                  <w:pPr>
                    <w:pStyle w:val="39"/>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贡献值</w:t>
                  </w:r>
                </w:p>
              </w:tc>
              <w:tc>
                <w:tcPr>
                  <w:tcW w:w="1054" w:type="pct"/>
                  <w:tcBorders>
                    <w:top w:val="single" w:color="auto" w:sz="12" w:space="0"/>
                  </w:tcBorders>
                  <w:noWrap w:val="0"/>
                  <w:vAlign w:val="center"/>
                </w:tcPr>
                <w:p w14:paraId="340379BB">
                  <w:pPr>
                    <w:pStyle w:val="39"/>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ascii="Times New Roman" w:hAnsi="Times New Roman" w:cs="Times New Roman"/>
                      <w:b w:val="0"/>
                      <w:bCs w:val="0"/>
                      <w:color w:val="auto"/>
                      <w:highlight w:val="none"/>
                      <w:lang w:val="en-US" w:eastAsia="zh-CN"/>
                    </w:rPr>
                  </w:pPr>
                  <w:r>
                    <w:rPr>
                      <w:rFonts w:hint="eastAsia" w:cs="Times New Roman"/>
                      <w:b w:val="0"/>
                      <w:bCs w:val="0"/>
                      <w:color w:val="auto"/>
                      <w:highlight w:val="none"/>
                      <w:lang w:val="en-US" w:eastAsia="zh-CN"/>
                    </w:rPr>
                    <w:t>16</w:t>
                  </w:r>
                  <w:r>
                    <w:rPr>
                      <w:rFonts w:hint="default" w:ascii="Times New Roman" w:hAnsi="Times New Roman" w:cs="Times New Roman"/>
                      <w:b w:val="0"/>
                      <w:bCs w:val="0"/>
                      <w:color w:val="auto"/>
                      <w:highlight w:val="none"/>
                      <w:lang w:val="en-US" w:eastAsia="zh-CN"/>
                    </w:rPr>
                    <w:t>.5</w:t>
                  </w:r>
                </w:p>
              </w:tc>
              <w:tc>
                <w:tcPr>
                  <w:tcW w:w="975" w:type="pct"/>
                  <w:tcBorders>
                    <w:top w:val="single" w:color="auto" w:sz="12" w:space="0"/>
                  </w:tcBorders>
                  <w:noWrap w:val="0"/>
                  <w:vAlign w:val="center"/>
                </w:tcPr>
                <w:p w14:paraId="58EE5759">
                  <w:pPr>
                    <w:pStyle w:val="39"/>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ascii="Times New Roman" w:hAnsi="Times New Roman" w:cs="Times New Roman"/>
                      <w:b w:val="0"/>
                      <w:bCs w:val="0"/>
                      <w:color w:val="auto"/>
                      <w:highlight w:val="none"/>
                      <w:lang w:val="en-US" w:eastAsia="zh-CN"/>
                    </w:rPr>
                  </w:pPr>
                  <w:r>
                    <w:rPr>
                      <w:rFonts w:hint="eastAsia" w:cs="Times New Roman"/>
                      <w:b w:val="0"/>
                      <w:bCs w:val="0"/>
                      <w:color w:val="auto"/>
                      <w:highlight w:val="none"/>
                      <w:lang w:val="en-US" w:eastAsia="zh-CN"/>
                    </w:rPr>
                    <w:t>16</w:t>
                  </w:r>
                  <w:r>
                    <w:rPr>
                      <w:rFonts w:hint="default" w:ascii="Times New Roman" w:hAnsi="Times New Roman" w:cs="Times New Roman"/>
                      <w:b w:val="0"/>
                      <w:bCs w:val="0"/>
                      <w:color w:val="auto"/>
                      <w:highlight w:val="none"/>
                      <w:lang w:val="en-US" w:eastAsia="zh-CN"/>
                    </w:rPr>
                    <w:t>.2</w:t>
                  </w:r>
                </w:p>
              </w:tc>
              <w:tc>
                <w:tcPr>
                  <w:tcW w:w="951" w:type="pct"/>
                  <w:tcBorders>
                    <w:top w:val="single" w:color="auto" w:sz="12" w:space="0"/>
                  </w:tcBorders>
                  <w:noWrap w:val="0"/>
                  <w:vAlign w:val="center"/>
                </w:tcPr>
                <w:p w14:paraId="2454671F">
                  <w:pPr>
                    <w:pStyle w:val="39"/>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ascii="Times New Roman" w:hAnsi="Times New Roman" w:cs="Times New Roman"/>
                      <w:b w:val="0"/>
                      <w:bCs w:val="0"/>
                      <w:color w:val="auto"/>
                      <w:highlight w:val="none"/>
                      <w:lang w:val="en-US" w:eastAsia="zh-CN"/>
                    </w:rPr>
                  </w:pPr>
                  <w:r>
                    <w:rPr>
                      <w:rFonts w:hint="eastAsia" w:cs="Times New Roman"/>
                      <w:b w:val="0"/>
                      <w:bCs w:val="0"/>
                      <w:color w:val="auto"/>
                      <w:highlight w:val="none"/>
                      <w:lang w:val="en-US" w:eastAsia="zh-CN"/>
                    </w:rPr>
                    <w:t>17</w:t>
                  </w:r>
                  <w:r>
                    <w:rPr>
                      <w:rFonts w:hint="default" w:ascii="Times New Roman" w:hAnsi="Times New Roman" w:cs="Times New Roman"/>
                      <w:b w:val="0"/>
                      <w:bCs w:val="0"/>
                      <w:color w:val="auto"/>
                      <w:highlight w:val="none"/>
                      <w:lang w:val="en-US" w:eastAsia="zh-CN"/>
                    </w:rPr>
                    <w:t>.5</w:t>
                  </w:r>
                </w:p>
              </w:tc>
              <w:tc>
                <w:tcPr>
                  <w:tcW w:w="915" w:type="pct"/>
                  <w:tcBorders>
                    <w:top w:val="single" w:color="auto" w:sz="12" w:space="0"/>
                  </w:tcBorders>
                  <w:noWrap w:val="0"/>
                  <w:vAlign w:val="center"/>
                </w:tcPr>
                <w:p w14:paraId="29317A1C">
                  <w:pPr>
                    <w:pStyle w:val="39"/>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ascii="Times New Roman" w:hAnsi="Times New Roman" w:cs="Times New Roman"/>
                      <w:b w:val="0"/>
                      <w:bCs w:val="0"/>
                      <w:color w:val="auto"/>
                      <w:highlight w:val="none"/>
                      <w:lang w:val="en-US" w:eastAsia="zh-CN"/>
                    </w:rPr>
                  </w:pPr>
                  <w:r>
                    <w:rPr>
                      <w:rFonts w:hint="eastAsia" w:cs="Times New Roman"/>
                      <w:b w:val="0"/>
                      <w:bCs w:val="0"/>
                      <w:color w:val="auto"/>
                      <w:highlight w:val="none"/>
                      <w:lang w:val="en-US" w:eastAsia="zh-CN"/>
                    </w:rPr>
                    <w:t>15</w:t>
                  </w:r>
                  <w:r>
                    <w:rPr>
                      <w:rFonts w:hint="default" w:ascii="Times New Roman" w:hAnsi="Times New Roman" w:cs="Times New Roman"/>
                      <w:b w:val="0"/>
                      <w:bCs w:val="0"/>
                      <w:color w:val="auto"/>
                      <w:highlight w:val="none"/>
                      <w:lang w:val="en-US" w:eastAsia="zh-CN"/>
                    </w:rPr>
                    <w:t>.5</w:t>
                  </w:r>
                </w:p>
              </w:tc>
            </w:tr>
            <w:tr w14:paraId="646E9E9E">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cantSplit/>
                <w:trHeight w:val="23" w:hRule="atLeast"/>
                <w:jc w:val="center"/>
              </w:trPr>
              <w:tc>
                <w:tcPr>
                  <w:tcW w:w="1102" w:type="pct"/>
                  <w:noWrap w:val="0"/>
                  <w:vAlign w:val="center"/>
                </w:tcPr>
                <w:p w14:paraId="1EC5795D">
                  <w:pPr>
                    <w:pStyle w:val="39"/>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标准值</w:t>
                  </w:r>
                </w:p>
              </w:tc>
              <w:tc>
                <w:tcPr>
                  <w:tcW w:w="1054" w:type="pct"/>
                  <w:noWrap w:val="0"/>
                  <w:vAlign w:val="center"/>
                </w:tcPr>
                <w:p w14:paraId="72E25476">
                  <w:pPr>
                    <w:pStyle w:val="39"/>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ascii="Times New Roman" w:hAnsi="Times New Roman" w:eastAsia="宋体" w:cs="Times New Roman"/>
                      <w:b w:val="0"/>
                      <w:bCs w:val="0"/>
                      <w:color w:val="auto"/>
                      <w:highlight w:val="none"/>
                      <w:lang w:val="en-US" w:eastAsia="zh-CN"/>
                    </w:rPr>
                  </w:pPr>
                  <w:r>
                    <w:rPr>
                      <w:rFonts w:hint="default" w:ascii="Times New Roman" w:hAnsi="Times New Roman" w:cs="Times New Roman"/>
                      <w:b w:val="0"/>
                      <w:bCs w:val="0"/>
                      <w:color w:val="auto"/>
                      <w:highlight w:val="none"/>
                    </w:rPr>
                    <w:t>6</w:t>
                  </w:r>
                  <w:r>
                    <w:rPr>
                      <w:rFonts w:hint="eastAsia" w:cs="Times New Roman"/>
                      <w:b w:val="0"/>
                      <w:bCs w:val="0"/>
                      <w:color w:val="auto"/>
                      <w:highlight w:val="none"/>
                      <w:lang w:val="en-US" w:eastAsia="zh-CN"/>
                    </w:rPr>
                    <w:t>0</w:t>
                  </w:r>
                </w:p>
              </w:tc>
              <w:tc>
                <w:tcPr>
                  <w:tcW w:w="975" w:type="pct"/>
                  <w:noWrap w:val="0"/>
                  <w:vAlign w:val="center"/>
                </w:tcPr>
                <w:p w14:paraId="6908F5EC">
                  <w:pPr>
                    <w:pStyle w:val="39"/>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ascii="Times New Roman" w:hAnsi="Times New Roman" w:eastAsia="宋体" w:cs="Times New Roman"/>
                      <w:b w:val="0"/>
                      <w:bCs w:val="0"/>
                      <w:color w:val="auto"/>
                      <w:highlight w:val="none"/>
                      <w:lang w:val="en-US" w:eastAsia="zh-CN"/>
                    </w:rPr>
                  </w:pPr>
                  <w:r>
                    <w:rPr>
                      <w:rFonts w:hint="default" w:ascii="Times New Roman" w:hAnsi="Times New Roman" w:cs="Times New Roman"/>
                      <w:b w:val="0"/>
                      <w:bCs w:val="0"/>
                      <w:color w:val="auto"/>
                      <w:highlight w:val="none"/>
                    </w:rPr>
                    <w:t>6</w:t>
                  </w:r>
                  <w:r>
                    <w:rPr>
                      <w:rFonts w:hint="eastAsia" w:cs="Times New Roman"/>
                      <w:b w:val="0"/>
                      <w:bCs w:val="0"/>
                      <w:color w:val="auto"/>
                      <w:highlight w:val="none"/>
                      <w:lang w:val="en-US" w:eastAsia="zh-CN"/>
                    </w:rPr>
                    <w:t>0</w:t>
                  </w:r>
                </w:p>
              </w:tc>
              <w:tc>
                <w:tcPr>
                  <w:tcW w:w="951" w:type="pct"/>
                  <w:noWrap w:val="0"/>
                  <w:vAlign w:val="center"/>
                </w:tcPr>
                <w:p w14:paraId="49F89630">
                  <w:pPr>
                    <w:pStyle w:val="39"/>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ascii="Times New Roman" w:hAnsi="Times New Roman" w:cs="Times New Roman"/>
                      <w:b w:val="0"/>
                      <w:bCs w:val="0"/>
                      <w:color w:val="auto"/>
                      <w:highlight w:val="none"/>
                      <w:lang w:val="en-US" w:eastAsia="zh-CN"/>
                    </w:rPr>
                  </w:pPr>
                  <w:r>
                    <w:rPr>
                      <w:rFonts w:hint="eastAsia" w:cs="Times New Roman"/>
                      <w:b w:val="0"/>
                      <w:bCs w:val="0"/>
                      <w:color w:val="auto"/>
                      <w:highlight w:val="none"/>
                      <w:lang w:val="en-US" w:eastAsia="zh-CN"/>
                    </w:rPr>
                    <w:t>60</w:t>
                  </w:r>
                </w:p>
              </w:tc>
              <w:tc>
                <w:tcPr>
                  <w:tcW w:w="915" w:type="pct"/>
                  <w:noWrap w:val="0"/>
                  <w:vAlign w:val="center"/>
                </w:tcPr>
                <w:p w14:paraId="3407F855">
                  <w:pPr>
                    <w:pStyle w:val="39"/>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ascii="Times New Roman" w:hAnsi="Times New Roman" w:eastAsia="宋体" w:cs="Times New Roman"/>
                      <w:b w:val="0"/>
                      <w:bCs w:val="0"/>
                      <w:color w:val="auto"/>
                      <w:highlight w:val="none"/>
                      <w:lang w:val="en-US" w:eastAsia="zh-CN"/>
                    </w:rPr>
                  </w:pPr>
                  <w:r>
                    <w:rPr>
                      <w:rFonts w:hint="default" w:ascii="Times New Roman" w:hAnsi="Times New Roman" w:cs="Times New Roman"/>
                      <w:b w:val="0"/>
                      <w:bCs w:val="0"/>
                      <w:color w:val="auto"/>
                      <w:highlight w:val="none"/>
                    </w:rPr>
                    <w:t>6</w:t>
                  </w:r>
                  <w:r>
                    <w:rPr>
                      <w:rFonts w:hint="eastAsia" w:cs="Times New Roman"/>
                      <w:b w:val="0"/>
                      <w:bCs w:val="0"/>
                      <w:color w:val="auto"/>
                      <w:highlight w:val="none"/>
                      <w:lang w:val="en-US" w:eastAsia="zh-CN"/>
                    </w:rPr>
                    <w:t>0</w:t>
                  </w:r>
                </w:p>
              </w:tc>
            </w:tr>
          </w:tbl>
          <w:p w14:paraId="756FF7AD">
            <w:pPr>
              <w:spacing w:line="360" w:lineRule="auto"/>
              <w:ind w:firstLine="48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 w:val="24"/>
                <w:highlight w:val="none"/>
              </w:rPr>
              <w:t>由上表可知，建设项目投入运营后，各厂界噪声预测值可以达到《工业企业厂界环境噪声排放标准》（GB12348-2008）</w:t>
            </w:r>
            <w:r>
              <w:rPr>
                <w:rFonts w:hint="eastAsia" w:cs="Times New Roman"/>
                <w:color w:val="auto"/>
                <w:sz w:val="24"/>
                <w:highlight w:val="none"/>
                <w:lang w:val="en-US" w:eastAsia="zh-CN"/>
              </w:rPr>
              <w:t>3</w:t>
            </w:r>
            <w:r>
              <w:rPr>
                <w:rFonts w:hint="default" w:ascii="Times New Roman" w:hAnsi="Times New Roman" w:cs="Times New Roman"/>
                <w:color w:val="auto"/>
                <w:sz w:val="24"/>
                <w:highlight w:val="none"/>
              </w:rPr>
              <w:t>类区标准限值，对周围声环境影响不大。</w:t>
            </w:r>
          </w:p>
          <w:p w14:paraId="52DE7BB1">
            <w:pPr>
              <w:spacing w:line="360" w:lineRule="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3.4噪声影响分析及防治措施</w:t>
            </w:r>
          </w:p>
          <w:p w14:paraId="28C55202">
            <w:pPr>
              <w:wordWrap w:val="0"/>
              <w:spacing w:line="360" w:lineRule="auto"/>
              <w:ind w:firstLine="482"/>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厂界周围无声环境敏感目标，项目噪声主要来自车间各主要生产设备，项目的设备均放置在厂区内，其运行噪声经实体墙阻隔后能有效衰减。根据建设单位提供的资料，项目采取两班工作制，为了进一步降低生产过程中产生的噪声，尽量避免项目噪声对项目区内员工及周围声环境产生不良影响，本环评建议采取如下措施：</w:t>
            </w:r>
          </w:p>
          <w:p w14:paraId="02750100">
            <w:pPr>
              <w:wordWrap w:val="0"/>
              <w:spacing w:line="360" w:lineRule="auto"/>
              <w:ind w:firstLine="482"/>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（1）选型上应选择低噪声设备。在满足工艺设计的前提下，选用满足国际标准的低噪声、低振动型号的设备，如低噪声的风机等，降低噪声源强。</w:t>
            </w:r>
          </w:p>
          <w:p w14:paraId="2C15E48A">
            <w:pPr>
              <w:wordWrap w:val="0"/>
              <w:spacing w:line="360" w:lineRule="auto"/>
              <w:ind w:firstLine="482"/>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（2）对高噪声设备，安装过程中加装隔声垫，采用隔声、减震等措施。</w:t>
            </w:r>
          </w:p>
          <w:p w14:paraId="1FE6CF98">
            <w:pPr>
              <w:wordWrap w:val="0"/>
              <w:spacing w:line="360" w:lineRule="auto"/>
              <w:ind w:firstLine="482"/>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（3）项目通过加强设备保养、维护，对机械设备定期加润滑油进行维护，减少因设备工况查而产生的噪声污染。</w:t>
            </w:r>
          </w:p>
          <w:p w14:paraId="35E4FBA5">
            <w:pPr>
              <w:wordWrap w:val="0"/>
              <w:spacing w:line="360" w:lineRule="auto"/>
              <w:ind w:firstLine="482"/>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（4）项目通过加强管理，文明施工操作，装卸货物时轻拿轻放，避免因操作产生的突发性噪声。</w:t>
            </w:r>
          </w:p>
          <w:p w14:paraId="51A28687">
            <w:pPr>
              <w:spacing w:line="360" w:lineRule="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3.5监测计划</w:t>
            </w:r>
          </w:p>
          <w:p w14:paraId="5C7D4379">
            <w:pPr>
              <w:spacing w:line="360" w:lineRule="auto"/>
              <w:ind w:firstLine="480" w:firstLineChars="200"/>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highlight w:val="none"/>
              </w:rPr>
              <w:t>根据《排污单位自行监测技术指南 涂装》（HJ1086-2020）的相关监测要求，本项目运营期噪声环境监测计划详见</w:t>
            </w:r>
            <w:r>
              <w:rPr>
                <w:rFonts w:hint="default" w:ascii="Times New Roman" w:hAnsi="Times New Roman" w:cs="Times New Roman"/>
                <w:color w:val="auto"/>
                <w:sz w:val="24"/>
                <w:szCs w:val="32"/>
                <w:highlight w:val="none"/>
              </w:rPr>
              <w:t>表4-1</w:t>
            </w:r>
            <w:r>
              <w:rPr>
                <w:rFonts w:hint="eastAsia" w:cs="Times New Roman"/>
                <w:color w:val="auto"/>
                <w:sz w:val="24"/>
                <w:szCs w:val="32"/>
                <w:highlight w:val="none"/>
                <w:lang w:val="en-US" w:eastAsia="zh-CN"/>
              </w:rPr>
              <w:t>4</w:t>
            </w:r>
            <w:r>
              <w:rPr>
                <w:rFonts w:hint="default" w:ascii="Times New Roman" w:hAnsi="Times New Roman" w:cs="Times New Roman"/>
                <w:color w:val="auto"/>
                <w:sz w:val="24"/>
                <w:szCs w:val="32"/>
                <w:highlight w:val="none"/>
              </w:rPr>
              <w:t>。</w:t>
            </w:r>
          </w:p>
          <w:p w14:paraId="59837ED3">
            <w:pPr>
              <w:pStyle w:val="7"/>
              <w:keepNext w:val="0"/>
              <w:numPr>
                <w:ilvl w:val="2"/>
                <w:numId w:val="0"/>
              </w:numPr>
              <w:tabs>
                <w:tab w:val="left" w:pos="851"/>
              </w:tabs>
              <w:spacing w:before="0" w:beforeLines="0" w:after="0" w:afterLines="0" w:line="240" w:lineRule="auto"/>
              <w:jc w:val="center"/>
              <w:textAlignment w:val="bottom"/>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表4-1</w:t>
            </w:r>
            <w:r>
              <w:rPr>
                <w:rFonts w:hint="eastAsia" w:cs="Times New Roman"/>
                <w:color w:val="auto"/>
                <w:sz w:val="21"/>
                <w:szCs w:val="22"/>
                <w:highlight w:val="none"/>
                <w:lang w:val="en-US" w:eastAsia="zh-CN"/>
              </w:rPr>
              <w:t>4</w:t>
            </w:r>
            <w:r>
              <w:rPr>
                <w:rFonts w:hint="default" w:ascii="Times New Roman" w:hAnsi="Times New Roman" w:cs="Times New Roman"/>
                <w:color w:val="auto"/>
                <w:sz w:val="21"/>
                <w:szCs w:val="22"/>
                <w:highlight w:val="none"/>
              </w:rPr>
              <w:t xml:space="preserve">    噪声监测要求一览表</w:t>
            </w:r>
          </w:p>
          <w:tbl>
            <w:tblPr>
              <w:tblStyle w:val="26"/>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225"/>
              <w:gridCol w:w="1959"/>
              <w:gridCol w:w="3703"/>
            </w:tblGrid>
            <w:tr w14:paraId="4ADD05A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2" w:type="pct"/>
                  <w:tcBorders>
                    <w:bottom w:val="single" w:color="auto" w:sz="12" w:space="0"/>
                  </w:tcBorders>
                  <w:noWrap w:val="0"/>
                  <w:vAlign w:val="center"/>
                </w:tcPr>
                <w:p w14:paraId="17758E09">
                  <w:pPr>
                    <w:topLinePunct/>
                    <w:spacing w:line="32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监测对象</w:t>
                  </w:r>
                </w:p>
              </w:tc>
              <w:tc>
                <w:tcPr>
                  <w:tcW w:w="755" w:type="pct"/>
                  <w:tcBorders>
                    <w:bottom w:val="single" w:color="auto" w:sz="12" w:space="0"/>
                  </w:tcBorders>
                  <w:noWrap w:val="0"/>
                  <w:vAlign w:val="center"/>
                </w:tcPr>
                <w:p w14:paraId="541564E4">
                  <w:pPr>
                    <w:topLinePunct/>
                    <w:spacing w:line="32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监测因子</w:t>
                  </w:r>
                </w:p>
              </w:tc>
              <w:tc>
                <w:tcPr>
                  <w:tcW w:w="1208" w:type="pct"/>
                  <w:tcBorders>
                    <w:bottom w:val="single" w:color="auto" w:sz="12" w:space="0"/>
                  </w:tcBorders>
                  <w:noWrap w:val="0"/>
                  <w:vAlign w:val="center"/>
                </w:tcPr>
                <w:p w14:paraId="54A824AC">
                  <w:pPr>
                    <w:topLinePunct/>
                    <w:spacing w:line="32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监测频次</w:t>
                  </w:r>
                </w:p>
              </w:tc>
              <w:tc>
                <w:tcPr>
                  <w:tcW w:w="2283" w:type="pct"/>
                  <w:tcBorders>
                    <w:bottom w:val="single" w:color="auto" w:sz="12" w:space="0"/>
                  </w:tcBorders>
                  <w:noWrap w:val="0"/>
                  <w:vAlign w:val="center"/>
                </w:tcPr>
                <w:p w14:paraId="4BADCBB8">
                  <w:pPr>
                    <w:topLinePunct/>
                    <w:spacing w:line="32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执行标准</w:t>
                  </w:r>
                </w:p>
              </w:tc>
            </w:tr>
            <w:tr w14:paraId="4784B6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2" w:type="pct"/>
                  <w:tcBorders>
                    <w:top w:val="single" w:color="auto" w:sz="12" w:space="0"/>
                  </w:tcBorders>
                  <w:noWrap w:val="0"/>
                  <w:vAlign w:val="center"/>
                </w:tcPr>
                <w:p w14:paraId="0C0FD35E">
                  <w:pPr>
                    <w:topLinePunct/>
                    <w:spacing w:line="32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厂界</w:t>
                  </w:r>
                </w:p>
              </w:tc>
              <w:tc>
                <w:tcPr>
                  <w:tcW w:w="755" w:type="pct"/>
                  <w:tcBorders>
                    <w:top w:val="single" w:color="auto" w:sz="12" w:space="0"/>
                  </w:tcBorders>
                  <w:noWrap w:val="0"/>
                  <w:vAlign w:val="center"/>
                </w:tcPr>
                <w:p w14:paraId="55F5335C">
                  <w:pPr>
                    <w:topLinePunct/>
                    <w:spacing w:line="32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噪声</w:t>
                  </w:r>
                </w:p>
              </w:tc>
              <w:tc>
                <w:tcPr>
                  <w:tcW w:w="1208" w:type="pct"/>
                  <w:tcBorders>
                    <w:top w:val="single" w:color="auto" w:sz="12" w:space="0"/>
                  </w:tcBorders>
                  <w:noWrap w:val="0"/>
                  <w:vAlign w:val="center"/>
                </w:tcPr>
                <w:p w14:paraId="1FBF583E">
                  <w:pPr>
                    <w:spacing w:line="32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1次/季度</w:t>
                  </w:r>
                </w:p>
                <w:p w14:paraId="27408DE7">
                  <w:pPr>
                    <w:spacing w:line="32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（昼夜分别监测）</w:t>
                  </w:r>
                </w:p>
              </w:tc>
              <w:tc>
                <w:tcPr>
                  <w:tcW w:w="2283" w:type="pct"/>
                  <w:tcBorders>
                    <w:top w:val="single" w:color="auto" w:sz="12" w:space="0"/>
                  </w:tcBorders>
                  <w:noWrap w:val="0"/>
                  <w:vAlign w:val="center"/>
                </w:tcPr>
                <w:p w14:paraId="3BE142A3">
                  <w:pPr>
                    <w:topLinePunct/>
                    <w:spacing w:line="32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《工业企业厂界环境噪声排放标准》（GB12348-2008）中</w:t>
                  </w:r>
                  <w:r>
                    <w:rPr>
                      <w:rFonts w:hint="eastAsia" w:cs="Times New Roman"/>
                      <w:color w:val="auto"/>
                      <w:szCs w:val="21"/>
                      <w:highlight w:val="none"/>
                      <w:lang w:val="en-US" w:eastAsia="zh-CN"/>
                    </w:rPr>
                    <w:t>3</w:t>
                  </w:r>
                  <w:r>
                    <w:rPr>
                      <w:rFonts w:hint="default" w:ascii="Times New Roman" w:hAnsi="Times New Roman" w:cs="Times New Roman"/>
                      <w:color w:val="auto"/>
                      <w:szCs w:val="21"/>
                      <w:highlight w:val="none"/>
                    </w:rPr>
                    <w:t>类限值要求</w:t>
                  </w:r>
                </w:p>
              </w:tc>
            </w:tr>
          </w:tbl>
          <w:p w14:paraId="5B1AC04E">
            <w:pPr>
              <w:pStyle w:val="7"/>
              <w:pageBreakBefore w:val="0"/>
              <w:kinsoku/>
              <w:wordWrap/>
              <w:overflowPunct/>
              <w:topLinePunct w:val="0"/>
              <w:autoSpaceDE/>
              <w:autoSpaceDN/>
              <w:bidi w:val="0"/>
              <w:spacing w:beforeLines="0" w:afterLines="0" w:line="360" w:lineRule="auto"/>
              <w:ind w:right="0"/>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4.</w:t>
            </w:r>
            <w:r>
              <w:rPr>
                <w:rFonts w:hint="default" w:ascii="Times New Roman" w:hAnsi="Times New Roman" w:eastAsia="宋体" w:cs="Times New Roman"/>
                <w:b/>
                <w:bCs/>
                <w:color w:val="auto"/>
                <w:sz w:val="24"/>
                <w:szCs w:val="24"/>
                <w:highlight w:val="none"/>
              </w:rPr>
              <w:t>固体废物</w:t>
            </w:r>
          </w:p>
          <w:p w14:paraId="5DDBB926">
            <w:pPr>
              <w:pStyle w:val="43"/>
              <w:pageBreakBefore w:val="0"/>
              <w:numPr>
                <w:ilvl w:val="0"/>
                <w:numId w:val="0"/>
              </w:numPr>
              <w:tabs>
                <w:tab w:val="left" w:pos="1892"/>
              </w:tabs>
              <w:kinsoku/>
              <w:wordWrap/>
              <w:overflowPunct/>
              <w:topLinePunct w:val="0"/>
              <w:autoSpaceDE/>
              <w:autoSpaceDN/>
              <w:bidi w:val="0"/>
              <w:spacing w:line="360" w:lineRule="auto"/>
              <w:ind w:right="0" w:rightChars="0"/>
              <w:jc w:val="left"/>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cs="Times New Roman"/>
                <w:b/>
                <w:bCs/>
                <w:color w:val="auto"/>
                <w:sz w:val="24"/>
                <w:szCs w:val="24"/>
                <w:highlight w:val="none"/>
                <w:lang w:val="en-US" w:eastAsia="zh-CN"/>
              </w:rPr>
              <w:t>4.1</w:t>
            </w:r>
            <w:r>
              <w:rPr>
                <w:rFonts w:hint="default" w:ascii="Times New Roman" w:hAnsi="Times New Roman" w:eastAsia="宋体" w:cs="Times New Roman"/>
                <w:b/>
                <w:bCs/>
                <w:color w:val="auto"/>
                <w:sz w:val="24"/>
                <w:szCs w:val="24"/>
                <w:highlight w:val="none"/>
              </w:rPr>
              <w:t>固废产出情况</w:t>
            </w:r>
          </w:p>
          <w:p w14:paraId="1B645EC9">
            <w:pPr>
              <w:wordWrap w:val="0"/>
              <w:spacing w:line="360" w:lineRule="auto"/>
              <w:ind w:firstLine="482"/>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本项目运营期固体废物主要为生活垃圾、边角料、废焊渣、除尘器收集的粉尘、废包装容器。</w:t>
            </w:r>
          </w:p>
          <w:p w14:paraId="511FAB43">
            <w:pPr>
              <w:wordWrap w:val="0"/>
              <w:spacing w:line="360" w:lineRule="auto"/>
              <w:ind w:firstLine="482"/>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（1）一般固体废物</w:t>
            </w:r>
          </w:p>
          <w:p w14:paraId="65CBD041">
            <w:pPr>
              <w:wordWrap w:val="0"/>
              <w:spacing w:line="360" w:lineRule="auto"/>
              <w:ind w:firstLine="482"/>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①边角料</w:t>
            </w:r>
          </w:p>
          <w:p w14:paraId="7410E105">
            <w:pPr>
              <w:wordWrap w:val="0"/>
              <w:spacing w:line="360" w:lineRule="auto"/>
              <w:ind w:firstLine="482"/>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本项目金属材料在下料、机加工过程中会产生金属边角料，项目金属材料用量约</w:t>
            </w:r>
            <w:r>
              <w:rPr>
                <w:rFonts w:hint="eastAsia" w:cs="Times New Roman"/>
                <w:color w:val="auto"/>
                <w:sz w:val="24"/>
                <w:highlight w:val="none"/>
                <w:lang w:val="en-US" w:eastAsia="zh-CN"/>
              </w:rPr>
              <w:t>2175</w:t>
            </w:r>
            <w:r>
              <w:rPr>
                <w:rFonts w:hint="default" w:ascii="Times New Roman" w:hAnsi="Times New Roman" w:cs="Times New Roman"/>
                <w:color w:val="auto"/>
                <w:sz w:val="24"/>
                <w:highlight w:val="none"/>
              </w:rPr>
              <w:t>t/a，根据同类型企业，金属废料产生量约为原料用量的1‰，则项目金属材料在下料、机加工过程中产生的边角料约为</w:t>
            </w:r>
            <w:r>
              <w:rPr>
                <w:rFonts w:hint="eastAsia" w:cs="Times New Roman"/>
                <w:color w:val="auto"/>
                <w:sz w:val="24"/>
                <w:highlight w:val="none"/>
                <w:lang w:val="en-US" w:eastAsia="zh-CN"/>
              </w:rPr>
              <w:t>2.17</w:t>
            </w:r>
            <w:r>
              <w:rPr>
                <w:rFonts w:hint="default" w:ascii="Times New Roman" w:hAnsi="Times New Roman" w:cs="Times New Roman"/>
                <w:color w:val="auto"/>
                <w:sz w:val="24"/>
                <w:highlight w:val="none"/>
              </w:rPr>
              <w:t>t/a，金属废料具有回收利用价值，该部分由企业收集后统一外售。</w:t>
            </w:r>
          </w:p>
          <w:p w14:paraId="1E4EFBD5">
            <w:pPr>
              <w:wordWrap w:val="0"/>
              <w:spacing w:line="360" w:lineRule="auto"/>
              <w:ind w:firstLine="482"/>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②废焊渣</w:t>
            </w:r>
          </w:p>
          <w:p w14:paraId="067ACFE2">
            <w:pPr>
              <w:wordWrap w:val="0"/>
              <w:spacing w:line="360" w:lineRule="auto"/>
              <w:ind w:firstLine="482"/>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本项目焊接过程中会产生少量的焊渣，根据同类型企业，焊渣产生量按照用量的2%计，本项目焊条用量</w:t>
            </w:r>
            <w:r>
              <w:rPr>
                <w:rFonts w:hint="eastAsia" w:cs="Times New Roman"/>
                <w:color w:val="auto"/>
                <w:sz w:val="24"/>
                <w:highlight w:val="none"/>
                <w:lang w:val="en-US" w:eastAsia="zh-CN"/>
              </w:rPr>
              <w:t>约</w:t>
            </w:r>
            <w:r>
              <w:rPr>
                <w:rFonts w:hint="default" w:ascii="Times New Roman" w:hAnsi="Times New Roman" w:cs="Times New Roman"/>
                <w:color w:val="auto"/>
                <w:sz w:val="24"/>
                <w:highlight w:val="none"/>
              </w:rPr>
              <w:t>为</w:t>
            </w:r>
            <w:r>
              <w:rPr>
                <w:rFonts w:hint="eastAsia" w:cs="Times New Roman"/>
                <w:color w:val="auto"/>
                <w:sz w:val="24"/>
                <w:highlight w:val="none"/>
                <w:lang w:val="en-US" w:eastAsia="zh-CN"/>
              </w:rPr>
              <w:t>10</w:t>
            </w:r>
            <w:r>
              <w:rPr>
                <w:rFonts w:hint="default" w:ascii="Times New Roman" w:hAnsi="Times New Roman" w:cs="Times New Roman"/>
                <w:color w:val="auto"/>
                <w:sz w:val="24"/>
                <w:highlight w:val="none"/>
              </w:rPr>
              <w:t>t，则焊渣的产生量为</w:t>
            </w:r>
            <w:r>
              <w:rPr>
                <w:rFonts w:hint="eastAsia" w:cs="Times New Roman"/>
                <w:color w:val="auto"/>
                <w:sz w:val="24"/>
                <w:highlight w:val="none"/>
                <w:lang w:val="en-US" w:eastAsia="zh-CN"/>
              </w:rPr>
              <w:t>0.2</w:t>
            </w:r>
            <w:r>
              <w:rPr>
                <w:rFonts w:hint="default" w:ascii="Times New Roman" w:hAnsi="Times New Roman" w:cs="Times New Roman"/>
                <w:color w:val="auto"/>
                <w:sz w:val="24"/>
                <w:highlight w:val="none"/>
              </w:rPr>
              <w:t>t/a，由企业收集后统一外售。</w:t>
            </w:r>
          </w:p>
          <w:p w14:paraId="3DEC5E2C">
            <w:pPr>
              <w:pStyle w:val="56"/>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③沉降、除尘器收集的粉尘</w:t>
            </w:r>
          </w:p>
          <w:p w14:paraId="2D334AF0">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w:t>
            </w:r>
            <w:r>
              <w:rPr>
                <w:rFonts w:hint="default" w:ascii="Times New Roman" w:hAnsi="Times New Roman" w:cs="Times New Roman"/>
                <w:color w:val="auto"/>
                <w:kern w:val="0"/>
                <w:sz w:val="24"/>
                <w:highlight w:val="none"/>
              </w:rPr>
              <w:t>项目粉尘主要为下料、焊接、打磨工序等过程中产生的金属粉尘，根据废气源强核算可知，</w:t>
            </w:r>
            <w:r>
              <w:rPr>
                <w:rFonts w:hint="default" w:ascii="Times New Roman" w:hAnsi="Times New Roman" w:cs="Times New Roman"/>
                <w:color w:val="auto"/>
                <w:sz w:val="24"/>
                <w:highlight w:val="none"/>
              </w:rPr>
              <w:t>沉降、</w:t>
            </w:r>
            <w:r>
              <w:rPr>
                <w:rFonts w:hint="default" w:ascii="Times New Roman" w:hAnsi="Times New Roman" w:cs="Times New Roman"/>
                <w:color w:val="auto"/>
                <w:kern w:val="0"/>
                <w:sz w:val="24"/>
                <w:highlight w:val="none"/>
              </w:rPr>
              <w:t>除尘设施收集的粉尘量为</w:t>
            </w:r>
            <w:r>
              <w:rPr>
                <w:rFonts w:hint="eastAsia" w:cs="Times New Roman"/>
                <w:color w:val="auto"/>
                <w:kern w:val="0"/>
                <w:sz w:val="24"/>
                <w:highlight w:val="none"/>
                <w:lang w:val="en-US" w:eastAsia="zh-CN"/>
              </w:rPr>
              <w:t>2.43</w:t>
            </w:r>
            <w:r>
              <w:rPr>
                <w:rFonts w:hint="default" w:ascii="Times New Roman" w:hAnsi="Times New Roman" w:cs="Times New Roman"/>
                <w:color w:val="auto"/>
                <w:kern w:val="0"/>
                <w:sz w:val="24"/>
                <w:highlight w:val="none"/>
              </w:rPr>
              <w:t>t/a，收集后统一</w:t>
            </w:r>
            <w:r>
              <w:rPr>
                <w:rFonts w:hint="default" w:ascii="Times New Roman" w:hAnsi="Times New Roman" w:cs="Times New Roman"/>
                <w:color w:val="auto"/>
                <w:sz w:val="24"/>
                <w:highlight w:val="none"/>
              </w:rPr>
              <w:t>外售</w:t>
            </w:r>
            <w:r>
              <w:rPr>
                <w:rFonts w:hint="default" w:ascii="Times New Roman" w:hAnsi="Times New Roman" w:cs="Times New Roman"/>
                <w:color w:val="auto"/>
                <w:kern w:val="0"/>
                <w:sz w:val="24"/>
                <w:highlight w:val="none"/>
              </w:rPr>
              <w:t>。</w:t>
            </w:r>
          </w:p>
          <w:p w14:paraId="5242B4FA">
            <w:pPr>
              <w:pStyle w:val="56"/>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本项目一般固废产生及处置情况见下表；</w:t>
            </w:r>
          </w:p>
          <w:p w14:paraId="5D79DD7F">
            <w:pPr>
              <w:pStyle w:val="41"/>
              <w:spacing w:before="24" w:after="24"/>
              <w:ind w:left="0"/>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表4-</w:t>
            </w:r>
            <w:r>
              <w:rPr>
                <w:rFonts w:hint="eastAsia" w:ascii="Times New Roman" w:hAnsi="Times New Roman" w:cs="Times New Roman"/>
                <w:color w:val="auto"/>
                <w:sz w:val="22"/>
                <w:szCs w:val="22"/>
                <w:highlight w:val="none"/>
                <w:lang w:val="en-US" w:eastAsia="zh-CN"/>
              </w:rPr>
              <w:t>15</w:t>
            </w:r>
            <w:r>
              <w:rPr>
                <w:rFonts w:hint="default" w:ascii="Times New Roman" w:hAnsi="Times New Roman" w:cs="Times New Roman"/>
                <w:color w:val="auto"/>
                <w:sz w:val="22"/>
                <w:szCs w:val="22"/>
                <w:highlight w:val="none"/>
              </w:rPr>
              <w:t xml:space="preserve">     项目一般固体废物产生及处置情况一览表</w:t>
            </w:r>
          </w:p>
          <w:tbl>
            <w:tblPr>
              <w:tblStyle w:val="26"/>
              <w:tblW w:w="4998"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 w:type="dxa"/>
                <w:bottom w:w="0" w:type="dxa"/>
                <w:right w:w="10" w:type="dxa"/>
              </w:tblCellMar>
            </w:tblPr>
            <w:tblGrid>
              <w:gridCol w:w="408"/>
              <w:gridCol w:w="1482"/>
              <w:gridCol w:w="1813"/>
              <w:gridCol w:w="597"/>
              <w:gridCol w:w="1323"/>
              <w:gridCol w:w="907"/>
              <w:gridCol w:w="1579"/>
            </w:tblGrid>
            <w:tr w14:paraId="12293E9A">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23" w:hRule="atLeast"/>
                <w:jc w:val="center"/>
              </w:trPr>
              <w:tc>
                <w:tcPr>
                  <w:tcW w:w="252" w:type="pct"/>
                  <w:tcBorders>
                    <w:bottom w:val="single" w:color="auto" w:sz="12" w:space="0"/>
                  </w:tcBorders>
                  <w:shd w:val="clear" w:color="auto" w:fill="FFFFFF"/>
                  <w:noWrap w:val="0"/>
                  <w:vAlign w:val="center"/>
                </w:tcPr>
                <w:p w14:paraId="6A5D7220">
                  <w:pPr>
                    <w:pStyle w:val="33"/>
                    <w:keepNext w:val="0"/>
                    <w:keepLines w:val="0"/>
                    <w:pageBreakBefore w:val="0"/>
                    <w:widowControl w:val="0"/>
                    <w:kinsoku/>
                    <w:wordWrap/>
                    <w:overflowPunct/>
                    <w:topLinePunct w:val="0"/>
                    <w:autoSpaceDE/>
                    <w:autoSpaceDN/>
                    <w:bidi w:val="0"/>
                    <w:spacing w:beforeLines="0" w:afterLines="0" w:line="240" w:lineRule="auto"/>
                    <w:ind w:left="0" w:firstLine="0"/>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序号</w:t>
                  </w:r>
                </w:p>
              </w:tc>
              <w:tc>
                <w:tcPr>
                  <w:tcW w:w="913" w:type="pct"/>
                  <w:tcBorders>
                    <w:bottom w:val="single" w:color="auto" w:sz="12" w:space="0"/>
                  </w:tcBorders>
                  <w:shd w:val="clear" w:color="auto" w:fill="FFFFFF"/>
                  <w:noWrap w:val="0"/>
                  <w:vAlign w:val="center"/>
                </w:tcPr>
                <w:p w14:paraId="51A2C643">
                  <w:pPr>
                    <w:pStyle w:val="33"/>
                    <w:keepNext w:val="0"/>
                    <w:keepLines w:val="0"/>
                    <w:pageBreakBefore w:val="0"/>
                    <w:widowControl w:val="0"/>
                    <w:kinsoku/>
                    <w:wordWrap/>
                    <w:overflowPunct/>
                    <w:topLinePunct w:val="0"/>
                    <w:autoSpaceDE/>
                    <w:autoSpaceDN/>
                    <w:bidi w:val="0"/>
                    <w:spacing w:beforeLines="0" w:afterLines="0" w:line="240" w:lineRule="auto"/>
                    <w:ind w:left="0" w:firstLine="0"/>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污染物名称</w:t>
                  </w:r>
                </w:p>
              </w:tc>
              <w:tc>
                <w:tcPr>
                  <w:tcW w:w="1117" w:type="pct"/>
                  <w:tcBorders>
                    <w:bottom w:val="single" w:color="auto" w:sz="12" w:space="0"/>
                  </w:tcBorders>
                  <w:shd w:val="clear" w:color="auto" w:fill="FFFFFF"/>
                  <w:noWrap w:val="0"/>
                  <w:vAlign w:val="center"/>
                </w:tcPr>
                <w:p w14:paraId="0FAC10D7">
                  <w:pPr>
                    <w:pStyle w:val="33"/>
                    <w:keepNext w:val="0"/>
                    <w:keepLines w:val="0"/>
                    <w:pageBreakBefore w:val="0"/>
                    <w:widowControl w:val="0"/>
                    <w:kinsoku/>
                    <w:wordWrap/>
                    <w:overflowPunct/>
                    <w:topLinePunct w:val="0"/>
                    <w:autoSpaceDE/>
                    <w:autoSpaceDN/>
                    <w:bidi w:val="0"/>
                    <w:spacing w:beforeLines="0" w:afterLines="0" w:line="240" w:lineRule="auto"/>
                    <w:ind w:left="0" w:firstLine="0"/>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产生途径</w:t>
                  </w:r>
                </w:p>
              </w:tc>
              <w:tc>
                <w:tcPr>
                  <w:tcW w:w="368" w:type="pct"/>
                  <w:tcBorders>
                    <w:bottom w:val="single" w:color="auto" w:sz="12" w:space="0"/>
                  </w:tcBorders>
                  <w:shd w:val="clear" w:color="auto" w:fill="FFFFFF"/>
                  <w:noWrap w:val="0"/>
                  <w:vAlign w:val="center"/>
                </w:tcPr>
                <w:p w14:paraId="4D11227C">
                  <w:pPr>
                    <w:pStyle w:val="33"/>
                    <w:keepNext w:val="0"/>
                    <w:keepLines w:val="0"/>
                    <w:pageBreakBefore w:val="0"/>
                    <w:widowControl w:val="0"/>
                    <w:kinsoku/>
                    <w:wordWrap/>
                    <w:overflowPunct/>
                    <w:topLinePunct w:val="0"/>
                    <w:autoSpaceDE/>
                    <w:autoSpaceDN/>
                    <w:bidi w:val="0"/>
                    <w:spacing w:beforeLines="0" w:afterLines="0" w:line="240" w:lineRule="auto"/>
                    <w:ind w:left="0" w:firstLine="0"/>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固废性质</w:t>
                  </w:r>
                </w:p>
              </w:tc>
              <w:tc>
                <w:tcPr>
                  <w:tcW w:w="815" w:type="pct"/>
                  <w:tcBorders>
                    <w:bottom w:val="single" w:color="auto" w:sz="12" w:space="0"/>
                  </w:tcBorders>
                  <w:shd w:val="clear" w:color="auto" w:fill="FFFFFF"/>
                  <w:noWrap w:val="0"/>
                  <w:vAlign w:val="center"/>
                </w:tcPr>
                <w:p w14:paraId="357E3091">
                  <w:pPr>
                    <w:pStyle w:val="33"/>
                    <w:keepNext w:val="0"/>
                    <w:keepLines w:val="0"/>
                    <w:pageBreakBefore w:val="0"/>
                    <w:widowControl w:val="0"/>
                    <w:kinsoku/>
                    <w:wordWrap/>
                    <w:overflowPunct/>
                    <w:topLinePunct w:val="0"/>
                    <w:autoSpaceDE/>
                    <w:autoSpaceDN/>
                    <w:bidi w:val="0"/>
                    <w:spacing w:beforeLines="0" w:afterLines="0" w:line="240" w:lineRule="auto"/>
                    <w:ind w:left="0" w:firstLine="0"/>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固废代码</w:t>
                  </w:r>
                </w:p>
              </w:tc>
              <w:tc>
                <w:tcPr>
                  <w:tcW w:w="559" w:type="pct"/>
                  <w:tcBorders>
                    <w:bottom w:val="single" w:color="auto" w:sz="12" w:space="0"/>
                  </w:tcBorders>
                  <w:shd w:val="clear" w:color="auto" w:fill="FFFFFF"/>
                  <w:noWrap w:val="0"/>
                  <w:vAlign w:val="center"/>
                </w:tcPr>
                <w:p w14:paraId="6B622AC7">
                  <w:pPr>
                    <w:pStyle w:val="33"/>
                    <w:keepNext w:val="0"/>
                    <w:keepLines w:val="0"/>
                    <w:pageBreakBefore w:val="0"/>
                    <w:widowControl w:val="0"/>
                    <w:kinsoku/>
                    <w:wordWrap/>
                    <w:overflowPunct/>
                    <w:topLinePunct w:val="0"/>
                    <w:autoSpaceDE/>
                    <w:autoSpaceDN/>
                    <w:bidi w:val="0"/>
                    <w:spacing w:beforeLines="0" w:afterLines="0" w:line="240" w:lineRule="auto"/>
                    <w:ind w:left="0" w:firstLine="0"/>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产生量</w:t>
                  </w:r>
                </w:p>
              </w:tc>
              <w:tc>
                <w:tcPr>
                  <w:tcW w:w="973" w:type="pct"/>
                  <w:tcBorders>
                    <w:bottom w:val="single" w:color="auto" w:sz="12" w:space="0"/>
                  </w:tcBorders>
                  <w:shd w:val="clear" w:color="auto" w:fill="FFFFFF"/>
                  <w:noWrap w:val="0"/>
                  <w:vAlign w:val="center"/>
                </w:tcPr>
                <w:p w14:paraId="680E9209">
                  <w:pPr>
                    <w:pStyle w:val="33"/>
                    <w:keepNext w:val="0"/>
                    <w:keepLines w:val="0"/>
                    <w:pageBreakBefore w:val="0"/>
                    <w:widowControl w:val="0"/>
                    <w:kinsoku/>
                    <w:wordWrap/>
                    <w:overflowPunct/>
                    <w:topLinePunct w:val="0"/>
                    <w:autoSpaceDE/>
                    <w:autoSpaceDN/>
                    <w:bidi w:val="0"/>
                    <w:spacing w:beforeLines="0" w:afterLines="0" w:line="240" w:lineRule="auto"/>
                    <w:ind w:left="0" w:firstLine="0"/>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处理措施</w:t>
                  </w:r>
                </w:p>
              </w:tc>
            </w:tr>
            <w:tr w14:paraId="050F27DA">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23" w:hRule="atLeast"/>
                <w:jc w:val="center"/>
              </w:trPr>
              <w:tc>
                <w:tcPr>
                  <w:tcW w:w="252" w:type="pct"/>
                  <w:tcBorders>
                    <w:top w:val="single" w:color="auto" w:sz="8" w:space="0"/>
                  </w:tcBorders>
                  <w:shd w:val="clear" w:color="auto" w:fill="FFFFFF"/>
                  <w:noWrap w:val="0"/>
                  <w:vAlign w:val="center"/>
                </w:tcPr>
                <w:p w14:paraId="453B93C0">
                  <w:pPr>
                    <w:pStyle w:val="33"/>
                    <w:keepNext w:val="0"/>
                    <w:keepLines w:val="0"/>
                    <w:pageBreakBefore w:val="0"/>
                    <w:widowControl w:val="0"/>
                    <w:kinsoku/>
                    <w:wordWrap/>
                    <w:overflowPunct/>
                    <w:topLinePunct w:val="0"/>
                    <w:autoSpaceDE/>
                    <w:autoSpaceDN/>
                    <w:bidi w:val="0"/>
                    <w:spacing w:beforeLines="0" w:afterLines="0" w:line="240" w:lineRule="auto"/>
                    <w:ind w:left="0" w:firstLine="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913" w:type="pct"/>
                  <w:tcBorders>
                    <w:top w:val="single" w:color="auto" w:sz="8" w:space="0"/>
                  </w:tcBorders>
                  <w:shd w:val="clear" w:color="auto" w:fill="FFFFFF"/>
                  <w:noWrap w:val="0"/>
                  <w:vAlign w:val="center"/>
                </w:tcPr>
                <w:p w14:paraId="0A27BA1F">
                  <w:pPr>
                    <w:pStyle w:val="33"/>
                    <w:keepNext w:val="0"/>
                    <w:keepLines w:val="0"/>
                    <w:pageBreakBefore w:val="0"/>
                    <w:widowControl w:val="0"/>
                    <w:kinsoku/>
                    <w:wordWrap/>
                    <w:overflowPunct/>
                    <w:topLinePunct w:val="0"/>
                    <w:autoSpaceDE/>
                    <w:autoSpaceDN/>
                    <w:bidi w:val="0"/>
                    <w:spacing w:beforeLines="0" w:afterLines="0" w:line="240" w:lineRule="auto"/>
                    <w:ind w:left="0" w:firstLine="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边角料</w:t>
                  </w:r>
                </w:p>
              </w:tc>
              <w:tc>
                <w:tcPr>
                  <w:tcW w:w="1117" w:type="pct"/>
                  <w:tcBorders>
                    <w:top w:val="single" w:color="auto" w:sz="8" w:space="0"/>
                  </w:tcBorders>
                  <w:shd w:val="clear" w:color="auto" w:fill="FFFFFF"/>
                  <w:noWrap w:val="0"/>
                  <w:vAlign w:val="center"/>
                </w:tcPr>
                <w:p w14:paraId="3CA914D1">
                  <w:pPr>
                    <w:pStyle w:val="33"/>
                    <w:keepNext w:val="0"/>
                    <w:keepLines w:val="0"/>
                    <w:pageBreakBefore w:val="0"/>
                    <w:widowControl w:val="0"/>
                    <w:kinsoku/>
                    <w:wordWrap/>
                    <w:overflowPunct/>
                    <w:topLinePunct w:val="0"/>
                    <w:autoSpaceDE/>
                    <w:autoSpaceDN/>
                    <w:bidi w:val="0"/>
                    <w:spacing w:beforeLines="0" w:afterLines="0" w:line="240" w:lineRule="auto"/>
                    <w:ind w:left="0" w:firstLine="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下料、机加工工序</w:t>
                  </w:r>
                </w:p>
              </w:tc>
              <w:tc>
                <w:tcPr>
                  <w:tcW w:w="368" w:type="pct"/>
                  <w:vMerge w:val="restart"/>
                  <w:tcBorders>
                    <w:top w:val="single" w:color="auto" w:sz="8" w:space="0"/>
                  </w:tcBorders>
                  <w:shd w:val="clear" w:color="auto" w:fill="FFFFFF"/>
                  <w:noWrap w:val="0"/>
                  <w:vAlign w:val="center"/>
                </w:tcPr>
                <w:p w14:paraId="2C03873C">
                  <w:pPr>
                    <w:pStyle w:val="33"/>
                    <w:keepNext w:val="0"/>
                    <w:keepLines w:val="0"/>
                    <w:pageBreakBefore w:val="0"/>
                    <w:widowControl w:val="0"/>
                    <w:kinsoku/>
                    <w:wordWrap/>
                    <w:overflowPunct/>
                    <w:topLinePunct w:val="0"/>
                    <w:autoSpaceDE/>
                    <w:autoSpaceDN/>
                    <w:bidi w:val="0"/>
                    <w:spacing w:beforeLines="0" w:afterLines="0" w:line="240" w:lineRule="auto"/>
                    <w:ind w:left="0" w:firstLine="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一般固废</w:t>
                  </w:r>
                </w:p>
              </w:tc>
              <w:tc>
                <w:tcPr>
                  <w:tcW w:w="815" w:type="pct"/>
                  <w:tcBorders>
                    <w:top w:val="single" w:color="auto" w:sz="8" w:space="0"/>
                  </w:tcBorders>
                  <w:shd w:val="clear" w:color="auto" w:fill="FFFFFF"/>
                  <w:noWrap w:val="0"/>
                  <w:vAlign w:val="center"/>
                </w:tcPr>
                <w:p w14:paraId="6AF728DB">
                  <w:pPr>
                    <w:pStyle w:val="39"/>
                    <w:keepNext w:val="0"/>
                    <w:keepLines w:val="0"/>
                    <w:pageBreakBefore w:val="0"/>
                    <w:widowControl w:val="0"/>
                    <w:kinsoku/>
                    <w:wordWrap/>
                    <w:overflowPunct/>
                    <w:topLinePunct w:val="0"/>
                    <w:autoSpaceDE/>
                    <w:autoSpaceDN/>
                    <w:bidi w:val="0"/>
                    <w:spacing w:beforeLines="0" w:afterLines="0"/>
                    <w:ind w:left="0" w:leftChars="0" w:firstLine="0" w:firstLineChars="0"/>
                    <w:jc w:val="center"/>
                    <w:textAlignment w:val="auto"/>
                    <w:rPr>
                      <w:rFonts w:hint="default" w:ascii="Times New Roman" w:hAnsi="Times New Roman" w:cs="Times New Roman"/>
                      <w:b w:val="0"/>
                      <w:bCs w:val="0"/>
                      <w:color w:val="auto"/>
                      <w:szCs w:val="21"/>
                      <w:highlight w:val="none"/>
                      <w:lang w:val="en-US" w:eastAsia="zh-CN"/>
                    </w:rPr>
                  </w:pPr>
                  <w:r>
                    <w:rPr>
                      <w:rFonts w:hint="eastAsia" w:cs="Times New Roman"/>
                      <w:b w:val="0"/>
                      <w:bCs w:val="0"/>
                      <w:color w:val="auto"/>
                      <w:szCs w:val="21"/>
                      <w:highlight w:val="none"/>
                      <w:lang w:val="en-US" w:eastAsia="zh-CN"/>
                    </w:rPr>
                    <w:t>900</w:t>
                  </w:r>
                  <w:r>
                    <w:rPr>
                      <w:rFonts w:hint="default" w:ascii="Times New Roman" w:hAnsi="Times New Roman" w:cs="Times New Roman"/>
                      <w:b w:val="0"/>
                      <w:bCs w:val="0"/>
                      <w:color w:val="auto"/>
                      <w:szCs w:val="21"/>
                      <w:highlight w:val="none"/>
                      <w:lang w:val="en-US" w:eastAsia="zh-CN"/>
                    </w:rPr>
                    <w:t>-001-</w:t>
                  </w:r>
                  <w:r>
                    <w:rPr>
                      <w:rFonts w:hint="eastAsia" w:cs="Times New Roman"/>
                      <w:b w:val="0"/>
                      <w:bCs w:val="0"/>
                      <w:color w:val="auto"/>
                      <w:szCs w:val="21"/>
                      <w:highlight w:val="none"/>
                      <w:lang w:val="en-US" w:eastAsia="zh-CN"/>
                    </w:rPr>
                    <w:t>S17</w:t>
                  </w:r>
                </w:p>
              </w:tc>
              <w:tc>
                <w:tcPr>
                  <w:tcW w:w="559" w:type="pct"/>
                  <w:tcBorders>
                    <w:top w:val="single" w:color="auto" w:sz="8" w:space="0"/>
                  </w:tcBorders>
                  <w:shd w:val="clear" w:color="auto" w:fill="FFFFFF"/>
                  <w:noWrap w:val="0"/>
                  <w:vAlign w:val="center"/>
                </w:tcPr>
                <w:p w14:paraId="1A7B1E87">
                  <w:pPr>
                    <w:pStyle w:val="33"/>
                    <w:keepNext w:val="0"/>
                    <w:keepLines w:val="0"/>
                    <w:pageBreakBefore w:val="0"/>
                    <w:widowControl w:val="0"/>
                    <w:kinsoku/>
                    <w:wordWrap/>
                    <w:overflowPunct/>
                    <w:topLinePunct w:val="0"/>
                    <w:autoSpaceDE/>
                    <w:autoSpaceDN/>
                    <w:bidi w:val="0"/>
                    <w:spacing w:beforeLines="0" w:afterLines="0" w:line="240" w:lineRule="auto"/>
                    <w:ind w:left="0" w:firstLine="0"/>
                    <w:textAlignment w:val="auto"/>
                    <w:rPr>
                      <w:rFonts w:hint="default" w:ascii="Times New Roman" w:hAnsi="Times New Roman" w:cs="Times New Roman"/>
                      <w:color w:val="auto"/>
                      <w:szCs w:val="21"/>
                      <w:highlight w:val="none"/>
                    </w:rPr>
                  </w:pPr>
                  <w:r>
                    <w:rPr>
                      <w:rFonts w:hint="eastAsia" w:ascii="Times New Roman" w:cs="Times New Roman"/>
                      <w:color w:val="auto"/>
                      <w:szCs w:val="21"/>
                      <w:highlight w:val="none"/>
                      <w:lang w:val="en-US" w:eastAsia="zh-CN"/>
                    </w:rPr>
                    <w:t>2.17</w:t>
                  </w:r>
                  <w:r>
                    <w:rPr>
                      <w:rFonts w:hint="default" w:ascii="Times New Roman" w:hAnsi="Times New Roman" w:cs="Times New Roman"/>
                      <w:color w:val="auto"/>
                      <w:szCs w:val="21"/>
                      <w:highlight w:val="none"/>
                    </w:rPr>
                    <w:t>t/a</w:t>
                  </w:r>
                </w:p>
              </w:tc>
              <w:tc>
                <w:tcPr>
                  <w:tcW w:w="973" w:type="pct"/>
                  <w:vMerge w:val="restart"/>
                  <w:tcBorders>
                    <w:top w:val="single" w:color="auto" w:sz="8" w:space="0"/>
                  </w:tcBorders>
                  <w:shd w:val="clear" w:color="auto" w:fill="FFFFFF"/>
                  <w:noWrap w:val="0"/>
                  <w:vAlign w:val="center"/>
                </w:tcPr>
                <w:p w14:paraId="089CD58B">
                  <w:pPr>
                    <w:keepNext w:val="0"/>
                    <w:keepLines w:val="0"/>
                    <w:pageBreakBefore w:val="0"/>
                    <w:widowControl w:val="0"/>
                    <w:kinsoku/>
                    <w:wordWrap/>
                    <w:overflowPunct/>
                    <w:topLinePunct w:val="0"/>
                    <w:autoSpaceDE/>
                    <w:autoSpaceDN/>
                    <w:bidi w:val="0"/>
                    <w:ind w:left="0" w:firstLine="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收集后统一外售</w:t>
                  </w:r>
                </w:p>
              </w:tc>
            </w:tr>
            <w:tr w14:paraId="1E1EF25B">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23" w:hRule="atLeast"/>
                <w:jc w:val="center"/>
              </w:trPr>
              <w:tc>
                <w:tcPr>
                  <w:tcW w:w="252" w:type="pct"/>
                  <w:shd w:val="clear" w:color="auto" w:fill="FFFFFF"/>
                  <w:noWrap w:val="0"/>
                  <w:vAlign w:val="center"/>
                </w:tcPr>
                <w:p w14:paraId="49596C30">
                  <w:pPr>
                    <w:pStyle w:val="33"/>
                    <w:keepNext w:val="0"/>
                    <w:keepLines w:val="0"/>
                    <w:pageBreakBefore w:val="0"/>
                    <w:widowControl w:val="0"/>
                    <w:kinsoku/>
                    <w:wordWrap/>
                    <w:overflowPunct/>
                    <w:topLinePunct w:val="0"/>
                    <w:autoSpaceDE/>
                    <w:autoSpaceDN/>
                    <w:bidi w:val="0"/>
                    <w:spacing w:beforeLines="0" w:afterLines="0" w:line="240" w:lineRule="auto"/>
                    <w:ind w:left="0" w:firstLine="0"/>
                    <w:textAlignment w:val="auto"/>
                    <w:rPr>
                      <w:rFonts w:hint="eastAsia" w:ascii="Times New Roman" w:hAnsi="Times New Roman" w:eastAsia="宋体" w:cs="Times New Roman"/>
                      <w:color w:val="auto"/>
                      <w:szCs w:val="21"/>
                      <w:highlight w:val="none"/>
                      <w:lang w:val="en-US" w:eastAsia="zh-CN"/>
                    </w:rPr>
                  </w:pPr>
                  <w:r>
                    <w:rPr>
                      <w:rFonts w:hint="eastAsia" w:ascii="Times New Roman" w:cs="Times New Roman"/>
                      <w:color w:val="auto"/>
                      <w:szCs w:val="21"/>
                      <w:highlight w:val="none"/>
                      <w:lang w:val="en-US" w:eastAsia="zh-CN"/>
                    </w:rPr>
                    <w:t>2</w:t>
                  </w:r>
                </w:p>
              </w:tc>
              <w:tc>
                <w:tcPr>
                  <w:tcW w:w="913" w:type="pct"/>
                  <w:shd w:val="clear" w:color="auto" w:fill="FFFFFF"/>
                  <w:noWrap w:val="0"/>
                  <w:vAlign w:val="center"/>
                </w:tcPr>
                <w:p w14:paraId="104440CB">
                  <w:pPr>
                    <w:pStyle w:val="33"/>
                    <w:keepNext w:val="0"/>
                    <w:keepLines w:val="0"/>
                    <w:pageBreakBefore w:val="0"/>
                    <w:widowControl w:val="0"/>
                    <w:kinsoku/>
                    <w:wordWrap/>
                    <w:overflowPunct/>
                    <w:topLinePunct w:val="0"/>
                    <w:autoSpaceDE/>
                    <w:autoSpaceDN/>
                    <w:bidi w:val="0"/>
                    <w:spacing w:beforeLines="0" w:afterLines="0" w:line="240" w:lineRule="auto"/>
                    <w:ind w:left="0" w:firstLine="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废焊渣</w:t>
                  </w:r>
                </w:p>
              </w:tc>
              <w:tc>
                <w:tcPr>
                  <w:tcW w:w="1117" w:type="pct"/>
                  <w:shd w:val="clear" w:color="auto" w:fill="FFFFFF"/>
                  <w:noWrap w:val="0"/>
                  <w:vAlign w:val="center"/>
                </w:tcPr>
                <w:p w14:paraId="57B4C33F">
                  <w:pPr>
                    <w:pStyle w:val="33"/>
                    <w:keepNext w:val="0"/>
                    <w:keepLines w:val="0"/>
                    <w:pageBreakBefore w:val="0"/>
                    <w:widowControl w:val="0"/>
                    <w:kinsoku/>
                    <w:wordWrap/>
                    <w:overflowPunct/>
                    <w:topLinePunct w:val="0"/>
                    <w:autoSpaceDE/>
                    <w:autoSpaceDN/>
                    <w:bidi w:val="0"/>
                    <w:spacing w:beforeLines="0" w:afterLines="0" w:line="240" w:lineRule="auto"/>
                    <w:ind w:left="0" w:firstLine="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焊接工序</w:t>
                  </w:r>
                </w:p>
              </w:tc>
              <w:tc>
                <w:tcPr>
                  <w:tcW w:w="368" w:type="pct"/>
                  <w:vMerge w:val="continue"/>
                  <w:shd w:val="clear" w:color="auto" w:fill="FFFFFF"/>
                  <w:noWrap w:val="0"/>
                  <w:vAlign w:val="center"/>
                </w:tcPr>
                <w:p w14:paraId="5FB754DC">
                  <w:pPr>
                    <w:pStyle w:val="33"/>
                    <w:keepNext w:val="0"/>
                    <w:keepLines w:val="0"/>
                    <w:pageBreakBefore w:val="0"/>
                    <w:widowControl w:val="0"/>
                    <w:kinsoku/>
                    <w:wordWrap/>
                    <w:overflowPunct/>
                    <w:topLinePunct w:val="0"/>
                    <w:autoSpaceDE/>
                    <w:autoSpaceDN/>
                    <w:bidi w:val="0"/>
                    <w:spacing w:beforeLines="0" w:afterLines="0" w:line="240" w:lineRule="auto"/>
                    <w:ind w:left="0" w:firstLine="0"/>
                    <w:textAlignment w:val="auto"/>
                    <w:rPr>
                      <w:rFonts w:hint="default" w:ascii="Times New Roman" w:hAnsi="Times New Roman" w:cs="Times New Roman"/>
                      <w:color w:val="auto"/>
                      <w:szCs w:val="21"/>
                      <w:highlight w:val="none"/>
                    </w:rPr>
                  </w:pPr>
                </w:p>
              </w:tc>
              <w:tc>
                <w:tcPr>
                  <w:tcW w:w="815" w:type="pct"/>
                  <w:shd w:val="clear" w:color="auto" w:fill="FFFFFF"/>
                  <w:noWrap w:val="0"/>
                  <w:vAlign w:val="center"/>
                </w:tcPr>
                <w:p w14:paraId="3A16F405">
                  <w:pPr>
                    <w:pStyle w:val="39"/>
                    <w:keepNext w:val="0"/>
                    <w:keepLines w:val="0"/>
                    <w:pageBreakBefore w:val="0"/>
                    <w:widowControl w:val="0"/>
                    <w:kinsoku/>
                    <w:wordWrap/>
                    <w:overflowPunct/>
                    <w:topLinePunct w:val="0"/>
                    <w:autoSpaceDE/>
                    <w:autoSpaceDN/>
                    <w:bidi w:val="0"/>
                    <w:spacing w:beforeLines="0" w:afterLines="0"/>
                    <w:ind w:left="0" w:leftChars="0" w:firstLine="0" w:firstLineChars="0"/>
                    <w:jc w:val="center"/>
                    <w:textAlignment w:val="auto"/>
                    <w:rPr>
                      <w:rFonts w:hint="default" w:ascii="Times New Roman" w:hAnsi="Times New Roman" w:cs="Times New Roman"/>
                      <w:b w:val="0"/>
                      <w:bCs w:val="0"/>
                      <w:color w:val="auto"/>
                      <w:szCs w:val="21"/>
                      <w:highlight w:val="none"/>
                      <w:lang w:val="en-US" w:eastAsia="zh-CN"/>
                    </w:rPr>
                  </w:pPr>
                  <w:r>
                    <w:rPr>
                      <w:rFonts w:hint="eastAsia" w:cs="Times New Roman"/>
                      <w:b w:val="0"/>
                      <w:bCs w:val="0"/>
                      <w:color w:val="auto"/>
                      <w:szCs w:val="21"/>
                      <w:highlight w:val="none"/>
                      <w:lang w:val="en-US" w:eastAsia="zh-CN"/>
                    </w:rPr>
                    <w:t>900</w:t>
                  </w:r>
                  <w:r>
                    <w:rPr>
                      <w:rFonts w:hint="default" w:ascii="Times New Roman" w:hAnsi="Times New Roman" w:cs="Times New Roman"/>
                      <w:b w:val="0"/>
                      <w:bCs w:val="0"/>
                      <w:color w:val="auto"/>
                      <w:szCs w:val="21"/>
                      <w:highlight w:val="none"/>
                      <w:lang w:val="en-US" w:eastAsia="zh-CN"/>
                    </w:rPr>
                    <w:t>-001-</w:t>
                  </w:r>
                  <w:r>
                    <w:rPr>
                      <w:rFonts w:hint="eastAsia" w:cs="Times New Roman"/>
                      <w:b w:val="0"/>
                      <w:bCs w:val="0"/>
                      <w:color w:val="auto"/>
                      <w:szCs w:val="21"/>
                      <w:highlight w:val="none"/>
                      <w:lang w:val="en-US" w:eastAsia="zh-CN"/>
                    </w:rPr>
                    <w:t>S17</w:t>
                  </w:r>
                </w:p>
              </w:tc>
              <w:tc>
                <w:tcPr>
                  <w:tcW w:w="559" w:type="pct"/>
                  <w:shd w:val="clear" w:color="auto" w:fill="FFFFFF"/>
                  <w:noWrap w:val="0"/>
                  <w:vAlign w:val="center"/>
                </w:tcPr>
                <w:p w14:paraId="4093495A">
                  <w:pPr>
                    <w:pStyle w:val="33"/>
                    <w:keepNext w:val="0"/>
                    <w:keepLines w:val="0"/>
                    <w:pageBreakBefore w:val="0"/>
                    <w:widowControl w:val="0"/>
                    <w:kinsoku/>
                    <w:wordWrap/>
                    <w:overflowPunct/>
                    <w:topLinePunct w:val="0"/>
                    <w:autoSpaceDE/>
                    <w:autoSpaceDN/>
                    <w:bidi w:val="0"/>
                    <w:spacing w:beforeLines="0" w:afterLines="0" w:line="240" w:lineRule="auto"/>
                    <w:ind w:left="0" w:firstLine="0"/>
                    <w:textAlignment w:val="auto"/>
                    <w:rPr>
                      <w:rFonts w:hint="default" w:ascii="Times New Roman" w:hAnsi="Times New Roman" w:cs="Times New Roman"/>
                      <w:color w:val="auto"/>
                      <w:szCs w:val="21"/>
                      <w:highlight w:val="none"/>
                    </w:rPr>
                  </w:pPr>
                  <w:r>
                    <w:rPr>
                      <w:rFonts w:hint="eastAsia" w:ascii="Times New Roman" w:cs="Times New Roman"/>
                      <w:color w:val="auto"/>
                      <w:szCs w:val="21"/>
                      <w:highlight w:val="none"/>
                      <w:lang w:val="en-US" w:eastAsia="zh-CN"/>
                    </w:rPr>
                    <w:t>0.2</w:t>
                  </w:r>
                  <w:r>
                    <w:rPr>
                      <w:rFonts w:hint="default" w:ascii="Times New Roman" w:hAnsi="Times New Roman" w:cs="Times New Roman"/>
                      <w:color w:val="auto"/>
                      <w:szCs w:val="21"/>
                      <w:highlight w:val="none"/>
                    </w:rPr>
                    <w:t>t/a</w:t>
                  </w:r>
                </w:p>
              </w:tc>
              <w:tc>
                <w:tcPr>
                  <w:tcW w:w="973" w:type="pct"/>
                  <w:vMerge w:val="continue"/>
                  <w:shd w:val="clear" w:color="auto" w:fill="FFFFFF"/>
                  <w:noWrap w:val="0"/>
                  <w:vAlign w:val="center"/>
                </w:tcPr>
                <w:p w14:paraId="587572D2">
                  <w:pPr>
                    <w:keepNext w:val="0"/>
                    <w:keepLines w:val="0"/>
                    <w:pageBreakBefore w:val="0"/>
                    <w:widowControl w:val="0"/>
                    <w:kinsoku/>
                    <w:wordWrap/>
                    <w:overflowPunct/>
                    <w:topLinePunct w:val="0"/>
                    <w:autoSpaceDE/>
                    <w:autoSpaceDN/>
                    <w:bidi w:val="0"/>
                    <w:ind w:left="0" w:firstLine="0"/>
                    <w:jc w:val="center"/>
                    <w:textAlignment w:val="auto"/>
                    <w:rPr>
                      <w:rFonts w:hint="default" w:ascii="Times New Roman" w:hAnsi="Times New Roman" w:cs="Times New Roman"/>
                      <w:color w:val="auto"/>
                      <w:szCs w:val="21"/>
                      <w:highlight w:val="none"/>
                    </w:rPr>
                  </w:pPr>
                </w:p>
              </w:tc>
            </w:tr>
            <w:tr w14:paraId="0EA4C05C">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23" w:hRule="atLeast"/>
                <w:jc w:val="center"/>
              </w:trPr>
              <w:tc>
                <w:tcPr>
                  <w:tcW w:w="252" w:type="pct"/>
                  <w:shd w:val="clear" w:color="auto" w:fill="FFFFFF"/>
                  <w:noWrap w:val="0"/>
                  <w:vAlign w:val="center"/>
                </w:tcPr>
                <w:p w14:paraId="3591C049">
                  <w:pPr>
                    <w:pStyle w:val="33"/>
                    <w:keepNext w:val="0"/>
                    <w:keepLines w:val="0"/>
                    <w:pageBreakBefore w:val="0"/>
                    <w:widowControl w:val="0"/>
                    <w:kinsoku/>
                    <w:wordWrap/>
                    <w:overflowPunct/>
                    <w:topLinePunct w:val="0"/>
                    <w:autoSpaceDE/>
                    <w:autoSpaceDN/>
                    <w:bidi w:val="0"/>
                    <w:spacing w:beforeLines="0" w:afterLines="0" w:line="240" w:lineRule="auto"/>
                    <w:ind w:left="0" w:firstLine="0"/>
                    <w:textAlignment w:val="auto"/>
                    <w:rPr>
                      <w:rFonts w:hint="default" w:ascii="Times New Roman" w:hAnsi="Times New Roman" w:eastAsia="宋体" w:cs="Times New Roman"/>
                      <w:color w:val="auto"/>
                      <w:szCs w:val="21"/>
                      <w:highlight w:val="none"/>
                      <w:lang w:val="en-US" w:eastAsia="zh-CN"/>
                    </w:rPr>
                  </w:pPr>
                  <w:r>
                    <w:rPr>
                      <w:rFonts w:hint="eastAsia" w:ascii="Times New Roman" w:cs="Times New Roman"/>
                      <w:color w:val="auto"/>
                      <w:szCs w:val="21"/>
                      <w:highlight w:val="none"/>
                      <w:lang w:val="en-US" w:eastAsia="zh-CN"/>
                    </w:rPr>
                    <w:t>3</w:t>
                  </w:r>
                </w:p>
              </w:tc>
              <w:tc>
                <w:tcPr>
                  <w:tcW w:w="913" w:type="pct"/>
                  <w:shd w:val="clear" w:color="auto" w:fill="FFFFFF"/>
                  <w:noWrap w:val="0"/>
                  <w:vAlign w:val="center"/>
                </w:tcPr>
                <w:p w14:paraId="3D5FFDB0">
                  <w:pPr>
                    <w:pStyle w:val="33"/>
                    <w:keepNext w:val="0"/>
                    <w:keepLines w:val="0"/>
                    <w:pageBreakBefore w:val="0"/>
                    <w:widowControl w:val="0"/>
                    <w:kinsoku/>
                    <w:wordWrap/>
                    <w:overflowPunct/>
                    <w:topLinePunct w:val="0"/>
                    <w:autoSpaceDE/>
                    <w:autoSpaceDN/>
                    <w:bidi w:val="0"/>
                    <w:spacing w:beforeLines="0" w:afterLines="0" w:line="240" w:lineRule="auto"/>
                    <w:ind w:left="0" w:firstLine="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除尘器收集的粉尘</w:t>
                  </w:r>
                </w:p>
              </w:tc>
              <w:tc>
                <w:tcPr>
                  <w:tcW w:w="1117" w:type="pct"/>
                  <w:shd w:val="clear" w:color="auto" w:fill="FFFFFF"/>
                  <w:noWrap w:val="0"/>
                  <w:vAlign w:val="center"/>
                </w:tcPr>
                <w:p w14:paraId="29D5C67C">
                  <w:pPr>
                    <w:pStyle w:val="33"/>
                    <w:keepNext w:val="0"/>
                    <w:keepLines w:val="0"/>
                    <w:pageBreakBefore w:val="0"/>
                    <w:widowControl w:val="0"/>
                    <w:kinsoku/>
                    <w:wordWrap/>
                    <w:overflowPunct/>
                    <w:topLinePunct w:val="0"/>
                    <w:autoSpaceDE/>
                    <w:autoSpaceDN/>
                    <w:bidi w:val="0"/>
                    <w:spacing w:beforeLines="0" w:afterLines="0" w:line="240" w:lineRule="auto"/>
                    <w:ind w:left="0" w:firstLine="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废气处理</w:t>
                  </w:r>
                </w:p>
              </w:tc>
              <w:tc>
                <w:tcPr>
                  <w:tcW w:w="368" w:type="pct"/>
                  <w:vMerge w:val="continue"/>
                  <w:shd w:val="clear" w:color="auto" w:fill="FFFFFF"/>
                  <w:noWrap w:val="0"/>
                  <w:vAlign w:val="center"/>
                </w:tcPr>
                <w:p w14:paraId="1F18AB05">
                  <w:pPr>
                    <w:pStyle w:val="33"/>
                    <w:keepNext w:val="0"/>
                    <w:keepLines w:val="0"/>
                    <w:pageBreakBefore w:val="0"/>
                    <w:widowControl w:val="0"/>
                    <w:kinsoku/>
                    <w:wordWrap/>
                    <w:overflowPunct/>
                    <w:topLinePunct w:val="0"/>
                    <w:autoSpaceDE/>
                    <w:autoSpaceDN/>
                    <w:bidi w:val="0"/>
                    <w:spacing w:beforeLines="0" w:afterLines="0" w:line="240" w:lineRule="auto"/>
                    <w:ind w:left="0" w:firstLine="0"/>
                    <w:textAlignment w:val="auto"/>
                    <w:rPr>
                      <w:rFonts w:hint="default" w:ascii="Times New Roman" w:hAnsi="Times New Roman" w:cs="Times New Roman"/>
                      <w:color w:val="auto"/>
                      <w:szCs w:val="21"/>
                      <w:highlight w:val="none"/>
                    </w:rPr>
                  </w:pPr>
                </w:p>
              </w:tc>
              <w:tc>
                <w:tcPr>
                  <w:tcW w:w="815" w:type="pct"/>
                  <w:shd w:val="clear" w:color="auto" w:fill="FFFFFF"/>
                  <w:noWrap w:val="0"/>
                  <w:vAlign w:val="center"/>
                </w:tcPr>
                <w:p w14:paraId="28BA9179">
                  <w:pPr>
                    <w:pStyle w:val="33"/>
                    <w:keepNext w:val="0"/>
                    <w:keepLines w:val="0"/>
                    <w:pageBreakBefore w:val="0"/>
                    <w:widowControl w:val="0"/>
                    <w:kinsoku/>
                    <w:wordWrap/>
                    <w:overflowPunct/>
                    <w:topLinePunct w:val="0"/>
                    <w:autoSpaceDE/>
                    <w:autoSpaceDN/>
                    <w:bidi w:val="0"/>
                    <w:spacing w:beforeLines="0" w:afterLines="0" w:line="240" w:lineRule="auto"/>
                    <w:ind w:left="0" w:firstLine="0"/>
                    <w:textAlignment w:val="auto"/>
                    <w:rPr>
                      <w:rFonts w:hint="default" w:ascii="Times New Roman" w:hAnsi="Times New Roman" w:cs="Times New Roman"/>
                      <w:color w:val="auto"/>
                      <w:szCs w:val="21"/>
                      <w:highlight w:val="none"/>
                    </w:rPr>
                  </w:pPr>
                  <w:r>
                    <w:rPr>
                      <w:rFonts w:hint="eastAsia" w:ascii="Times New Roman" w:hAnsi="Times New Roman" w:eastAsia="宋体" w:cs="Times New Roman"/>
                      <w:color w:val="auto"/>
                      <w:szCs w:val="21"/>
                      <w:highlight w:val="none"/>
                      <w:lang w:val="en-US" w:eastAsia="zh-CN"/>
                    </w:rPr>
                    <w:t>900</w:t>
                  </w:r>
                  <w:r>
                    <w:rPr>
                      <w:rFonts w:hint="default" w:ascii="Times New Roman" w:hAnsi="Times New Roman" w:eastAsia="宋体" w:cs="Times New Roman"/>
                      <w:color w:val="auto"/>
                      <w:szCs w:val="21"/>
                      <w:highlight w:val="none"/>
                      <w:lang w:val="en-US" w:eastAsia="zh-CN"/>
                    </w:rPr>
                    <w:t>-001-</w:t>
                  </w:r>
                  <w:r>
                    <w:rPr>
                      <w:rFonts w:hint="eastAsia" w:ascii="Times New Roman" w:hAnsi="Times New Roman" w:eastAsia="宋体" w:cs="Times New Roman"/>
                      <w:color w:val="auto"/>
                      <w:szCs w:val="21"/>
                      <w:highlight w:val="none"/>
                      <w:lang w:val="en-US" w:eastAsia="zh-CN"/>
                    </w:rPr>
                    <w:t>S17</w:t>
                  </w:r>
                </w:p>
              </w:tc>
              <w:tc>
                <w:tcPr>
                  <w:tcW w:w="559" w:type="pct"/>
                  <w:shd w:val="clear" w:color="auto" w:fill="FFFFFF"/>
                  <w:noWrap w:val="0"/>
                  <w:vAlign w:val="center"/>
                </w:tcPr>
                <w:p w14:paraId="0A3A2310">
                  <w:pPr>
                    <w:pStyle w:val="33"/>
                    <w:keepNext w:val="0"/>
                    <w:keepLines w:val="0"/>
                    <w:pageBreakBefore w:val="0"/>
                    <w:widowControl w:val="0"/>
                    <w:kinsoku/>
                    <w:wordWrap/>
                    <w:overflowPunct/>
                    <w:topLinePunct w:val="0"/>
                    <w:autoSpaceDE/>
                    <w:autoSpaceDN/>
                    <w:bidi w:val="0"/>
                    <w:spacing w:beforeLines="0" w:afterLines="0" w:line="240" w:lineRule="auto"/>
                    <w:ind w:left="0" w:firstLine="0"/>
                    <w:textAlignment w:val="auto"/>
                    <w:rPr>
                      <w:rFonts w:hint="default" w:ascii="Times New Roman" w:hAnsi="Times New Roman" w:cs="Times New Roman"/>
                      <w:color w:val="auto"/>
                      <w:szCs w:val="21"/>
                      <w:highlight w:val="none"/>
                    </w:rPr>
                  </w:pPr>
                  <w:r>
                    <w:rPr>
                      <w:rFonts w:hint="eastAsia" w:ascii="Times New Roman" w:cs="Times New Roman"/>
                      <w:color w:val="auto"/>
                      <w:szCs w:val="21"/>
                      <w:highlight w:val="none"/>
                      <w:lang w:val="en-US" w:eastAsia="zh-CN"/>
                    </w:rPr>
                    <w:t>2.43</w:t>
                  </w:r>
                  <w:r>
                    <w:rPr>
                      <w:rFonts w:hint="default" w:ascii="Times New Roman" w:hAnsi="Times New Roman" w:cs="Times New Roman"/>
                      <w:color w:val="auto"/>
                      <w:szCs w:val="21"/>
                      <w:highlight w:val="none"/>
                    </w:rPr>
                    <w:t>t/a</w:t>
                  </w:r>
                </w:p>
              </w:tc>
              <w:tc>
                <w:tcPr>
                  <w:tcW w:w="973" w:type="pct"/>
                  <w:vMerge w:val="continue"/>
                  <w:shd w:val="clear" w:color="auto" w:fill="FFFFFF"/>
                  <w:noWrap w:val="0"/>
                  <w:vAlign w:val="center"/>
                </w:tcPr>
                <w:p w14:paraId="217B3880">
                  <w:pPr>
                    <w:keepNext w:val="0"/>
                    <w:keepLines w:val="0"/>
                    <w:pageBreakBefore w:val="0"/>
                    <w:widowControl w:val="0"/>
                    <w:kinsoku/>
                    <w:wordWrap/>
                    <w:overflowPunct/>
                    <w:topLinePunct w:val="0"/>
                    <w:autoSpaceDE/>
                    <w:autoSpaceDN/>
                    <w:bidi w:val="0"/>
                    <w:ind w:left="0" w:firstLine="0"/>
                    <w:jc w:val="center"/>
                    <w:textAlignment w:val="auto"/>
                    <w:rPr>
                      <w:rFonts w:hint="default" w:ascii="Times New Roman" w:hAnsi="Times New Roman" w:cs="Times New Roman"/>
                      <w:color w:val="auto"/>
                      <w:szCs w:val="21"/>
                      <w:highlight w:val="none"/>
                    </w:rPr>
                  </w:pPr>
                </w:p>
              </w:tc>
            </w:tr>
          </w:tbl>
          <w:p w14:paraId="6F40EC3A">
            <w:pPr>
              <w:pStyle w:val="56"/>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（2）危险废物</w:t>
            </w:r>
          </w:p>
          <w:p w14:paraId="30B32189">
            <w:pPr>
              <w:topLinePunct/>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本项目固体废物主要为：催化燃烧装置内废活性炭、废催化剂、废润滑油、废润滑油桶等。</w:t>
            </w:r>
          </w:p>
          <w:p w14:paraId="0B75565B">
            <w:pPr>
              <w:autoSpaceDE w:val="0"/>
              <w:autoSpaceDN w:val="0"/>
              <w:adjustRightInd w:val="0"/>
              <w:spacing w:line="360" w:lineRule="auto"/>
              <w:ind w:firstLine="360" w:firstLineChars="15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①废活性炭</w:t>
            </w:r>
          </w:p>
          <w:p w14:paraId="52FAD3CF">
            <w:pPr>
              <w:autoSpaceDE w:val="0"/>
              <w:autoSpaceDN w:val="0"/>
              <w:adjustRightInd w:val="0"/>
              <w:spacing w:line="360" w:lineRule="auto"/>
              <w:ind w:firstLine="360" w:firstLineChars="15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本项目产生的有机废气经过设置的一套“</w:t>
            </w:r>
            <w:r>
              <w:rPr>
                <w:rFonts w:hint="default" w:ascii="Times New Roman" w:hAnsi="Times New Roman" w:cs="Times New Roman"/>
                <w:color w:val="auto"/>
                <w:sz w:val="24"/>
                <w:highlight w:val="none"/>
                <w:lang w:val="en-US" w:eastAsia="zh-CN"/>
              </w:rPr>
              <w:t>活性炭吸附+</w:t>
            </w:r>
            <w:r>
              <w:rPr>
                <w:rFonts w:hint="default" w:ascii="Times New Roman" w:hAnsi="Times New Roman" w:cs="Times New Roman"/>
                <w:color w:val="auto"/>
                <w:sz w:val="24"/>
                <w:highlight w:val="none"/>
              </w:rPr>
              <w:t>催化燃烧设备”处理，活性炭吸附一定量的废气后会饱和，长期不</w:t>
            </w:r>
            <w:r>
              <w:rPr>
                <w:rFonts w:hint="eastAsia" w:cs="Times New Roman"/>
                <w:color w:val="auto"/>
                <w:sz w:val="24"/>
                <w:highlight w:val="none"/>
                <w:lang w:val="en-US" w:eastAsia="zh-CN"/>
              </w:rPr>
              <w:t>更</w:t>
            </w:r>
            <w:r>
              <w:rPr>
                <w:rFonts w:hint="default" w:ascii="Times New Roman" w:hAnsi="Times New Roman" w:cs="Times New Roman"/>
                <w:color w:val="auto"/>
                <w:sz w:val="24"/>
                <w:highlight w:val="none"/>
              </w:rPr>
              <w:t>换催化燃烧装置内的活性炭装置会降低活性炭的吸附效率，从而导致催化燃烧装置的处理效率降低，本次环评要求建设单位定期更换活性炭吸附装置，根据其他企业运行数据，废活性炭产生量为0.5t/a，属HW49其他废物－烟气、VOCs治理过程（不包括餐饮行业油烟治理过程）产生的废活性炭，废物代码为（900-039-49），废活性炭暂存于危废</w:t>
            </w:r>
            <w:r>
              <w:rPr>
                <w:rFonts w:hint="default" w:ascii="Times New Roman" w:hAnsi="Times New Roman" w:cs="Times New Roman"/>
                <w:color w:val="auto"/>
                <w:sz w:val="24"/>
                <w:highlight w:val="none"/>
                <w:lang w:eastAsia="zh-CN"/>
              </w:rPr>
              <w:t>暂存库</w:t>
            </w:r>
            <w:r>
              <w:rPr>
                <w:rFonts w:hint="default" w:ascii="Times New Roman" w:hAnsi="Times New Roman" w:cs="Times New Roman"/>
                <w:color w:val="auto"/>
                <w:sz w:val="24"/>
                <w:highlight w:val="none"/>
              </w:rPr>
              <w:t>内，定期委托有资质单位进行清运处置。</w:t>
            </w:r>
          </w:p>
          <w:p w14:paraId="27458AC3">
            <w:pPr>
              <w:pStyle w:val="56"/>
              <w:ind w:firstLine="480"/>
              <w:rPr>
                <w:rFonts w:hint="default" w:ascii="Times New Roman" w:hAnsi="Times New Roman" w:cs="Times New Roman"/>
                <w:color w:val="auto"/>
                <w:highlight w:val="none"/>
              </w:rPr>
            </w:pPr>
            <w:r>
              <w:rPr>
                <w:rFonts w:hint="eastAsia" w:cs="Times New Roman"/>
                <w:color w:val="auto"/>
                <w:highlight w:val="none"/>
                <w:lang w:val="en-US" w:eastAsia="zh-CN"/>
              </w:rPr>
              <w:t>②</w:t>
            </w:r>
            <w:r>
              <w:rPr>
                <w:rFonts w:hint="default" w:ascii="Times New Roman" w:hAnsi="Times New Roman" w:cs="Times New Roman"/>
                <w:color w:val="auto"/>
                <w:highlight w:val="none"/>
              </w:rPr>
              <w:t>废催化剂</w:t>
            </w:r>
          </w:p>
          <w:p w14:paraId="70BD1944">
            <w:pPr>
              <w:pStyle w:val="56"/>
              <w:ind w:firstLine="480"/>
              <w:rPr>
                <w:rFonts w:hint="default" w:ascii="Times New Roman" w:hAnsi="Times New Roman" w:cs="Times New Roman"/>
                <w:color w:val="auto"/>
                <w:highlight w:val="none"/>
              </w:rPr>
            </w:pPr>
            <w:r>
              <w:rPr>
                <w:rFonts w:hint="default" w:ascii="Times New Roman" w:hAnsi="Times New Roman" w:cs="Times New Roman"/>
                <w:color w:val="auto"/>
                <w:szCs w:val="24"/>
                <w:highlight w:val="none"/>
              </w:rPr>
              <w:t>项目使用催化燃烧装置处理有机废气，根据项目环保设计单位提供的数据，项目催化剂装载量为</w:t>
            </w:r>
            <w:r>
              <w:rPr>
                <w:rFonts w:hint="eastAsia" w:ascii="Times New Roman" w:hAnsi="Times New Roman" w:cs="Times New Roman"/>
                <w:color w:val="auto"/>
                <w:szCs w:val="24"/>
                <w:highlight w:val="none"/>
                <w:lang w:val="en-US" w:eastAsia="zh-CN"/>
              </w:rPr>
              <w:t>0.2t</w:t>
            </w:r>
            <w:r>
              <w:rPr>
                <w:rFonts w:hint="default" w:ascii="Times New Roman" w:hAnsi="Times New Roman" w:cs="Times New Roman"/>
                <w:color w:val="auto"/>
                <w:szCs w:val="24"/>
                <w:highlight w:val="none"/>
              </w:rPr>
              <w:t>，催化剂每2年更换一次，每次更换量</w:t>
            </w:r>
            <w:r>
              <w:rPr>
                <w:rFonts w:hint="eastAsia" w:ascii="Times New Roman" w:hAnsi="Times New Roman" w:cs="Times New Roman"/>
                <w:color w:val="auto"/>
                <w:szCs w:val="24"/>
                <w:highlight w:val="none"/>
                <w:lang w:val="en-US" w:eastAsia="zh-CN"/>
              </w:rPr>
              <w:t>0.</w:t>
            </w:r>
            <w:r>
              <w:rPr>
                <w:rFonts w:hint="default" w:ascii="Times New Roman" w:hAnsi="Times New Roman" w:cs="Times New Roman"/>
                <w:color w:val="auto"/>
                <w:szCs w:val="24"/>
                <w:highlight w:val="none"/>
              </w:rPr>
              <w:t>2t，根据《国家危险废物名录》（202</w:t>
            </w:r>
            <w:r>
              <w:rPr>
                <w:rFonts w:hint="eastAsia" w:cs="Times New Roman"/>
                <w:color w:val="auto"/>
                <w:szCs w:val="24"/>
                <w:highlight w:val="none"/>
                <w:lang w:val="en-US" w:eastAsia="zh-CN"/>
              </w:rPr>
              <w:t>5</w:t>
            </w:r>
            <w:r>
              <w:rPr>
                <w:rFonts w:hint="default" w:ascii="Times New Roman" w:hAnsi="Times New Roman" w:cs="Times New Roman"/>
                <w:color w:val="auto"/>
                <w:szCs w:val="24"/>
                <w:highlight w:val="none"/>
              </w:rPr>
              <w:t>年版），本项目产生的废催化剂</w:t>
            </w:r>
            <w:r>
              <w:rPr>
                <w:rFonts w:hint="eastAsia" w:cs="Times New Roman"/>
                <w:color w:val="auto"/>
                <w:szCs w:val="24"/>
                <w:highlight w:val="none"/>
                <w:lang w:val="en-US" w:eastAsia="zh-CN"/>
              </w:rPr>
              <w:t>为环境治理业产生</w:t>
            </w:r>
            <w:r>
              <w:rPr>
                <w:rFonts w:hint="eastAsia" w:cs="Times New Roman"/>
                <w:color w:val="auto"/>
                <w:szCs w:val="24"/>
                <w:highlight w:val="none"/>
                <w:lang w:eastAsia="zh-CN"/>
              </w:rPr>
              <w:t>，</w:t>
            </w:r>
            <w:r>
              <w:rPr>
                <w:rFonts w:hint="default" w:ascii="Times New Roman" w:hAnsi="Times New Roman" w:cs="Times New Roman"/>
                <w:color w:val="auto"/>
                <w:szCs w:val="24"/>
                <w:highlight w:val="none"/>
              </w:rPr>
              <w:t>属于HW50废催化剂，废物代码为772-007-50，项目产生的废催化剂</w:t>
            </w:r>
            <w:r>
              <w:rPr>
                <w:rFonts w:hint="default" w:ascii="Times New Roman" w:hAnsi="Times New Roman" w:cs="Times New Roman"/>
                <w:color w:val="auto"/>
                <w:highlight w:val="none"/>
              </w:rPr>
              <w:t>暂存于危废</w:t>
            </w:r>
            <w:r>
              <w:rPr>
                <w:rFonts w:hint="default" w:ascii="Times New Roman" w:hAnsi="Times New Roman" w:cs="Times New Roman"/>
                <w:color w:val="auto"/>
                <w:highlight w:val="none"/>
                <w:lang w:eastAsia="zh-CN"/>
              </w:rPr>
              <w:t>暂存库</w:t>
            </w:r>
            <w:r>
              <w:rPr>
                <w:rFonts w:hint="default" w:ascii="Times New Roman" w:hAnsi="Times New Roman" w:cs="Times New Roman"/>
                <w:color w:val="auto"/>
                <w:highlight w:val="none"/>
              </w:rPr>
              <w:t>，定期委托有资质的单位进行处置</w:t>
            </w:r>
            <w:r>
              <w:rPr>
                <w:rFonts w:hint="default" w:ascii="Times New Roman" w:hAnsi="Times New Roman" w:cs="Times New Roman"/>
                <w:color w:val="auto"/>
                <w:szCs w:val="24"/>
                <w:highlight w:val="none"/>
              </w:rPr>
              <w:t>。</w:t>
            </w:r>
          </w:p>
          <w:p w14:paraId="0CB9BE55">
            <w:pPr>
              <w:pStyle w:val="56"/>
              <w:ind w:firstLine="480"/>
              <w:rPr>
                <w:rFonts w:hint="default" w:ascii="Times New Roman" w:hAnsi="Times New Roman" w:cs="Times New Roman"/>
                <w:color w:val="auto"/>
                <w:highlight w:val="none"/>
              </w:rPr>
            </w:pPr>
            <w:r>
              <w:rPr>
                <w:rFonts w:hint="eastAsia" w:cs="Times New Roman"/>
                <w:color w:val="auto"/>
                <w:highlight w:val="none"/>
                <w:lang w:val="en-US" w:eastAsia="zh-CN"/>
              </w:rPr>
              <w:t>③</w:t>
            </w:r>
            <w:r>
              <w:rPr>
                <w:rFonts w:hint="default" w:ascii="Times New Roman" w:hAnsi="Times New Roman" w:cs="Times New Roman"/>
                <w:color w:val="auto"/>
                <w:highlight w:val="none"/>
              </w:rPr>
              <w:t>废润滑油</w:t>
            </w:r>
          </w:p>
          <w:p w14:paraId="79C32710">
            <w:pPr>
              <w:pStyle w:val="56"/>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本项目生产设备需用机械润滑油润滑，根据建设提供的资料，项目废润滑油产生量约为0.</w:t>
            </w:r>
            <w:r>
              <w:rPr>
                <w:rFonts w:hint="eastAsia" w:cs="Times New Roman"/>
                <w:color w:val="auto"/>
                <w:highlight w:val="none"/>
                <w:lang w:val="en-US" w:eastAsia="zh-CN"/>
              </w:rPr>
              <w:t>4</w:t>
            </w:r>
            <w:r>
              <w:rPr>
                <w:rFonts w:hint="default" w:ascii="Times New Roman" w:hAnsi="Times New Roman" w:cs="Times New Roman"/>
                <w:color w:val="auto"/>
                <w:highlight w:val="none"/>
              </w:rPr>
              <w:t>t/a。根据《国家危险废物名录》（202</w:t>
            </w:r>
            <w:r>
              <w:rPr>
                <w:rFonts w:hint="eastAsia" w:cs="Times New Roman"/>
                <w:color w:val="auto"/>
                <w:highlight w:val="none"/>
                <w:lang w:val="en-US" w:eastAsia="zh-CN"/>
              </w:rPr>
              <w:t>5</w:t>
            </w:r>
            <w:r>
              <w:rPr>
                <w:rFonts w:hint="default" w:ascii="Times New Roman" w:hAnsi="Times New Roman" w:cs="Times New Roman"/>
                <w:color w:val="auto"/>
                <w:highlight w:val="none"/>
              </w:rPr>
              <w:t>年版），废润滑油属于危险废物，危废编号为HW08，类别代码为900-217-08，项目产生的废润滑油暂存于危废</w:t>
            </w:r>
            <w:r>
              <w:rPr>
                <w:rFonts w:hint="default" w:ascii="Times New Roman" w:hAnsi="Times New Roman" w:cs="Times New Roman"/>
                <w:color w:val="auto"/>
                <w:highlight w:val="none"/>
                <w:lang w:eastAsia="zh-CN"/>
              </w:rPr>
              <w:t>暂存库</w:t>
            </w:r>
            <w:r>
              <w:rPr>
                <w:rFonts w:hint="default" w:ascii="Times New Roman" w:hAnsi="Times New Roman" w:cs="Times New Roman"/>
                <w:color w:val="auto"/>
                <w:highlight w:val="none"/>
              </w:rPr>
              <w:t>，定期委托有资质的单位进行处置。</w:t>
            </w:r>
          </w:p>
          <w:p w14:paraId="609F6F8D">
            <w:pPr>
              <w:pStyle w:val="56"/>
              <w:ind w:firstLine="480"/>
              <w:rPr>
                <w:rFonts w:hint="default" w:ascii="Times New Roman" w:hAnsi="Times New Roman" w:cs="Times New Roman"/>
                <w:color w:val="auto"/>
                <w:highlight w:val="none"/>
              </w:rPr>
            </w:pPr>
            <w:r>
              <w:rPr>
                <w:rFonts w:hint="eastAsia" w:cs="Times New Roman"/>
                <w:color w:val="auto"/>
                <w:highlight w:val="none"/>
                <w:lang w:val="en-US" w:eastAsia="zh-CN"/>
              </w:rPr>
              <w:t>④</w:t>
            </w:r>
            <w:r>
              <w:rPr>
                <w:rFonts w:hint="default" w:ascii="Times New Roman" w:hAnsi="Times New Roman" w:cs="Times New Roman"/>
                <w:color w:val="auto"/>
                <w:highlight w:val="none"/>
              </w:rPr>
              <w:t>废润滑油桶</w:t>
            </w:r>
          </w:p>
          <w:p w14:paraId="7FE47C7E">
            <w:pPr>
              <w:pStyle w:val="56"/>
              <w:ind w:firstLine="480"/>
              <w:rPr>
                <w:rFonts w:hint="default" w:ascii="Times New Roman" w:hAnsi="Times New Roman" w:cs="Times New Roman"/>
                <w:color w:val="auto"/>
                <w:szCs w:val="24"/>
                <w:highlight w:val="none"/>
              </w:rPr>
            </w:pPr>
            <w:r>
              <w:rPr>
                <w:rFonts w:hint="default" w:ascii="Times New Roman" w:hAnsi="Times New Roman" w:cs="Times New Roman"/>
                <w:color w:val="auto"/>
                <w:highlight w:val="none"/>
              </w:rPr>
              <w:t>本项目润滑油使用后会产生废润滑油桶，废润滑油桶产生量约为0.</w:t>
            </w:r>
            <w:r>
              <w:rPr>
                <w:rFonts w:hint="eastAsia" w:cs="Times New Roman"/>
                <w:color w:val="auto"/>
                <w:highlight w:val="none"/>
                <w:lang w:val="en-US" w:eastAsia="zh-CN"/>
              </w:rPr>
              <w:t>1</w:t>
            </w:r>
            <w:r>
              <w:rPr>
                <w:rFonts w:hint="default" w:ascii="Times New Roman" w:hAnsi="Times New Roman" w:cs="Times New Roman"/>
                <w:color w:val="auto"/>
                <w:highlight w:val="none"/>
              </w:rPr>
              <w:t>t/a，润滑油包装桶属于《国家危险废物名录》（202</w:t>
            </w:r>
            <w:r>
              <w:rPr>
                <w:rFonts w:hint="eastAsia" w:cs="Times New Roman"/>
                <w:color w:val="auto"/>
                <w:highlight w:val="none"/>
                <w:lang w:val="en-US" w:eastAsia="zh-CN"/>
              </w:rPr>
              <w:t>5</w:t>
            </w:r>
            <w:r>
              <w:rPr>
                <w:rFonts w:hint="default" w:ascii="Times New Roman" w:hAnsi="Times New Roman" w:cs="Times New Roman"/>
                <w:color w:val="auto"/>
                <w:highlight w:val="none"/>
              </w:rPr>
              <w:t>年）中HW08类，类别代码为900-249-08，项目产</w:t>
            </w:r>
            <w:r>
              <w:rPr>
                <w:rFonts w:hint="default" w:ascii="Times New Roman" w:hAnsi="Times New Roman" w:cs="Times New Roman"/>
                <w:color w:val="auto"/>
                <w:szCs w:val="24"/>
                <w:highlight w:val="none"/>
              </w:rPr>
              <w:t>生的废润滑油桶暂存于危废</w:t>
            </w:r>
            <w:r>
              <w:rPr>
                <w:rFonts w:hint="default" w:ascii="Times New Roman" w:hAnsi="Times New Roman" w:cs="Times New Roman"/>
                <w:color w:val="auto"/>
                <w:szCs w:val="24"/>
                <w:highlight w:val="none"/>
                <w:lang w:eastAsia="zh-CN"/>
              </w:rPr>
              <w:t>暂存库</w:t>
            </w:r>
            <w:r>
              <w:rPr>
                <w:rFonts w:hint="default" w:ascii="Times New Roman" w:hAnsi="Times New Roman" w:cs="Times New Roman"/>
                <w:color w:val="auto"/>
                <w:szCs w:val="24"/>
                <w:highlight w:val="none"/>
              </w:rPr>
              <w:t>，定期委托有资质的单位进行处置。</w:t>
            </w:r>
          </w:p>
          <w:p w14:paraId="672B1094">
            <w:pPr>
              <w:pStyle w:val="56"/>
              <w:ind w:firstLine="48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本项目危险废物产生及处置情况见下表4-</w:t>
            </w:r>
            <w:r>
              <w:rPr>
                <w:rFonts w:hint="eastAsia" w:cs="Times New Roman"/>
                <w:color w:val="auto"/>
                <w:szCs w:val="24"/>
                <w:highlight w:val="none"/>
                <w:lang w:val="en-US" w:eastAsia="zh-CN"/>
              </w:rPr>
              <w:t>16</w:t>
            </w:r>
            <w:r>
              <w:rPr>
                <w:rFonts w:hint="default" w:ascii="Times New Roman" w:hAnsi="Times New Roman" w:cs="Times New Roman"/>
                <w:color w:val="auto"/>
                <w:szCs w:val="24"/>
                <w:highlight w:val="none"/>
              </w:rPr>
              <w:t>。</w:t>
            </w:r>
          </w:p>
          <w:p w14:paraId="6DE7BC7C">
            <w:pPr>
              <w:pStyle w:val="41"/>
              <w:spacing w:before="24" w:after="24"/>
              <w:ind w:left="0"/>
              <w:rPr>
                <w:rFonts w:hint="default" w:ascii="Times New Roman" w:hAnsi="Times New Roman" w:cs="Times New Roman"/>
                <w:color w:val="auto"/>
                <w:highlight w:val="none"/>
              </w:rPr>
            </w:pPr>
            <w:r>
              <w:rPr>
                <w:rFonts w:hint="default" w:ascii="Times New Roman" w:hAnsi="Times New Roman" w:cs="Times New Roman"/>
                <w:color w:val="auto"/>
                <w:sz w:val="22"/>
                <w:szCs w:val="22"/>
                <w:highlight w:val="none"/>
              </w:rPr>
              <w:t>表4-</w:t>
            </w:r>
            <w:r>
              <w:rPr>
                <w:rFonts w:hint="eastAsia" w:ascii="Times New Roman" w:hAnsi="Times New Roman" w:cs="Times New Roman"/>
                <w:color w:val="auto"/>
                <w:sz w:val="22"/>
                <w:szCs w:val="22"/>
                <w:highlight w:val="none"/>
                <w:lang w:val="en-US" w:eastAsia="zh-CN"/>
              </w:rPr>
              <w:t>16</w:t>
            </w:r>
            <w:r>
              <w:rPr>
                <w:rFonts w:hint="default" w:ascii="Times New Roman" w:hAnsi="Times New Roman" w:cs="Times New Roman"/>
                <w:color w:val="auto"/>
                <w:sz w:val="22"/>
                <w:szCs w:val="22"/>
                <w:highlight w:val="none"/>
              </w:rPr>
              <w:t xml:space="preserve">    项目危险废物产生及处置情况一览表</w:t>
            </w:r>
          </w:p>
          <w:tbl>
            <w:tblPr>
              <w:tblStyle w:val="26"/>
              <w:tblW w:w="4950"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 w:type="dxa"/>
                <w:bottom w:w="0" w:type="dxa"/>
                <w:right w:w="10" w:type="dxa"/>
              </w:tblCellMar>
            </w:tblPr>
            <w:tblGrid>
              <w:gridCol w:w="391"/>
              <w:gridCol w:w="1212"/>
              <w:gridCol w:w="982"/>
              <w:gridCol w:w="595"/>
              <w:gridCol w:w="698"/>
              <w:gridCol w:w="1085"/>
              <w:gridCol w:w="701"/>
              <w:gridCol w:w="641"/>
              <w:gridCol w:w="691"/>
              <w:gridCol w:w="1035"/>
            </w:tblGrid>
            <w:tr w14:paraId="5D9F9097">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23" w:hRule="atLeast"/>
                <w:jc w:val="center"/>
              </w:trPr>
              <w:tc>
                <w:tcPr>
                  <w:tcW w:w="243" w:type="pct"/>
                  <w:tcBorders>
                    <w:bottom w:val="single" w:color="auto" w:sz="12" w:space="0"/>
                  </w:tcBorders>
                  <w:shd w:val="clear" w:color="auto" w:fill="FFFFFF"/>
                  <w:noWrap w:val="0"/>
                  <w:vAlign w:val="center"/>
                </w:tcPr>
                <w:p w14:paraId="4055DD19">
                  <w:pPr>
                    <w:pStyle w:val="33"/>
                    <w:keepNext w:val="0"/>
                    <w:keepLines w:val="0"/>
                    <w:pageBreakBefore w:val="0"/>
                    <w:widowControl w:val="0"/>
                    <w:kinsoku/>
                    <w:wordWrap/>
                    <w:overflowPunct/>
                    <w:autoSpaceDE/>
                    <w:autoSpaceDN/>
                    <w:bidi w:val="0"/>
                    <w:spacing w:beforeLines="0" w:afterLines="0" w:line="240" w:lineRule="auto"/>
                    <w:ind w:left="0" w:firstLine="0"/>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序号</w:t>
                  </w:r>
                </w:p>
              </w:tc>
              <w:tc>
                <w:tcPr>
                  <w:tcW w:w="754" w:type="pct"/>
                  <w:tcBorders>
                    <w:bottom w:val="single" w:color="auto" w:sz="12" w:space="0"/>
                  </w:tcBorders>
                  <w:shd w:val="clear" w:color="auto" w:fill="FFFFFF"/>
                  <w:noWrap w:val="0"/>
                  <w:vAlign w:val="center"/>
                </w:tcPr>
                <w:p w14:paraId="282E1B50">
                  <w:pPr>
                    <w:pStyle w:val="33"/>
                    <w:keepNext w:val="0"/>
                    <w:keepLines w:val="0"/>
                    <w:pageBreakBefore w:val="0"/>
                    <w:widowControl w:val="0"/>
                    <w:kinsoku/>
                    <w:wordWrap/>
                    <w:overflowPunct/>
                    <w:autoSpaceDE/>
                    <w:autoSpaceDN/>
                    <w:bidi w:val="0"/>
                    <w:spacing w:beforeLines="0" w:afterLines="0" w:line="240" w:lineRule="auto"/>
                    <w:ind w:left="0" w:firstLine="0"/>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废物名称</w:t>
                  </w:r>
                </w:p>
              </w:tc>
              <w:tc>
                <w:tcPr>
                  <w:tcW w:w="611" w:type="pct"/>
                  <w:tcBorders>
                    <w:bottom w:val="single" w:color="auto" w:sz="12" w:space="0"/>
                  </w:tcBorders>
                  <w:shd w:val="clear" w:color="auto" w:fill="FFFFFF"/>
                  <w:noWrap w:val="0"/>
                  <w:vAlign w:val="center"/>
                </w:tcPr>
                <w:p w14:paraId="3444A748">
                  <w:pPr>
                    <w:pStyle w:val="33"/>
                    <w:keepNext w:val="0"/>
                    <w:keepLines w:val="0"/>
                    <w:pageBreakBefore w:val="0"/>
                    <w:widowControl w:val="0"/>
                    <w:kinsoku/>
                    <w:wordWrap/>
                    <w:overflowPunct/>
                    <w:autoSpaceDE/>
                    <w:autoSpaceDN/>
                    <w:bidi w:val="0"/>
                    <w:spacing w:beforeLines="0" w:afterLines="0" w:line="240" w:lineRule="auto"/>
                    <w:ind w:left="0" w:firstLine="0"/>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产生工序</w:t>
                  </w:r>
                </w:p>
              </w:tc>
              <w:tc>
                <w:tcPr>
                  <w:tcW w:w="370" w:type="pct"/>
                  <w:tcBorders>
                    <w:bottom w:val="single" w:color="auto" w:sz="12" w:space="0"/>
                  </w:tcBorders>
                  <w:shd w:val="clear" w:color="auto" w:fill="FFFFFF"/>
                  <w:noWrap w:val="0"/>
                  <w:vAlign w:val="center"/>
                </w:tcPr>
                <w:p w14:paraId="75FDF452">
                  <w:pPr>
                    <w:pStyle w:val="33"/>
                    <w:keepNext w:val="0"/>
                    <w:keepLines w:val="0"/>
                    <w:pageBreakBefore w:val="0"/>
                    <w:widowControl w:val="0"/>
                    <w:kinsoku/>
                    <w:wordWrap/>
                    <w:overflowPunct/>
                    <w:autoSpaceDE/>
                    <w:autoSpaceDN/>
                    <w:bidi w:val="0"/>
                    <w:spacing w:beforeLines="0" w:afterLines="0" w:line="240" w:lineRule="auto"/>
                    <w:ind w:left="0" w:firstLine="0"/>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固废性质</w:t>
                  </w:r>
                </w:p>
              </w:tc>
              <w:tc>
                <w:tcPr>
                  <w:tcW w:w="434" w:type="pct"/>
                  <w:tcBorders>
                    <w:bottom w:val="single" w:color="auto" w:sz="12" w:space="0"/>
                  </w:tcBorders>
                  <w:shd w:val="clear" w:color="auto" w:fill="FFFFFF"/>
                  <w:noWrap w:val="0"/>
                  <w:vAlign w:val="center"/>
                </w:tcPr>
                <w:p w14:paraId="7B9E5A38">
                  <w:pPr>
                    <w:keepNext w:val="0"/>
                    <w:keepLines w:val="0"/>
                    <w:pageBreakBefore w:val="0"/>
                    <w:widowControl w:val="0"/>
                    <w:kinsoku/>
                    <w:wordWrap/>
                    <w:overflowPunct/>
                    <w:autoSpaceDE/>
                    <w:autoSpaceDN/>
                    <w:bidi w:val="0"/>
                    <w:ind w:firstLine="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类别</w:t>
                  </w:r>
                </w:p>
              </w:tc>
              <w:tc>
                <w:tcPr>
                  <w:tcW w:w="675" w:type="pct"/>
                  <w:tcBorders>
                    <w:bottom w:val="single" w:color="auto" w:sz="12" w:space="0"/>
                  </w:tcBorders>
                  <w:shd w:val="clear" w:color="auto" w:fill="FFFFFF"/>
                  <w:noWrap w:val="0"/>
                  <w:vAlign w:val="center"/>
                </w:tcPr>
                <w:p w14:paraId="11B720EF">
                  <w:pPr>
                    <w:pStyle w:val="33"/>
                    <w:keepNext w:val="0"/>
                    <w:keepLines w:val="0"/>
                    <w:pageBreakBefore w:val="0"/>
                    <w:widowControl w:val="0"/>
                    <w:kinsoku/>
                    <w:wordWrap/>
                    <w:overflowPunct/>
                    <w:autoSpaceDE/>
                    <w:autoSpaceDN/>
                    <w:bidi w:val="0"/>
                    <w:spacing w:beforeLines="0" w:afterLines="0" w:line="240" w:lineRule="auto"/>
                    <w:ind w:left="0" w:firstLine="0"/>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危废代码</w:t>
                  </w:r>
                </w:p>
              </w:tc>
              <w:tc>
                <w:tcPr>
                  <w:tcW w:w="436" w:type="pct"/>
                  <w:tcBorders>
                    <w:bottom w:val="single" w:color="auto" w:sz="12" w:space="0"/>
                  </w:tcBorders>
                  <w:shd w:val="clear" w:color="auto" w:fill="FFFFFF"/>
                  <w:noWrap w:val="0"/>
                  <w:vAlign w:val="center"/>
                </w:tcPr>
                <w:p w14:paraId="4152157E">
                  <w:pPr>
                    <w:pStyle w:val="33"/>
                    <w:keepNext w:val="0"/>
                    <w:keepLines w:val="0"/>
                    <w:pageBreakBefore w:val="0"/>
                    <w:widowControl w:val="0"/>
                    <w:kinsoku/>
                    <w:wordWrap/>
                    <w:overflowPunct/>
                    <w:autoSpaceDE/>
                    <w:autoSpaceDN/>
                    <w:bidi w:val="0"/>
                    <w:spacing w:beforeLines="0" w:afterLines="0" w:line="240" w:lineRule="auto"/>
                    <w:ind w:left="0" w:firstLine="0"/>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产生量</w:t>
                  </w:r>
                </w:p>
              </w:tc>
              <w:tc>
                <w:tcPr>
                  <w:tcW w:w="399" w:type="pct"/>
                  <w:tcBorders>
                    <w:bottom w:val="single" w:color="auto" w:sz="12" w:space="0"/>
                  </w:tcBorders>
                  <w:shd w:val="clear" w:color="auto" w:fill="FFFFFF"/>
                  <w:noWrap w:val="0"/>
                  <w:vAlign w:val="center"/>
                </w:tcPr>
                <w:p w14:paraId="4EE237E2">
                  <w:pPr>
                    <w:keepNext w:val="0"/>
                    <w:keepLines w:val="0"/>
                    <w:pageBreakBefore w:val="0"/>
                    <w:widowControl w:val="0"/>
                    <w:kinsoku/>
                    <w:wordWrap/>
                    <w:overflowPunct/>
                    <w:autoSpaceDE/>
                    <w:autoSpaceDN/>
                    <w:bidi w:val="0"/>
                    <w:ind w:firstLine="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形态</w:t>
                  </w:r>
                </w:p>
              </w:tc>
              <w:tc>
                <w:tcPr>
                  <w:tcW w:w="430" w:type="pct"/>
                  <w:tcBorders>
                    <w:bottom w:val="single" w:color="auto" w:sz="12" w:space="0"/>
                  </w:tcBorders>
                  <w:shd w:val="clear" w:color="auto" w:fill="FFFFFF"/>
                  <w:noWrap w:val="0"/>
                  <w:vAlign w:val="center"/>
                </w:tcPr>
                <w:p w14:paraId="2F48072D">
                  <w:pPr>
                    <w:keepNext w:val="0"/>
                    <w:keepLines w:val="0"/>
                    <w:pageBreakBefore w:val="0"/>
                    <w:widowControl w:val="0"/>
                    <w:kinsoku/>
                    <w:wordWrap/>
                    <w:overflowPunct/>
                    <w:autoSpaceDE/>
                    <w:autoSpaceDN/>
                    <w:bidi w:val="0"/>
                    <w:ind w:firstLine="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危险</w:t>
                  </w:r>
                  <w:r>
                    <w:rPr>
                      <w:rFonts w:hint="eastAsia" w:cs="Times New Roman"/>
                      <w:b/>
                      <w:bCs/>
                      <w:color w:val="auto"/>
                      <w:sz w:val="21"/>
                      <w:szCs w:val="21"/>
                      <w:highlight w:val="none"/>
                      <w:lang w:val="en-US" w:eastAsia="zh-CN"/>
                    </w:rPr>
                    <w:t>特</w:t>
                  </w:r>
                  <w:r>
                    <w:rPr>
                      <w:rFonts w:hint="default" w:ascii="Times New Roman" w:hAnsi="Times New Roman" w:cs="Times New Roman"/>
                      <w:b/>
                      <w:bCs/>
                      <w:color w:val="auto"/>
                      <w:sz w:val="21"/>
                      <w:szCs w:val="21"/>
                      <w:highlight w:val="none"/>
                    </w:rPr>
                    <w:t>性</w:t>
                  </w:r>
                </w:p>
              </w:tc>
              <w:tc>
                <w:tcPr>
                  <w:tcW w:w="644" w:type="pct"/>
                  <w:tcBorders>
                    <w:bottom w:val="single" w:color="auto" w:sz="12" w:space="0"/>
                  </w:tcBorders>
                  <w:shd w:val="clear" w:color="auto" w:fill="FFFFFF"/>
                  <w:noWrap w:val="0"/>
                  <w:vAlign w:val="center"/>
                </w:tcPr>
                <w:p w14:paraId="14F32FD9">
                  <w:pPr>
                    <w:keepNext w:val="0"/>
                    <w:keepLines w:val="0"/>
                    <w:pageBreakBefore w:val="0"/>
                    <w:widowControl w:val="0"/>
                    <w:kinsoku/>
                    <w:wordWrap/>
                    <w:overflowPunct/>
                    <w:autoSpaceDE/>
                    <w:autoSpaceDN/>
                    <w:bidi w:val="0"/>
                    <w:ind w:firstLine="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处置措施</w:t>
                  </w:r>
                </w:p>
              </w:tc>
            </w:tr>
            <w:tr w14:paraId="29417707">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23" w:hRule="atLeast"/>
                <w:jc w:val="center"/>
              </w:trPr>
              <w:tc>
                <w:tcPr>
                  <w:tcW w:w="243" w:type="pct"/>
                  <w:tcBorders>
                    <w:top w:val="single" w:color="auto" w:sz="12" w:space="0"/>
                  </w:tcBorders>
                  <w:shd w:val="clear" w:color="auto" w:fill="FFFFFF"/>
                  <w:noWrap w:val="0"/>
                  <w:vAlign w:val="center"/>
                </w:tcPr>
                <w:p w14:paraId="1CE715B6">
                  <w:pPr>
                    <w:pStyle w:val="33"/>
                    <w:keepNext w:val="0"/>
                    <w:keepLines w:val="0"/>
                    <w:pageBreakBefore w:val="0"/>
                    <w:widowControl w:val="0"/>
                    <w:kinsoku/>
                    <w:wordWrap/>
                    <w:overflowPunct/>
                    <w:autoSpaceDE/>
                    <w:autoSpaceDN/>
                    <w:bidi w:val="0"/>
                    <w:spacing w:beforeLines="0" w:afterLines="0" w:line="240" w:lineRule="auto"/>
                    <w:ind w:left="0" w:firstLine="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754" w:type="pct"/>
                  <w:tcBorders>
                    <w:top w:val="single" w:color="auto" w:sz="12" w:space="0"/>
                  </w:tcBorders>
                  <w:shd w:val="clear" w:color="auto" w:fill="FFFFFF"/>
                  <w:noWrap w:val="0"/>
                  <w:vAlign w:val="center"/>
                </w:tcPr>
                <w:p w14:paraId="059621C5">
                  <w:pPr>
                    <w:pStyle w:val="47"/>
                    <w:keepNext w:val="0"/>
                    <w:keepLines w:val="0"/>
                    <w:pageBreakBefore w:val="0"/>
                    <w:widowControl w:val="0"/>
                    <w:kinsoku/>
                    <w:wordWrap/>
                    <w:overflowPunct/>
                    <w:autoSpaceDE/>
                    <w:autoSpaceDN/>
                    <w:bidi w:val="0"/>
                    <w:ind w:firstLine="0"/>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废活性炭</w:t>
                  </w:r>
                </w:p>
              </w:tc>
              <w:tc>
                <w:tcPr>
                  <w:tcW w:w="611" w:type="pct"/>
                  <w:vMerge w:val="restart"/>
                  <w:tcBorders>
                    <w:top w:val="single" w:color="auto" w:sz="12" w:space="0"/>
                  </w:tcBorders>
                  <w:shd w:val="clear" w:color="auto" w:fill="FFFFFF"/>
                  <w:noWrap w:val="0"/>
                  <w:vAlign w:val="center"/>
                </w:tcPr>
                <w:p w14:paraId="7AC2664E">
                  <w:pPr>
                    <w:pStyle w:val="33"/>
                    <w:keepNext w:val="0"/>
                    <w:keepLines w:val="0"/>
                    <w:pageBreakBefore w:val="0"/>
                    <w:widowControl w:val="0"/>
                    <w:kinsoku/>
                    <w:wordWrap/>
                    <w:overflowPunct/>
                    <w:autoSpaceDE/>
                    <w:autoSpaceDN/>
                    <w:bidi w:val="0"/>
                    <w:spacing w:beforeLines="0" w:afterLines="0" w:line="240" w:lineRule="auto"/>
                    <w:ind w:left="0" w:firstLine="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废气处理装置</w:t>
                  </w:r>
                </w:p>
              </w:tc>
              <w:tc>
                <w:tcPr>
                  <w:tcW w:w="370" w:type="pct"/>
                  <w:vMerge w:val="restart"/>
                  <w:tcBorders>
                    <w:top w:val="single" w:color="auto" w:sz="12" w:space="0"/>
                  </w:tcBorders>
                  <w:shd w:val="clear" w:color="auto" w:fill="FFFFFF"/>
                  <w:noWrap w:val="0"/>
                  <w:vAlign w:val="center"/>
                </w:tcPr>
                <w:p w14:paraId="246726B2">
                  <w:pPr>
                    <w:pStyle w:val="33"/>
                    <w:keepNext w:val="0"/>
                    <w:keepLines w:val="0"/>
                    <w:pageBreakBefore w:val="0"/>
                    <w:widowControl w:val="0"/>
                    <w:kinsoku/>
                    <w:wordWrap/>
                    <w:overflowPunct/>
                    <w:autoSpaceDE/>
                    <w:autoSpaceDN/>
                    <w:bidi w:val="0"/>
                    <w:spacing w:beforeLines="0" w:afterLines="0" w:line="240" w:lineRule="auto"/>
                    <w:ind w:left="0" w:firstLine="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危险废物</w:t>
                  </w:r>
                </w:p>
              </w:tc>
              <w:tc>
                <w:tcPr>
                  <w:tcW w:w="434" w:type="pct"/>
                  <w:tcBorders>
                    <w:top w:val="single" w:color="auto" w:sz="12" w:space="0"/>
                  </w:tcBorders>
                  <w:shd w:val="clear" w:color="auto" w:fill="FFFFFF"/>
                  <w:noWrap w:val="0"/>
                  <w:vAlign w:val="center"/>
                </w:tcPr>
                <w:p w14:paraId="18447A99">
                  <w:pPr>
                    <w:pStyle w:val="33"/>
                    <w:keepNext w:val="0"/>
                    <w:keepLines w:val="0"/>
                    <w:pageBreakBefore w:val="0"/>
                    <w:widowControl w:val="0"/>
                    <w:kinsoku/>
                    <w:wordWrap/>
                    <w:overflowPunct/>
                    <w:autoSpaceDE/>
                    <w:autoSpaceDN/>
                    <w:bidi w:val="0"/>
                    <w:spacing w:beforeLines="0" w:afterLines="0" w:line="240" w:lineRule="auto"/>
                    <w:ind w:left="0" w:firstLine="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HW49</w:t>
                  </w:r>
                </w:p>
              </w:tc>
              <w:tc>
                <w:tcPr>
                  <w:tcW w:w="675" w:type="pct"/>
                  <w:tcBorders>
                    <w:top w:val="single" w:color="auto" w:sz="12" w:space="0"/>
                  </w:tcBorders>
                  <w:shd w:val="clear" w:color="auto" w:fill="FFFFFF"/>
                  <w:noWrap w:val="0"/>
                  <w:vAlign w:val="center"/>
                </w:tcPr>
                <w:p w14:paraId="2A557474">
                  <w:pPr>
                    <w:pStyle w:val="33"/>
                    <w:keepNext w:val="0"/>
                    <w:keepLines w:val="0"/>
                    <w:pageBreakBefore w:val="0"/>
                    <w:widowControl w:val="0"/>
                    <w:kinsoku/>
                    <w:wordWrap/>
                    <w:overflowPunct/>
                    <w:autoSpaceDE/>
                    <w:autoSpaceDN/>
                    <w:bidi w:val="0"/>
                    <w:spacing w:beforeLines="0" w:afterLines="0" w:line="240" w:lineRule="auto"/>
                    <w:ind w:left="0" w:firstLine="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900-039-49</w:t>
                  </w:r>
                </w:p>
              </w:tc>
              <w:tc>
                <w:tcPr>
                  <w:tcW w:w="436" w:type="pct"/>
                  <w:tcBorders>
                    <w:top w:val="single" w:color="auto" w:sz="12" w:space="0"/>
                  </w:tcBorders>
                  <w:shd w:val="clear" w:color="auto" w:fill="FFFFFF"/>
                  <w:noWrap w:val="0"/>
                  <w:vAlign w:val="center"/>
                </w:tcPr>
                <w:p w14:paraId="2EEFA235">
                  <w:pPr>
                    <w:pStyle w:val="33"/>
                    <w:keepNext w:val="0"/>
                    <w:keepLines w:val="0"/>
                    <w:pageBreakBefore w:val="0"/>
                    <w:widowControl w:val="0"/>
                    <w:kinsoku/>
                    <w:wordWrap/>
                    <w:overflowPunct/>
                    <w:autoSpaceDE/>
                    <w:autoSpaceDN/>
                    <w:bidi w:val="0"/>
                    <w:spacing w:beforeLines="0" w:afterLines="0" w:line="240" w:lineRule="auto"/>
                    <w:ind w:left="0" w:firstLine="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0.5t/a</w:t>
                  </w:r>
                </w:p>
              </w:tc>
              <w:tc>
                <w:tcPr>
                  <w:tcW w:w="399" w:type="pct"/>
                  <w:tcBorders>
                    <w:top w:val="single" w:color="auto" w:sz="12" w:space="0"/>
                  </w:tcBorders>
                  <w:shd w:val="clear" w:color="auto" w:fill="FFFFFF"/>
                  <w:noWrap w:val="0"/>
                  <w:vAlign w:val="center"/>
                </w:tcPr>
                <w:p w14:paraId="56ACACD4">
                  <w:pPr>
                    <w:keepNext w:val="0"/>
                    <w:keepLines w:val="0"/>
                    <w:pageBreakBefore w:val="0"/>
                    <w:widowControl w:val="0"/>
                    <w:kinsoku/>
                    <w:wordWrap/>
                    <w:overflowPunct/>
                    <w:autoSpaceDE/>
                    <w:autoSpaceDN/>
                    <w:bidi w:val="0"/>
                    <w:ind w:firstLine="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固态</w:t>
                  </w:r>
                </w:p>
              </w:tc>
              <w:tc>
                <w:tcPr>
                  <w:tcW w:w="430" w:type="pct"/>
                  <w:tcBorders>
                    <w:top w:val="single" w:color="auto" w:sz="12" w:space="0"/>
                  </w:tcBorders>
                  <w:shd w:val="clear" w:color="auto" w:fill="FFFFFF"/>
                  <w:noWrap w:val="0"/>
                  <w:vAlign w:val="center"/>
                </w:tcPr>
                <w:p w14:paraId="39BF4134">
                  <w:pPr>
                    <w:keepNext w:val="0"/>
                    <w:keepLines w:val="0"/>
                    <w:pageBreakBefore w:val="0"/>
                    <w:widowControl w:val="0"/>
                    <w:kinsoku/>
                    <w:wordWrap/>
                    <w:overflowPunct/>
                    <w:autoSpaceDE/>
                    <w:autoSpaceDN/>
                    <w:bidi w:val="0"/>
                    <w:ind w:firstLine="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T</w:t>
                  </w:r>
                </w:p>
              </w:tc>
              <w:tc>
                <w:tcPr>
                  <w:tcW w:w="644" w:type="pct"/>
                  <w:vMerge w:val="restart"/>
                  <w:tcBorders>
                    <w:top w:val="single" w:color="auto" w:sz="12" w:space="0"/>
                  </w:tcBorders>
                  <w:shd w:val="clear" w:color="auto" w:fill="FFFFFF"/>
                  <w:noWrap w:val="0"/>
                  <w:vAlign w:val="center"/>
                </w:tcPr>
                <w:p w14:paraId="2FBA5224">
                  <w:pPr>
                    <w:keepNext w:val="0"/>
                    <w:keepLines w:val="0"/>
                    <w:pageBreakBefore w:val="0"/>
                    <w:widowControl w:val="0"/>
                    <w:kinsoku/>
                    <w:wordWrap/>
                    <w:overflowPunct/>
                    <w:autoSpaceDE/>
                    <w:autoSpaceDN/>
                    <w:bidi w:val="0"/>
                    <w:ind w:firstLine="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暂存于危废</w:t>
                  </w:r>
                  <w:r>
                    <w:rPr>
                      <w:rFonts w:hint="default" w:ascii="Times New Roman" w:hAnsi="Times New Roman" w:cs="Times New Roman"/>
                      <w:color w:val="auto"/>
                      <w:sz w:val="21"/>
                      <w:szCs w:val="21"/>
                      <w:highlight w:val="none"/>
                      <w:lang w:eastAsia="zh-CN"/>
                    </w:rPr>
                    <w:t>暂存库</w:t>
                  </w:r>
                  <w:r>
                    <w:rPr>
                      <w:rFonts w:hint="default" w:ascii="Times New Roman" w:hAnsi="Times New Roman" w:cs="Times New Roman"/>
                      <w:color w:val="auto"/>
                      <w:sz w:val="21"/>
                      <w:szCs w:val="21"/>
                      <w:highlight w:val="none"/>
                    </w:rPr>
                    <w:t>，定期交由资质单位处置</w:t>
                  </w:r>
                </w:p>
              </w:tc>
            </w:tr>
            <w:tr w14:paraId="0261F258">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23" w:hRule="atLeast"/>
                <w:jc w:val="center"/>
              </w:trPr>
              <w:tc>
                <w:tcPr>
                  <w:tcW w:w="243" w:type="pct"/>
                  <w:shd w:val="clear" w:color="auto" w:fill="FFFFFF"/>
                  <w:noWrap w:val="0"/>
                  <w:vAlign w:val="center"/>
                </w:tcPr>
                <w:p w14:paraId="7FC90A6F">
                  <w:pPr>
                    <w:pStyle w:val="33"/>
                    <w:keepNext w:val="0"/>
                    <w:keepLines w:val="0"/>
                    <w:pageBreakBefore w:val="0"/>
                    <w:widowControl w:val="0"/>
                    <w:kinsoku/>
                    <w:wordWrap/>
                    <w:overflowPunct/>
                    <w:autoSpaceDE/>
                    <w:autoSpaceDN/>
                    <w:bidi w:val="0"/>
                    <w:spacing w:beforeLines="0" w:afterLines="0" w:line="240" w:lineRule="auto"/>
                    <w:ind w:left="0" w:firstLine="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cs="Times New Roman"/>
                      <w:color w:val="auto"/>
                      <w:sz w:val="21"/>
                      <w:szCs w:val="21"/>
                      <w:highlight w:val="none"/>
                      <w:lang w:val="en-US" w:eastAsia="zh-CN"/>
                    </w:rPr>
                    <w:t>2</w:t>
                  </w:r>
                </w:p>
              </w:tc>
              <w:tc>
                <w:tcPr>
                  <w:tcW w:w="754" w:type="pct"/>
                  <w:shd w:val="clear" w:color="auto" w:fill="FFFFFF"/>
                  <w:noWrap w:val="0"/>
                  <w:vAlign w:val="center"/>
                </w:tcPr>
                <w:p w14:paraId="76672441">
                  <w:pPr>
                    <w:pStyle w:val="47"/>
                    <w:keepNext w:val="0"/>
                    <w:keepLines w:val="0"/>
                    <w:pageBreakBefore w:val="0"/>
                    <w:widowControl w:val="0"/>
                    <w:kinsoku/>
                    <w:wordWrap/>
                    <w:overflowPunct/>
                    <w:autoSpaceDE/>
                    <w:autoSpaceDN/>
                    <w:bidi w:val="0"/>
                    <w:ind w:firstLine="0"/>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sz w:val="21"/>
                      <w:szCs w:val="21"/>
                      <w:highlight w:val="none"/>
                    </w:rPr>
                    <w:t>废催化剂</w:t>
                  </w:r>
                </w:p>
              </w:tc>
              <w:tc>
                <w:tcPr>
                  <w:tcW w:w="611" w:type="pct"/>
                  <w:vMerge w:val="continue"/>
                  <w:shd w:val="clear" w:color="auto" w:fill="FFFFFF"/>
                  <w:noWrap w:val="0"/>
                  <w:vAlign w:val="center"/>
                </w:tcPr>
                <w:p w14:paraId="257D1C68">
                  <w:pPr>
                    <w:pStyle w:val="33"/>
                    <w:keepNext w:val="0"/>
                    <w:keepLines w:val="0"/>
                    <w:pageBreakBefore w:val="0"/>
                    <w:widowControl w:val="0"/>
                    <w:kinsoku/>
                    <w:wordWrap/>
                    <w:overflowPunct/>
                    <w:autoSpaceDE/>
                    <w:autoSpaceDN/>
                    <w:bidi w:val="0"/>
                    <w:spacing w:beforeLines="0" w:afterLines="0" w:line="240" w:lineRule="auto"/>
                    <w:ind w:left="0" w:firstLine="0"/>
                    <w:textAlignment w:val="auto"/>
                    <w:rPr>
                      <w:rFonts w:hint="default" w:ascii="Times New Roman" w:hAnsi="Times New Roman" w:cs="Times New Roman"/>
                      <w:color w:val="auto"/>
                      <w:sz w:val="21"/>
                      <w:szCs w:val="21"/>
                      <w:highlight w:val="none"/>
                    </w:rPr>
                  </w:pPr>
                </w:p>
              </w:tc>
              <w:tc>
                <w:tcPr>
                  <w:tcW w:w="370" w:type="pct"/>
                  <w:vMerge w:val="continue"/>
                  <w:shd w:val="clear" w:color="auto" w:fill="FFFFFF"/>
                  <w:noWrap w:val="0"/>
                  <w:vAlign w:val="center"/>
                </w:tcPr>
                <w:p w14:paraId="42320260">
                  <w:pPr>
                    <w:pStyle w:val="33"/>
                    <w:keepNext w:val="0"/>
                    <w:keepLines w:val="0"/>
                    <w:pageBreakBefore w:val="0"/>
                    <w:widowControl w:val="0"/>
                    <w:kinsoku/>
                    <w:wordWrap/>
                    <w:overflowPunct/>
                    <w:autoSpaceDE/>
                    <w:autoSpaceDN/>
                    <w:bidi w:val="0"/>
                    <w:spacing w:beforeLines="0" w:afterLines="0" w:line="240" w:lineRule="auto"/>
                    <w:ind w:left="0" w:firstLine="0"/>
                    <w:textAlignment w:val="auto"/>
                    <w:rPr>
                      <w:rFonts w:hint="default" w:ascii="Times New Roman" w:hAnsi="Times New Roman" w:cs="Times New Roman"/>
                      <w:color w:val="auto"/>
                      <w:sz w:val="21"/>
                      <w:szCs w:val="21"/>
                      <w:highlight w:val="none"/>
                    </w:rPr>
                  </w:pPr>
                </w:p>
              </w:tc>
              <w:tc>
                <w:tcPr>
                  <w:tcW w:w="434" w:type="pct"/>
                  <w:shd w:val="clear" w:color="auto" w:fill="FFFFFF"/>
                  <w:noWrap w:val="0"/>
                  <w:vAlign w:val="center"/>
                </w:tcPr>
                <w:p w14:paraId="51638D7C">
                  <w:pPr>
                    <w:pStyle w:val="33"/>
                    <w:keepNext w:val="0"/>
                    <w:keepLines w:val="0"/>
                    <w:pageBreakBefore w:val="0"/>
                    <w:widowControl w:val="0"/>
                    <w:kinsoku/>
                    <w:wordWrap/>
                    <w:overflowPunct/>
                    <w:autoSpaceDE/>
                    <w:autoSpaceDN/>
                    <w:bidi w:val="0"/>
                    <w:spacing w:beforeLines="0" w:afterLines="0" w:line="240" w:lineRule="auto"/>
                    <w:ind w:left="0" w:firstLine="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HW50</w:t>
                  </w:r>
                </w:p>
              </w:tc>
              <w:tc>
                <w:tcPr>
                  <w:tcW w:w="675" w:type="pct"/>
                  <w:shd w:val="clear" w:color="auto" w:fill="FFFFFF"/>
                  <w:noWrap w:val="0"/>
                  <w:vAlign w:val="center"/>
                </w:tcPr>
                <w:p w14:paraId="6DBA5170">
                  <w:pPr>
                    <w:pStyle w:val="33"/>
                    <w:keepNext w:val="0"/>
                    <w:keepLines w:val="0"/>
                    <w:pageBreakBefore w:val="0"/>
                    <w:widowControl w:val="0"/>
                    <w:kinsoku/>
                    <w:wordWrap/>
                    <w:overflowPunct/>
                    <w:autoSpaceDE/>
                    <w:autoSpaceDN/>
                    <w:bidi w:val="0"/>
                    <w:spacing w:beforeLines="0" w:afterLines="0" w:line="240" w:lineRule="auto"/>
                    <w:ind w:left="0" w:firstLine="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772-007-50</w:t>
                  </w:r>
                </w:p>
              </w:tc>
              <w:tc>
                <w:tcPr>
                  <w:tcW w:w="436" w:type="pct"/>
                  <w:shd w:val="clear" w:color="auto" w:fill="FFFFFF"/>
                  <w:noWrap w:val="0"/>
                  <w:vAlign w:val="center"/>
                </w:tcPr>
                <w:p w14:paraId="5D39CB7E">
                  <w:pPr>
                    <w:pStyle w:val="33"/>
                    <w:keepNext w:val="0"/>
                    <w:keepLines w:val="0"/>
                    <w:pageBreakBefore w:val="0"/>
                    <w:widowControl w:val="0"/>
                    <w:kinsoku/>
                    <w:wordWrap/>
                    <w:overflowPunct/>
                    <w:autoSpaceDE/>
                    <w:autoSpaceDN/>
                    <w:bidi w:val="0"/>
                    <w:spacing w:beforeLines="0" w:afterLines="0" w:line="240" w:lineRule="auto"/>
                    <w:ind w:left="0" w:firstLine="0"/>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0.</w:t>
                  </w:r>
                  <w:r>
                    <w:rPr>
                      <w:rFonts w:hint="eastAsia" w:asci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t/a</w:t>
                  </w:r>
                </w:p>
              </w:tc>
              <w:tc>
                <w:tcPr>
                  <w:tcW w:w="399" w:type="pct"/>
                  <w:shd w:val="clear" w:color="auto" w:fill="FFFFFF"/>
                  <w:noWrap w:val="0"/>
                  <w:vAlign w:val="center"/>
                </w:tcPr>
                <w:p w14:paraId="511DAFFD">
                  <w:pPr>
                    <w:keepNext w:val="0"/>
                    <w:keepLines w:val="0"/>
                    <w:pageBreakBefore w:val="0"/>
                    <w:widowControl w:val="0"/>
                    <w:kinsoku/>
                    <w:wordWrap/>
                    <w:overflowPunct/>
                    <w:autoSpaceDE/>
                    <w:autoSpaceDN/>
                    <w:bidi w:val="0"/>
                    <w:ind w:firstLine="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固态</w:t>
                  </w:r>
                </w:p>
              </w:tc>
              <w:tc>
                <w:tcPr>
                  <w:tcW w:w="430" w:type="pct"/>
                  <w:shd w:val="clear" w:color="auto" w:fill="FFFFFF"/>
                  <w:noWrap w:val="0"/>
                  <w:vAlign w:val="center"/>
                </w:tcPr>
                <w:p w14:paraId="51383406">
                  <w:pPr>
                    <w:keepNext w:val="0"/>
                    <w:keepLines w:val="0"/>
                    <w:pageBreakBefore w:val="0"/>
                    <w:widowControl w:val="0"/>
                    <w:kinsoku/>
                    <w:wordWrap/>
                    <w:overflowPunct/>
                    <w:autoSpaceDE/>
                    <w:autoSpaceDN/>
                    <w:bidi w:val="0"/>
                    <w:ind w:firstLine="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T</w:t>
                  </w:r>
                </w:p>
              </w:tc>
              <w:tc>
                <w:tcPr>
                  <w:tcW w:w="644" w:type="pct"/>
                  <w:vMerge w:val="continue"/>
                  <w:shd w:val="clear" w:color="auto" w:fill="FFFFFF"/>
                  <w:noWrap w:val="0"/>
                  <w:vAlign w:val="center"/>
                </w:tcPr>
                <w:p w14:paraId="00A3A97C">
                  <w:pPr>
                    <w:keepNext w:val="0"/>
                    <w:keepLines w:val="0"/>
                    <w:pageBreakBefore w:val="0"/>
                    <w:widowControl w:val="0"/>
                    <w:kinsoku/>
                    <w:wordWrap/>
                    <w:overflowPunct/>
                    <w:autoSpaceDE/>
                    <w:autoSpaceDN/>
                    <w:bidi w:val="0"/>
                    <w:ind w:firstLine="0"/>
                    <w:jc w:val="center"/>
                    <w:textAlignment w:val="auto"/>
                    <w:rPr>
                      <w:rFonts w:hint="default" w:ascii="Times New Roman" w:hAnsi="Times New Roman" w:cs="Times New Roman"/>
                      <w:color w:val="auto"/>
                      <w:sz w:val="21"/>
                      <w:szCs w:val="21"/>
                      <w:highlight w:val="none"/>
                    </w:rPr>
                  </w:pPr>
                </w:p>
              </w:tc>
            </w:tr>
            <w:tr w14:paraId="510C8ECE">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23" w:hRule="atLeast"/>
                <w:jc w:val="center"/>
              </w:trPr>
              <w:tc>
                <w:tcPr>
                  <w:tcW w:w="243" w:type="pct"/>
                  <w:shd w:val="clear" w:color="auto" w:fill="FFFFFF"/>
                  <w:noWrap w:val="0"/>
                  <w:vAlign w:val="center"/>
                </w:tcPr>
                <w:p w14:paraId="381AD2A4">
                  <w:pPr>
                    <w:pStyle w:val="33"/>
                    <w:keepNext w:val="0"/>
                    <w:keepLines w:val="0"/>
                    <w:pageBreakBefore w:val="0"/>
                    <w:widowControl w:val="0"/>
                    <w:kinsoku/>
                    <w:wordWrap/>
                    <w:overflowPunct/>
                    <w:autoSpaceDE/>
                    <w:autoSpaceDN/>
                    <w:bidi w:val="0"/>
                    <w:spacing w:beforeLines="0" w:afterLines="0" w:line="240" w:lineRule="auto"/>
                    <w:ind w:left="0" w:firstLine="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cs="Times New Roman"/>
                      <w:color w:val="auto"/>
                      <w:sz w:val="21"/>
                      <w:szCs w:val="21"/>
                      <w:highlight w:val="none"/>
                      <w:lang w:val="en-US" w:eastAsia="zh-CN"/>
                    </w:rPr>
                    <w:t>3</w:t>
                  </w:r>
                </w:p>
              </w:tc>
              <w:tc>
                <w:tcPr>
                  <w:tcW w:w="754" w:type="pct"/>
                  <w:shd w:val="clear" w:color="auto" w:fill="FFFFFF"/>
                  <w:noWrap w:val="0"/>
                  <w:vAlign w:val="center"/>
                </w:tcPr>
                <w:p w14:paraId="7A98EB74">
                  <w:pPr>
                    <w:pStyle w:val="47"/>
                    <w:keepNext w:val="0"/>
                    <w:keepLines w:val="0"/>
                    <w:pageBreakBefore w:val="0"/>
                    <w:widowControl w:val="0"/>
                    <w:kinsoku/>
                    <w:wordWrap/>
                    <w:overflowPunct/>
                    <w:autoSpaceDE/>
                    <w:autoSpaceDN/>
                    <w:bidi w:val="0"/>
                    <w:ind w:firstLine="0"/>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废润滑油</w:t>
                  </w:r>
                </w:p>
              </w:tc>
              <w:tc>
                <w:tcPr>
                  <w:tcW w:w="611" w:type="pct"/>
                  <w:vMerge w:val="restart"/>
                  <w:shd w:val="clear" w:color="auto" w:fill="FFFFFF"/>
                  <w:noWrap w:val="0"/>
                  <w:vAlign w:val="center"/>
                </w:tcPr>
                <w:p w14:paraId="382EC0ED">
                  <w:pPr>
                    <w:pStyle w:val="33"/>
                    <w:keepNext w:val="0"/>
                    <w:keepLines w:val="0"/>
                    <w:pageBreakBefore w:val="0"/>
                    <w:widowControl w:val="0"/>
                    <w:kinsoku/>
                    <w:wordWrap/>
                    <w:overflowPunct/>
                    <w:autoSpaceDE/>
                    <w:autoSpaceDN/>
                    <w:bidi w:val="0"/>
                    <w:spacing w:beforeLines="0" w:afterLines="0" w:line="240" w:lineRule="auto"/>
                    <w:ind w:left="0" w:firstLine="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机械设备维修</w:t>
                  </w:r>
                </w:p>
              </w:tc>
              <w:tc>
                <w:tcPr>
                  <w:tcW w:w="370" w:type="pct"/>
                  <w:vMerge w:val="continue"/>
                  <w:shd w:val="clear" w:color="auto" w:fill="FFFFFF"/>
                  <w:noWrap w:val="0"/>
                  <w:vAlign w:val="center"/>
                </w:tcPr>
                <w:p w14:paraId="53970402">
                  <w:pPr>
                    <w:pStyle w:val="33"/>
                    <w:keepNext w:val="0"/>
                    <w:keepLines w:val="0"/>
                    <w:pageBreakBefore w:val="0"/>
                    <w:widowControl w:val="0"/>
                    <w:kinsoku/>
                    <w:wordWrap/>
                    <w:overflowPunct/>
                    <w:autoSpaceDE/>
                    <w:autoSpaceDN/>
                    <w:bidi w:val="0"/>
                    <w:spacing w:beforeLines="0" w:afterLines="0" w:line="240" w:lineRule="auto"/>
                    <w:ind w:left="0" w:firstLine="0"/>
                    <w:textAlignment w:val="auto"/>
                    <w:rPr>
                      <w:rFonts w:hint="default" w:ascii="Times New Roman" w:hAnsi="Times New Roman" w:cs="Times New Roman"/>
                      <w:color w:val="auto"/>
                      <w:sz w:val="21"/>
                      <w:szCs w:val="21"/>
                      <w:highlight w:val="none"/>
                    </w:rPr>
                  </w:pPr>
                </w:p>
              </w:tc>
              <w:tc>
                <w:tcPr>
                  <w:tcW w:w="434" w:type="pct"/>
                  <w:shd w:val="clear" w:color="auto" w:fill="FFFFFF"/>
                  <w:noWrap w:val="0"/>
                  <w:vAlign w:val="center"/>
                </w:tcPr>
                <w:p w14:paraId="45CE10C6">
                  <w:pPr>
                    <w:pStyle w:val="33"/>
                    <w:keepNext w:val="0"/>
                    <w:keepLines w:val="0"/>
                    <w:pageBreakBefore w:val="0"/>
                    <w:widowControl w:val="0"/>
                    <w:kinsoku/>
                    <w:wordWrap/>
                    <w:overflowPunct/>
                    <w:autoSpaceDE/>
                    <w:autoSpaceDN/>
                    <w:bidi w:val="0"/>
                    <w:spacing w:beforeLines="0" w:afterLines="0" w:line="240" w:lineRule="auto"/>
                    <w:ind w:left="0" w:firstLine="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HW08</w:t>
                  </w:r>
                </w:p>
              </w:tc>
              <w:tc>
                <w:tcPr>
                  <w:tcW w:w="675" w:type="pct"/>
                  <w:shd w:val="clear" w:color="auto" w:fill="FFFFFF"/>
                  <w:noWrap w:val="0"/>
                  <w:vAlign w:val="center"/>
                </w:tcPr>
                <w:p w14:paraId="2214931D">
                  <w:pPr>
                    <w:pStyle w:val="33"/>
                    <w:keepNext w:val="0"/>
                    <w:keepLines w:val="0"/>
                    <w:pageBreakBefore w:val="0"/>
                    <w:widowControl w:val="0"/>
                    <w:kinsoku/>
                    <w:wordWrap/>
                    <w:overflowPunct/>
                    <w:autoSpaceDE/>
                    <w:autoSpaceDN/>
                    <w:bidi w:val="0"/>
                    <w:spacing w:beforeLines="0" w:afterLines="0" w:line="240" w:lineRule="auto"/>
                    <w:ind w:left="0" w:firstLine="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900-217-08</w:t>
                  </w:r>
                </w:p>
              </w:tc>
              <w:tc>
                <w:tcPr>
                  <w:tcW w:w="436" w:type="pct"/>
                  <w:shd w:val="clear" w:color="auto" w:fill="FFFFFF"/>
                  <w:noWrap w:val="0"/>
                  <w:vAlign w:val="center"/>
                </w:tcPr>
                <w:p w14:paraId="70EA9DD1">
                  <w:pPr>
                    <w:pStyle w:val="47"/>
                    <w:keepNext w:val="0"/>
                    <w:keepLines w:val="0"/>
                    <w:pageBreakBefore w:val="0"/>
                    <w:widowControl w:val="0"/>
                    <w:kinsoku/>
                    <w:wordWrap/>
                    <w:overflowPunct/>
                    <w:autoSpaceDE/>
                    <w:autoSpaceDN/>
                    <w:bidi w:val="0"/>
                    <w:ind w:firstLine="0"/>
                    <w:textAlignment w:val="auto"/>
                    <w:rPr>
                      <w:rFonts w:hint="default" w:ascii="Times New Roman" w:hAnsi="Times New Roman" w:cs="Times New Roman"/>
                      <w:color w:val="auto"/>
                      <w:kern w:val="0"/>
                      <w:sz w:val="21"/>
                      <w:szCs w:val="21"/>
                      <w:highlight w:val="none"/>
                    </w:rPr>
                  </w:pPr>
                  <w:r>
                    <w:rPr>
                      <w:rFonts w:hint="eastAsia" w:cs="Times New Roman"/>
                      <w:color w:val="auto"/>
                      <w:kern w:val="0"/>
                      <w:sz w:val="21"/>
                      <w:szCs w:val="21"/>
                      <w:highlight w:val="none"/>
                      <w:lang w:val="en-US" w:eastAsia="zh-CN"/>
                    </w:rPr>
                    <w:t>0.4</w:t>
                  </w:r>
                  <w:r>
                    <w:rPr>
                      <w:rFonts w:hint="default" w:ascii="Times New Roman" w:hAnsi="Times New Roman" w:cs="Times New Roman"/>
                      <w:color w:val="auto"/>
                      <w:kern w:val="0"/>
                      <w:sz w:val="21"/>
                      <w:szCs w:val="21"/>
                      <w:highlight w:val="none"/>
                    </w:rPr>
                    <w:t>t/a</w:t>
                  </w:r>
                </w:p>
              </w:tc>
              <w:tc>
                <w:tcPr>
                  <w:tcW w:w="399" w:type="pct"/>
                  <w:shd w:val="clear" w:color="auto" w:fill="FFFFFF"/>
                  <w:noWrap w:val="0"/>
                  <w:vAlign w:val="center"/>
                </w:tcPr>
                <w:p w14:paraId="20296757">
                  <w:pPr>
                    <w:keepNext w:val="0"/>
                    <w:keepLines w:val="0"/>
                    <w:pageBreakBefore w:val="0"/>
                    <w:widowControl w:val="0"/>
                    <w:kinsoku/>
                    <w:wordWrap/>
                    <w:overflowPunct/>
                    <w:autoSpaceDE/>
                    <w:autoSpaceDN/>
                    <w:bidi w:val="0"/>
                    <w:ind w:firstLine="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sz w:val="21"/>
                      <w:szCs w:val="21"/>
                      <w:highlight w:val="none"/>
                    </w:rPr>
                    <w:t>液态</w:t>
                  </w:r>
                </w:p>
              </w:tc>
              <w:tc>
                <w:tcPr>
                  <w:tcW w:w="430" w:type="pct"/>
                  <w:shd w:val="clear" w:color="auto" w:fill="FFFFFF"/>
                  <w:noWrap w:val="0"/>
                  <w:vAlign w:val="center"/>
                </w:tcPr>
                <w:p w14:paraId="7BB99454">
                  <w:pPr>
                    <w:keepNext w:val="0"/>
                    <w:keepLines w:val="0"/>
                    <w:pageBreakBefore w:val="0"/>
                    <w:widowControl w:val="0"/>
                    <w:kinsoku/>
                    <w:wordWrap/>
                    <w:overflowPunct/>
                    <w:autoSpaceDE/>
                    <w:autoSpaceDN/>
                    <w:bidi w:val="0"/>
                    <w:ind w:firstLine="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T</w:t>
                  </w:r>
                  <w:r>
                    <w:rPr>
                      <w:rFonts w:hint="eastAsia"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I</w:t>
                  </w:r>
                </w:p>
              </w:tc>
              <w:tc>
                <w:tcPr>
                  <w:tcW w:w="644" w:type="pct"/>
                  <w:vMerge w:val="continue"/>
                  <w:shd w:val="clear" w:color="auto" w:fill="FFFFFF"/>
                  <w:noWrap w:val="0"/>
                  <w:vAlign w:val="center"/>
                </w:tcPr>
                <w:p w14:paraId="011BFFC9">
                  <w:pPr>
                    <w:keepNext w:val="0"/>
                    <w:keepLines w:val="0"/>
                    <w:pageBreakBefore w:val="0"/>
                    <w:widowControl w:val="0"/>
                    <w:kinsoku/>
                    <w:wordWrap/>
                    <w:overflowPunct/>
                    <w:autoSpaceDE/>
                    <w:autoSpaceDN/>
                    <w:bidi w:val="0"/>
                    <w:ind w:firstLine="0"/>
                    <w:jc w:val="center"/>
                    <w:textAlignment w:val="auto"/>
                    <w:rPr>
                      <w:rFonts w:hint="default" w:ascii="Times New Roman" w:hAnsi="Times New Roman" w:cs="Times New Roman"/>
                      <w:color w:val="auto"/>
                      <w:sz w:val="21"/>
                      <w:szCs w:val="21"/>
                      <w:highlight w:val="none"/>
                    </w:rPr>
                  </w:pPr>
                </w:p>
              </w:tc>
            </w:tr>
            <w:tr w14:paraId="22F6064F">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23" w:hRule="atLeast"/>
                <w:jc w:val="center"/>
              </w:trPr>
              <w:tc>
                <w:tcPr>
                  <w:tcW w:w="243" w:type="pct"/>
                  <w:shd w:val="clear" w:color="auto" w:fill="FFFFFF"/>
                  <w:noWrap w:val="0"/>
                  <w:vAlign w:val="center"/>
                </w:tcPr>
                <w:p w14:paraId="23A33E96">
                  <w:pPr>
                    <w:pStyle w:val="33"/>
                    <w:keepNext w:val="0"/>
                    <w:keepLines w:val="0"/>
                    <w:pageBreakBefore w:val="0"/>
                    <w:widowControl w:val="0"/>
                    <w:kinsoku/>
                    <w:wordWrap/>
                    <w:overflowPunct/>
                    <w:autoSpaceDE/>
                    <w:autoSpaceDN/>
                    <w:bidi w:val="0"/>
                    <w:spacing w:beforeLines="0" w:afterLines="0" w:line="240" w:lineRule="auto"/>
                    <w:ind w:left="0" w:firstLine="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cs="Times New Roman"/>
                      <w:color w:val="auto"/>
                      <w:sz w:val="21"/>
                      <w:szCs w:val="21"/>
                      <w:highlight w:val="none"/>
                      <w:lang w:val="en-US" w:eastAsia="zh-CN"/>
                    </w:rPr>
                    <w:t>4</w:t>
                  </w:r>
                </w:p>
              </w:tc>
              <w:tc>
                <w:tcPr>
                  <w:tcW w:w="754" w:type="pct"/>
                  <w:shd w:val="clear" w:color="auto" w:fill="FFFFFF"/>
                  <w:noWrap w:val="0"/>
                  <w:vAlign w:val="center"/>
                </w:tcPr>
                <w:p w14:paraId="73D282E0">
                  <w:pPr>
                    <w:pStyle w:val="47"/>
                    <w:keepNext w:val="0"/>
                    <w:keepLines w:val="0"/>
                    <w:pageBreakBefore w:val="0"/>
                    <w:widowControl w:val="0"/>
                    <w:kinsoku/>
                    <w:wordWrap/>
                    <w:overflowPunct/>
                    <w:autoSpaceDE/>
                    <w:autoSpaceDN/>
                    <w:bidi w:val="0"/>
                    <w:ind w:firstLine="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废润滑油桶</w:t>
                  </w:r>
                </w:p>
              </w:tc>
              <w:tc>
                <w:tcPr>
                  <w:tcW w:w="611" w:type="pct"/>
                  <w:vMerge w:val="continue"/>
                  <w:shd w:val="clear" w:color="auto" w:fill="FFFFFF"/>
                  <w:noWrap w:val="0"/>
                  <w:vAlign w:val="center"/>
                </w:tcPr>
                <w:p w14:paraId="081F88FD">
                  <w:pPr>
                    <w:pStyle w:val="33"/>
                    <w:keepNext w:val="0"/>
                    <w:keepLines w:val="0"/>
                    <w:pageBreakBefore w:val="0"/>
                    <w:widowControl w:val="0"/>
                    <w:kinsoku/>
                    <w:wordWrap/>
                    <w:overflowPunct/>
                    <w:autoSpaceDE/>
                    <w:autoSpaceDN/>
                    <w:bidi w:val="0"/>
                    <w:spacing w:beforeLines="0" w:afterLines="0" w:line="240" w:lineRule="auto"/>
                    <w:ind w:left="0" w:firstLine="0"/>
                    <w:textAlignment w:val="auto"/>
                    <w:rPr>
                      <w:rFonts w:hint="default" w:ascii="Times New Roman" w:hAnsi="Times New Roman" w:cs="Times New Roman"/>
                      <w:color w:val="auto"/>
                      <w:sz w:val="21"/>
                      <w:szCs w:val="21"/>
                      <w:highlight w:val="none"/>
                    </w:rPr>
                  </w:pPr>
                </w:p>
              </w:tc>
              <w:tc>
                <w:tcPr>
                  <w:tcW w:w="370" w:type="pct"/>
                  <w:vMerge w:val="continue"/>
                  <w:shd w:val="clear" w:color="auto" w:fill="FFFFFF"/>
                  <w:noWrap w:val="0"/>
                  <w:vAlign w:val="center"/>
                </w:tcPr>
                <w:p w14:paraId="775B59B3">
                  <w:pPr>
                    <w:pStyle w:val="33"/>
                    <w:keepNext w:val="0"/>
                    <w:keepLines w:val="0"/>
                    <w:pageBreakBefore w:val="0"/>
                    <w:widowControl w:val="0"/>
                    <w:kinsoku/>
                    <w:wordWrap/>
                    <w:overflowPunct/>
                    <w:autoSpaceDE/>
                    <w:autoSpaceDN/>
                    <w:bidi w:val="0"/>
                    <w:spacing w:beforeLines="0" w:afterLines="0" w:line="240" w:lineRule="auto"/>
                    <w:ind w:left="0" w:firstLine="0"/>
                    <w:textAlignment w:val="auto"/>
                    <w:rPr>
                      <w:rFonts w:hint="default" w:ascii="Times New Roman" w:hAnsi="Times New Roman" w:cs="Times New Roman"/>
                      <w:color w:val="auto"/>
                      <w:sz w:val="21"/>
                      <w:szCs w:val="21"/>
                      <w:highlight w:val="none"/>
                    </w:rPr>
                  </w:pPr>
                </w:p>
              </w:tc>
              <w:tc>
                <w:tcPr>
                  <w:tcW w:w="434" w:type="pct"/>
                  <w:shd w:val="clear" w:color="auto" w:fill="FFFFFF"/>
                  <w:noWrap w:val="0"/>
                  <w:vAlign w:val="center"/>
                </w:tcPr>
                <w:p w14:paraId="0CB7C560">
                  <w:pPr>
                    <w:pStyle w:val="33"/>
                    <w:keepNext w:val="0"/>
                    <w:keepLines w:val="0"/>
                    <w:pageBreakBefore w:val="0"/>
                    <w:widowControl w:val="0"/>
                    <w:kinsoku/>
                    <w:wordWrap/>
                    <w:overflowPunct/>
                    <w:autoSpaceDE/>
                    <w:autoSpaceDN/>
                    <w:bidi w:val="0"/>
                    <w:spacing w:beforeLines="0" w:afterLines="0" w:line="240" w:lineRule="auto"/>
                    <w:ind w:left="0" w:firstLine="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HW08</w:t>
                  </w:r>
                </w:p>
              </w:tc>
              <w:tc>
                <w:tcPr>
                  <w:tcW w:w="675" w:type="pct"/>
                  <w:shd w:val="clear" w:color="auto" w:fill="FFFFFF"/>
                  <w:noWrap w:val="0"/>
                  <w:vAlign w:val="center"/>
                </w:tcPr>
                <w:p w14:paraId="19EF1DC2">
                  <w:pPr>
                    <w:pStyle w:val="33"/>
                    <w:keepNext w:val="0"/>
                    <w:keepLines w:val="0"/>
                    <w:pageBreakBefore w:val="0"/>
                    <w:widowControl w:val="0"/>
                    <w:kinsoku/>
                    <w:wordWrap/>
                    <w:overflowPunct/>
                    <w:autoSpaceDE/>
                    <w:autoSpaceDN/>
                    <w:bidi w:val="0"/>
                    <w:spacing w:beforeLines="0" w:afterLines="0" w:line="240" w:lineRule="auto"/>
                    <w:ind w:left="0" w:firstLine="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900-249-08</w:t>
                  </w:r>
                </w:p>
              </w:tc>
              <w:tc>
                <w:tcPr>
                  <w:tcW w:w="436" w:type="pct"/>
                  <w:shd w:val="clear" w:color="auto" w:fill="FFFFFF"/>
                  <w:noWrap w:val="0"/>
                  <w:vAlign w:val="center"/>
                </w:tcPr>
                <w:p w14:paraId="6E91F1BC">
                  <w:pPr>
                    <w:pStyle w:val="47"/>
                    <w:keepNext w:val="0"/>
                    <w:keepLines w:val="0"/>
                    <w:pageBreakBefore w:val="0"/>
                    <w:widowControl w:val="0"/>
                    <w:kinsoku/>
                    <w:wordWrap/>
                    <w:overflowPunct/>
                    <w:autoSpaceDE/>
                    <w:autoSpaceDN/>
                    <w:bidi w:val="0"/>
                    <w:ind w:firstLine="0"/>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sz w:val="21"/>
                      <w:szCs w:val="21"/>
                      <w:highlight w:val="none"/>
                    </w:rPr>
                    <w:t>0.</w:t>
                  </w:r>
                  <w:r>
                    <w:rPr>
                      <w:rFonts w:hint="eastAsia"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t/a</w:t>
                  </w:r>
                </w:p>
              </w:tc>
              <w:tc>
                <w:tcPr>
                  <w:tcW w:w="399" w:type="pct"/>
                  <w:shd w:val="clear" w:color="auto" w:fill="FFFFFF"/>
                  <w:noWrap w:val="0"/>
                  <w:vAlign w:val="center"/>
                </w:tcPr>
                <w:p w14:paraId="40E4801E">
                  <w:pPr>
                    <w:keepNext w:val="0"/>
                    <w:keepLines w:val="0"/>
                    <w:pageBreakBefore w:val="0"/>
                    <w:widowControl w:val="0"/>
                    <w:kinsoku/>
                    <w:wordWrap/>
                    <w:overflowPunct/>
                    <w:autoSpaceDE/>
                    <w:autoSpaceDN/>
                    <w:bidi w:val="0"/>
                    <w:ind w:firstLine="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sz w:val="21"/>
                      <w:szCs w:val="21"/>
                      <w:highlight w:val="none"/>
                    </w:rPr>
                    <w:t>固态</w:t>
                  </w:r>
                </w:p>
              </w:tc>
              <w:tc>
                <w:tcPr>
                  <w:tcW w:w="430" w:type="pct"/>
                  <w:shd w:val="clear" w:color="auto" w:fill="FFFFFF"/>
                  <w:noWrap w:val="0"/>
                  <w:vAlign w:val="center"/>
                </w:tcPr>
                <w:p w14:paraId="7D06E0F3">
                  <w:pPr>
                    <w:keepNext w:val="0"/>
                    <w:keepLines w:val="0"/>
                    <w:pageBreakBefore w:val="0"/>
                    <w:widowControl w:val="0"/>
                    <w:kinsoku/>
                    <w:wordWrap/>
                    <w:overflowPunct/>
                    <w:autoSpaceDE/>
                    <w:autoSpaceDN/>
                    <w:bidi w:val="0"/>
                    <w:ind w:firstLine="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T</w:t>
                  </w:r>
                  <w:r>
                    <w:rPr>
                      <w:rFonts w:hint="eastAsia"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I</w:t>
                  </w:r>
                </w:p>
              </w:tc>
              <w:tc>
                <w:tcPr>
                  <w:tcW w:w="644" w:type="pct"/>
                  <w:vMerge w:val="continue"/>
                  <w:shd w:val="clear" w:color="auto" w:fill="FFFFFF"/>
                  <w:noWrap w:val="0"/>
                  <w:vAlign w:val="center"/>
                </w:tcPr>
                <w:p w14:paraId="049C8989">
                  <w:pPr>
                    <w:keepNext w:val="0"/>
                    <w:keepLines w:val="0"/>
                    <w:pageBreakBefore w:val="0"/>
                    <w:widowControl w:val="0"/>
                    <w:kinsoku/>
                    <w:wordWrap/>
                    <w:overflowPunct/>
                    <w:autoSpaceDE/>
                    <w:autoSpaceDN/>
                    <w:bidi w:val="0"/>
                    <w:ind w:firstLine="0"/>
                    <w:jc w:val="center"/>
                    <w:textAlignment w:val="auto"/>
                    <w:rPr>
                      <w:rFonts w:hint="default" w:ascii="Times New Roman" w:hAnsi="Times New Roman" w:cs="Times New Roman"/>
                      <w:color w:val="auto"/>
                      <w:sz w:val="21"/>
                      <w:szCs w:val="21"/>
                      <w:highlight w:val="none"/>
                    </w:rPr>
                  </w:pPr>
                </w:p>
              </w:tc>
            </w:tr>
          </w:tbl>
          <w:p w14:paraId="2A59988B">
            <w:pPr>
              <w:pStyle w:val="56"/>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综上所述，项目各固体废物均得到妥善处置，对周围环境基本无影响。</w:t>
            </w:r>
          </w:p>
          <w:p w14:paraId="34D63034">
            <w:pPr>
              <w:topLinePunct/>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（3）生活垃圾</w:t>
            </w:r>
          </w:p>
          <w:p w14:paraId="1E7B788D">
            <w:pPr>
              <w:topLinePunct/>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员工生活依托厂区原有设施，只新增少量的生活垃圾等，产生量按照0.5kg/人▪d计，</w:t>
            </w:r>
            <w:r>
              <w:rPr>
                <w:rFonts w:hint="default" w:ascii="Times New Roman" w:hAnsi="Times New Roman" w:cs="Times New Roman"/>
                <w:color w:val="auto"/>
                <w:sz w:val="24"/>
                <w:highlight w:val="none"/>
                <w:lang w:val="en-US" w:eastAsia="zh-CN"/>
              </w:rPr>
              <w:t>项目设置</w:t>
            </w:r>
            <w:r>
              <w:rPr>
                <w:rFonts w:hint="eastAsia" w:cs="Times New Roman"/>
                <w:color w:val="auto"/>
                <w:sz w:val="24"/>
                <w:highlight w:val="none"/>
                <w:lang w:val="en-US" w:eastAsia="zh-CN"/>
              </w:rPr>
              <w:t>1</w:t>
            </w:r>
            <w:r>
              <w:rPr>
                <w:rFonts w:hint="default" w:ascii="Times New Roman" w:hAnsi="Times New Roman" w:cs="Times New Roman"/>
                <w:color w:val="auto"/>
                <w:sz w:val="24"/>
                <w:highlight w:val="none"/>
                <w:lang w:val="en-US" w:eastAsia="zh-CN"/>
              </w:rPr>
              <w:t>50人，年运营300天，</w:t>
            </w:r>
            <w:r>
              <w:rPr>
                <w:rFonts w:hint="default" w:ascii="Times New Roman" w:hAnsi="Times New Roman" w:cs="Times New Roman"/>
                <w:color w:val="auto"/>
                <w:sz w:val="24"/>
                <w:highlight w:val="none"/>
              </w:rPr>
              <w:t>则生活垃圾产生量约为</w:t>
            </w:r>
            <w:r>
              <w:rPr>
                <w:rFonts w:hint="eastAsia" w:cs="Times New Roman"/>
                <w:color w:val="auto"/>
                <w:sz w:val="24"/>
                <w:highlight w:val="none"/>
                <w:lang w:val="en-US" w:eastAsia="zh-CN"/>
              </w:rPr>
              <w:t>22.5</w:t>
            </w:r>
            <w:r>
              <w:rPr>
                <w:rFonts w:hint="default" w:ascii="Times New Roman" w:hAnsi="Times New Roman" w:cs="Times New Roman"/>
                <w:color w:val="auto"/>
                <w:sz w:val="24"/>
                <w:highlight w:val="none"/>
              </w:rPr>
              <w:t>t/a，设置垃圾箱收集，</w:t>
            </w:r>
            <w:r>
              <w:rPr>
                <w:rFonts w:hint="default" w:ascii="Times New Roman" w:hAnsi="Times New Roman" w:cs="Times New Roman"/>
                <w:color w:val="auto"/>
                <w:sz w:val="24"/>
                <w:highlight w:val="none"/>
                <w:lang w:val="zh-CN"/>
              </w:rPr>
              <w:t>由当地环卫部门清运处置，</w:t>
            </w:r>
            <w:r>
              <w:rPr>
                <w:rFonts w:hint="default" w:ascii="Times New Roman" w:hAnsi="Times New Roman" w:cs="Times New Roman"/>
                <w:color w:val="auto"/>
                <w:sz w:val="24"/>
                <w:highlight w:val="none"/>
              </w:rPr>
              <w:t>本项目固体废物排放详见表4-</w:t>
            </w:r>
            <w:r>
              <w:rPr>
                <w:rFonts w:hint="eastAsia" w:cs="Times New Roman"/>
                <w:color w:val="auto"/>
                <w:sz w:val="24"/>
                <w:highlight w:val="none"/>
                <w:lang w:val="en-US" w:eastAsia="zh-CN"/>
              </w:rPr>
              <w:t>17</w:t>
            </w:r>
            <w:r>
              <w:rPr>
                <w:rFonts w:hint="default" w:ascii="Times New Roman" w:hAnsi="Times New Roman" w:cs="Times New Roman"/>
                <w:color w:val="auto"/>
                <w:sz w:val="24"/>
                <w:highlight w:val="none"/>
              </w:rPr>
              <w:t>。</w:t>
            </w:r>
          </w:p>
          <w:p w14:paraId="2651759A">
            <w:pPr>
              <w:topLinePunct/>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表4-</w:t>
            </w:r>
            <w:r>
              <w:rPr>
                <w:rFonts w:hint="eastAsia" w:cs="Times New Roman"/>
                <w:b/>
                <w:bCs/>
                <w:color w:val="auto"/>
                <w:highlight w:val="none"/>
                <w:lang w:val="en-US" w:eastAsia="zh-CN"/>
              </w:rPr>
              <w:t>17</w:t>
            </w:r>
            <w:r>
              <w:rPr>
                <w:rFonts w:hint="default" w:ascii="Times New Roman" w:hAnsi="Times New Roman" w:cs="Times New Roman"/>
                <w:b/>
                <w:bCs/>
                <w:color w:val="auto"/>
                <w:highlight w:val="none"/>
              </w:rPr>
              <w:t xml:space="preserve">   本项目固体废物排放一览表</w:t>
            </w:r>
          </w:p>
          <w:tbl>
            <w:tblPr>
              <w:tblStyle w:val="26"/>
              <w:tblW w:w="4993"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9"/>
              <w:gridCol w:w="1219"/>
              <w:gridCol w:w="824"/>
              <w:gridCol w:w="1222"/>
              <w:gridCol w:w="1480"/>
              <w:gridCol w:w="820"/>
              <w:gridCol w:w="1607"/>
            </w:tblGrid>
            <w:tr w14:paraId="494770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3" w:type="pct"/>
                  <w:tcBorders>
                    <w:bottom w:val="single" w:color="auto" w:sz="12" w:space="0"/>
                  </w:tcBorders>
                  <w:noWrap w:val="0"/>
                  <w:vAlign w:val="center"/>
                </w:tcPr>
                <w:p w14:paraId="09CC81CE">
                  <w:pPr>
                    <w:topLinePun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名称</w:t>
                  </w:r>
                </w:p>
              </w:tc>
              <w:tc>
                <w:tcPr>
                  <w:tcW w:w="752" w:type="pct"/>
                  <w:tcBorders>
                    <w:bottom w:val="single" w:color="auto" w:sz="12" w:space="0"/>
                  </w:tcBorders>
                  <w:noWrap w:val="0"/>
                  <w:vAlign w:val="center"/>
                </w:tcPr>
                <w:p w14:paraId="3E882296">
                  <w:pPr>
                    <w:topLinePun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产生</w:t>
                  </w:r>
                </w:p>
                <w:p w14:paraId="220BA7F5">
                  <w:pPr>
                    <w:topLinePun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环节</w:t>
                  </w:r>
                </w:p>
              </w:tc>
              <w:tc>
                <w:tcPr>
                  <w:tcW w:w="508" w:type="pct"/>
                  <w:tcBorders>
                    <w:bottom w:val="single" w:color="auto" w:sz="12" w:space="0"/>
                  </w:tcBorders>
                  <w:noWrap w:val="0"/>
                  <w:vAlign w:val="center"/>
                </w:tcPr>
                <w:p w14:paraId="55C30B50">
                  <w:pPr>
                    <w:topLinePun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属性</w:t>
                  </w:r>
                </w:p>
              </w:tc>
              <w:tc>
                <w:tcPr>
                  <w:tcW w:w="754" w:type="pct"/>
                  <w:tcBorders>
                    <w:bottom w:val="single" w:color="auto" w:sz="12" w:space="0"/>
                  </w:tcBorders>
                  <w:noWrap w:val="0"/>
                  <w:vAlign w:val="center"/>
                </w:tcPr>
                <w:p w14:paraId="174DB383">
                  <w:pPr>
                    <w:topLinePun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物理性状</w:t>
                  </w:r>
                </w:p>
              </w:tc>
              <w:tc>
                <w:tcPr>
                  <w:tcW w:w="913" w:type="pct"/>
                  <w:tcBorders>
                    <w:bottom w:val="single" w:color="auto" w:sz="12" w:space="0"/>
                  </w:tcBorders>
                  <w:noWrap w:val="0"/>
                  <w:vAlign w:val="center"/>
                </w:tcPr>
                <w:p w14:paraId="72097436">
                  <w:pPr>
                    <w:topLinePun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产生量</w:t>
                  </w:r>
                </w:p>
              </w:tc>
              <w:tc>
                <w:tcPr>
                  <w:tcW w:w="506" w:type="pct"/>
                  <w:tcBorders>
                    <w:bottom w:val="single" w:color="auto" w:sz="12" w:space="0"/>
                  </w:tcBorders>
                  <w:noWrap w:val="0"/>
                  <w:vAlign w:val="center"/>
                </w:tcPr>
                <w:p w14:paraId="7C8D9037">
                  <w:pPr>
                    <w:topLinePun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贮存方式</w:t>
                  </w:r>
                </w:p>
              </w:tc>
              <w:tc>
                <w:tcPr>
                  <w:tcW w:w="991" w:type="pct"/>
                  <w:tcBorders>
                    <w:bottom w:val="single" w:color="auto" w:sz="12" w:space="0"/>
                  </w:tcBorders>
                  <w:noWrap w:val="0"/>
                  <w:vAlign w:val="center"/>
                </w:tcPr>
                <w:p w14:paraId="151C26C8">
                  <w:pPr>
                    <w:topLinePun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利用处置方式和去向</w:t>
                  </w:r>
                </w:p>
              </w:tc>
            </w:tr>
            <w:tr w14:paraId="4235B48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3" w:type="pct"/>
                  <w:noWrap w:val="0"/>
                  <w:vAlign w:val="center"/>
                </w:tcPr>
                <w:p w14:paraId="65CB7BE4">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生活垃圾</w:t>
                  </w:r>
                </w:p>
              </w:tc>
              <w:tc>
                <w:tcPr>
                  <w:tcW w:w="752" w:type="pct"/>
                  <w:noWrap w:val="0"/>
                  <w:vAlign w:val="center"/>
                </w:tcPr>
                <w:p w14:paraId="6092BEC1">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员工生活过程</w:t>
                  </w:r>
                </w:p>
              </w:tc>
              <w:tc>
                <w:tcPr>
                  <w:tcW w:w="508" w:type="pct"/>
                  <w:noWrap w:val="0"/>
                  <w:vAlign w:val="center"/>
                </w:tcPr>
                <w:p w14:paraId="458F34B9">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生活垃圾</w:t>
                  </w:r>
                </w:p>
              </w:tc>
              <w:tc>
                <w:tcPr>
                  <w:tcW w:w="754" w:type="pct"/>
                  <w:noWrap w:val="0"/>
                  <w:vAlign w:val="center"/>
                </w:tcPr>
                <w:p w14:paraId="39AA48E1">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固态</w:t>
                  </w:r>
                </w:p>
              </w:tc>
              <w:tc>
                <w:tcPr>
                  <w:tcW w:w="913" w:type="pct"/>
                  <w:noWrap w:val="0"/>
                  <w:vAlign w:val="center"/>
                </w:tcPr>
                <w:p w14:paraId="50D083E1">
                  <w:pPr>
                    <w:topLinePunct/>
                    <w:jc w:val="center"/>
                    <w:rPr>
                      <w:rFonts w:hint="default" w:ascii="Times New Roman" w:hAnsi="Times New Roman" w:cs="Times New Roman"/>
                      <w:color w:val="auto"/>
                      <w:szCs w:val="21"/>
                      <w:highlight w:val="none"/>
                    </w:rPr>
                  </w:pPr>
                  <w:r>
                    <w:rPr>
                      <w:rFonts w:hint="eastAsia" w:cs="Times New Roman"/>
                      <w:color w:val="auto"/>
                      <w:szCs w:val="21"/>
                      <w:highlight w:val="none"/>
                      <w:lang w:val="en-US" w:eastAsia="zh-CN"/>
                    </w:rPr>
                    <w:t>22.5</w:t>
                  </w:r>
                  <w:r>
                    <w:rPr>
                      <w:rFonts w:hint="default" w:ascii="Times New Roman" w:hAnsi="Times New Roman" w:cs="Times New Roman"/>
                      <w:color w:val="auto"/>
                      <w:szCs w:val="21"/>
                      <w:highlight w:val="none"/>
                    </w:rPr>
                    <w:t>t/a</w:t>
                  </w:r>
                </w:p>
              </w:tc>
              <w:tc>
                <w:tcPr>
                  <w:tcW w:w="506" w:type="pct"/>
                  <w:noWrap w:val="0"/>
                  <w:vAlign w:val="center"/>
                </w:tcPr>
                <w:p w14:paraId="6E03229E">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垃圾桶</w:t>
                  </w:r>
                </w:p>
              </w:tc>
              <w:tc>
                <w:tcPr>
                  <w:tcW w:w="991" w:type="pct"/>
                  <w:noWrap w:val="0"/>
                  <w:vAlign w:val="center"/>
                </w:tcPr>
                <w:p w14:paraId="7042B847">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设置垃圾箱收集，建设单位自主收集后依托园区环卫部门处理</w:t>
                  </w:r>
                </w:p>
              </w:tc>
            </w:tr>
            <w:tr w14:paraId="14C1A9D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3" w:type="pct"/>
                  <w:noWrap w:val="0"/>
                  <w:vAlign w:val="center"/>
                </w:tcPr>
                <w:p w14:paraId="7879B3E9">
                  <w:pPr>
                    <w:topLinePunct/>
                    <w:jc w:val="center"/>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边角料</w:t>
                  </w:r>
                </w:p>
              </w:tc>
              <w:tc>
                <w:tcPr>
                  <w:tcW w:w="752" w:type="pct"/>
                  <w:noWrap w:val="0"/>
                  <w:vAlign w:val="center"/>
                </w:tcPr>
                <w:p w14:paraId="6CAE76CE">
                  <w:pPr>
                    <w:topLinePunct/>
                    <w:jc w:val="center"/>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下料切割</w:t>
                  </w:r>
                </w:p>
              </w:tc>
              <w:tc>
                <w:tcPr>
                  <w:tcW w:w="508" w:type="pct"/>
                  <w:vMerge w:val="restart"/>
                  <w:noWrap w:val="0"/>
                  <w:vAlign w:val="center"/>
                </w:tcPr>
                <w:p w14:paraId="6E0D87DC">
                  <w:pPr>
                    <w:topLinePunct/>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一般固体废物</w:t>
                  </w:r>
                </w:p>
              </w:tc>
              <w:tc>
                <w:tcPr>
                  <w:tcW w:w="754" w:type="pct"/>
                  <w:noWrap w:val="0"/>
                  <w:vAlign w:val="center"/>
                </w:tcPr>
                <w:p w14:paraId="7DBF0869">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固态</w:t>
                  </w:r>
                </w:p>
              </w:tc>
              <w:tc>
                <w:tcPr>
                  <w:tcW w:w="913" w:type="pct"/>
                  <w:noWrap w:val="0"/>
                  <w:vAlign w:val="center"/>
                </w:tcPr>
                <w:p w14:paraId="6BFDBD56">
                  <w:pPr>
                    <w:topLinePunct/>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2.17</w:t>
                  </w:r>
                  <w:r>
                    <w:rPr>
                      <w:rFonts w:hint="default" w:ascii="Times New Roman" w:hAnsi="Times New Roman" w:cs="Times New Roman"/>
                      <w:color w:val="auto"/>
                      <w:szCs w:val="21"/>
                      <w:highlight w:val="none"/>
                    </w:rPr>
                    <w:t>t/a</w:t>
                  </w:r>
                </w:p>
              </w:tc>
              <w:tc>
                <w:tcPr>
                  <w:tcW w:w="506" w:type="pct"/>
                  <w:vMerge w:val="restart"/>
                  <w:noWrap w:val="0"/>
                  <w:vAlign w:val="center"/>
                </w:tcPr>
                <w:p w14:paraId="0C697649">
                  <w:pPr>
                    <w:topLinePunct/>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固废暂存库</w:t>
                  </w:r>
                </w:p>
              </w:tc>
              <w:tc>
                <w:tcPr>
                  <w:tcW w:w="991" w:type="pct"/>
                  <w:vMerge w:val="restart"/>
                  <w:noWrap w:val="0"/>
                  <w:vAlign w:val="center"/>
                </w:tcPr>
                <w:p w14:paraId="7B6DC807">
                  <w:pPr>
                    <w:topLinePunct/>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收集后外售</w:t>
                  </w:r>
                </w:p>
              </w:tc>
            </w:tr>
            <w:tr w14:paraId="1A2C11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3" w:type="pct"/>
                  <w:noWrap w:val="0"/>
                  <w:vAlign w:val="center"/>
                </w:tcPr>
                <w:p w14:paraId="2AB8D02B">
                  <w:pPr>
                    <w:topLinePunct/>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废焊渣</w:t>
                  </w:r>
                </w:p>
              </w:tc>
              <w:tc>
                <w:tcPr>
                  <w:tcW w:w="752" w:type="pct"/>
                  <w:noWrap w:val="0"/>
                  <w:vAlign w:val="center"/>
                </w:tcPr>
                <w:p w14:paraId="1A48E30A">
                  <w:pPr>
                    <w:topLinePunct/>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焊接</w:t>
                  </w:r>
                </w:p>
              </w:tc>
              <w:tc>
                <w:tcPr>
                  <w:tcW w:w="508" w:type="pct"/>
                  <w:vMerge w:val="continue"/>
                  <w:noWrap w:val="0"/>
                  <w:vAlign w:val="center"/>
                </w:tcPr>
                <w:p w14:paraId="731075C0">
                  <w:pPr>
                    <w:topLinePunct/>
                    <w:jc w:val="center"/>
                    <w:rPr>
                      <w:rFonts w:hint="default" w:ascii="Times New Roman" w:hAnsi="Times New Roman" w:cs="Times New Roman"/>
                      <w:color w:val="auto"/>
                      <w:szCs w:val="21"/>
                      <w:highlight w:val="none"/>
                    </w:rPr>
                  </w:pPr>
                </w:p>
              </w:tc>
              <w:tc>
                <w:tcPr>
                  <w:tcW w:w="754" w:type="pct"/>
                  <w:noWrap w:val="0"/>
                  <w:vAlign w:val="center"/>
                </w:tcPr>
                <w:p w14:paraId="2463C8D2">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固态</w:t>
                  </w:r>
                </w:p>
              </w:tc>
              <w:tc>
                <w:tcPr>
                  <w:tcW w:w="913" w:type="pct"/>
                  <w:noWrap w:val="0"/>
                  <w:vAlign w:val="center"/>
                </w:tcPr>
                <w:p w14:paraId="09D2CC3F">
                  <w:pPr>
                    <w:topLinePunct/>
                    <w:jc w:val="center"/>
                    <w:rPr>
                      <w:rFonts w:hint="eastAsia" w:cs="Times New Roman"/>
                      <w:color w:val="auto"/>
                      <w:szCs w:val="21"/>
                      <w:highlight w:val="none"/>
                      <w:lang w:val="en-US" w:eastAsia="zh-CN"/>
                    </w:rPr>
                  </w:pPr>
                  <w:r>
                    <w:rPr>
                      <w:rFonts w:hint="eastAsia" w:cs="Times New Roman"/>
                      <w:color w:val="auto"/>
                      <w:szCs w:val="21"/>
                      <w:highlight w:val="none"/>
                      <w:lang w:val="en-US" w:eastAsia="zh-CN"/>
                    </w:rPr>
                    <w:t>0.2</w:t>
                  </w:r>
                  <w:r>
                    <w:rPr>
                      <w:rFonts w:hint="default" w:ascii="Times New Roman" w:hAnsi="Times New Roman" w:cs="Times New Roman"/>
                      <w:color w:val="auto"/>
                      <w:szCs w:val="21"/>
                      <w:highlight w:val="none"/>
                    </w:rPr>
                    <w:t>t/a</w:t>
                  </w:r>
                </w:p>
              </w:tc>
              <w:tc>
                <w:tcPr>
                  <w:tcW w:w="506" w:type="pct"/>
                  <w:vMerge w:val="continue"/>
                  <w:noWrap w:val="0"/>
                  <w:vAlign w:val="center"/>
                </w:tcPr>
                <w:p w14:paraId="598EC1F7">
                  <w:pPr>
                    <w:topLinePunct/>
                    <w:jc w:val="center"/>
                    <w:rPr>
                      <w:rFonts w:hint="default" w:ascii="Times New Roman" w:hAnsi="Times New Roman" w:cs="Times New Roman"/>
                      <w:color w:val="auto"/>
                      <w:szCs w:val="21"/>
                      <w:highlight w:val="none"/>
                    </w:rPr>
                  </w:pPr>
                </w:p>
              </w:tc>
              <w:tc>
                <w:tcPr>
                  <w:tcW w:w="991" w:type="pct"/>
                  <w:vMerge w:val="continue"/>
                  <w:noWrap w:val="0"/>
                  <w:vAlign w:val="center"/>
                </w:tcPr>
                <w:p w14:paraId="22FBFB07">
                  <w:pPr>
                    <w:topLinePunct/>
                    <w:jc w:val="center"/>
                    <w:rPr>
                      <w:rFonts w:hint="default" w:ascii="Times New Roman" w:hAnsi="Times New Roman" w:cs="Times New Roman"/>
                      <w:color w:val="auto"/>
                      <w:szCs w:val="21"/>
                      <w:highlight w:val="none"/>
                    </w:rPr>
                  </w:pPr>
                </w:p>
              </w:tc>
            </w:tr>
            <w:tr w14:paraId="4D32EE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3" w:type="pct"/>
                  <w:noWrap w:val="0"/>
                  <w:vAlign w:val="center"/>
                </w:tcPr>
                <w:p w14:paraId="319CE5F3">
                  <w:pPr>
                    <w:topLinePunct/>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除尘器收集尘</w:t>
                  </w:r>
                </w:p>
              </w:tc>
              <w:tc>
                <w:tcPr>
                  <w:tcW w:w="752" w:type="pct"/>
                  <w:noWrap w:val="0"/>
                  <w:vAlign w:val="center"/>
                </w:tcPr>
                <w:p w14:paraId="2EF6E60A">
                  <w:pPr>
                    <w:topLinePunct/>
                    <w:jc w:val="center"/>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除尘</w:t>
                  </w:r>
                </w:p>
              </w:tc>
              <w:tc>
                <w:tcPr>
                  <w:tcW w:w="508" w:type="pct"/>
                  <w:vMerge w:val="continue"/>
                  <w:noWrap w:val="0"/>
                  <w:vAlign w:val="center"/>
                </w:tcPr>
                <w:p w14:paraId="11561D17">
                  <w:pPr>
                    <w:topLinePunct/>
                    <w:jc w:val="center"/>
                    <w:rPr>
                      <w:rFonts w:hint="default" w:ascii="Times New Roman" w:hAnsi="Times New Roman" w:cs="Times New Roman"/>
                      <w:color w:val="auto"/>
                      <w:szCs w:val="21"/>
                      <w:highlight w:val="none"/>
                    </w:rPr>
                  </w:pPr>
                </w:p>
              </w:tc>
              <w:tc>
                <w:tcPr>
                  <w:tcW w:w="754" w:type="pct"/>
                  <w:noWrap w:val="0"/>
                  <w:vAlign w:val="center"/>
                </w:tcPr>
                <w:p w14:paraId="66958DB4">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固态</w:t>
                  </w:r>
                </w:p>
              </w:tc>
              <w:tc>
                <w:tcPr>
                  <w:tcW w:w="913" w:type="pct"/>
                  <w:noWrap w:val="0"/>
                  <w:vAlign w:val="center"/>
                </w:tcPr>
                <w:p w14:paraId="44556FB6">
                  <w:pPr>
                    <w:topLinePunct/>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2.43</w:t>
                  </w:r>
                  <w:r>
                    <w:rPr>
                      <w:rFonts w:hint="default" w:ascii="Times New Roman" w:hAnsi="Times New Roman" w:cs="Times New Roman"/>
                      <w:color w:val="auto"/>
                      <w:szCs w:val="21"/>
                      <w:highlight w:val="none"/>
                    </w:rPr>
                    <w:t>t/a</w:t>
                  </w:r>
                </w:p>
              </w:tc>
              <w:tc>
                <w:tcPr>
                  <w:tcW w:w="506" w:type="pct"/>
                  <w:vMerge w:val="continue"/>
                  <w:noWrap w:val="0"/>
                  <w:vAlign w:val="center"/>
                </w:tcPr>
                <w:p w14:paraId="576DCF3A">
                  <w:pPr>
                    <w:topLinePunct/>
                    <w:jc w:val="center"/>
                    <w:rPr>
                      <w:rFonts w:hint="default" w:ascii="Times New Roman" w:hAnsi="Times New Roman" w:cs="Times New Roman"/>
                      <w:color w:val="auto"/>
                      <w:szCs w:val="21"/>
                      <w:highlight w:val="none"/>
                    </w:rPr>
                  </w:pPr>
                </w:p>
              </w:tc>
              <w:tc>
                <w:tcPr>
                  <w:tcW w:w="991" w:type="pct"/>
                  <w:vMerge w:val="continue"/>
                  <w:noWrap w:val="0"/>
                  <w:vAlign w:val="center"/>
                </w:tcPr>
                <w:p w14:paraId="6CAD517A">
                  <w:pPr>
                    <w:topLinePunct/>
                    <w:jc w:val="center"/>
                    <w:rPr>
                      <w:rFonts w:hint="default" w:ascii="Times New Roman" w:hAnsi="Times New Roman" w:cs="Times New Roman"/>
                      <w:color w:val="auto"/>
                      <w:szCs w:val="21"/>
                      <w:highlight w:val="none"/>
                    </w:rPr>
                  </w:pPr>
                </w:p>
              </w:tc>
            </w:tr>
            <w:tr w14:paraId="65523FF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3" w:type="pct"/>
                  <w:noWrap w:val="0"/>
                  <w:vAlign w:val="center"/>
                </w:tcPr>
                <w:p w14:paraId="53075A55">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废活性炭</w:t>
                  </w:r>
                </w:p>
              </w:tc>
              <w:tc>
                <w:tcPr>
                  <w:tcW w:w="752" w:type="pct"/>
                  <w:noWrap w:val="0"/>
                  <w:vAlign w:val="center"/>
                </w:tcPr>
                <w:p w14:paraId="0D73F7E8">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废气处理（活性炭吸附）</w:t>
                  </w:r>
                </w:p>
              </w:tc>
              <w:tc>
                <w:tcPr>
                  <w:tcW w:w="508" w:type="pct"/>
                  <w:vMerge w:val="restart"/>
                  <w:noWrap w:val="0"/>
                  <w:vAlign w:val="center"/>
                </w:tcPr>
                <w:p w14:paraId="0CCD8FE2">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危险废物</w:t>
                  </w:r>
                </w:p>
              </w:tc>
              <w:tc>
                <w:tcPr>
                  <w:tcW w:w="754" w:type="pct"/>
                  <w:noWrap w:val="0"/>
                  <w:vAlign w:val="center"/>
                </w:tcPr>
                <w:p w14:paraId="7F304522">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固态</w:t>
                  </w:r>
                </w:p>
              </w:tc>
              <w:tc>
                <w:tcPr>
                  <w:tcW w:w="913" w:type="pct"/>
                  <w:noWrap w:val="0"/>
                  <w:vAlign w:val="center"/>
                </w:tcPr>
                <w:p w14:paraId="21087579">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w:t>
                  </w:r>
                  <w:r>
                    <w:rPr>
                      <w:rFonts w:hint="eastAsia" w:cs="Times New Roman"/>
                      <w:color w:val="auto"/>
                      <w:szCs w:val="21"/>
                      <w:highlight w:val="none"/>
                      <w:lang w:val="en-US" w:eastAsia="zh-CN"/>
                    </w:rPr>
                    <w:t>5</w:t>
                  </w:r>
                  <w:r>
                    <w:rPr>
                      <w:rFonts w:hint="default" w:ascii="Times New Roman" w:hAnsi="Times New Roman" w:cs="Times New Roman"/>
                      <w:color w:val="auto"/>
                      <w:szCs w:val="21"/>
                      <w:highlight w:val="none"/>
                    </w:rPr>
                    <w:t>t/a</w:t>
                  </w:r>
                </w:p>
              </w:tc>
              <w:tc>
                <w:tcPr>
                  <w:tcW w:w="506" w:type="pct"/>
                  <w:vMerge w:val="restart"/>
                  <w:noWrap w:val="0"/>
                  <w:vAlign w:val="center"/>
                </w:tcPr>
                <w:p w14:paraId="6714503B">
                  <w:pPr>
                    <w:topLinePunct/>
                    <w:jc w:val="center"/>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危废</w:t>
                  </w:r>
                  <w:r>
                    <w:rPr>
                      <w:rFonts w:hint="default" w:ascii="Times New Roman" w:hAnsi="Times New Roman" w:cs="Times New Roman"/>
                      <w:color w:val="auto"/>
                      <w:szCs w:val="21"/>
                      <w:highlight w:val="none"/>
                      <w:lang w:eastAsia="zh-CN"/>
                    </w:rPr>
                    <w:t>暂存库</w:t>
                  </w:r>
                </w:p>
              </w:tc>
              <w:tc>
                <w:tcPr>
                  <w:tcW w:w="991" w:type="pct"/>
                  <w:vMerge w:val="restart"/>
                  <w:noWrap w:val="0"/>
                  <w:vAlign w:val="center"/>
                </w:tcPr>
                <w:p w14:paraId="3F8D720B">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委托有资质单位处置</w:t>
                  </w:r>
                </w:p>
              </w:tc>
            </w:tr>
            <w:tr w14:paraId="2DD7B6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3" w:type="pct"/>
                  <w:noWrap w:val="0"/>
                  <w:vAlign w:val="center"/>
                </w:tcPr>
                <w:p w14:paraId="553925DF">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废润滑油</w:t>
                  </w:r>
                </w:p>
              </w:tc>
              <w:tc>
                <w:tcPr>
                  <w:tcW w:w="752" w:type="pct"/>
                  <w:noWrap w:val="0"/>
                  <w:vAlign w:val="center"/>
                </w:tcPr>
                <w:p w14:paraId="22E4C737">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设备保养与维修</w:t>
                  </w:r>
                </w:p>
              </w:tc>
              <w:tc>
                <w:tcPr>
                  <w:tcW w:w="508" w:type="pct"/>
                  <w:vMerge w:val="continue"/>
                  <w:noWrap w:val="0"/>
                  <w:vAlign w:val="center"/>
                </w:tcPr>
                <w:p w14:paraId="2E57286D">
                  <w:pPr>
                    <w:topLinePunct/>
                    <w:jc w:val="center"/>
                    <w:rPr>
                      <w:rFonts w:hint="default" w:ascii="Times New Roman" w:hAnsi="Times New Roman" w:cs="Times New Roman"/>
                      <w:color w:val="auto"/>
                      <w:szCs w:val="21"/>
                      <w:highlight w:val="none"/>
                    </w:rPr>
                  </w:pPr>
                </w:p>
              </w:tc>
              <w:tc>
                <w:tcPr>
                  <w:tcW w:w="754" w:type="pct"/>
                  <w:noWrap w:val="0"/>
                  <w:vAlign w:val="center"/>
                </w:tcPr>
                <w:p w14:paraId="5B56DDF6">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液态</w:t>
                  </w:r>
                </w:p>
              </w:tc>
              <w:tc>
                <w:tcPr>
                  <w:tcW w:w="913" w:type="pct"/>
                  <w:noWrap w:val="0"/>
                  <w:vAlign w:val="center"/>
                </w:tcPr>
                <w:p w14:paraId="155F2537">
                  <w:pPr>
                    <w:topLinePunct/>
                    <w:jc w:val="center"/>
                    <w:rPr>
                      <w:rFonts w:hint="default" w:ascii="Times New Roman" w:hAnsi="Times New Roman" w:cs="Times New Roman"/>
                      <w:color w:val="auto"/>
                      <w:szCs w:val="21"/>
                      <w:highlight w:val="none"/>
                    </w:rPr>
                  </w:pPr>
                  <w:r>
                    <w:rPr>
                      <w:rFonts w:hint="eastAsia" w:cs="Times New Roman"/>
                      <w:color w:val="auto"/>
                      <w:szCs w:val="21"/>
                      <w:highlight w:val="none"/>
                      <w:lang w:val="en-US" w:eastAsia="zh-CN"/>
                    </w:rPr>
                    <w:t>0.4</w:t>
                  </w:r>
                  <w:r>
                    <w:rPr>
                      <w:rFonts w:hint="default" w:ascii="Times New Roman" w:hAnsi="Times New Roman" w:cs="Times New Roman"/>
                      <w:color w:val="auto"/>
                      <w:szCs w:val="21"/>
                      <w:highlight w:val="none"/>
                    </w:rPr>
                    <w:t>t/a</w:t>
                  </w:r>
                </w:p>
              </w:tc>
              <w:tc>
                <w:tcPr>
                  <w:tcW w:w="506" w:type="pct"/>
                  <w:vMerge w:val="continue"/>
                  <w:noWrap w:val="0"/>
                  <w:vAlign w:val="center"/>
                </w:tcPr>
                <w:p w14:paraId="3F7B96BE">
                  <w:pPr>
                    <w:topLinePunct/>
                    <w:jc w:val="center"/>
                    <w:rPr>
                      <w:rFonts w:hint="default" w:ascii="Times New Roman" w:hAnsi="Times New Roman" w:cs="Times New Roman"/>
                      <w:color w:val="auto"/>
                      <w:szCs w:val="21"/>
                      <w:highlight w:val="none"/>
                    </w:rPr>
                  </w:pPr>
                </w:p>
              </w:tc>
              <w:tc>
                <w:tcPr>
                  <w:tcW w:w="991" w:type="pct"/>
                  <w:vMerge w:val="continue"/>
                  <w:noWrap w:val="0"/>
                  <w:vAlign w:val="center"/>
                </w:tcPr>
                <w:p w14:paraId="05479C96">
                  <w:pPr>
                    <w:topLinePunct/>
                    <w:jc w:val="center"/>
                    <w:rPr>
                      <w:rFonts w:hint="default" w:ascii="Times New Roman" w:hAnsi="Times New Roman" w:cs="Times New Roman"/>
                      <w:color w:val="auto"/>
                      <w:szCs w:val="21"/>
                      <w:highlight w:val="none"/>
                    </w:rPr>
                  </w:pPr>
                </w:p>
              </w:tc>
            </w:tr>
            <w:tr w14:paraId="024E01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97" w:hRule="atLeast"/>
              </w:trPr>
              <w:tc>
                <w:tcPr>
                  <w:tcW w:w="573" w:type="pct"/>
                  <w:noWrap w:val="0"/>
                  <w:vAlign w:val="center"/>
                </w:tcPr>
                <w:p w14:paraId="6A74A656">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废润滑油桶</w:t>
                  </w:r>
                </w:p>
              </w:tc>
              <w:tc>
                <w:tcPr>
                  <w:tcW w:w="752" w:type="pct"/>
                  <w:noWrap w:val="0"/>
                  <w:vAlign w:val="center"/>
                </w:tcPr>
                <w:p w14:paraId="525A4439">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设备保养与维修</w:t>
                  </w:r>
                </w:p>
              </w:tc>
              <w:tc>
                <w:tcPr>
                  <w:tcW w:w="508" w:type="pct"/>
                  <w:vMerge w:val="continue"/>
                  <w:noWrap w:val="0"/>
                  <w:vAlign w:val="center"/>
                </w:tcPr>
                <w:p w14:paraId="0FC730EE">
                  <w:pPr>
                    <w:topLinePunct/>
                    <w:jc w:val="center"/>
                    <w:rPr>
                      <w:rFonts w:hint="default" w:ascii="Times New Roman" w:hAnsi="Times New Roman" w:cs="Times New Roman"/>
                      <w:color w:val="auto"/>
                      <w:szCs w:val="21"/>
                      <w:highlight w:val="none"/>
                    </w:rPr>
                  </w:pPr>
                </w:p>
              </w:tc>
              <w:tc>
                <w:tcPr>
                  <w:tcW w:w="754" w:type="pct"/>
                  <w:noWrap w:val="0"/>
                  <w:vAlign w:val="center"/>
                </w:tcPr>
                <w:p w14:paraId="55AC50A2">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固态</w:t>
                  </w:r>
                </w:p>
              </w:tc>
              <w:tc>
                <w:tcPr>
                  <w:tcW w:w="913" w:type="pct"/>
                  <w:noWrap w:val="0"/>
                  <w:vAlign w:val="center"/>
                </w:tcPr>
                <w:p w14:paraId="37D54102">
                  <w:pPr>
                    <w:topLinePun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0.</w:t>
                  </w:r>
                  <w:r>
                    <w:rPr>
                      <w:rFonts w:hint="eastAsia" w:cs="Times New Roman"/>
                      <w:color w:val="auto"/>
                      <w:szCs w:val="21"/>
                      <w:highlight w:val="none"/>
                      <w:lang w:val="en-US" w:eastAsia="zh-CN"/>
                    </w:rPr>
                    <w:t>1</w:t>
                  </w:r>
                  <w:r>
                    <w:rPr>
                      <w:rFonts w:hint="default" w:ascii="Times New Roman" w:hAnsi="Times New Roman" w:cs="Times New Roman"/>
                      <w:color w:val="auto"/>
                      <w:szCs w:val="21"/>
                      <w:highlight w:val="none"/>
                    </w:rPr>
                    <w:t>t/a</w:t>
                  </w:r>
                </w:p>
              </w:tc>
              <w:tc>
                <w:tcPr>
                  <w:tcW w:w="506" w:type="pct"/>
                  <w:vMerge w:val="continue"/>
                  <w:noWrap w:val="0"/>
                  <w:vAlign w:val="center"/>
                </w:tcPr>
                <w:p w14:paraId="5207ECDC">
                  <w:pPr>
                    <w:topLinePunct/>
                    <w:jc w:val="center"/>
                    <w:rPr>
                      <w:rFonts w:hint="default" w:ascii="Times New Roman" w:hAnsi="Times New Roman" w:cs="Times New Roman"/>
                      <w:color w:val="auto"/>
                      <w:szCs w:val="21"/>
                      <w:highlight w:val="none"/>
                    </w:rPr>
                  </w:pPr>
                </w:p>
              </w:tc>
              <w:tc>
                <w:tcPr>
                  <w:tcW w:w="991" w:type="pct"/>
                  <w:vMerge w:val="continue"/>
                  <w:noWrap w:val="0"/>
                  <w:vAlign w:val="center"/>
                </w:tcPr>
                <w:p w14:paraId="3F029F33">
                  <w:pPr>
                    <w:topLinePunct/>
                    <w:jc w:val="center"/>
                    <w:rPr>
                      <w:rFonts w:hint="default" w:ascii="Times New Roman" w:hAnsi="Times New Roman" w:cs="Times New Roman"/>
                      <w:color w:val="auto"/>
                      <w:szCs w:val="21"/>
                      <w:highlight w:val="none"/>
                    </w:rPr>
                  </w:pPr>
                </w:p>
              </w:tc>
            </w:tr>
            <w:tr w14:paraId="6E0D810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73" w:type="pct"/>
                  <w:noWrap w:val="0"/>
                  <w:vAlign w:val="center"/>
                </w:tcPr>
                <w:p w14:paraId="3DCCB652">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废催化剂</w:t>
                  </w:r>
                </w:p>
              </w:tc>
              <w:tc>
                <w:tcPr>
                  <w:tcW w:w="752" w:type="pct"/>
                  <w:noWrap w:val="0"/>
                  <w:vAlign w:val="center"/>
                </w:tcPr>
                <w:p w14:paraId="6119D268">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废气处理</w:t>
                  </w:r>
                  <w:r>
                    <w:rPr>
                      <w:rFonts w:hint="default" w:ascii="Times New Roman" w:hAnsi="Times New Roman" w:cs="Times New Roman"/>
                      <w:color w:val="auto"/>
                      <w:szCs w:val="21"/>
                      <w:highlight w:val="none"/>
                    </w:rPr>
                    <w:t>装置</w:t>
                  </w:r>
                </w:p>
              </w:tc>
              <w:tc>
                <w:tcPr>
                  <w:tcW w:w="508" w:type="pct"/>
                  <w:vMerge w:val="continue"/>
                  <w:noWrap w:val="0"/>
                  <w:vAlign w:val="center"/>
                </w:tcPr>
                <w:p w14:paraId="68504D1F">
                  <w:pPr>
                    <w:topLinePunct/>
                    <w:jc w:val="center"/>
                    <w:rPr>
                      <w:rFonts w:hint="default" w:ascii="Times New Roman" w:hAnsi="Times New Roman" w:cs="Times New Roman"/>
                      <w:color w:val="auto"/>
                      <w:szCs w:val="21"/>
                      <w:highlight w:val="none"/>
                    </w:rPr>
                  </w:pPr>
                </w:p>
              </w:tc>
              <w:tc>
                <w:tcPr>
                  <w:tcW w:w="754" w:type="pct"/>
                  <w:noWrap w:val="0"/>
                  <w:vAlign w:val="center"/>
                </w:tcPr>
                <w:p w14:paraId="4A64BBE4">
                  <w:pPr>
                    <w:topLinePun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固态</w:t>
                  </w:r>
                </w:p>
              </w:tc>
              <w:tc>
                <w:tcPr>
                  <w:tcW w:w="913" w:type="pct"/>
                  <w:noWrap w:val="0"/>
                  <w:vAlign w:val="center"/>
                </w:tcPr>
                <w:p w14:paraId="47DD3AA1">
                  <w:pPr>
                    <w:topLinePun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0.</w:t>
                  </w:r>
                  <w:r>
                    <w:rPr>
                      <w:rFonts w:hint="eastAsia" w:cs="Times New Roman"/>
                      <w:color w:val="auto"/>
                      <w:szCs w:val="21"/>
                      <w:highlight w:val="none"/>
                      <w:lang w:val="en-US" w:eastAsia="zh-CN"/>
                    </w:rPr>
                    <w:t>1</w:t>
                  </w:r>
                  <w:r>
                    <w:rPr>
                      <w:rFonts w:hint="default" w:ascii="Times New Roman" w:hAnsi="Times New Roman" w:cs="Times New Roman"/>
                      <w:color w:val="auto"/>
                      <w:szCs w:val="21"/>
                      <w:highlight w:val="none"/>
                    </w:rPr>
                    <w:t>t/a</w:t>
                  </w:r>
                </w:p>
              </w:tc>
              <w:tc>
                <w:tcPr>
                  <w:tcW w:w="506" w:type="pct"/>
                  <w:vMerge w:val="continue"/>
                  <w:noWrap w:val="0"/>
                  <w:vAlign w:val="center"/>
                </w:tcPr>
                <w:p w14:paraId="56A0A9D3">
                  <w:pPr>
                    <w:topLinePunct/>
                    <w:jc w:val="center"/>
                    <w:rPr>
                      <w:rFonts w:hint="default" w:ascii="Times New Roman" w:hAnsi="Times New Roman" w:cs="Times New Roman"/>
                      <w:color w:val="auto"/>
                      <w:szCs w:val="21"/>
                      <w:highlight w:val="none"/>
                    </w:rPr>
                  </w:pPr>
                </w:p>
              </w:tc>
              <w:tc>
                <w:tcPr>
                  <w:tcW w:w="991" w:type="pct"/>
                  <w:vMerge w:val="continue"/>
                  <w:noWrap w:val="0"/>
                  <w:vAlign w:val="center"/>
                </w:tcPr>
                <w:p w14:paraId="26BB7CD9">
                  <w:pPr>
                    <w:topLinePunct/>
                    <w:jc w:val="center"/>
                    <w:rPr>
                      <w:rFonts w:hint="default" w:ascii="Times New Roman" w:hAnsi="Times New Roman" w:cs="Times New Roman"/>
                      <w:color w:val="auto"/>
                      <w:szCs w:val="21"/>
                      <w:highlight w:val="none"/>
                    </w:rPr>
                  </w:pPr>
                </w:p>
              </w:tc>
            </w:tr>
          </w:tbl>
          <w:p w14:paraId="69774F30">
            <w:pPr>
              <w:spacing w:line="480" w:lineRule="exact"/>
              <w:ind w:firstLine="480" w:firstLineChars="200"/>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本项目设置有危废</w:t>
            </w:r>
            <w:r>
              <w:rPr>
                <w:rFonts w:hint="default" w:ascii="Times New Roman" w:hAnsi="Times New Roman" w:cs="Times New Roman"/>
                <w:color w:val="auto"/>
                <w:sz w:val="24"/>
                <w:szCs w:val="32"/>
                <w:highlight w:val="none"/>
                <w:lang w:eastAsia="zh-CN"/>
              </w:rPr>
              <w:t>暂存库</w:t>
            </w:r>
            <w:r>
              <w:rPr>
                <w:rFonts w:hint="default" w:ascii="Times New Roman" w:hAnsi="Times New Roman" w:cs="Times New Roman"/>
                <w:color w:val="auto"/>
                <w:sz w:val="24"/>
                <w:szCs w:val="32"/>
                <w:highlight w:val="none"/>
              </w:rPr>
              <w:t>用于临时储存危废，运营过程中，对暂存的危险废物，要按照国家有关规定，认真执行向环保行政主管部门申报制度及危险废物转移制度。危险废物</w:t>
            </w:r>
            <w:r>
              <w:rPr>
                <w:rFonts w:hint="default" w:ascii="Times New Roman" w:hAnsi="Times New Roman" w:cs="Times New Roman"/>
                <w:color w:val="auto"/>
                <w:sz w:val="24"/>
                <w:szCs w:val="32"/>
                <w:highlight w:val="none"/>
                <w:lang w:eastAsia="zh-CN"/>
              </w:rPr>
              <w:t>暂存库</w:t>
            </w:r>
            <w:r>
              <w:rPr>
                <w:rFonts w:hint="default" w:ascii="Times New Roman" w:hAnsi="Times New Roman" w:cs="Times New Roman"/>
                <w:color w:val="auto"/>
                <w:sz w:val="24"/>
                <w:szCs w:val="32"/>
                <w:highlight w:val="none"/>
              </w:rPr>
              <w:t>设置要求如下：</w:t>
            </w:r>
          </w:p>
          <w:p w14:paraId="0E7692C5">
            <w:pPr>
              <w:spacing w:line="480" w:lineRule="exact"/>
              <w:ind w:firstLine="480" w:firstLineChars="200"/>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①产生危险废物的工序，必须设置专用的危险废物收集容器，产生的危险废物随时放置在容器中，绝不能和其他废物一起混合收集，定期运往危险废物暂存场所。委托处置的危险废物应定期交由危险废物处置单位处置。危险废物在暂存场所内不能存储1年以上。</w:t>
            </w:r>
          </w:p>
          <w:p w14:paraId="4E3DED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②贮存设施或贮存分区内地面、墙面裙脚、堵截泄漏的围堰、接触危险废物的隔板和墙体等应采用坚固的材料建造，表面无裂缝。</w:t>
            </w:r>
          </w:p>
          <w:p w14:paraId="07B9C5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32"/>
                <w:highlight w:val="none"/>
              </w:rPr>
            </w:pPr>
            <w:r>
              <w:rPr>
                <w:rFonts w:hint="default" w:ascii="Times New Roman" w:hAnsi="Times New Roman" w:eastAsia="宋体" w:cs="Times New Roman"/>
                <w:color w:val="auto"/>
                <w:kern w:val="2"/>
                <w:sz w:val="24"/>
                <w:szCs w:val="24"/>
                <w:highlight w:val="none"/>
                <w:lang w:val="en-US" w:eastAsia="zh-CN" w:bidi="ar-SA"/>
              </w:rPr>
              <w:t>③贮存设施地面与裙脚应采取表面防渗措施</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表面防渗材料应与所接触的物料或污染物相容，可采用抗渗混凝土、高密度聚乙烯膜、钠基膨润土防水毯或其他防渗性能等效的材料。贮存的危险废物直接接触地面的，还应进行基础防渗，防渗层为至少1m厚黏土层(渗透系数不大于10</w:t>
            </w:r>
            <w:r>
              <w:rPr>
                <w:rFonts w:hint="eastAsia" w:ascii="Times New Roman" w:hAnsi="Times New Roman" w:eastAsia="宋体" w:cs="Times New Roman"/>
                <w:color w:val="auto"/>
                <w:kern w:val="2"/>
                <w:sz w:val="24"/>
                <w:szCs w:val="24"/>
                <w:highlight w:val="none"/>
                <w:vertAlign w:val="superscript"/>
                <w:lang w:val="en-US" w:eastAsia="zh-CN" w:bidi="ar-SA"/>
              </w:rPr>
              <w:t>-10</w:t>
            </w:r>
            <w:r>
              <w:rPr>
                <w:rFonts w:hint="default" w:ascii="Times New Roman" w:hAnsi="Times New Roman" w:eastAsia="宋体" w:cs="Times New Roman"/>
                <w:color w:val="auto"/>
                <w:kern w:val="2"/>
                <w:sz w:val="24"/>
                <w:szCs w:val="24"/>
                <w:highlight w:val="none"/>
                <w:lang w:val="en-US" w:eastAsia="zh-CN" w:bidi="ar-SA"/>
              </w:rPr>
              <w:t>cm/s)，或至少2 mm厚高密度聚乙烯膜等人工防渗材料(渗透系数不大于10</w:t>
            </w:r>
            <w:r>
              <w:rPr>
                <w:rFonts w:hint="eastAsia" w:ascii="Times New Roman" w:hAnsi="Times New Roman" w:eastAsia="宋体" w:cs="Times New Roman"/>
                <w:color w:val="auto"/>
                <w:kern w:val="2"/>
                <w:sz w:val="24"/>
                <w:szCs w:val="24"/>
                <w:highlight w:val="none"/>
                <w:vertAlign w:val="superscript"/>
                <w:lang w:val="en-US" w:eastAsia="zh-CN" w:bidi="ar-SA"/>
              </w:rPr>
              <w:t>-1</w:t>
            </w:r>
            <w:r>
              <w:rPr>
                <w:rFonts w:hint="default" w:ascii="Times New Roman" w:hAnsi="Times New Roman" w:eastAsia="宋体" w:cs="Times New Roman"/>
                <w:color w:val="auto"/>
                <w:kern w:val="2"/>
                <w:sz w:val="24"/>
                <w:szCs w:val="24"/>
                <w:highlight w:val="none"/>
                <w:vertAlign w:val="superscript"/>
                <w:lang w:val="en-US" w:eastAsia="zh-CN" w:bidi="ar-SA"/>
              </w:rPr>
              <w:t>0</w:t>
            </w:r>
            <w:r>
              <w:rPr>
                <w:rFonts w:hint="default" w:ascii="Times New Roman" w:hAnsi="Times New Roman" w:eastAsia="宋体" w:cs="Times New Roman"/>
                <w:color w:val="auto"/>
                <w:kern w:val="2"/>
                <w:sz w:val="24"/>
                <w:szCs w:val="24"/>
                <w:highlight w:val="none"/>
                <w:lang w:val="en-US" w:eastAsia="zh-CN" w:bidi="ar-SA"/>
              </w:rPr>
              <w:t>cm/s)或其他防渗性能等效的材料。</w:t>
            </w:r>
          </w:p>
          <w:p w14:paraId="0E761B35">
            <w:pPr>
              <w:spacing w:line="480" w:lineRule="exact"/>
              <w:ind w:firstLine="480" w:firstLineChars="200"/>
              <w:rPr>
                <w:rFonts w:hint="default" w:ascii="Times New Roman" w:hAnsi="Times New Roman" w:eastAsia="宋体" w:cs="Times New Roman"/>
                <w:color w:val="auto"/>
                <w:sz w:val="24"/>
                <w:szCs w:val="32"/>
                <w:highlight w:val="none"/>
              </w:rPr>
            </w:pPr>
            <w:r>
              <w:rPr>
                <w:rFonts w:hint="default" w:ascii="Times New Roman" w:hAnsi="Times New Roman" w:cs="Times New Roman"/>
                <w:color w:val="auto"/>
                <w:sz w:val="24"/>
                <w:szCs w:val="32"/>
                <w:highlight w:val="none"/>
              </w:rPr>
              <w:t>④公司应设置专门的危险固废处置机构，作为厂内环境管理、监测的重要组成部分，主要负</w:t>
            </w:r>
            <w:r>
              <w:rPr>
                <w:rFonts w:hint="default" w:ascii="Times New Roman" w:hAnsi="Times New Roman" w:eastAsia="宋体" w:cs="Times New Roman"/>
                <w:color w:val="auto"/>
                <w:sz w:val="24"/>
                <w:szCs w:val="32"/>
                <w:highlight w:val="none"/>
              </w:rPr>
              <w:t>责危险固废的收集、贮存及处置。</w:t>
            </w:r>
          </w:p>
          <w:p w14:paraId="065DE70E">
            <w:pPr>
              <w:spacing w:line="480" w:lineRule="exact"/>
              <w:ind w:firstLine="480" w:firstLineChars="200"/>
              <w:rPr>
                <w:rFonts w:hint="default" w:ascii="Times New Roman" w:hAnsi="Times New Roman" w:eastAsia="宋体" w:cs="Times New Roman"/>
                <w:color w:val="auto"/>
                <w:sz w:val="24"/>
                <w:szCs w:val="32"/>
                <w:highlight w:val="none"/>
              </w:rPr>
            </w:pPr>
            <w:r>
              <w:rPr>
                <w:rFonts w:hint="default" w:ascii="Times New Roman" w:hAnsi="Times New Roman" w:eastAsia="宋体" w:cs="Times New Roman"/>
                <w:color w:val="auto"/>
                <w:sz w:val="24"/>
                <w:szCs w:val="32"/>
                <w:highlight w:val="none"/>
              </w:rPr>
              <w:t>⑤危险废物临时储存场所必须按GB15562.2-1995及修改单的规定设置警示标志，周围应设置围墙或其他防护栅栏。</w:t>
            </w:r>
          </w:p>
          <w:p w14:paraId="03422BA9">
            <w:pPr>
              <w:spacing w:line="480" w:lineRule="exact"/>
              <w:ind w:firstLine="480" w:firstLineChars="200"/>
              <w:rPr>
                <w:rFonts w:hint="default" w:ascii="Times New Roman" w:hAnsi="Times New Roman" w:cs="Times New Roman"/>
                <w:color w:val="auto"/>
                <w:sz w:val="24"/>
                <w:szCs w:val="32"/>
                <w:highlight w:val="none"/>
              </w:rPr>
            </w:pPr>
            <w:r>
              <w:rPr>
                <w:rFonts w:hint="default" w:ascii="Times New Roman" w:hAnsi="Times New Roman" w:eastAsia="宋体" w:cs="Times New Roman"/>
                <w:color w:val="auto"/>
                <w:sz w:val="24"/>
                <w:szCs w:val="32"/>
                <w:highlight w:val="none"/>
              </w:rPr>
              <w:t>⑥危险废物临时储存场所应</w:t>
            </w:r>
            <w:r>
              <w:rPr>
                <w:rFonts w:hint="default" w:ascii="Times New Roman" w:hAnsi="Times New Roman" w:cs="Times New Roman"/>
                <w:color w:val="auto"/>
                <w:sz w:val="24"/>
                <w:szCs w:val="32"/>
                <w:highlight w:val="none"/>
              </w:rPr>
              <w:t>配备通讯设备、照明设施、安全防护服装及工具，并设有应急防护设施。</w:t>
            </w:r>
          </w:p>
          <w:p w14:paraId="1562AF2A">
            <w:pPr>
              <w:spacing w:line="480" w:lineRule="exact"/>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sz w:val="24"/>
                <w:szCs w:val="32"/>
                <w:highlight w:val="none"/>
              </w:rPr>
              <w:t>综上，通过对生产过程中产生的固废分类收集，分类处理与处置，本项目固体废物不会对周围环境产生污染影响。</w:t>
            </w:r>
          </w:p>
          <w:p w14:paraId="16933DFC">
            <w:pPr>
              <w:spacing w:line="480" w:lineRule="exact"/>
              <w:rPr>
                <w:rFonts w:hint="default" w:ascii="Times New Roman" w:hAnsi="Times New Roman" w:cs="Times New Roman"/>
                <w:b/>
                <w:bCs/>
                <w:color w:val="auto"/>
                <w:sz w:val="24"/>
                <w:szCs w:val="32"/>
                <w:highlight w:val="none"/>
              </w:rPr>
            </w:pPr>
            <w:r>
              <w:rPr>
                <w:rFonts w:hint="default" w:ascii="Times New Roman" w:hAnsi="Times New Roman" w:cs="Times New Roman"/>
                <w:b/>
                <w:bCs/>
                <w:color w:val="auto"/>
                <w:sz w:val="24"/>
                <w:szCs w:val="32"/>
                <w:highlight w:val="none"/>
              </w:rPr>
              <w:t>4.2危险废物收集、运输要求</w:t>
            </w:r>
          </w:p>
          <w:p w14:paraId="6822D670">
            <w:pPr>
              <w:spacing w:line="480" w:lineRule="exact"/>
              <w:ind w:firstLine="480" w:firstLineChars="200"/>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本项目危险废物的收集和运输主要委托第三方，从事危险废物收集、运输经营活动的单位应具有危险废物经营许可证。在收集、运输危险废物时，应根据危险废物经营许可证核发的有关规定建立相应的规章制度和污染防治措施，包括危险废物分析管理制度、安全管理制度、污染防治措施等。</w:t>
            </w:r>
          </w:p>
          <w:p w14:paraId="0A654001">
            <w:pPr>
              <w:spacing w:line="480" w:lineRule="exact"/>
              <w:ind w:firstLine="480" w:firstLineChars="200"/>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（1）危险废物的收集</w:t>
            </w:r>
          </w:p>
          <w:p w14:paraId="696138DC">
            <w:pPr>
              <w:spacing w:line="480" w:lineRule="exact"/>
              <w:ind w:firstLine="480" w:firstLineChars="200"/>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①危险废物的收集应根据危险废物产生的工艺特征、排放周期、危险废物特性、废物管理计划等因素制定收集计划。</w:t>
            </w:r>
          </w:p>
          <w:p w14:paraId="17AF3573">
            <w:pPr>
              <w:spacing w:line="480" w:lineRule="exact"/>
              <w:ind w:firstLine="480" w:firstLineChars="200"/>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②危险废物的收集应制定详细的操作规程，内容至少应包括适用范围、操作程序和方法、专用设备和工具、转移和交接、安全保障和应急防护等。</w:t>
            </w:r>
          </w:p>
          <w:p w14:paraId="339EAB33">
            <w:pPr>
              <w:spacing w:line="480" w:lineRule="exact"/>
              <w:ind w:firstLine="480" w:firstLineChars="200"/>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③危险废物收集和转运作业人员应根据工作需要配备必要的个人防护装备，如手套、防护镜、防护服、防毒面具或口罩等。</w:t>
            </w:r>
          </w:p>
          <w:p w14:paraId="65CEC9CA">
            <w:pPr>
              <w:spacing w:line="480" w:lineRule="exact"/>
              <w:ind w:firstLine="480" w:firstLineChars="200"/>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（2）危险废物的运输</w:t>
            </w:r>
          </w:p>
          <w:p w14:paraId="3B825662">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危险废物转移过程应按《危险废物转移管理办法》执行。危险废物需按照《危险废物收集、贮存、运输技术规范》(HJ2025-2012)中的要求进行运输。产废单位负责危险废物的收集，第三方运输企业负责运输，在接收危险废物原料时，本项目工作人员和运输单位需协调相关危险废物运输车辆，要求其按照规范要求操作，避免运输途中的污染。</w:t>
            </w:r>
          </w:p>
          <w:p w14:paraId="193295AC">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①危险废物运输应由持有危险废物经营许可证的单位按照其许可证的经营范围组织实施，承担危险废物运输的单位应获得交通运输部门颁发的危险货物运输资质。</w:t>
            </w:r>
          </w:p>
          <w:p w14:paraId="04E8BB79">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②危险废物运输应执行《道路危险货物运输管理规定》（交通部令[2005年]第9号）。</w:t>
            </w:r>
          </w:p>
          <w:p w14:paraId="527A67EB">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③危险废物公路运输时，运输车辆应按GB13392设置车辆标识。</w:t>
            </w:r>
          </w:p>
          <w:p w14:paraId="50F6F935">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此外，项目危险废物产生、转移、贮存、利用处置等基础数据，需在新疆维吾尔自治区固体废物动态信息管理平台上申报和备案。</w:t>
            </w:r>
          </w:p>
          <w:p w14:paraId="4E24BE01">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综上所述，项目产生的固体废弃物对环境的影响较小。</w:t>
            </w:r>
          </w:p>
          <w:p w14:paraId="517034BA">
            <w:pPr>
              <w:spacing w:line="360" w:lineRule="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4.3危险废物安全管理要求</w:t>
            </w:r>
          </w:p>
          <w:p w14:paraId="3B13017B">
            <w:pPr>
              <w:tabs>
                <w:tab w:val="left" w:pos="195"/>
              </w:tabs>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（1）联单制度</w:t>
            </w:r>
          </w:p>
          <w:p w14:paraId="2B88F31C">
            <w:pPr>
              <w:tabs>
                <w:tab w:val="left" w:pos="195"/>
              </w:tabs>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建设单位必须建立危险废物转移联单制度，收集贮存的危险废物应严格按照《危险废物转移管理办法》中的有关要求管理，危险废物转移程序如下：</w:t>
            </w:r>
          </w:p>
          <w:p w14:paraId="30FAA50C">
            <w:pPr>
              <w:tabs>
                <w:tab w:val="left" w:pos="195"/>
              </w:tabs>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①危险废物转移联单应当根据危险废物管理计划中填报的危险废物转移等备案信息填写、运行</w:t>
            </w:r>
          </w:p>
          <w:p w14:paraId="00094F62">
            <w:pPr>
              <w:tabs>
                <w:tab w:val="left" w:pos="195"/>
              </w:tabs>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②采用联运方式转移危险废物的，前一承运人和后一承运人应当明确运输交接的时间和地点。后一承运人应当核实危险废物转移联单确定的移出人信息、前一承运人信息及危险废物相关信息。</w:t>
            </w:r>
          </w:p>
          <w:p w14:paraId="7A4E8081">
            <w:pPr>
              <w:tabs>
                <w:tab w:val="left" w:pos="195"/>
              </w:tabs>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③移出人每转移一车（船或者其他运输工具）次同类危险废物，应当填写、运行一份危险废物电子转移联单；每车（船或者其他运输工具）次转移多类危险废物的，可以填写、运行一份危险废物电子转移联单，也可以每一类危险废物填写、运行一份危险废物电子转移联单。</w:t>
            </w:r>
          </w:p>
          <w:p w14:paraId="12F9E1B1">
            <w:pPr>
              <w:tabs>
                <w:tab w:val="left" w:pos="195"/>
              </w:tabs>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④采用联运方式转移危险废物的，前一承运人和后一承运人应当明确运输交接的时间和地点。后一承运人应当核实危险废物电子转移联单确定的移出人信息、前一承运人信息及危险废物相关信息。</w:t>
            </w:r>
          </w:p>
          <w:p w14:paraId="17A27C95">
            <w:pPr>
              <w:tabs>
                <w:tab w:val="left" w:pos="195"/>
              </w:tabs>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转移危险废物的，须按照国家有关规定通过国家危险废物信息管理平台，填写危险废物电子转移联单，并向危险废物移出地设区的市级以上地方人民政府环境保护行政主管部门提出申请。移出地设区的市级以上地方人民政府环境保护行政主管部门应当经接收地设区的市级以上地方人民政府环境保护行政主管部门同意后，方可批准转移该危险废物。未经批准，不得转移。转移危险废物途经移出地、接收地以外行政区域的，危险废物移出地设区的市级以上地方人民政府环境保护行政主管部门应当及时通知沿途经过的设区的市级以上地方人民政府环境保护行政主管部门。</w:t>
            </w:r>
          </w:p>
          <w:p w14:paraId="35CEA3EA">
            <w:pPr>
              <w:widowControl/>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（5）委托处置</w:t>
            </w:r>
          </w:p>
          <w:p w14:paraId="612D7292">
            <w:pPr>
              <w:widowControl/>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危废</w:t>
            </w:r>
            <w:r>
              <w:rPr>
                <w:rFonts w:hint="default" w:ascii="Times New Roman" w:hAnsi="Times New Roman" w:cs="Times New Roman"/>
                <w:color w:val="auto"/>
                <w:sz w:val="24"/>
                <w:highlight w:val="none"/>
                <w:lang w:eastAsia="zh-CN"/>
              </w:rPr>
              <w:t>暂存库</w:t>
            </w:r>
            <w:r>
              <w:rPr>
                <w:rFonts w:hint="default" w:ascii="Times New Roman" w:hAnsi="Times New Roman" w:cs="Times New Roman"/>
                <w:color w:val="auto"/>
                <w:sz w:val="24"/>
                <w:highlight w:val="none"/>
              </w:rPr>
              <w:t>贮存的危险废物由有危废处置资质的单位进行处置，危废处置单位使用专用车辆至厂内收集、转移危险废物，建设单位不自行外运、转移。危险废物委托处置后，对环境影响不大。</w:t>
            </w:r>
          </w:p>
          <w:p w14:paraId="50DC2B62">
            <w:pPr>
              <w:widowControl/>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（6）管理措施</w:t>
            </w:r>
          </w:p>
          <w:p w14:paraId="5D86ECC3">
            <w:pPr>
              <w:widowControl/>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企业应结合自身实际，建立危险废物管理台账，规范危险废物情况的记录，记录上须注明危险废物的种类、来源、数量、性质、产生环节、利用处置和包装容器的类别、入库日期、存放库位、废物出库日期及接收单位名称，确保厂内所有危险废物流向清楚规范。</w:t>
            </w:r>
          </w:p>
          <w:p w14:paraId="5D7F86F5">
            <w:pPr>
              <w:widowControl/>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按规定申报危险废物产生、贮存、转移、利用处置等信息，制定和落实危险废物年度管理计划，执行危险废物申报登记制度，并在“固废管理系统”中备案。及时向当地环保部门申报危险废物种类、产生量、流向、处置等资料，办理临时申报登记手续。严格执行危险废物交换转移审批制度。所有危险废物交换转移向环保部门提出申请，经环保部门预审后报上级环保部门批准。危险废物交换转移前到当地环保部门网上申请联单。绝不擅自交换、向无危险废物经营许可证单位转移。必须定期对所暂存的危险废物包装容器及暂存设施进行检查，发现破损，应及时采取措施清理更换。</w:t>
            </w:r>
          </w:p>
          <w:p w14:paraId="3005DA12">
            <w:pPr>
              <w:widowControl/>
              <w:spacing w:line="360" w:lineRule="auto"/>
              <w:ind w:firstLine="480" w:firstLineChars="200"/>
              <w:jc w:val="left"/>
              <w:rPr>
                <w:rFonts w:ascii="Times New Roman" w:hAnsi="Times New Roman" w:eastAsia="宋体" w:cs="Times New Roman"/>
                <w:color w:val="auto"/>
                <w:kern w:val="0"/>
                <w:sz w:val="24"/>
                <w:highlight w:val="none"/>
              </w:rPr>
            </w:pPr>
            <w:r>
              <w:rPr>
                <w:rFonts w:hint="default" w:ascii="Times New Roman" w:hAnsi="Times New Roman" w:cs="Times New Roman"/>
                <w:color w:val="auto"/>
                <w:sz w:val="24"/>
                <w:highlight w:val="none"/>
              </w:rPr>
              <w:t>综上，</w:t>
            </w:r>
            <w:r>
              <w:rPr>
                <w:rFonts w:hint="default" w:ascii="Times New Roman" w:hAnsi="Times New Roman" w:cs="Times New Roman"/>
                <w:color w:val="auto"/>
                <w:sz w:val="24"/>
                <w:highlight w:val="none"/>
                <w:lang w:val="en-US" w:eastAsia="zh-CN"/>
              </w:rPr>
              <w:t>根据《危险废物贮存污染控制标准》，明确本项目危废暂存间类型为贮存库，暂存危废为：</w:t>
            </w:r>
            <w:r>
              <w:rPr>
                <w:rFonts w:hint="default" w:ascii="Times New Roman" w:hAnsi="Times New Roman" w:cs="Times New Roman"/>
                <w:color w:val="auto"/>
                <w:sz w:val="24"/>
                <w:highlight w:val="none"/>
              </w:rPr>
              <w:t>废活性炭</w:t>
            </w:r>
            <w:r>
              <w:rPr>
                <w:rFonts w:hint="default" w:ascii="Times New Roman" w:hAnsi="Times New Roman" w:cs="Times New Roman"/>
                <w:color w:val="auto"/>
                <w:sz w:val="24"/>
                <w:highlight w:val="none"/>
                <w:lang w:val="en-US" w:eastAsia="zh-CN"/>
              </w:rPr>
              <w:t>0.5t/a、</w:t>
            </w:r>
            <w:r>
              <w:rPr>
                <w:rFonts w:hint="default" w:ascii="Times New Roman" w:hAnsi="Times New Roman" w:cs="Times New Roman"/>
                <w:color w:val="auto"/>
                <w:sz w:val="24"/>
                <w:highlight w:val="none"/>
              </w:rPr>
              <w:t>废催化剂</w:t>
            </w:r>
            <w:r>
              <w:rPr>
                <w:rFonts w:hint="default" w:ascii="Times New Roman" w:hAnsi="Times New Roman" w:cs="Times New Roman"/>
                <w:color w:val="auto"/>
                <w:sz w:val="24"/>
                <w:highlight w:val="none"/>
                <w:lang w:val="en-US" w:eastAsia="zh-CN"/>
              </w:rPr>
              <w:t>0.</w:t>
            </w:r>
            <w:r>
              <w:rPr>
                <w:rFonts w:hint="eastAsia" w:cs="Times New Roman"/>
                <w:color w:val="auto"/>
                <w:sz w:val="24"/>
                <w:highlight w:val="none"/>
                <w:lang w:val="en-US" w:eastAsia="zh-CN"/>
              </w:rPr>
              <w:t>1</w:t>
            </w:r>
            <w:r>
              <w:rPr>
                <w:rFonts w:hint="default" w:ascii="Times New Roman" w:hAnsi="Times New Roman" w:cs="Times New Roman"/>
                <w:color w:val="auto"/>
                <w:sz w:val="24"/>
                <w:highlight w:val="none"/>
                <w:lang w:val="en-US" w:eastAsia="zh-CN"/>
              </w:rPr>
              <w:t>t/a、</w:t>
            </w:r>
            <w:r>
              <w:rPr>
                <w:rFonts w:hint="default" w:ascii="Times New Roman" w:hAnsi="Times New Roman" w:cs="Times New Roman"/>
                <w:color w:val="auto"/>
                <w:sz w:val="24"/>
                <w:highlight w:val="none"/>
              </w:rPr>
              <w:t>废润滑油</w:t>
            </w:r>
            <w:r>
              <w:rPr>
                <w:rFonts w:hint="default" w:ascii="Times New Roman" w:hAnsi="Times New Roman" w:cs="Times New Roman"/>
                <w:color w:val="auto"/>
                <w:sz w:val="24"/>
                <w:highlight w:val="none"/>
                <w:lang w:val="en-US" w:eastAsia="zh-CN"/>
              </w:rPr>
              <w:t>0.4t/a、</w:t>
            </w:r>
            <w:r>
              <w:rPr>
                <w:rFonts w:hint="default" w:ascii="Times New Roman" w:hAnsi="Times New Roman" w:cs="Times New Roman"/>
                <w:color w:val="auto"/>
                <w:sz w:val="24"/>
                <w:highlight w:val="none"/>
              </w:rPr>
              <w:t>废润滑油桶</w:t>
            </w:r>
            <w:r>
              <w:rPr>
                <w:rFonts w:hint="default" w:ascii="Times New Roman" w:hAnsi="Times New Roman" w:cs="Times New Roman"/>
                <w:color w:val="auto"/>
                <w:sz w:val="24"/>
                <w:highlight w:val="none"/>
                <w:lang w:val="en-US" w:eastAsia="zh-CN"/>
              </w:rPr>
              <w:t>0.1t/a，共计1.2t/a，最大贮存量不超过3t，贮存点可行</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rPr>
              <w:t>本项目按照《危险废物贮存污染控制标准》（GB18597-2023）相关要求进行建设，危险废物委托有危废处置资质的单位处理，不混入生活垃圾或随意丢弃，项目运营期产生的危险废物妥善处理后对周边环境影响较小。</w:t>
            </w:r>
          </w:p>
          <w:p w14:paraId="3E9BBF3F">
            <w:pPr>
              <w:keepNext w:val="0"/>
              <w:keepLines w:val="0"/>
              <w:pageBreakBefore w:val="0"/>
              <w:kinsoku/>
              <w:wordWrap/>
              <w:overflowPunct/>
              <w:autoSpaceDE/>
              <w:autoSpaceDN/>
              <w:bidi w:val="0"/>
              <w:adjustRightInd/>
              <w:snapToGrid/>
              <w:spacing w:line="360" w:lineRule="auto"/>
              <w:textAlignment w:val="auto"/>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5.地下水、土壤防治措施</w:t>
            </w:r>
          </w:p>
          <w:p w14:paraId="63A148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地下水及土壤污染源包括有工业污染源、农业污染源以及生活污染源。根据项目工程分析与现场踏勘的结果，评价区域内与本项目有关的主要地下水及土壤污染源为工业污染源。</w:t>
            </w:r>
          </w:p>
          <w:p w14:paraId="239DE27C">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kern w:val="2"/>
                <w:sz w:val="24"/>
                <w:szCs w:val="24"/>
                <w:highlight w:val="none"/>
                <w:lang w:val="en-US" w:eastAsia="zh-CN" w:bidi="ar-SA"/>
              </w:rPr>
              <w:t>本项目运营期正常运营情况下产生的废物不存在地下水、土壤环境污染途径，与本项目地下水及土壤相关的污染源可能为危废暂存间废润滑油泄露，可能对地下水及土壤造成污染。为有效预防地下水及土壤污染，本项目采取分区防渗措施。结合本项目工艺特点，本项目按重点防渗区和一般防渗区分区域进行防渗处理。</w:t>
            </w:r>
          </w:p>
          <w:p w14:paraId="4C97724C">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rPr>
            </w:pPr>
            <w:r>
              <w:rPr>
                <w:rFonts w:hint="eastAsia" w:ascii="Times New Roman" w:hAnsi="Times New Roman" w:cs="Times New Roman"/>
                <w:color w:val="auto"/>
                <w:kern w:val="2"/>
                <w:sz w:val="24"/>
                <w:szCs w:val="24"/>
                <w:highlight w:val="none"/>
                <w:lang w:val="en-US" w:eastAsia="zh-CN"/>
              </w:rPr>
              <w:t>（1）</w:t>
            </w:r>
            <w:r>
              <w:rPr>
                <w:rFonts w:hint="default" w:ascii="Times New Roman" w:hAnsi="Times New Roman" w:eastAsia="宋体" w:cs="Times New Roman"/>
                <w:color w:val="auto"/>
                <w:kern w:val="2"/>
                <w:sz w:val="24"/>
                <w:szCs w:val="24"/>
                <w:highlight w:val="none"/>
                <w:lang w:val="en-US" w:eastAsia="zh-CN"/>
              </w:rPr>
              <w:t>防渗分区</w:t>
            </w:r>
          </w:p>
          <w:p w14:paraId="5F6B0182">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rPr>
              <w:t>根据装置、单元的特点和所处的区域及部位，本项目厂区划分为一般污染防治区、重点污染防治区、简单防渗区。</w:t>
            </w:r>
          </w:p>
          <w:p w14:paraId="2AE5A161">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rPr>
              <w:t>重点污染防治区：危废暂存间。</w:t>
            </w:r>
          </w:p>
          <w:p w14:paraId="6C6E8452">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rPr>
              <w:t>一般污染防治区：</w:t>
            </w:r>
            <w:r>
              <w:rPr>
                <w:rFonts w:hint="eastAsia" w:cs="Times New Roman"/>
                <w:color w:val="auto"/>
                <w:kern w:val="2"/>
                <w:sz w:val="24"/>
                <w:szCs w:val="24"/>
                <w:highlight w:val="none"/>
                <w:lang w:val="en-US" w:eastAsia="zh-CN"/>
              </w:rPr>
              <w:t>固废暂存间、</w:t>
            </w:r>
            <w:r>
              <w:rPr>
                <w:rFonts w:hint="default" w:ascii="Times New Roman" w:hAnsi="Times New Roman" w:eastAsia="宋体" w:cs="Times New Roman"/>
                <w:color w:val="auto"/>
                <w:kern w:val="2"/>
                <w:sz w:val="24"/>
                <w:szCs w:val="24"/>
                <w:highlight w:val="none"/>
                <w:lang w:val="en-US" w:eastAsia="zh-CN"/>
              </w:rPr>
              <w:t>生产</w:t>
            </w:r>
            <w:r>
              <w:rPr>
                <w:rFonts w:hint="default" w:ascii="Times New Roman" w:hAnsi="Times New Roman" w:cs="Times New Roman"/>
                <w:color w:val="auto"/>
                <w:kern w:val="2"/>
                <w:sz w:val="24"/>
                <w:szCs w:val="24"/>
                <w:highlight w:val="none"/>
                <w:lang w:val="en-US" w:eastAsia="zh-CN"/>
              </w:rPr>
              <w:t>车间</w:t>
            </w:r>
            <w:r>
              <w:rPr>
                <w:rFonts w:hint="default" w:ascii="Times New Roman" w:hAnsi="Times New Roman" w:eastAsia="宋体" w:cs="Times New Roman"/>
                <w:color w:val="auto"/>
                <w:kern w:val="2"/>
                <w:sz w:val="24"/>
                <w:szCs w:val="24"/>
                <w:highlight w:val="none"/>
                <w:lang w:val="en-US" w:eastAsia="zh-CN"/>
              </w:rPr>
              <w:t>。</w:t>
            </w:r>
          </w:p>
          <w:p w14:paraId="01DCD449">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rPr>
              <w:t>简单污染防治区：生活区、进出场道路。</w:t>
            </w:r>
          </w:p>
          <w:p w14:paraId="554F153C">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rPr>
            </w:pPr>
            <w:r>
              <w:rPr>
                <w:rFonts w:hint="eastAsia" w:ascii="Times New Roman" w:hAnsi="Times New Roman" w:cs="Times New Roman"/>
                <w:color w:val="auto"/>
                <w:kern w:val="2"/>
                <w:sz w:val="24"/>
                <w:szCs w:val="24"/>
                <w:highlight w:val="none"/>
                <w:lang w:val="en-US" w:eastAsia="zh-CN"/>
              </w:rPr>
              <w:t>（2）</w:t>
            </w:r>
            <w:r>
              <w:rPr>
                <w:rFonts w:hint="default" w:ascii="Times New Roman" w:hAnsi="Times New Roman" w:eastAsia="宋体" w:cs="Times New Roman"/>
                <w:color w:val="auto"/>
                <w:kern w:val="2"/>
                <w:sz w:val="24"/>
                <w:szCs w:val="24"/>
                <w:highlight w:val="none"/>
                <w:lang w:val="en-US" w:eastAsia="zh-CN"/>
              </w:rPr>
              <w:t>分区防渗处理</w:t>
            </w:r>
          </w:p>
          <w:p w14:paraId="2159D20B">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rPr>
              <w:t>重点防渗区：本项目危废暂存间，</w:t>
            </w:r>
            <w:r>
              <w:rPr>
                <w:rFonts w:hint="default" w:ascii="Times New Roman" w:hAnsi="Times New Roman" w:cs="Times New Roman"/>
                <w:color w:val="auto"/>
                <w:kern w:val="2"/>
                <w:sz w:val="24"/>
                <w:szCs w:val="24"/>
                <w:highlight w:val="none"/>
                <w:lang w:val="en-US" w:eastAsia="zh-CN"/>
              </w:rPr>
              <w:t>防渗方案</w:t>
            </w:r>
            <w:r>
              <w:rPr>
                <w:rFonts w:hint="default" w:ascii="Times New Roman" w:hAnsi="Times New Roman" w:eastAsia="宋体" w:cs="Times New Roman"/>
                <w:color w:val="auto"/>
                <w:kern w:val="2"/>
                <w:sz w:val="24"/>
                <w:szCs w:val="24"/>
                <w:highlight w:val="none"/>
                <w:lang w:val="en-US" w:eastAsia="zh-CN"/>
              </w:rPr>
              <w:t>黏土夯实+2mm厚高密度聚乙烯膜（HDPE）+水泥地面</w:t>
            </w:r>
            <w:r>
              <w:rPr>
                <w:rFonts w:hint="default" w:ascii="Times New Roman" w:hAnsi="Times New Roman" w:cs="Times New Roman"/>
                <w:color w:val="auto"/>
                <w:kern w:val="2"/>
                <w:sz w:val="24"/>
                <w:szCs w:val="24"/>
                <w:highlight w:val="none"/>
                <w:lang w:val="en-US" w:eastAsia="zh-CN"/>
              </w:rPr>
              <w:t>，</w:t>
            </w:r>
            <w:r>
              <w:rPr>
                <w:rFonts w:hint="default" w:ascii="Times New Roman" w:hAnsi="Times New Roman" w:eastAsia="宋体" w:cs="Times New Roman"/>
                <w:color w:val="auto"/>
                <w:kern w:val="2"/>
                <w:sz w:val="24"/>
                <w:szCs w:val="24"/>
                <w:highlight w:val="none"/>
                <w:lang w:val="en-US" w:eastAsia="zh-CN"/>
              </w:rPr>
              <w:t>防渗技术为：等效黏土防渗层Mb≥6.0m，K≤1×10</w:t>
            </w:r>
            <w:r>
              <w:rPr>
                <w:rFonts w:hint="default" w:ascii="Times New Roman" w:hAnsi="Times New Roman" w:eastAsia="宋体" w:cs="Times New Roman"/>
                <w:color w:val="auto"/>
                <w:kern w:val="2"/>
                <w:sz w:val="24"/>
                <w:szCs w:val="24"/>
                <w:highlight w:val="none"/>
                <w:vertAlign w:val="superscript"/>
                <w:lang w:val="en-US" w:eastAsia="zh-CN"/>
              </w:rPr>
              <w:t>-10</w:t>
            </w:r>
            <w:r>
              <w:rPr>
                <w:rFonts w:hint="default" w:ascii="Times New Roman" w:hAnsi="Times New Roman" w:eastAsia="宋体" w:cs="Times New Roman"/>
                <w:color w:val="auto"/>
                <w:kern w:val="2"/>
                <w:sz w:val="24"/>
                <w:szCs w:val="24"/>
                <w:highlight w:val="none"/>
                <w:lang w:val="en-US" w:eastAsia="zh-CN"/>
              </w:rPr>
              <w:t>cm/s。</w:t>
            </w:r>
          </w:p>
          <w:p w14:paraId="49D38543">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cs="Times New Roman"/>
                <w:color w:val="auto"/>
                <w:kern w:val="2"/>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rPr>
              <w:t>一般防渗区：</w:t>
            </w:r>
            <w:r>
              <w:rPr>
                <w:rFonts w:hint="eastAsia" w:cs="Times New Roman"/>
                <w:color w:val="auto"/>
                <w:kern w:val="2"/>
                <w:sz w:val="24"/>
                <w:szCs w:val="24"/>
                <w:highlight w:val="none"/>
                <w:lang w:val="en-US" w:eastAsia="zh-CN"/>
              </w:rPr>
              <w:t>本项目固废暂存间，</w:t>
            </w:r>
            <w:r>
              <w:rPr>
                <w:rFonts w:hint="default" w:ascii="Times New Roman" w:hAnsi="Times New Roman" w:eastAsia="宋体" w:cs="Times New Roman"/>
                <w:color w:val="auto"/>
                <w:kern w:val="2"/>
                <w:sz w:val="24"/>
                <w:szCs w:val="24"/>
                <w:highlight w:val="none"/>
                <w:lang w:val="en-US" w:eastAsia="zh-CN"/>
              </w:rPr>
              <w:t>采用厚度Mb=</w:t>
            </w:r>
            <w:r>
              <w:rPr>
                <w:rFonts w:hint="eastAsia" w:cs="Times New Roman"/>
                <w:color w:val="auto"/>
                <w:kern w:val="2"/>
                <w:sz w:val="24"/>
                <w:szCs w:val="24"/>
                <w:highlight w:val="none"/>
                <w:lang w:val="en-US" w:eastAsia="zh-CN"/>
              </w:rPr>
              <w:t>0.75</w:t>
            </w:r>
            <w:r>
              <w:rPr>
                <w:rFonts w:hint="default" w:ascii="Times New Roman" w:hAnsi="Times New Roman" w:eastAsia="宋体" w:cs="Times New Roman"/>
                <w:color w:val="auto"/>
                <w:kern w:val="2"/>
                <w:sz w:val="24"/>
                <w:szCs w:val="24"/>
                <w:highlight w:val="none"/>
                <w:lang w:val="en-US" w:eastAsia="zh-CN"/>
              </w:rPr>
              <w:t>m，渗透系数K≤10</w:t>
            </w:r>
            <w:r>
              <w:rPr>
                <w:rFonts w:hint="default" w:ascii="Times New Roman" w:hAnsi="Times New Roman" w:eastAsia="宋体" w:cs="Times New Roman"/>
                <w:color w:val="auto"/>
                <w:kern w:val="2"/>
                <w:sz w:val="24"/>
                <w:szCs w:val="24"/>
                <w:highlight w:val="none"/>
                <w:vertAlign w:val="superscript"/>
                <w:lang w:val="en-US" w:eastAsia="zh-CN"/>
              </w:rPr>
              <w:t>-</w:t>
            </w:r>
            <w:r>
              <w:rPr>
                <w:rFonts w:hint="eastAsia" w:cs="Times New Roman"/>
                <w:color w:val="auto"/>
                <w:kern w:val="2"/>
                <w:sz w:val="24"/>
                <w:szCs w:val="24"/>
                <w:highlight w:val="none"/>
                <w:vertAlign w:val="superscript"/>
                <w:lang w:val="en-US" w:eastAsia="zh-CN"/>
              </w:rPr>
              <w:t>5</w:t>
            </w:r>
            <w:r>
              <w:rPr>
                <w:rFonts w:hint="default" w:ascii="Times New Roman" w:hAnsi="Times New Roman" w:eastAsia="宋体" w:cs="Times New Roman"/>
                <w:color w:val="auto"/>
                <w:kern w:val="2"/>
                <w:sz w:val="24"/>
                <w:szCs w:val="24"/>
                <w:highlight w:val="none"/>
                <w:lang w:val="en-US" w:eastAsia="zh-CN"/>
              </w:rPr>
              <w:t>cm/s防渗等效的20cm厚P4等级混凝土进行防渗。要求防渗技术要求为：等效黏土防渗层Mb≥</w:t>
            </w:r>
            <w:r>
              <w:rPr>
                <w:rFonts w:hint="eastAsia" w:cs="Times New Roman"/>
                <w:color w:val="auto"/>
                <w:kern w:val="2"/>
                <w:sz w:val="24"/>
                <w:szCs w:val="24"/>
                <w:highlight w:val="none"/>
                <w:lang w:val="en-US" w:eastAsia="zh-CN"/>
              </w:rPr>
              <w:t>0.75</w:t>
            </w:r>
            <w:r>
              <w:rPr>
                <w:rFonts w:hint="default" w:ascii="Times New Roman" w:hAnsi="Times New Roman" w:eastAsia="宋体" w:cs="Times New Roman"/>
                <w:color w:val="auto"/>
                <w:kern w:val="2"/>
                <w:sz w:val="24"/>
                <w:szCs w:val="24"/>
                <w:highlight w:val="none"/>
                <w:lang w:val="en-US" w:eastAsia="zh-CN"/>
              </w:rPr>
              <w:t>m，K≤1×10</w:t>
            </w:r>
            <w:r>
              <w:rPr>
                <w:rFonts w:hint="default" w:ascii="Times New Roman" w:hAnsi="Times New Roman" w:eastAsia="宋体" w:cs="Times New Roman"/>
                <w:color w:val="auto"/>
                <w:kern w:val="2"/>
                <w:sz w:val="24"/>
                <w:szCs w:val="24"/>
                <w:highlight w:val="none"/>
                <w:vertAlign w:val="superscript"/>
                <w:lang w:val="en-US" w:eastAsia="zh-CN"/>
              </w:rPr>
              <w:t>-</w:t>
            </w:r>
            <w:r>
              <w:rPr>
                <w:rFonts w:hint="eastAsia" w:cs="Times New Roman"/>
                <w:color w:val="auto"/>
                <w:kern w:val="2"/>
                <w:sz w:val="24"/>
                <w:szCs w:val="24"/>
                <w:highlight w:val="none"/>
                <w:vertAlign w:val="superscript"/>
                <w:lang w:val="en-US" w:eastAsia="zh-CN"/>
              </w:rPr>
              <w:t>5</w:t>
            </w:r>
            <w:r>
              <w:rPr>
                <w:rFonts w:hint="default" w:ascii="Times New Roman" w:hAnsi="Times New Roman" w:eastAsia="宋体" w:cs="Times New Roman"/>
                <w:color w:val="auto"/>
                <w:kern w:val="2"/>
                <w:sz w:val="24"/>
                <w:szCs w:val="24"/>
                <w:highlight w:val="none"/>
                <w:lang w:val="en-US" w:eastAsia="zh-CN"/>
              </w:rPr>
              <w:t>cm/s；或参照GB16889执行</w:t>
            </w:r>
            <w:r>
              <w:rPr>
                <w:rFonts w:hint="default" w:ascii="Times New Roman" w:hAnsi="Times New Roman" w:cs="Times New Roman"/>
                <w:color w:val="auto"/>
                <w:kern w:val="2"/>
                <w:sz w:val="24"/>
                <w:szCs w:val="24"/>
                <w:highlight w:val="none"/>
                <w:lang w:val="en-US" w:eastAsia="zh-CN"/>
              </w:rPr>
              <w:t>。</w:t>
            </w:r>
          </w:p>
          <w:p w14:paraId="7BEA9294">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rPr>
              <w:t>简单污染防治区：</w:t>
            </w:r>
            <w:r>
              <w:rPr>
                <w:rFonts w:hint="default" w:ascii="Times New Roman" w:hAnsi="Times New Roman" w:cs="Times New Roman"/>
                <w:color w:val="auto"/>
                <w:kern w:val="2"/>
                <w:sz w:val="24"/>
                <w:szCs w:val="24"/>
                <w:highlight w:val="none"/>
                <w:lang w:val="en-US" w:eastAsia="zh-CN"/>
              </w:rPr>
              <w:t>硬化地面即可。</w:t>
            </w:r>
            <w:r>
              <w:rPr>
                <w:rFonts w:hint="default" w:ascii="Times New Roman" w:hAnsi="Times New Roman" w:eastAsia="宋体" w:cs="Times New Roman"/>
                <w:color w:val="auto"/>
                <w:kern w:val="2"/>
                <w:sz w:val="24"/>
                <w:szCs w:val="24"/>
                <w:highlight w:val="none"/>
                <w:lang w:val="en-US" w:eastAsia="zh-CN"/>
              </w:rPr>
              <w:t>分区防渗</w:t>
            </w:r>
            <w:r>
              <w:rPr>
                <w:rFonts w:hint="eastAsia" w:cs="Times New Roman"/>
                <w:color w:val="auto"/>
                <w:kern w:val="2"/>
                <w:sz w:val="24"/>
                <w:szCs w:val="24"/>
                <w:highlight w:val="none"/>
                <w:lang w:val="en-US" w:eastAsia="zh-CN"/>
              </w:rPr>
              <w:t>措施</w:t>
            </w:r>
            <w:r>
              <w:rPr>
                <w:rFonts w:hint="default" w:ascii="Times New Roman" w:hAnsi="Times New Roman" w:eastAsia="宋体" w:cs="Times New Roman"/>
                <w:color w:val="auto"/>
                <w:kern w:val="2"/>
                <w:sz w:val="24"/>
                <w:szCs w:val="24"/>
                <w:highlight w:val="none"/>
                <w:lang w:val="en-US" w:eastAsia="zh-CN"/>
              </w:rPr>
              <w:t>见</w:t>
            </w:r>
            <w:r>
              <w:rPr>
                <w:rFonts w:hint="eastAsia" w:cs="Times New Roman"/>
                <w:color w:val="auto"/>
                <w:kern w:val="2"/>
                <w:sz w:val="24"/>
                <w:szCs w:val="24"/>
                <w:highlight w:val="none"/>
                <w:lang w:val="en-US" w:eastAsia="zh-CN"/>
              </w:rPr>
              <w:t>表</w:t>
            </w:r>
            <w:r>
              <w:rPr>
                <w:rFonts w:hint="default" w:ascii="Times New Roman" w:hAnsi="Times New Roman" w:eastAsia="宋体" w:cs="Times New Roman"/>
                <w:color w:val="auto"/>
                <w:kern w:val="2"/>
                <w:sz w:val="24"/>
                <w:szCs w:val="24"/>
                <w:highlight w:val="none"/>
                <w:lang w:val="en-US" w:eastAsia="zh-CN"/>
              </w:rPr>
              <w:t>4</w:t>
            </w:r>
            <w:r>
              <w:rPr>
                <w:rFonts w:hint="eastAsia" w:ascii="Times New Roman" w:hAnsi="Times New Roman" w:cs="Times New Roman"/>
                <w:color w:val="auto"/>
                <w:kern w:val="2"/>
                <w:sz w:val="24"/>
                <w:szCs w:val="24"/>
                <w:highlight w:val="none"/>
                <w:lang w:val="en-US" w:eastAsia="zh-CN"/>
              </w:rPr>
              <w:t>-1</w:t>
            </w:r>
            <w:r>
              <w:rPr>
                <w:rFonts w:hint="eastAsia" w:cs="Times New Roman"/>
                <w:color w:val="auto"/>
                <w:kern w:val="2"/>
                <w:sz w:val="24"/>
                <w:szCs w:val="24"/>
                <w:highlight w:val="none"/>
                <w:lang w:val="en-US" w:eastAsia="zh-CN"/>
              </w:rPr>
              <w:t>8</w:t>
            </w:r>
            <w:r>
              <w:rPr>
                <w:rFonts w:hint="default" w:ascii="Times New Roman" w:hAnsi="Times New Roman" w:eastAsia="宋体" w:cs="Times New Roman"/>
                <w:color w:val="auto"/>
                <w:kern w:val="2"/>
                <w:sz w:val="24"/>
                <w:szCs w:val="24"/>
                <w:highlight w:val="none"/>
                <w:lang w:val="en-US" w:eastAsia="zh-CN"/>
              </w:rPr>
              <w:t>。</w:t>
            </w:r>
          </w:p>
          <w:p w14:paraId="43B56F1A">
            <w:pPr>
              <w:spacing w:line="240" w:lineRule="auto"/>
              <w:jc w:val="center"/>
              <w:rPr>
                <w:rFonts w:ascii="Times New Roman" w:hAnsi="Times New Roman" w:eastAsia="宋体" w:cs="Times New Roman"/>
                <w:b/>
                <w:bCs/>
                <w:color w:val="auto"/>
                <w:kern w:val="2"/>
                <w:sz w:val="21"/>
                <w:szCs w:val="21"/>
                <w:highlight w:val="none"/>
              </w:rPr>
            </w:pPr>
            <w:r>
              <w:rPr>
                <w:rFonts w:hint="eastAsia" w:ascii="Times New Roman" w:hAnsi="Times New Roman" w:eastAsia="宋体" w:cs="Times New Roman"/>
                <w:b/>
                <w:bCs/>
                <w:color w:val="auto"/>
                <w:kern w:val="2"/>
                <w:sz w:val="21"/>
                <w:szCs w:val="21"/>
                <w:highlight w:val="none"/>
              </w:rPr>
              <w:t>表</w:t>
            </w:r>
            <w:r>
              <w:rPr>
                <w:rFonts w:hint="eastAsia" w:ascii="Times New Roman" w:hAnsi="Times New Roman" w:eastAsia="宋体" w:cs="Times New Roman"/>
                <w:b/>
                <w:bCs/>
                <w:color w:val="auto"/>
                <w:kern w:val="2"/>
                <w:sz w:val="21"/>
                <w:szCs w:val="21"/>
                <w:highlight w:val="none"/>
                <w:lang w:val="en-US" w:eastAsia="zh-CN"/>
              </w:rPr>
              <w:t>4</w:t>
            </w:r>
            <w:r>
              <w:rPr>
                <w:rFonts w:hint="eastAsia" w:cs="Times New Roman"/>
                <w:b/>
                <w:bCs/>
                <w:color w:val="auto"/>
                <w:kern w:val="2"/>
                <w:sz w:val="21"/>
                <w:szCs w:val="21"/>
                <w:highlight w:val="none"/>
                <w:lang w:val="en-US" w:eastAsia="zh-CN"/>
              </w:rPr>
              <w:t xml:space="preserve">-18    </w:t>
            </w:r>
            <w:r>
              <w:rPr>
                <w:rFonts w:hint="eastAsia" w:ascii="Times New Roman" w:hAnsi="Times New Roman" w:eastAsia="宋体" w:cs="Times New Roman"/>
                <w:b/>
                <w:bCs/>
                <w:color w:val="auto"/>
                <w:kern w:val="2"/>
                <w:sz w:val="21"/>
                <w:szCs w:val="21"/>
                <w:highlight w:val="none"/>
              </w:rPr>
              <w:t>各污染区防渗措施</w:t>
            </w:r>
          </w:p>
          <w:tbl>
            <w:tblPr>
              <w:tblStyle w:val="2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155"/>
              <w:gridCol w:w="1170"/>
              <w:gridCol w:w="1767"/>
              <w:gridCol w:w="1142"/>
              <w:gridCol w:w="1879"/>
            </w:tblGrid>
            <w:tr w14:paraId="4070E82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pct"/>
                  <w:tcBorders>
                    <w:bottom w:val="single" w:color="auto" w:sz="12" w:space="0"/>
                  </w:tcBorders>
                  <w:vAlign w:val="center"/>
                </w:tcPr>
                <w:p w14:paraId="4B7AE3A0">
                  <w:pPr>
                    <w:spacing w:line="240" w:lineRule="auto"/>
                    <w:jc w:val="center"/>
                    <w:rPr>
                      <w:rFonts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lang w:val="zh-TW" w:eastAsia="zh-TW"/>
                    </w:rPr>
                    <w:t>场区内建筑物</w:t>
                  </w:r>
                </w:p>
              </w:tc>
              <w:tc>
                <w:tcPr>
                  <w:tcW w:w="712" w:type="pct"/>
                  <w:tcBorders>
                    <w:bottom w:val="single" w:color="auto" w:sz="12" w:space="0"/>
                  </w:tcBorders>
                  <w:vAlign w:val="center"/>
                </w:tcPr>
                <w:p w14:paraId="0E5EE620">
                  <w:pPr>
                    <w:spacing w:line="240" w:lineRule="auto"/>
                    <w:jc w:val="center"/>
                    <w:rPr>
                      <w:rFonts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lang w:val="zh-TW" w:eastAsia="zh-TW"/>
                    </w:rPr>
                    <w:t>包气带防污性能</w:t>
                  </w:r>
                </w:p>
              </w:tc>
              <w:tc>
                <w:tcPr>
                  <w:tcW w:w="721" w:type="pct"/>
                  <w:tcBorders>
                    <w:bottom w:val="single" w:color="auto" w:sz="12" w:space="0"/>
                  </w:tcBorders>
                  <w:vAlign w:val="center"/>
                </w:tcPr>
                <w:p w14:paraId="0550C60F">
                  <w:pPr>
                    <w:spacing w:line="240" w:lineRule="auto"/>
                    <w:jc w:val="center"/>
                    <w:rPr>
                      <w:rFonts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lang w:val="zh-TW" w:eastAsia="zh-TW"/>
                    </w:rPr>
                    <w:t>污染控制难易程度</w:t>
                  </w:r>
                </w:p>
              </w:tc>
              <w:tc>
                <w:tcPr>
                  <w:tcW w:w="1089" w:type="pct"/>
                  <w:tcBorders>
                    <w:bottom w:val="single" w:color="auto" w:sz="12" w:space="0"/>
                  </w:tcBorders>
                  <w:vAlign w:val="center"/>
                </w:tcPr>
                <w:p w14:paraId="79E854B9">
                  <w:pPr>
                    <w:spacing w:line="240" w:lineRule="auto"/>
                    <w:jc w:val="center"/>
                    <w:rPr>
                      <w:rFonts w:ascii="Times New Roman" w:hAnsi="Times New Roman" w:eastAsia="宋体" w:cs="Times New Roman"/>
                      <w:b/>
                      <w:bCs/>
                      <w:color w:val="auto"/>
                      <w:sz w:val="21"/>
                      <w:szCs w:val="21"/>
                      <w:highlight w:val="none"/>
                      <w:lang w:val="zh-TW" w:eastAsia="zh-TW"/>
                    </w:rPr>
                  </w:pPr>
                  <w:r>
                    <w:rPr>
                      <w:rFonts w:hint="eastAsia" w:ascii="Times New Roman" w:hAnsi="Times New Roman" w:eastAsia="宋体" w:cs="Times New Roman"/>
                      <w:b/>
                      <w:bCs/>
                      <w:color w:val="auto"/>
                      <w:sz w:val="21"/>
                      <w:szCs w:val="21"/>
                      <w:highlight w:val="none"/>
                      <w:lang w:val="zh-TW" w:eastAsia="zh-TW"/>
                    </w:rPr>
                    <w:t>污染物类型</w:t>
                  </w:r>
                </w:p>
              </w:tc>
              <w:tc>
                <w:tcPr>
                  <w:tcW w:w="704" w:type="pct"/>
                  <w:tcBorders>
                    <w:bottom w:val="single" w:color="auto" w:sz="12" w:space="0"/>
                  </w:tcBorders>
                  <w:vAlign w:val="center"/>
                </w:tcPr>
                <w:p w14:paraId="5CA148EC">
                  <w:pPr>
                    <w:spacing w:line="240" w:lineRule="auto"/>
                    <w:jc w:val="center"/>
                    <w:rPr>
                      <w:rFonts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lang w:val="zh-TW" w:eastAsia="zh-TW"/>
                    </w:rPr>
                    <w:t>防渗分区</w:t>
                  </w:r>
                </w:p>
              </w:tc>
              <w:tc>
                <w:tcPr>
                  <w:tcW w:w="1158" w:type="pct"/>
                  <w:tcBorders>
                    <w:bottom w:val="single" w:color="auto" w:sz="12" w:space="0"/>
                  </w:tcBorders>
                  <w:vAlign w:val="center"/>
                </w:tcPr>
                <w:p w14:paraId="7865096D">
                  <w:pPr>
                    <w:widowControl/>
                    <w:spacing w:line="240" w:lineRule="auto"/>
                    <w:jc w:val="center"/>
                    <w:rPr>
                      <w:rFonts w:asciiTheme="minorHAnsi" w:hAnsiTheme="minorHAnsi" w:eastAsiaTheme="minorEastAsia" w:cstheme="minorBidi"/>
                      <w:b/>
                      <w:bCs/>
                      <w:color w:val="auto"/>
                      <w:sz w:val="21"/>
                      <w:szCs w:val="21"/>
                      <w:highlight w:val="none"/>
                    </w:rPr>
                  </w:pPr>
                  <w:r>
                    <w:rPr>
                      <w:rFonts w:hint="eastAsia" w:ascii="宋体" w:hAnsi="宋体" w:eastAsia="宋体" w:cs="宋体"/>
                      <w:b/>
                      <w:bCs/>
                      <w:color w:val="auto"/>
                      <w:sz w:val="21"/>
                      <w:szCs w:val="21"/>
                      <w:highlight w:val="none"/>
                      <w:lang w:bidi="ar"/>
                    </w:rPr>
                    <w:t>防渗处理措施</w:t>
                  </w:r>
                </w:p>
              </w:tc>
            </w:tr>
            <w:tr w14:paraId="7F092E5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pct"/>
                  <w:tcBorders>
                    <w:top w:val="single" w:color="auto" w:sz="12" w:space="0"/>
                    <w:tl2br w:val="nil"/>
                    <w:tr2bl w:val="nil"/>
                  </w:tcBorders>
                  <w:vAlign w:val="center"/>
                </w:tcPr>
                <w:p w14:paraId="1A7A93B5">
                  <w:pPr>
                    <w:spacing w:line="240" w:lineRule="auto"/>
                    <w:jc w:val="center"/>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rPr>
                    <w:t>危废暂存间</w:t>
                  </w:r>
                </w:p>
              </w:tc>
              <w:tc>
                <w:tcPr>
                  <w:tcW w:w="712" w:type="pct"/>
                  <w:tcBorders>
                    <w:top w:val="single" w:color="auto" w:sz="12" w:space="0"/>
                    <w:tl2br w:val="nil"/>
                    <w:tr2bl w:val="nil"/>
                  </w:tcBorders>
                  <w:vAlign w:val="center"/>
                </w:tcPr>
                <w:p w14:paraId="231FAC7D">
                  <w:pPr>
                    <w:spacing w:line="240" w:lineRule="auto"/>
                    <w:jc w:val="center"/>
                    <w:rPr>
                      <w:rFonts w:hint="eastAsia" w:ascii="Times New Roman" w:hAnsi="Times New Roman" w:eastAsia="宋体" w:cs="Times New Roman"/>
                      <w:b w:val="0"/>
                      <w:bCs w:val="0"/>
                      <w:color w:val="auto"/>
                      <w:sz w:val="21"/>
                      <w:szCs w:val="21"/>
                      <w:highlight w:val="none"/>
                      <w:lang w:eastAsia="zh-CN"/>
                    </w:rPr>
                  </w:pPr>
                  <w:r>
                    <w:rPr>
                      <w:rFonts w:hint="eastAsia" w:ascii="Times New Roman" w:hAnsi="Times New Roman" w:eastAsia="宋体" w:cs="Times New Roman"/>
                      <w:b w:val="0"/>
                      <w:bCs w:val="0"/>
                      <w:color w:val="auto"/>
                      <w:sz w:val="21"/>
                      <w:szCs w:val="21"/>
                      <w:highlight w:val="none"/>
                      <w:lang w:val="en-US" w:eastAsia="zh-CN"/>
                    </w:rPr>
                    <w:t>弱</w:t>
                  </w:r>
                </w:p>
              </w:tc>
              <w:tc>
                <w:tcPr>
                  <w:tcW w:w="721" w:type="pct"/>
                  <w:tcBorders>
                    <w:top w:val="single" w:color="auto" w:sz="12" w:space="0"/>
                    <w:tl2br w:val="nil"/>
                    <w:tr2bl w:val="nil"/>
                  </w:tcBorders>
                  <w:vAlign w:val="center"/>
                </w:tcPr>
                <w:p w14:paraId="403EBFE6">
                  <w:pPr>
                    <w:spacing w:line="240" w:lineRule="auto"/>
                    <w:jc w:val="center"/>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lang w:val="zh-TW" w:eastAsia="zh-TW"/>
                    </w:rPr>
                    <w:t>难</w:t>
                  </w:r>
                </w:p>
              </w:tc>
              <w:tc>
                <w:tcPr>
                  <w:tcW w:w="1089" w:type="pct"/>
                  <w:tcBorders>
                    <w:top w:val="single" w:color="auto" w:sz="12" w:space="0"/>
                    <w:tl2br w:val="nil"/>
                    <w:tr2bl w:val="nil"/>
                  </w:tcBorders>
                  <w:vAlign w:val="center"/>
                </w:tcPr>
                <w:p w14:paraId="37B969FA">
                  <w:pPr>
                    <w:spacing w:line="240" w:lineRule="auto"/>
                    <w:jc w:val="center"/>
                    <w:rPr>
                      <w:rFonts w:ascii="Times New Roman" w:hAnsi="Times New Roman" w:eastAsia="宋体" w:cs="Times New Roman"/>
                      <w:b w:val="0"/>
                      <w:bCs w:val="0"/>
                      <w:color w:val="auto"/>
                      <w:sz w:val="21"/>
                      <w:szCs w:val="21"/>
                      <w:highlight w:val="none"/>
                      <w:lang w:val="zh-TW" w:eastAsia="zh-TW"/>
                    </w:rPr>
                  </w:pPr>
                  <w:r>
                    <w:rPr>
                      <w:rFonts w:hint="eastAsia" w:cs="Times New Roman"/>
                      <w:b w:val="0"/>
                      <w:bCs w:val="0"/>
                      <w:color w:val="auto"/>
                      <w:sz w:val="21"/>
                      <w:szCs w:val="21"/>
                      <w:highlight w:val="none"/>
                      <w:lang w:val="en-US" w:eastAsia="zh-CN"/>
                    </w:rPr>
                    <w:t>非</w:t>
                  </w:r>
                  <w:r>
                    <w:rPr>
                      <w:rFonts w:hint="eastAsia" w:ascii="Times New Roman" w:hAnsi="Times New Roman" w:eastAsia="宋体" w:cs="Times New Roman"/>
                      <w:b w:val="0"/>
                      <w:bCs w:val="0"/>
                      <w:color w:val="auto"/>
                      <w:sz w:val="21"/>
                      <w:szCs w:val="21"/>
                      <w:highlight w:val="none"/>
                      <w:lang w:val="zh-TW" w:eastAsia="zh-TW"/>
                    </w:rPr>
                    <w:t>重金属、持久性有机物污染物</w:t>
                  </w:r>
                  <w:r>
                    <w:rPr>
                      <w:rFonts w:hint="eastAsia" w:cs="Times New Roman"/>
                      <w:b w:val="0"/>
                      <w:bCs w:val="0"/>
                      <w:color w:val="auto"/>
                      <w:sz w:val="21"/>
                      <w:szCs w:val="21"/>
                      <w:highlight w:val="none"/>
                      <w:lang w:val="en-US" w:eastAsia="zh-CN"/>
                    </w:rPr>
                    <w:t>的</w:t>
                  </w:r>
                  <w:r>
                    <w:rPr>
                      <w:rFonts w:hint="eastAsia" w:ascii="Times New Roman" w:hAnsi="Times New Roman" w:eastAsia="宋体" w:cs="Times New Roman"/>
                      <w:b w:val="0"/>
                      <w:bCs w:val="0"/>
                      <w:color w:val="auto"/>
                      <w:sz w:val="21"/>
                      <w:szCs w:val="21"/>
                      <w:highlight w:val="none"/>
                      <w:lang w:val="zh-TW" w:eastAsia="zh-TW"/>
                    </w:rPr>
                    <w:t>其他类型</w:t>
                  </w:r>
                </w:p>
              </w:tc>
              <w:tc>
                <w:tcPr>
                  <w:tcW w:w="704" w:type="pct"/>
                  <w:tcBorders>
                    <w:top w:val="single" w:color="auto" w:sz="12" w:space="0"/>
                    <w:tl2br w:val="nil"/>
                    <w:tr2bl w:val="nil"/>
                  </w:tcBorders>
                  <w:vAlign w:val="center"/>
                </w:tcPr>
                <w:p w14:paraId="6DDF36D7">
                  <w:pPr>
                    <w:spacing w:line="240" w:lineRule="auto"/>
                    <w:jc w:val="center"/>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rPr>
                    <w:t>重点防渗</w:t>
                  </w:r>
                </w:p>
              </w:tc>
              <w:tc>
                <w:tcPr>
                  <w:tcW w:w="1158" w:type="pct"/>
                  <w:tcBorders>
                    <w:top w:val="single" w:color="auto" w:sz="12" w:space="0"/>
                    <w:tl2br w:val="nil"/>
                    <w:tr2bl w:val="nil"/>
                  </w:tcBorders>
                  <w:vAlign w:val="center"/>
                </w:tcPr>
                <w:p w14:paraId="4D32FACE">
                  <w:pPr>
                    <w:spacing w:line="240" w:lineRule="auto"/>
                    <w:jc w:val="center"/>
                    <w:rPr>
                      <w:rFonts w:ascii="Times New Roman" w:hAnsi="Times New Roman" w:eastAsia="宋体" w:cs="Times New Roman"/>
                      <w:b w:val="0"/>
                      <w:bCs w:val="0"/>
                      <w:color w:val="auto"/>
                      <w:sz w:val="21"/>
                      <w:szCs w:val="21"/>
                      <w:highlight w:val="none"/>
                    </w:rPr>
                  </w:pPr>
                  <w:r>
                    <w:rPr>
                      <w:rFonts w:ascii="Times New Roman" w:hAnsi="Times New Roman" w:eastAsia="宋体" w:cs="Times New Roman"/>
                      <w:b w:val="0"/>
                      <w:bCs w:val="0"/>
                      <w:color w:val="auto"/>
                      <w:sz w:val="21"/>
                      <w:szCs w:val="21"/>
                      <w:highlight w:val="none"/>
                    </w:rPr>
                    <w:t>等效黏土防渗层Mb≥6.0m，K≤1.0×10</w:t>
                  </w:r>
                  <w:r>
                    <w:rPr>
                      <w:rFonts w:ascii="Times New Roman" w:hAnsi="Times New Roman" w:eastAsia="宋体" w:cs="Times New Roman"/>
                      <w:b w:val="0"/>
                      <w:bCs w:val="0"/>
                      <w:color w:val="auto"/>
                      <w:sz w:val="21"/>
                      <w:szCs w:val="21"/>
                      <w:highlight w:val="none"/>
                      <w:vertAlign w:val="superscript"/>
                    </w:rPr>
                    <w:t>-</w:t>
                  </w:r>
                  <w:r>
                    <w:rPr>
                      <w:rFonts w:hint="eastAsia" w:cs="Times New Roman"/>
                      <w:b w:val="0"/>
                      <w:bCs w:val="0"/>
                      <w:color w:val="auto"/>
                      <w:sz w:val="21"/>
                      <w:szCs w:val="21"/>
                      <w:highlight w:val="none"/>
                      <w:vertAlign w:val="superscript"/>
                      <w:lang w:val="en-US" w:eastAsia="zh-CN"/>
                    </w:rPr>
                    <w:t>10</w:t>
                  </w:r>
                  <w:r>
                    <w:rPr>
                      <w:rFonts w:ascii="Times New Roman" w:hAnsi="Times New Roman" w:eastAsia="宋体" w:cs="Times New Roman"/>
                      <w:b w:val="0"/>
                      <w:bCs w:val="0"/>
                      <w:color w:val="auto"/>
                      <w:sz w:val="21"/>
                      <w:szCs w:val="21"/>
                      <w:highlight w:val="none"/>
                    </w:rPr>
                    <w:t>cm/s</w:t>
                  </w:r>
                </w:p>
              </w:tc>
            </w:tr>
            <w:tr w14:paraId="294EBB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pct"/>
                  <w:tcBorders>
                    <w:tl2br w:val="nil"/>
                    <w:tr2bl w:val="nil"/>
                  </w:tcBorders>
                  <w:vAlign w:val="center"/>
                </w:tcPr>
                <w:p w14:paraId="783A0AE0">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ascii="Times New Roman" w:hAnsi="Times New Roman" w:eastAsia="宋体" w:cs="Times New Roman"/>
                      <w:b w:val="0"/>
                      <w:bCs w:val="0"/>
                      <w:color w:val="auto"/>
                      <w:sz w:val="21"/>
                      <w:szCs w:val="21"/>
                      <w:highlight w:val="none"/>
                    </w:rPr>
                    <w:t>生产区</w:t>
                  </w:r>
                  <w:r>
                    <w:rPr>
                      <w:rFonts w:hint="eastAsia" w:cs="Times New Roman"/>
                      <w:b w:val="0"/>
                      <w:bCs w:val="0"/>
                      <w:color w:val="auto"/>
                      <w:sz w:val="21"/>
                      <w:szCs w:val="21"/>
                      <w:highlight w:val="none"/>
                      <w:lang w:eastAsia="zh-CN"/>
                    </w:rPr>
                    <w:t>、</w:t>
                  </w:r>
                  <w:r>
                    <w:rPr>
                      <w:rFonts w:hint="eastAsia" w:cs="Times New Roman"/>
                      <w:b w:val="0"/>
                      <w:bCs w:val="0"/>
                      <w:color w:val="auto"/>
                      <w:sz w:val="21"/>
                      <w:szCs w:val="21"/>
                      <w:highlight w:val="none"/>
                      <w:lang w:val="en-US" w:eastAsia="zh-CN"/>
                    </w:rPr>
                    <w:t>固废暂存间</w:t>
                  </w:r>
                </w:p>
              </w:tc>
              <w:tc>
                <w:tcPr>
                  <w:tcW w:w="712" w:type="pct"/>
                  <w:tcBorders>
                    <w:tl2br w:val="nil"/>
                    <w:tr2bl w:val="nil"/>
                  </w:tcBorders>
                  <w:vAlign w:val="center"/>
                </w:tcPr>
                <w:p w14:paraId="7E140F94">
                  <w:pPr>
                    <w:spacing w:line="240" w:lineRule="auto"/>
                    <w:jc w:val="center"/>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lang w:val="en-US" w:eastAsia="zh-CN"/>
                    </w:rPr>
                    <w:t>弱</w:t>
                  </w:r>
                </w:p>
              </w:tc>
              <w:tc>
                <w:tcPr>
                  <w:tcW w:w="721" w:type="pct"/>
                  <w:tcBorders>
                    <w:tl2br w:val="nil"/>
                    <w:tr2bl w:val="nil"/>
                  </w:tcBorders>
                  <w:vAlign w:val="center"/>
                </w:tcPr>
                <w:p w14:paraId="49BE7158">
                  <w:pPr>
                    <w:spacing w:line="240" w:lineRule="auto"/>
                    <w:jc w:val="center"/>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rPr>
                    <w:t>易</w:t>
                  </w:r>
                  <w:r>
                    <w:rPr>
                      <w:rFonts w:hint="eastAsia" w:cs="Times New Roman"/>
                      <w:b w:val="0"/>
                      <w:bCs w:val="0"/>
                      <w:color w:val="auto"/>
                      <w:sz w:val="21"/>
                      <w:szCs w:val="21"/>
                      <w:highlight w:val="none"/>
                      <w:lang w:val="en-US" w:eastAsia="zh-CN"/>
                    </w:rPr>
                    <w:t>--</w:t>
                  </w:r>
                  <w:r>
                    <w:rPr>
                      <w:rFonts w:hint="eastAsia" w:ascii="Times New Roman" w:hAnsi="Times New Roman" w:eastAsia="宋体" w:cs="Times New Roman"/>
                      <w:b w:val="0"/>
                      <w:bCs w:val="0"/>
                      <w:color w:val="auto"/>
                      <w:sz w:val="21"/>
                      <w:szCs w:val="21"/>
                      <w:highlight w:val="none"/>
                      <w:lang w:val="zh-TW" w:eastAsia="zh-TW"/>
                    </w:rPr>
                    <w:t>难</w:t>
                  </w:r>
                </w:p>
              </w:tc>
              <w:tc>
                <w:tcPr>
                  <w:tcW w:w="1089" w:type="pct"/>
                  <w:tcBorders>
                    <w:tl2br w:val="nil"/>
                    <w:tr2bl w:val="nil"/>
                  </w:tcBorders>
                  <w:vAlign w:val="center"/>
                </w:tcPr>
                <w:p w14:paraId="7AC0FB30">
                  <w:pPr>
                    <w:spacing w:line="240" w:lineRule="auto"/>
                    <w:jc w:val="center"/>
                    <w:rPr>
                      <w:rFonts w:ascii="Times New Roman" w:hAnsi="Times New Roman" w:eastAsia="宋体" w:cs="Times New Roman"/>
                      <w:b w:val="0"/>
                      <w:bCs w:val="0"/>
                      <w:color w:val="auto"/>
                      <w:sz w:val="21"/>
                      <w:szCs w:val="21"/>
                      <w:highlight w:val="none"/>
                      <w:lang w:val="zh-TW" w:eastAsia="zh-TW"/>
                    </w:rPr>
                  </w:pPr>
                  <w:r>
                    <w:rPr>
                      <w:rFonts w:hint="eastAsia" w:cs="Times New Roman"/>
                      <w:b w:val="0"/>
                      <w:bCs w:val="0"/>
                      <w:color w:val="auto"/>
                      <w:sz w:val="21"/>
                      <w:szCs w:val="21"/>
                      <w:highlight w:val="none"/>
                      <w:lang w:val="en-US" w:eastAsia="zh-CN"/>
                    </w:rPr>
                    <w:t>非</w:t>
                  </w:r>
                  <w:r>
                    <w:rPr>
                      <w:rFonts w:hint="eastAsia" w:ascii="Times New Roman" w:hAnsi="Times New Roman" w:eastAsia="宋体" w:cs="Times New Roman"/>
                      <w:b w:val="0"/>
                      <w:bCs w:val="0"/>
                      <w:color w:val="auto"/>
                      <w:sz w:val="21"/>
                      <w:szCs w:val="21"/>
                      <w:highlight w:val="none"/>
                      <w:lang w:val="zh-TW" w:eastAsia="zh-TW"/>
                    </w:rPr>
                    <w:t>重金属</w:t>
                  </w:r>
                </w:p>
              </w:tc>
              <w:tc>
                <w:tcPr>
                  <w:tcW w:w="704" w:type="pct"/>
                  <w:tcBorders>
                    <w:tl2br w:val="nil"/>
                    <w:tr2bl w:val="nil"/>
                  </w:tcBorders>
                  <w:vAlign w:val="center"/>
                </w:tcPr>
                <w:p w14:paraId="7A178BCE">
                  <w:pPr>
                    <w:spacing w:line="240" w:lineRule="auto"/>
                    <w:jc w:val="center"/>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rPr>
                    <w:t>一般防渗</w:t>
                  </w:r>
                </w:p>
              </w:tc>
              <w:tc>
                <w:tcPr>
                  <w:tcW w:w="1158" w:type="pct"/>
                  <w:tcBorders>
                    <w:tl2br w:val="nil"/>
                    <w:tr2bl w:val="nil"/>
                  </w:tcBorders>
                  <w:vAlign w:val="center"/>
                </w:tcPr>
                <w:p w14:paraId="3A7DA4F5">
                  <w:pPr>
                    <w:spacing w:line="240" w:lineRule="auto"/>
                    <w:jc w:val="center"/>
                    <w:rPr>
                      <w:rFonts w:ascii="Times New Roman" w:hAnsi="Times New Roman" w:eastAsia="宋体" w:cs="Times New Roman"/>
                      <w:b w:val="0"/>
                      <w:bCs w:val="0"/>
                      <w:color w:val="auto"/>
                      <w:sz w:val="21"/>
                      <w:szCs w:val="21"/>
                      <w:highlight w:val="none"/>
                    </w:rPr>
                  </w:pPr>
                  <w:r>
                    <w:rPr>
                      <w:rFonts w:ascii="Times New Roman" w:hAnsi="Times New Roman" w:eastAsia="宋体" w:cs="Times New Roman"/>
                      <w:b w:val="0"/>
                      <w:bCs w:val="0"/>
                      <w:color w:val="auto"/>
                      <w:sz w:val="21"/>
                      <w:szCs w:val="21"/>
                      <w:highlight w:val="none"/>
                    </w:rPr>
                    <w:t>等效黏土防渗层Mb≥</w:t>
                  </w:r>
                  <w:r>
                    <w:rPr>
                      <w:rFonts w:hint="eastAsia" w:cs="Times New Roman"/>
                      <w:b w:val="0"/>
                      <w:bCs w:val="0"/>
                      <w:color w:val="auto"/>
                      <w:sz w:val="21"/>
                      <w:szCs w:val="21"/>
                      <w:highlight w:val="none"/>
                      <w:lang w:val="en-US" w:eastAsia="zh-CN"/>
                    </w:rPr>
                    <w:t>0.75</w:t>
                  </w:r>
                  <w:r>
                    <w:rPr>
                      <w:rFonts w:ascii="Times New Roman" w:hAnsi="Times New Roman" w:eastAsia="宋体" w:cs="Times New Roman"/>
                      <w:b w:val="0"/>
                      <w:bCs w:val="0"/>
                      <w:color w:val="auto"/>
                      <w:sz w:val="21"/>
                      <w:szCs w:val="21"/>
                      <w:highlight w:val="none"/>
                    </w:rPr>
                    <w:t>m，K≤1.0×10</w:t>
                  </w:r>
                  <w:r>
                    <w:rPr>
                      <w:rFonts w:ascii="Times New Roman" w:hAnsi="Times New Roman" w:eastAsia="宋体" w:cs="Times New Roman"/>
                      <w:b w:val="0"/>
                      <w:bCs w:val="0"/>
                      <w:color w:val="auto"/>
                      <w:sz w:val="21"/>
                      <w:szCs w:val="21"/>
                      <w:highlight w:val="none"/>
                      <w:vertAlign w:val="superscript"/>
                    </w:rPr>
                    <w:t>-</w:t>
                  </w:r>
                  <w:r>
                    <w:rPr>
                      <w:rFonts w:hint="eastAsia" w:cs="Times New Roman"/>
                      <w:b w:val="0"/>
                      <w:bCs w:val="0"/>
                      <w:color w:val="auto"/>
                      <w:sz w:val="21"/>
                      <w:szCs w:val="21"/>
                      <w:highlight w:val="none"/>
                      <w:vertAlign w:val="superscript"/>
                      <w:lang w:val="en-US" w:eastAsia="zh-CN"/>
                    </w:rPr>
                    <w:t>5</w:t>
                  </w:r>
                  <w:r>
                    <w:rPr>
                      <w:rFonts w:ascii="Times New Roman" w:hAnsi="Times New Roman" w:eastAsia="宋体" w:cs="Times New Roman"/>
                      <w:b w:val="0"/>
                      <w:bCs w:val="0"/>
                      <w:color w:val="auto"/>
                      <w:sz w:val="21"/>
                      <w:szCs w:val="21"/>
                      <w:highlight w:val="none"/>
                    </w:rPr>
                    <w:t>cm/s</w:t>
                  </w:r>
                </w:p>
              </w:tc>
            </w:tr>
            <w:tr w14:paraId="3613626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pct"/>
                  <w:tcBorders>
                    <w:tl2br w:val="nil"/>
                    <w:tr2bl w:val="nil"/>
                  </w:tcBorders>
                  <w:vAlign w:val="center"/>
                </w:tcPr>
                <w:p w14:paraId="53B11A70">
                  <w:pPr>
                    <w:spacing w:line="240" w:lineRule="auto"/>
                    <w:jc w:val="center"/>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rPr>
                    <w:t>办公生活区</w:t>
                  </w:r>
                </w:p>
              </w:tc>
              <w:tc>
                <w:tcPr>
                  <w:tcW w:w="712" w:type="pct"/>
                  <w:tcBorders>
                    <w:tl2br w:val="nil"/>
                    <w:tr2bl w:val="nil"/>
                  </w:tcBorders>
                  <w:vAlign w:val="center"/>
                </w:tcPr>
                <w:p w14:paraId="4CC2C94C">
                  <w:pPr>
                    <w:spacing w:line="240" w:lineRule="auto"/>
                    <w:jc w:val="center"/>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lang w:val="en-US" w:eastAsia="zh-CN"/>
                    </w:rPr>
                    <w:t>弱</w:t>
                  </w:r>
                </w:p>
              </w:tc>
              <w:tc>
                <w:tcPr>
                  <w:tcW w:w="721" w:type="pct"/>
                  <w:tcBorders>
                    <w:tl2br w:val="nil"/>
                    <w:tr2bl w:val="nil"/>
                  </w:tcBorders>
                  <w:vAlign w:val="center"/>
                </w:tcPr>
                <w:p w14:paraId="60027F9F">
                  <w:pPr>
                    <w:spacing w:line="240" w:lineRule="auto"/>
                    <w:jc w:val="center"/>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rPr>
                    <w:t>易</w:t>
                  </w:r>
                </w:p>
              </w:tc>
              <w:tc>
                <w:tcPr>
                  <w:tcW w:w="1089" w:type="pct"/>
                  <w:tcBorders>
                    <w:tl2br w:val="nil"/>
                    <w:tr2bl w:val="nil"/>
                  </w:tcBorders>
                  <w:vAlign w:val="center"/>
                </w:tcPr>
                <w:p w14:paraId="04FDF897">
                  <w:pPr>
                    <w:spacing w:line="240" w:lineRule="auto"/>
                    <w:jc w:val="center"/>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lang w:val="zh-TW" w:eastAsia="zh-TW"/>
                    </w:rPr>
                    <w:t>污染物</w:t>
                  </w:r>
                  <w:r>
                    <w:rPr>
                      <w:rFonts w:hint="eastAsia" w:cs="Times New Roman"/>
                      <w:b w:val="0"/>
                      <w:bCs w:val="0"/>
                      <w:color w:val="auto"/>
                      <w:sz w:val="21"/>
                      <w:szCs w:val="21"/>
                      <w:highlight w:val="none"/>
                      <w:lang w:val="en-US" w:eastAsia="zh-CN"/>
                    </w:rPr>
                    <w:t>的</w:t>
                  </w:r>
                  <w:r>
                    <w:rPr>
                      <w:rFonts w:hint="eastAsia" w:ascii="Times New Roman" w:hAnsi="Times New Roman" w:eastAsia="宋体" w:cs="Times New Roman"/>
                      <w:b w:val="0"/>
                      <w:bCs w:val="0"/>
                      <w:color w:val="auto"/>
                      <w:sz w:val="21"/>
                      <w:szCs w:val="21"/>
                      <w:highlight w:val="none"/>
                      <w:lang w:val="zh-TW" w:eastAsia="zh-TW"/>
                    </w:rPr>
                    <w:t>其他类型</w:t>
                  </w:r>
                </w:p>
              </w:tc>
              <w:tc>
                <w:tcPr>
                  <w:tcW w:w="704" w:type="pct"/>
                  <w:tcBorders>
                    <w:tl2br w:val="nil"/>
                    <w:tr2bl w:val="nil"/>
                  </w:tcBorders>
                  <w:vAlign w:val="center"/>
                </w:tcPr>
                <w:p w14:paraId="6E917D93">
                  <w:pPr>
                    <w:spacing w:line="240" w:lineRule="auto"/>
                    <w:jc w:val="center"/>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rPr>
                    <w:t>简单防渗</w:t>
                  </w:r>
                </w:p>
              </w:tc>
              <w:tc>
                <w:tcPr>
                  <w:tcW w:w="1158" w:type="pct"/>
                  <w:tcBorders>
                    <w:tl2br w:val="nil"/>
                    <w:tr2bl w:val="nil"/>
                  </w:tcBorders>
                  <w:vAlign w:val="center"/>
                </w:tcPr>
                <w:p w14:paraId="1D8931F3">
                  <w:pPr>
                    <w:spacing w:line="240" w:lineRule="auto"/>
                    <w:jc w:val="center"/>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lang w:val="zh-TW" w:eastAsia="zh-TW"/>
                    </w:rPr>
                    <w:t>一般地面硬化</w:t>
                  </w:r>
                </w:p>
              </w:tc>
            </w:tr>
          </w:tbl>
          <w:p w14:paraId="2940A0D4">
            <w:pPr>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b w:val="0"/>
                <w:bCs w:val="0"/>
                <w:color w:val="auto"/>
                <w:kern w:val="2"/>
                <w:sz w:val="24"/>
                <w:szCs w:val="20"/>
                <w:highlight w:val="none"/>
                <w:lang w:val="en-US" w:eastAsia="zh-CN"/>
              </w:rPr>
            </w:pPr>
            <w:r>
              <w:rPr>
                <w:rFonts w:hint="eastAsia" w:cs="Times New Roman"/>
                <w:b w:val="0"/>
                <w:bCs w:val="0"/>
                <w:color w:val="auto"/>
                <w:kern w:val="2"/>
                <w:sz w:val="24"/>
                <w:szCs w:val="20"/>
                <w:highlight w:val="none"/>
                <w:lang w:val="en-US" w:eastAsia="zh-CN"/>
              </w:rPr>
              <w:t>（3）</w:t>
            </w:r>
            <w:r>
              <w:rPr>
                <w:rFonts w:hint="eastAsia" w:ascii="Times New Roman" w:hAnsi="Times New Roman" w:eastAsia="宋体" w:cs="Times New Roman"/>
                <w:b w:val="0"/>
                <w:bCs w:val="0"/>
                <w:color w:val="auto"/>
                <w:kern w:val="2"/>
                <w:sz w:val="24"/>
                <w:szCs w:val="20"/>
                <w:highlight w:val="none"/>
                <w:lang w:val="en-US" w:eastAsia="zh-CN"/>
              </w:rPr>
              <w:t>环境影响分析</w:t>
            </w:r>
          </w:p>
          <w:p w14:paraId="5B4BF153">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auto"/>
                <w:kern w:val="2"/>
                <w:sz w:val="24"/>
                <w:szCs w:val="20"/>
                <w:highlight w:val="none"/>
                <w:lang w:val="en-US" w:eastAsia="zh-CN"/>
              </w:rPr>
            </w:pPr>
            <w:r>
              <w:rPr>
                <w:rFonts w:hint="default" w:ascii="Times New Roman" w:hAnsi="Times New Roman" w:eastAsia="宋体" w:cs="Times New Roman"/>
                <w:color w:val="auto"/>
                <w:kern w:val="2"/>
                <w:sz w:val="24"/>
                <w:szCs w:val="20"/>
                <w:highlight w:val="none"/>
                <w:lang w:val="en-US" w:eastAsia="zh-CN"/>
              </w:rPr>
              <w:t>根据项目特点，厂区进行分区并对不同分区采取相应的防渗措施。项目对可能产生地下水</w:t>
            </w:r>
            <w:r>
              <w:rPr>
                <w:rFonts w:hint="eastAsia" w:ascii="Times New Roman" w:hAnsi="Times New Roman" w:eastAsia="宋体" w:cs="Times New Roman"/>
                <w:color w:val="auto"/>
                <w:kern w:val="2"/>
                <w:sz w:val="24"/>
                <w:szCs w:val="20"/>
                <w:highlight w:val="none"/>
                <w:lang w:val="en-US" w:eastAsia="zh-CN"/>
              </w:rPr>
              <w:t>、土壤</w:t>
            </w:r>
            <w:r>
              <w:rPr>
                <w:rFonts w:hint="default" w:ascii="Times New Roman" w:hAnsi="Times New Roman" w:eastAsia="宋体" w:cs="Times New Roman"/>
                <w:color w:val="auto"/>
                <w:kern w:val="2"/>
                <w:sz w:val="24"/>
                <w:szCs w:val="20"/>
                <w:highlight w:val="none"/>
                <w:lang w:val="en-US" w:eastAsia="zh-CN"/>
              </w:rPr>
              <w:t>影响的各项途径均进行有效预防，各项防渗措施可以有效地防止对区域地下水</w:t>
            </w:r>
            <w:r>
              <w:rPr>
                <w:rFonts w:hint="eastAsia" w:ascii="Times New Roman" w:hAnsi="Times New Roman" w:eastAsia="宋体" w:cs="Times New Roman"/>
                <w:color w:val="auto"/>
                <w:kern w:val="2"/>
                <w:sz w:val="24"/>
                <w:szCs w:val="20"/>
                <w:highlight w:val="none"/>
                <w:lang w:val="en-US" w:eastAsia="zh-CN"/>
              </w:rPr>
              <w:t>、土壤</w:t>
            </w:r>
            <w:r>
              <w:rPr>
                <w:rFonts w:hint="default" w:ascii="Times New Roman" w:hAnsi="Times New Roman" w:eastAsia="宋体" w:cs="Times New Roman"/>
                <w:color w:val="auto"/>
                <w:kern w:val="2"/>
                <w:sz w:val="24"/>
                <w:szCs w:val="20"/>
                <w:highlight w:val="none"/>
                <w:lang w:val="en-US" w:eastAsia="zh-CN"/>
              </w:rPr>
              <w:t>造成污染。综上所述，项目不会对</w:t>
            </w:r>
            <w:r>
              <w:rPr>
                <w:rFonts w:hint="eastAsia" w:ascii="Times New Roman" w:hAnsi="Times New Roman" w:eastAsia="宋体" w:cs="Times New Roman"/>
                <w:color w:val="auto"/>
                <w:kern w:val="2"/>
                <w:sz w:val="24"/>
                <w:szCs w:val="20"/>
                <w:highlight w:val="none"/>
                <w:lang w:val="en-US" w:eastAsia="zh-CN"/>
              </w:rPr>
              <w:t>项目区</w:t>
            </w:r>
            <w:r>
              <w:rPr>
                <w:rFonts w:hint="default" w:ascii="Times New Roman" w:hAnsi="Times New Roman" w:eastAsia="宋体" w:cs="Times New Roman"/>
                <w:color w:val="auto"/>
                <w:kern w:val="2"/>
                <w:sz w:val="24"/>
                <w:szCs w:val="20"/>
                <w:highlight w:val="none"/>
                <w:lang w:val="en-US" w:eastAsia="zh-CN"/>
              </w:rPr>
              <w:t>地下水</w:t>
            </w:r>
            <w:r>
              <w:rPr>
                <w:rFonts w:hint="eastAsia" w:ascii="Times New Roman" w:hAnsi="Times New Roman" w:eastAsia="宋体" w:cs="Times New Roman"/>
                <w:color w:val="auto"/>
                <w:kern w:val="2"/>
                <w:sz w:val="24"/>
                <w:szCs w:val="20"/>
                <w:highlight w:val="none"/>
                <w:lang w:val="en-US" w:eastAsia="zh-CN"/>
              </w:rPr>
              <w:t>、土壤</w:t>
            </w:r>
            <w:r>
              <w:rPr>
                <w:rFonts w:hint="default" w:ascii="Times New Roman" w:hAnsi="Times New Roman" w:eastAsia="宋体" w:cs="Times New Roman"/>
                <w:color w:val="auto"/>
                <w:kern w:val="2"/>
                <w:sz w:val="24"/>
                <w:szCs w:val="20"/>
                <w:highlight w:val="none"/>
                <w:lang w:val="en-US" w:eastAsia="zh-CN"/>
              </w:rPr>
              <w:t>环境造成污染影响</w:t>
            </w:r>
            <w:r>
              <w:rPr>
                <w:rFonts w:hint="eastAsia" w:ascii="Times New Roman" w:hAnsi="Times New Roman" w:eastAsia="宋体" w:cs="Times New Roman"/>
                <w:color w:val="auto"/>
                <w:kern w:val="2"/>
                <w:sz w:val="24"/>
                <w:szCs w:val="20"/>
                <w:highlight w:val="none"/>
                <w:lang w:val="en-US" w:eastAsia="zh-CN"/>
              </w:rPr>
              <w:t>。</w:t>
            </w:r>
          </w:p>
          <w:p w14:paraId="630BA30C">
            <w:pPr>
              <w:pStyle w:val="7"/>
              <w:pageBreakBefore w:val="0"/>
              <w:widowControl w:val="0"/>
              <w:kinsoku/>
              <w:wordWrap/>
              <w:overflowPunct/>
              <w:topLinePunct w:val="0"/>
              <w:autoSpaceDE/>
              <w:autoSpaceDN/>
              <w:bidi w:val="0"/>
              <w:adjustRightInd/>
              <w:snapToGrid/>
              <w:spacing w:beforeLines="0" w:afterLines="0" w:line="360" w:lineRule="auto"/>
              <w:ind w:right="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6</w:t>
            </w:r>
            <w:r>
              <w:rPr>
                <w:rFonts w:hint="eastAsia" w:cs="Times New Roman"/>
                <w:b/>
                <w:bCs/>
                <w:color w:val="auto"/>
                <w:sz w:val="24"/>
                <w:szCs w:val="24"/>
                <w:highlight w:val="none"/>
                <w:lang w:val="en-US" w:eastAsia="zh-CN"/>
              </w:rPr>
              <w:t>.</w:t>
            </w:r>
            <w:r>
              <w:rPr>
                <w:rFonts w:hint="default" w:ascii="Times New Roman" w:hAnsi="Times New Roman" w:eastAsia="宋体" w:cs="Times New Roman"/>
                <w:b/>
                <w:bCs/>
                <w:color w:val="auto"/>
                <w:sz w:val="24"/>
                <w:szCs w:val="24"/>
                <w:highlight w:val="none"/>
              </w:rPr>
              <w:t>环境风险分析</w:t>
            </w:r>
          </w:p>
          <w:p w14:paraId="68971C07">
            <w:pPr>
              <w:spacing w:line="48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次评价以《建设项目环境风险评价技术导则》（HJ169-2018）为指导，本评价按照上述文件及风险评价导则的相关要求，采用风险识别、风险分析和对环境后果计算等方法进行环境风险评价，了解其环境风险的可接受程度，提出减少风险的事故应急措施及社会应急预案，为工程设计和环境管理提供资料和依据，以期达到降低危险，减少危害的目的。</w:t>
            </w:r>
          </w:p>
          <w:p w14:paraId="340F53DE">
            <w:pPr>
              <w:numPr>
                <w:ilvl w:val="0"/>
                <w:numId w:val="0"/>
              </w:numPr>
              <w:spacing w:line="480" w:lineRule="exact"/>
              <w:ind w:firstLine="480" w:firstLineChars="200"/>
              <w:rPr>
                <w:rFonts w:hint="default" w:ascii="Times New Roman" w:hAnsi="Times New Roman" w:cs="Times New Roman"/>
                <w:color w:val="auto"/>
                <w:sz w:val="24"/>
                <w:highlight w:val="none"/>
              </w:rPr>
            </w:pPr>
            <w:r>
              <w:rPr>
                <w:rFonts w:hint="default" w:ascii="Times New Roman" w:hAnsi="Times New Roman" w:eastAsia="宋体" w:cs="Times New Roman"/>
                <w:color w:val="auto"/>
                <w:kern w:val="2"/>
                <w:sz w:val="24"/>
                <w:szCs w:val="24"/>
                <w:lang w:val="en-US" w:eastAsia="zh-CN" w:bidi="ar-SA"/>
              </w:rPr>
              <w:t>（1）</w:t>
            </w:r>
            <w:r>
              <w:rPr>
                <w:rFonts w:hint="default" w:ascii="Times New Roman" w:hAnsi="Times New Roman" w:cs="Times New Roman"/>
                <w:color w:val="auto"/>
                <w:sz w:val="24"/>
                <w:highlight w:val="none"/>
              </w:rPr>
              <w:t>评价依据</w:t>
            </w:r>
          </w:p>
          <w:p w14:paraId="2548DA5C">
            <w:pPr>
              <w:numPr>
                <w:ilvl w:val="0"/>
                <w:numId w:val="0"/>
              </w:numPr>
              <w:spacing w:line="480" w:lineRule="exact"/>
              <w:ind w:left="0" w:leftChars="0" w:firstLine="480" w:firstLineChars="0"/>
              <w:rPr>
                <w:rFonts w:hint="default" w:ascii="Times New Roman" w:hAnsi="Times New Roman" w:cs="Times New Roman"/>
                <w:color w:val="auto"/>
                <w:sz w:val="24"/>
                <w:highlight w:val="none"/>
              </w:rPr>
            </w:pPr>
            <w:r>
              <w:rPr>
                <w:rFonts w:hint="default" w:ascii="Times New Roman" w:hAnsi="Times New Roman" w:eastAsia="宋体" w:cs="Times New Roman"/>
                <w:color w:val="auto"/>
                <w:kern w:val="2"/>
                <w:sz w:val="24"/>
                <w:szCs w:val="24"/>
                <w:lang w:val="en-US" w:eastAsia="zh-CN" w:bidi="ar-SA"/>
              </w:rPr>
              <w:t>1）</w:t>
            </w:r>
            <w:r>
              <w:rPr>
                <w:rFonts w:hint="default" w:ascii="Times New Roman" w:hAnsi="Times New Roman" w:cs="Times New Roman"/>
                <w:color w:val="auto"/>
                <w:sz w:val="24"/>
                <w:highlight w:val="none"/>
              </w:rPr>
              <w:t>风险调查</w:t>
            </w:r>
          </w:p>
          <w:p w14:paraId="56BB2334">
            <w:pPr>
              <w:pStyle w:val="12"/>
              <w:snapToGrid/>
              <w:spacing w:before="0" w:after="0" w:line="480" w:lineRule="exact"/>
              <w:ind w:right="0"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项目生产过程中所涉及的易燃有害物质根据《建设项目环境风险评价技术导则》（HJ/T169-2018）表B.1突发环境事件风险物质及临界量确定为：381油类物质，其主要风险因素为暂存过程中产生的泄漏、物料散失等，环境风险评价主要针对生产过程中存在的风险因素进行分析。</w:t>
            </w:r>
          </w:p>
          <w:p w14:paraId="6AE12E34">
            <w:pPr>
              <w:numPr>
                <w:ilvl w:val="0"/>
                <w:numId w:val="0"/>
              </w:numPr>
              <w:spacing w:line="480" w:lineRule="exact"/>
              <w:ind w:left="0" w:leftChars="0" w:firstLine="480" w:firstLineChars="0"/>
              <w:rPr>
                <w:rFonts w:hint="default" w:ascii="Times New Roman" w:hAnsi="Times New Roman" w:cs="Times New Roman"/>
                <w:color w:val="auto"/>
                <w:sz w:val="24"/>
                <w:highlight w:val="none"/>
              </w:rPr>
            </w:pPr>
            <w:r>
              <w:rPr>
                <w:rFonts w:hint="default" w:ascii="Times New Roman" w:hAnsi="Times New Roman" w:eastAsia="宋体" w:cs="Times New Roman"/>
                <w:color w:val="auto"/>
                <w:kern w:val="2"/>
                <w:sz w:val="24"/>
                <w:szCs w:val="24"/>
                <w:lang w:val="en-US" w:eastAsia="zh-CN" w:bidi="ar-SA"/>
              </w:rPr>
              <w:t>2）</w:t>
            </w:r>
            <w:r>
              <w:rPr>
                <w:rFonts w:hint="default" w:ascii="Times New Roman" w:hAnsi="Times New Roman" w:cs="Times New Roman"/>
                <w:color w:val="auto"/>
                <w:sz w:val="24"/>
                <w:highlight w:val="none"/>
              </w:rPr>
              <w:t>风险潜势初判</w:t>
            </w:r>
          </w:p>
          <w:p w14:paraId="31751F69">
            <w:pPr>
              <w:pStyle w:val="12"/>
              <w:numPr>
                <w:ilvl w:val="0"/>
                <w:numId w:val="3"/>
              </w:numPr>
              <w:snapToGrid/>
              <w:spacing w:before="0" w:after="0" w:line="480" w:lineRule="exact"/>
              <w:ind w:left="0" w:right="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境风险潜势划分</w:t>
            </w:r>
          </w:p>
          <w:p w14:paraId="273223D7">
            <w:pPr>
              <w:pStyle w:val="12"/>
              <w:snapToGrid/>
              <w:spacing w:before="0" w:after="0" w:line="480" w:lineRule="exact"/>
              <w:ind w:right="0"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建设项目环境风险潜势划分为Ⅰ、Ⅱ、Ⅲ、IV/IV+级。根据建设项目涉及的物质和工艺系统危险性其所在地环境敏感程度，结合事根据建设项目涉及的物质和工艺系统危险性其所在地环境敏感程度，结合事故情形下影响途径，对建设项目潜在环境危害程度进行概化分析，按照表4-</w:t>
            </w:r>
            <w:r>
              <w:rPr>
                <w:rFonts w:hint="eastAsia" w:ascii="Times New Roman" w:hAnsi="Times New Roman" w:cs="Times New Roman"/>
                <w:color w:val="auto"/>
                <w:sz w:val="24"/>
                <w:szCs w:val="24"/>
                <w:highlight w:val="none"/>
                <w:lang w:val="en-US" w:eastAsia="zh-CN"/>
              </w:rPr>
              <w:t>19</w:t>
            </w:r>
            <w:r>
              <w:rPr>
                <w:rFonts w:hint="default" w:ascii="Times New Roman" w:hAnsi="Times New Roman" w:cs="Times New Roman"/>
                <w:color w:val="auto"/>
                <w:sz w:val="24"/>
                <w:szCs w:val="24"/>
                <w:highlight w:val="none"/>
              </w:rPr>
              <w:t>确定环境风险潜势。</w:t>
            </w:r>
          </w:p>
          <w:p w14:paraId="40B229A0">
            <w:pPr>
              <w:pStyle w:val="22"/>
              <w:spacing w:after="0" w:line="240" w:lineRule="auto"/>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表4-</w:t>
            </w:r>
            <w:r>
              <w:rPr>
                <w:rFonts w:hint="eastAsia" w:cs="Times New Roman"/>
                <w:b/>
                <w:bCs/>
                <w:color w:val="auto"/>
                <w:highlight w:val="none"/>
                <w:lang w:val="en-US" w:eastAsia="zh-CN"/>
              </w:rPr>
              <w:t>19</w:t>
            </w:r>
            <w:r>
              <w:rPr>
                <w:rFonts w:hint="default" w:ascii="Times New Roman" w:hAnsi="Times New Roman" w:cs="Times New Roman"/>
                <w:b/>
                <w:bCs/>
                <w:color w:val="auto"/>
                <w:highlight w:val="none"/>
              </w:rPr>
              <w:t xml:space="preserve">    建设项目环境风险潜势划分依据</w:t>
            </w:r>
          </w:p>
          <w:tbl>
            <w:tblPr>
              <w:tblStyle w:val="26"/>
              <w:tblW w:w="4999" w:type="pct"/>
              <w:jc w:val="center"/>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Layout w:type="fixed"/>
              <w:tblCellMar>
                <w:top w:w="0" w:type="dxa"/>
                <w:left w:w="108" w:type="dxa"/>
                <w:bottom w:w="0" w:type="dxa"/>
                <w:right w:w="108" w:type="dxa"/>
              </w:tblCellMar>
            </w:tblPr>
            <w:tblGrid>
              <w:gridCol w:w="1714"/>
              <w:gridCol w:w="1594"/>
              <w:gridCol w:w="1598"/>
              <w:gridCol w:w="1594"/>
              <w:gridCol w:w="1610"/>
            </w:tblGrid>
            <w:tr w14:paraId="4A8718FB">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57" w:type="pct"/>
                  <w:vMerge w:val="restart"/>
                  <w:tcBorders>
                    <w:top w:val="single" w:color="000000" w:sz="12" w:space="0"/>
                    <w:left w:val="nil"/>
                    <w:bottom w:val="single" w:color="000000" w:sz="4" w:space="0"/>
                    <w:right w:val="single" w:color="000000" w:sz="4" w:space="0"/>
                  </w:tcBorders>
                  <w:noWrap w:val="0"/>
                  <w:vAlign w:val="center"/>
                </w:tcPr>
                <w:p w14:paraId="74DD61A3">
                  <w:pPr>
                    <w:pStyle w:val="23"/>
                    <w:widowControl w:val="0"/>
                    <w:autoSpaceDE w:val="0"/>
                    <w:autoSpaceDN w:val="0"/>
                    <w:adjustRightInd w:val="0"/>
                    <w:snapToGrid w:val="0"/>
                    <w:spacing w:before="0" w:beforeAutospacing="0" w:after="0" w:afterAutospacing="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环境敏感程度（E）</w:t>
                  </w:r>
                </w:p>
              </w:tc>
              <w:tc>
                <w:tcPr>
                  <w:tcW w:w="3942" w:type="pct"/>
                  <w:gridSpan w:val="4"/>
                  <w:tcBorders>
                    <w:top w:val="single" w:color="000000" w:sz="12" w:space="0"/>
                    <w:left w:val="single" w:color="000000" w:sz="4" w:space="0"/>
                    <w:bottom w:val="single" w:color="000000" w:sz="4" w:space="0"/>
                    <w:right w:val="nil"/>
                  </w:tcBorders>
                  <w:noWrap w:val="0"/>
                  <w:vAlign w:val="center"/>
                </w:tcPr>
                <w:p w14:paraId="071C6129">
                  <w:pPr>
                    <w:pStyle w:val="23"/>
                    <w:widowControl w:val="0"/>
                    <w:autoSpaceDE w:val="0"/>
                    <w:autoSpaceDN w:val="0"/>
                    <w:adjustRightInd w:val="0"/>
                    <w:snapToGrid w:val="0"/>
                    <w:spacing w:before="0" w:beforeAutospacing="0" w:after="0" w:afterAutospacing="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危险物质及工艺系统危险性（P）</w:t>
                  </w:r>
                </w:p>
              </w:tc>
            </w:tr>
            <w:tr w14:paraId="3CB00C22">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57" w:type="pct"/>
                  <w:vMerge w:val="continue"/>
                  <w:tcBorders>
                    <w:top w:val="single" w:color="000000" w:sz="4" w:space="0"/>
                    <w:left w:val="nil"/>
                    <w:bottom w:val="single" w:color="000000" w:sz="12" w:space="0"/>
                    <w:right w:val="single" w:color="000000" w:sz="4" w:space="0"/>
                  </w:tcBorders>
                  <w:noWrap w:val="0"/>
                  <w:vAlign w:val="center"/>
                </w:tcPr>
                <w:p w14:paraId="52BF2E68">
                  <w:pPr>
                    <w:rPr>
                      <w:rFonts w:hint="default" w:ascii="Times New Roman" w:hAnsi="Times New Roman" w:cs="Times New Roman"/>
                      <w:b/>
                      <w:bCs/>
                      <w:color w:val="auto"/>
                      <w:szCs w:val="21"/>
                      <w:highlight w:val="none"/>
                    </w:rPr>
                  </w:pPr>
                </w:p>
              </w:tc>
              <w:tc>
                <w:tcPr>
                  <w:tcW w:w="983" w:type="pct"/>
                  <w:tcBorders>
                    <w:top w:val="single" w:color="000000" w:sz="4" w:space="0"/>
                    <w:left w:val="single" w:color="000000" w:sz="4" w:space="0"/>
                    <w:bottom w:val="single" w:color="000000" w:sz="12" w:space="0"/>
                    <w:right w:val="single" w:color="000000" w:sz="4" w:space="0"/>
                  </w:tcBorders>
                  <w:noWrap w:val="0"/>
                  <w:vAlign w:val="center"/>
                </w:tcPr>
                <w:p w14:paraId="1464CF18">
                  <w:pPr>
                    <w:pStyle w:val="23"/>
                    <w:widowControl w:val="0"/>
                    <w:autoSpaceDE w:val="0"/>
                    <w:autoSpaceDN w:val="0"/>
                    <w:adjustRightInd w:val="0"/>
                    <w:snapToGrid w:val="0"/>
                    <w:spacing w:before="0" w:beforeAutospacing="0" w:after="0" w:afterAutospacing="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极高危害（P1）</w:t>
                  </w:r>
                </w:p>
              </w:tc>
              <w:tc>
                <w:tcPr>
                  <w:tcW w:w="985" w:type="pct"/>
                  <w:tcBorders>
                    <w:top w:val="single" w:color="000000" w:sz="4" w:space="0"/>
                    <w:left w:val="single" w:color="000000" w:sz="4" w:space="0"/>
                    <w:bottom w:val="single" w:color="000000" w:sz="12" w:space="0"/>
                    <w:right w:val="single" w:color="000000" w:sz="4" w:space="0"/>
                  </w:tcBorders>
                  <w:noWrap w:val="0"/>
                  <w:vAlign w:val="center"/>
                </w:tcPr>
                <w:p w14:paraId="5BF46972">
                  <w:pPr>
                    <w:pStyle w:val="23"/>
                    <w:widowControl w:val="0"/>
                    <w:autoSpaceDE w:val="0"/>
                    <w:autoSpaceDN w:val="0"/>
                    <w:adjustRightInd w:val="0"/>
                    <w:snapToGrid w:val="0"/>
                    <w:spacing w:before="0" w:beforeAutospacing="0" w:after="0" w:afterAutospacing="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高度危害（P2）</w:t>
                  </w:r>
                </w:p>
              </w:tc>
              <w:tc>
                <w:tcPr>
                  <w:tcW w:w="983" w:type="pct"/>
                  <w:tcBorders>
                    <w:top w:val="single" w:color="000000" w:sz="4" w:space="0"/>
                    <w:left w:val="single" w:color="000000" w:sz="4" w:space="0"/>
                    <w:bottom w:val="single" w:color="000000" w:sz="12" w:space="0"/>
                    <w:right w:val="single" w:color="000000" w:sz="4" w:space="0"/>
                  </w:tcBorders>
                  <w:noWrap w:val="0"/>
                  <w:vAlign w:val="center"/>
                </w:tcPr>
                <w:p w14:paraId="4DA0D7CF">
                  <w:pPr>
                    <w:pStyle w:val="23"/>
                    <w:widowControl w:val="0"/>
                    <w:autoSpaceDE w:val="0"/>
                    <w:autoSpaceDN w:val="0"/>
                    <w:adjustRightInd w:val="0"/>
                    <w:snapToGrid w:val="0"/>
                    <w:spacing w:before="0" w:beforeAutospacing="0" w:after="0" w:afterAutospacing="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中毒危害（P3）</w:t>
                  </w:r>
                </w:p>
              </w:tc>
              <w:tc>
                <w:tcPr>
                  <w:tcW w:w="990" w:type="pct"/>
                  <w:tcBorders>
                    <w:top w:val="single" w:color="000000" w:sz="4" w:space="0"/>
                    <w:left w:val="single" w:color="000000" w:sz="4" w:space="0"/>
                    <w:bottom w:val="single" w:color="000000" w:sz="12" w:space="0"/>
                    <w:right w:val="nil"/>
                  </w:tcBorders>
                  <w:noWrap w:val="0"/>
                  <w:vAlign w:val="center"/>
                </w:tcPr>
                <w:p w14:paraId="17E25ABC">
                  <w:pPr>
                    <w:pStyle w:val="23"/>
                    <w:widowControl w:val="0"/>
                    <w:autoSpaceDE w:val="0"/>
                    <w:autoSpaceDN w:val="0"/>
                    <w:adjustRightInd w:val="0"/>
                    <w:snapToGrid w:val="0"/>
                    <w:spacing w:before="0" w:beforeAutospacing="0" w:after="0" w:afterAutospacing="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轻度危害（P4）</w:t>
                  </w:r>
                </w:p>
              </w:tc>
            </w:tr>
            <w:tr w14:paraId="0CA45447">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57" w:type="pct"/>
                  <w:tcBorders>
                    <w:top w:val="single" w:color="000000" w:sz="12" w:space="0"/>
                    <w:left w:val="nil"/>
                    <w:bottom w:val="single" w:color="000000" w:sz="4" w:space="0"/>
                    <w:right w:val="single" w:color="000000" w:sz="4" w:space="0"/>
                  </w:tcBorders>
                  <w:noWrap w:val="0"/>
                  <w:vAlign w:val="center"/>
                </w:tcPr>
                <w:p w14:paraId="45E09102">
                  <w:pPr>
                    <w:pStyle w:val="23"/>
                    <w:widowControl w:val="0"/>
                    <w:autoSpaceDE w:val="0"/>
                    <w:autoSpaceDN w:val="0"/>
                    <w:adjustRightInd w:val="0"/>
                    <w:snapToGrid w:val="0"/>
                    <w:spacing w:before="0" w:beforeAutospacing="0" w:after="0" w:afterAutospacing="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环境高敏感区（E1）</w:t>
                  </w:r>
                </w:p>
              </w:tc>
              <w:tc>
                <w:tcPr>
                  <w:tcW w:w="983" w:type="pct"/>
                  <w:tcBorders>
                    <w:top w:val="single" w:color="000000" w:sz="12" w:space="0"/>
                    <w:left w:val="single" w:color="000000" w:sz="4" w:space="0"/>
                    <w:bottom w:val="single" w:color="000000" w:sz="4" w:space="0"/>
                    <w:right w:val="single" w:color="000000" w:sz="4" w:space="0"/>
                  </w:tcBorders>
                  <w:noWrap w:val="0"/>
                  <w:vAlign w:val="center"/>
                </w:tcPr>
                <w:p w14:paraId="1644265C">
                  <w:pPr>
                    <w:pStyle w:val="23"/>
                    <w:widowControl w:val="0"/>
                    <w:autoSpaceDE w:val="0"/>
                    <w:autoSpaceDN w:val="0"/>
                    <w:adjustRightInd w:val="0"/>
                    <w:snapToGrid w:val="0"/>
                    <w:spacing w:before="0" w:beforeAutospacing="0" w:after="0" w:afterAutospacing="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Ⅳ+</w:t>
                  </w:r>
                </w:p>
              </w:tc>
              <w:tc>
                <w:tcPr>
                  <w:tcW w:w="985" w:type="pct"/>
                  <w:tcBorders>
                    <w:top w:val="single" w:color="000000" w:sz="12" w:space="0"/>
                    <w:left w:val="single" w:color="000000" w:sz="4" w:space="0"/>
                    <w:bottom w:val="single" w:color="000000" w:sz="4" w:space="0"/>
                    <w:right w:val="single" w:color="000000" w:sz="4" w:space="0"/>
                  </w:tcBorders>
                  <w:noWrap w:val="0"/>
                  <w:vAlign w:val="center"/>
                </w:tcPr>
                <w:p w14:paraId="06FE6B97">
                  <w:pPr>
                    <w:pStyle w:val="23"/>
                    <w:widowControl w:val="0"/>
                    <w:autoSpaceDE w:val="0"/>
                    <w:autoSpaceDN w:val="0"/>
                    <w:adjustRightInd w:val="0"/>
                    <w:snapToGrid w:val="0"/>
                    <w:spacing w:before="0" w:beforeAutospacing="0" w:after="0" w:afterAutospacing="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Ⅳ</w:t>
                  </w:r>
                </w:p>
              </w:tc>
              <w:tc>
                <w:tcPr>
                  <w:tcW w:w="983" w:type="pct"/>
                  <w:tcBorders>
                    <w:top w:val="single" w:color="000000" w:sz="12" w:space="0"/>
                    <w:left w:val="single" w:color="000000" w:sz="4" w:space="0"/>
                    <w:bottom w:val="single" w:color="000000" w:sz="4" w:space="0"/>
                    <w:right w:val="single" w:color="000000" w:sz="4" w:space="0"/>
                  </w:tcBorders>
                  <w:noWrap w:val="0"/>
                  <w:vAlign w:val="center"/>
                </w:tcPr>
                <w:p w14:paraId="01610C64">
                  <w:pPr>
                    <w:pStyle w:val="23"/>
                    <w:widowControl w:val="0"/>
                    <w:autoSpaceDE w:val="0"/>
                    <w:autoSpaceDN w:val="0"/>
                    <w:adjustRightInd w:val="0"/>
                    <w:snapToGrid w:val="0"/>
                    <w:spacing w:before="0" w:beforeAutospacing="0" w:after="0" w:afterAutospacing="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Ⅲ</w:t>
                  </w:r>
                </w:p>
              </w:tc>
              <w:tc>
                <w:tcPr>
                  <w:tcW w:w="990" w:type="pct"/>
                  <w:tcBorders>
                    <w:top w:val="single" w:color="000000" w:sz="12" w:space="0"/>
                    <w:left w:val="single" w:color="000000" w:sz="4" w:space="0"/>
                    <w:bottom w:val="single" w:color="000000" w:sz="4" w:space="0"/>
                    <w:right w:val="nil"/>
                  </w:tcBorders>
                  <w:noWrap w:val="0"/>
                  <w:vAlign w:val="center"/>
                </w:tcPr>
                <w:p w14:paraId="04E92783">
                  <w:pPr>
                    <w:pStyle w:val="23"/>
                    <w:widowControl w:val="0"/>
                    <w:autoSpaceDE w:val="0"/>
                    <w:autoSpaceDN w:val="0"/>
                    <w:adjustRightInd w:val="0"/>
                    <w:snapToGrid w:val="0"/>
                    <w:spacing w:before="0" w:beforeAutospacing="0" w:after="0" w:afterAutospacing="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Ⅲ</w:t>
                  </w:r>
                </w:p>
              </w:tc>
            </w:tr>
            <w:tr w14:paraId="6E852931">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57" w:type="pct"/>
                  <w:tcBorders>
                    <w:top w:val="single" w:color="000000" w:sz="4" w:space="0"/>
                    <w:left w:val="nil"/>
                    <w:bottom w:val="single" w:color="000000" w:sz="4" w:space="0"/>
                    <w:right w:val="single" w:color="000000" w:sz="4" w:space="0"/>
                  </w:tcBorders>
                  <w:noWrap w:val="0"/>
                  <w:vAlign w:val="center"/>
                </w:tcPr>
                <w:p w14:paraId="6931C577">
                  <w:pPr>
                    <w:pStyle w:val="23"/>
                    <w:widowControl w:val="0"/>
                    <w:autoSpaceDE w:val="0"/>
                    <w:autoSpaceDN w:val="0"/>
                    <w:adjustRightInd w:val="0"/>
                    <w:snapToGrid w:val="0"/>
                    <w:spacing w:before="0" w:beforeAutospacing="0" w:after="0" w:afterAutospacing="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环境高敏感区（E2）</w:t>
                  </w:r>
                </w:p>
              </w:tc>
              <w:tc>
                <w:tcPr>
                  <w:tcW w:w="983" w:type="pct"/>
                  <w:tcBorders>
                    <w:top w:val="single" w:color="000000" w:sz="4" w:space="0"/>
                    <w:left w:val="single" w:color="000000" w:sz="4" w:space="0"/>
                    <w:bottom w:val="single" w:color="000000" w:sz="4" w:space="0"/>
                    <w:right w:val="single" w:color="000000" w:sz="4" w:space="0"/>
                  </w:tcBorders>
                  <w:noWrap w:val="0"/>
                  <w:vAlign w:val="center"/>
                </w:tcPr>
                <w:p w14:paraId="433661EC">
                  <w:pPr>
                    <w:pStyle w:val="23"/>
                    <w:widowControl w:val="0"/>
                    <w:autoSpaceDE w:val="0"/>
                    <w:autoSpaceDN w:val="0"/>
                    <w:adjustRightInd w:val="0"/>
                    <w:snapToGrid w:val="0"/>
                    <w:spacing w:before="0" w:beforeAutospacing="0" w:after="0" w:afterAutospacing="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Ⅳ</w:t>
                  </w:r>
                </w:p>
              </w:tc>
              <w:tc>
                <w:tcPr>
                  <w:tcW w:w="985" w:type="pct"/>
                  <w:tcBorders>
                    <w:top w:val="single" w:color="000000" w:sz="4" w:space="0"/>
                    <w:left w:val="single" w:color="000000" w:sz="4" w:space="0"/>
                    <w:bottom w:val="single" w:color="000000" w:sz="4" w:space="0"/>
                    <w:right w:val="single" w:color="000000" w:sz="4" w:space="0"/>
                  </w:tcBorders>
                  <w:noWrap w:val="0"/>
                  <w:vAlign w:val="center"/>
                </w:tcPr>
                <w:p w14:paraId="39524EA4">
                  <w:pPr>
                    <w:pStyle w:val="23"/>
                    <w:widowControl w:val="0"/>
                    <w:autoSpaceDE w:val="0"/>
                    <w:autoSpaceDN w:val="0"/>
                    <w:adjustRightInd w:val="0"/>
                    <w:snapToGrid w:val="0"/>
                    <w:spacing w:before="0" w:beforeAutospacing="0" w:after="0" w:afterAutospacing="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Ⅲ</w:t>
                  </w:r>
                </w:p>
              </w:tc>
              <w:tc>
                <w:tcPr>
                  <w:tcW w:w="983" w:type="pct"/>
                  <w:tcBorders>
                    <w:top w:val="single" w:color="000000" w:sz="4" w:space="0"/>
                    <w:left w:val="single" w:color="000000" w:sz="4" w:space="0"/>
                    <w:bottom w:val="single" w:color="000000" w:sz="4" w:space="0"/>
                    <w:right w:val="single" w:color="000000" w:sz="4" w:space="0"/>
                  </w:tcBorders>
                  <w:noWrap w:val="0"/>
                  <w:vAlign w:val="center"/>
                </w:tcPr>
                <w:p w14:paraId="459E342E">
                  <w:pPr>
                    <w:pStyle w:val="23"/>
                    <w:widowControl w:val="0"/>
                    <w:autoSpaceDE w:val="0"/>
                    <w:autoSpaceDN w:val="0"/>
                    <w:adjustRightInd w:val="0"/>
                    <w:snapToGrid w:val="0"/>
                    <w:spacing w:before="0" w:beforeAutospacing="0" w:after="0" w:afterAutospacing="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Ⅲ</w:t>
                  </w:r>
                </w:p>
              </w:tc>
              <w:tc>
                <w:tcPr>
                  <w:tcW w:w="990" w:type="pct"/>
                  <w:tcBorders>
                    <w:top w:val="single" w:color="000000" w:sz="4" w:space="0"/>
                    <w:left w:val="single" w:color="000000" w:sz="4" w:space="0"/>
                    <w:bottom w:val="single" w:color="000000" w:sz="4" w:space="0"/>
                    <w:right w:val="nil"/>
                  </w:tcBorders>
                  <w:noWrap w:val="0"/>
                  <w:vAlign w:val="center"/>
                </w:tcPr>
                <w:p w14:paraId="2D1312F9">
                  <w:pPr>
                    <w:pStyle w:val="23"/>
                    <w:widowControl w:val="0"/>
                    <w:autoSpaceDE w:val="0"/>
                    <w:autoSpaceDN w:val="0"/>
                    <w:adjustRightInd w:val="0"/>
                    <w:snapToGrid w:val="0"/>
                    <w:spacing w:before="0" w:beforeAutospacing="0" w:after="0" w:afterAutospacing="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Ⅱ</w:t>
                  </w:r>
                </w:p>
              </w:tc>
            </w:tr>
            <w:tr w14:paraId="73E99452">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57" w:type="pct"/>
                  <w:tcBorders>
                    <w:top w:val="single" w:color="000000" w:sz="4" w:space="0"/>
                    <w:left w:val="nil"/>
                    <w:bottom w:val="single" w:color="000000" w:sz="4" w:space="0"/>
                    <w:right w:val="single" w:color="000000" w:sz="4" w:space="0"/>
                  </w:tcBorders>
                  <w:noWrap w:val="0"/>
                  <w:vAlign w:val="center"/>
                </w:tcPr>
                <w:p w14:paraId="6FC3C63B">
                  <w:pPr>
                    <w:pStyle w:val="23"/>
                    <w:widowControl w:val="0"/>
                    <w:autoSpaceDE w:val="0"/>
                    <w:autoSpaceDN w:val="0"/>
                    <w:adjustRightInd w:val="0"/>
                    <w:snapToGrid w:val="0"/>
                    <w:spacing w:before="0" w:beforeAutospacing="0" w:after="0" w:afterAutospacing="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环境高敏感区（E3）</w:t>
                  </w:r>
                </w:p>
              </w:tc>
              <w:tc>
                <w:tcPr>
                  <w:tcW w:w="983" w:type="pct"/>
                  <w:tcBorders>
                    <w:top w:val="single" w:color="000000" w:sz="4" w:space="0"/>
                    <w:left w:val="single" w:color="000000" w:sz="4" w:space="0"/>
                    <w:bottom w:val="single" w:color="000000" w:sz="4" w:space="0"/>
                    <w:right w:val="single" w:color="000000" w:sz="4" w:space="0"/>
                  </w:tcBorders>
                  <w:noWrap w:val="0"/>
                  <w:vAlign w:val="center"/>
                </w:tcPr>
                <w:p w14:paraId="607F98C2">
                  <w:pPr>
                    <w:pStyle w:val="23"/>
                    <w:widowControl w:val="0"/>
                    <w:autoSpaceDE w:val="0"/>
                    <w:autoSpaceDN w:val="0"/>
                    <w:adjustRightInd w:val="0"/>
                    <w:snapToGrid w:val="0"/>
                    <w:spacing w:before="0" w:beforeAutospacing="0" w:after="0" w:afterAutospacing="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Ⅲ</w:t>
                  </w:r>
                </w:p>
              </w:tc>
              <w:tc>
                <w:tcPr>
                  <w:tcW w:w="985" w:type="pct"/>
                  <w:tcBorders>
                    <w:top w:val="single" w:color="000000" w:sz="4" w:space="0"/>
                    <w:left w:val="single" w:color="000000" w:sz="4" w:space="0"/>
                    <w:bottom w:val="single" w:color="000000" w:sz="4" w:space="0"/>
                    <w:right w:val="single" w:color="000000" w:sz="4" w:space="0"/>
                  </w:tcBorders>
                  <w:noWrap w:val="0"/>
                  <w:vAlign w:val="center"/>
                </w:tcPr>
                <w:p w14:paraId="6B234061">
                  <w:pPr>
                    <w:pStyle w:val="23"/>
                    <w:widowControl w:val="0"/>
                    <w:autoSpaceDE w:val="0"/>
                    <w:autoSpaceDN w:val="0"/>
                    <w:adjustRightInd w:val="0"/>
                    <w:snapToGrid w:val="0"/>
                    <w:spacing w:before="0" w:beforeAutospacing="0" w:after="0" w:afterAutospacing="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Ⅲ</w:t>
                  </w:r>
                </w:p>
              </w:tc>
              <w:tc>
                <w:tcPr>
                  <w:tcW w:w="983" w:type="pct"/>
                  <w:tcBorders>
                    <w:top w:val="single" w:color="000000" w:sz="4" w:space="0"/>
                    <w:left w:val="single" w:color="000000" w:sz="4" w:space="0"/>
                    <w:bottom w:val="single" w:color="000000" w:sz="4" w:space="0"/>
                    <w:right w:val="single" w:color="000000" w:sz="4" w:space="0"/>
                  </w:tcBorders>
                  <w:noWrap w:val="0"/>
                  <w:vAlign w:val="center"/>
                </w:tcPr>
                <w:p w14:paraId="5E13F425">
                  <w:pPr>
                    <w:pStyle w:val="23"/>
                    <w:widowControl w:val="0"/>
                    <w:autoSpaceDE w:val="0"/>
                    <w:autoSpaceDN w:val="0"/>
                    <w:adjustRightInd w:val="0"/>
                    <w:snapToGrid w:val="0"/>
                    <w:spacing w:before="0" w:beforeAutospacing="0" w:after="0" w:afterAutospacing="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Ⅱ</w:t>
                  </w:r>
                </w:p>
              </w:tc>
              <w:tc>
                <w:tcPr>
                  <w:tcW w:w="990" w:type="pct"/>
                  <w:tcBorders>
                    <w:top w:val="single" w:color="000000" w:sz="4" w:space="0"/>
                    <w:left w:val="single" w:color="000000" w:sz="4" w:space="0"/>
                    <w:bottom w:val="single" w:color="000000" w:sz="4" w:space="0"/>
                    <w:right w:val="nil"/>
                  </w:tcBorders>
                  <w:noWrap w:val="0"/>
                  <w:vAlign w:val="center"/>
                </w:tcPr>
                <w:p w14:paraId="5B5ADDB3">
                  <w:pPr>
                    <w:pStyle w:val="23"/>
                    <w:widowControl w:val="0"/>
                    <w:autoSpaceDE w:val="0"/>
                    <w:autoSpaceDN w:val="0"/>
                    <w:adjustRightInd w:val="0"/>
                    <w:snapToGrid w:val="0"/>
                    <w:spacing w:before="0" w:beforeAutospacing="0" w:after="0" w:afterAutospacing="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Ⅰ</w:t>
                  </w:r>
                </w:p>
              </w:tc>
            </w:tr>
            <w:tr w14:paraId="4CA38381">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000" w:type="pct"/>
                  <w:gridSpan w:val="5"/>
                  <w:tcBorders>
                    <w:top w:val="single" w:color="000000" w:sz="4" w:space="0"/>
                    <w:left w:val="nil"/>
                    <w:bottom w:val="single" w:color="000000" w:sz="12" w:space="0"/>
                    <w:right w:val="nil"/>
                  </w:tcBorders>
                  <w:noWrap w:val="0"/>
                  <w:vAlign w:val="center"/>
                </w:tcPr>
                <w:p w14:paraId="577E15ED">
                  <w:pPr>
                    <w:pStyle w:val="23"/>
                    <w:widowControl w:val="0"/>
                    <w:autoSpaceDE w:val="0"/>
                    <w:autoSpaceDN w:val="0"/>
                    <w:adjustRightInd w:val="0"/>
                    <w:snapToGrid w:val="0"/>
                    <w:spacing w:before="0" w:beforeAutospacing="0" w:after="0" w:afterAutospacing="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注：Ⅳ+为极高环境风险</w:t>
                  </w:r>
                </w:p>
              </w:tc>
            </w:tr>
          </w:tbl>
          <w:p w14:paraId="00A87A77">
            <w:pPr>
              <w:pStyle w:val="12"/>
              <w:spacing w:before="0" w:after="0" w:line="480" w:lineRule="exact"/>
              <w:ind w:right="0"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②危险物质及工艺系统危险性（P）的分级确定</w:t>
            </w:r>
          </w:p>
          <w:p w14:paraId="4F54A669">
            <w:pPr>
              <w:pStyle w:val="12"/>
              <w:spacing w:before="0" w:after="0" w:line="480" w:lineRule="exact"/>
              <w:ind w:right="0"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危险物质数量与临界量比值（Q）：</w:t>
            </w:r>
          </w:p>
          <w:p w14:paraId="37C0D1C8">
            <w:pPr>
              <w:pStyle w:val="12"/>
              <w:spacing w:before="0" w:after="0" w:line="480" w:lineRule="exact"/>
              <w:ind w:right="0"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按照《建设项目环境风险评价技术导则》（HJ169-2018）附录B，结合各种物质的理化性质及毒理毒性，可识别出本项目的危险物质及临界量。根据下式计算危险物质及临界量的比值Q：</w:t>
            </w:r>
          </w:p>
          <w:p w14:paraId="173B31DC">
            <w:pPr>
              <w:pStyle w:val="22"/>
              <w:spacing w:after="0" w:line="360" w:lineRule="auto"/>
              <w:ind w:firstLine="480" w:firstLineChars="20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rPr>
              <w:drawing>
                <wp:inline distT="0" distB="0" distL="114300" distR="114300">
                  <wp:extent cx="1887855" cy="614680"/>
                  <wp:effectExtent l="0" t="0" r="1905" b="10160"/>
                  <wp:docPr id="2" name="图片 2" descr="b564658b733577140220b8830d21c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564658b733577140220b8830d21c88"/>
                          <pic:cNvPicPr>
                            <a:picLocks noChangeAspect="1"/>
                          </pic:cNvPicPr>
                        </pic:nvPicPr>
                        <pic:blipFill>
                          <a:blip r:embed="rId12"/>
                          <a:stretch>
                            <a:fillRect/>
                          </a:stretch>
                        </pic:blipFill>
                        <pic:spPr>
                          <a:xfrm>
                            <a:off x="0" y="0"/>
                            <a:ext cx="1887855" cy="614680"/>
                          </a:xfrm>
                          <a:prstGeom prst="rect">
                            <a:avLst/>
                          </a:prstGeom>
                          <a:noFill/>
                          <a:ln>
                            <a:noFill/>
                          </a:ln>
                        </pic:spPr>
                      </pic:pic>
                    </a:graphicData>
                  </a:graphic>
                </wp:inline>
              </w:drawing>
            </w:r>
          </w:p>
          <w:p w14:paraId="0E09E872">
            <w:pPr>
              <w:pStyle w:val="22"/>
              <w:spacing w:after="0"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式中：q1，q2，…，qn——每种危险物质的最大存在总量，t； </w:t>
            </w:r>
          </w:p>
          <w:p w14:paraId="0DE073DA">
            <w:pPr>
              <w:pStyle w:val="22"/>
              <w:spacing w:after="0" w:line="360" w:lineRule="auto"/>
              <w:ind w:firstLine="1200" w:firstLineChars="5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Q1，Q2，…，Qn——每种危险物质的临界量，t。</w:t>
            </w:r>
          </w:p>
          <w:p w14:paraId="76729E5B">
            <w:pPr>
              <w:pStyle w:val="22"/>
              <w:spacing w:after="0"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当 Q＜1 时，该项目环境风险潜势为Ⅰ。</w:t>
            </w:r>
          </w:p>
          <w:p w14:paraId="5EB31D30">
            <w:pPr>
              <w:pStyle w:val="22"/>
              <w:spacing w:after="0"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当Q≥1时，将Q值划分为：（1）1≤Q＜10；（2）10≤Q＜100；（3）Q≥100</w:t>
            </w:r>
          </w:p>
          <w:p w14:paraId="32D4B431">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根据《建设项目环境风险评价技术导则》（HJ 169-2018）附录C及附录D确定危险物质及工艺系统危险性（P）及环境敏感程度（E）。其中危险物质及工艺系统危险性（P）由危险物质数量与临界量比值（Q）、行业及生产工艺（M）确定。</w:t>
            </w:r>
          </w:p>
          <w:p w14:paraId="5E451D88">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涉及环境风险的物质为油类物质（废润滑油），根据《建设项目环境风险评价技术导则》（HJ/T169-2018）附录C规定与其在附录B对应临界量，当存在多种危险物质时，物质总量与其临界量比值（Q）结果见下表。</w:t>
            </w:r>
          </w:p>
          <w:p w14:paraId="0FF454C5">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表4-2</w:t>
            </w:r>
            <w:r>
              <w:rPr>
                <w:rFonts w:hint="eastAsia" w:cs="Times New Roman"/>
                <w:b/>
                <w:bCs/>
                <w:color w:val="auto"/>
                <w:highlight w:val="none"/>
                <w:lang w:val="en-US" w:eastAsia="zh-CN"/>
              </w:rPr>
              <w:t>0</w:t>
            </w:r>
            <w:r>
              <w:rPr>
                <w:rFonts w:hint="default" w:ascii="Times New Roman" w:hAnsi="Times New Roman" w:cs="Times New Roman"/>
                <w:b/>
                <w:bCs/>
                <w:color w:val="auto"/>
                <w:highlight w:val="none"/>
              </w:rPr>
              <w:t xml:space="preserve">  危险物质生产单元及贮存单元物质量一览表</w:t>
            </w:r>
          </w:p>
          <w:tbl>
            <w:tblPr>
              <w:tblStyle w:val="26"/>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667"/>
              <w:gridCol w:w="1815"/>
              <w:gridCol w:w="2299"/>
              <w:gridCol w:w="1205"/>
              <w:gridCol w:w="1209"/>
              <w:gridCol w:w="914"/>
            </w:tblGrid>
            <w:tr w14:paraId="6BBE5FD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11" w:type="pct"/>
                  <w:tcBorders>
                    <w:bottom w:val="single" w:color="000000" w:sz="12" w:space="0"/>
                  </w:tcBorders>
                  <w:noWrap w:val="0"/>
                  <w:vAlign w:val="center"/>
                </w:tcPr>
                <w:p w14:paraId="7646D13E">
                  <w:pPr>
                    <w:pStyle w:val="57"/>
                    <w:adjustRightInd w:val="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序号</w:t>
                  </w:r>
                </w:p>
              </w:tc>
              <w:tc>
                <w:tcPr>
                  <w:tcW w:w="1119" w:type="pct"/>
                  <w:tcBorders>
                    <w:bottom w:val="single" w:color="000000" w:sz="12" w:space="0"/>
                  </w:tcBorders>
                  <w:noWrap w:val="0"/>
                  <w:vAlign w:val="center"/>
                </w:tcPr>
                <w:p w14:paraId="7CCF2F32">
                  <w:pPr>
                    <w:pStyle w:val="57"/>
                    <w:adjustRightInd w:val="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物质名称</w:t>
                  </w:r>
                </w:p>
              </w:tc>
              <w:tc>
                <w:tcPr>
                  <w:tcW w:w="1417" w:type="pct"/>
                  <w:tcBorders>
                    <w:bottom w:val="single" w:color="000000" w:sz="12" w:space="0"/>
                  </w:tcBorders>
                  <w:noWrap w:val="0"/>
                  <w:vAlign w:val="center"/>
                </w:tcPr>
                <w:p w14:paraId="3D07543A">
                  <w:pPr>
                    <w:pStyle w:val="57"/>
                    <w:adjustRightInd w:val="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储存量（t）</w:t>
                  </w:r>
                </w:p>
              </w:tc>
              <w:tc>
                <w:tcPr>
                  <w:tcW w:w="743" w:type="pct"/>
                  <w:tcBorders>
                    <w:bottom w:val="single" w:color="000000" w:sz="12" w:space="0"/>
                  </w:tcBorders>
                  <w:noWrap w:val="0"/>
                  <w:vAlign w:val="center"/>
                </w:tcPr>
                <w:p w14:paraId="5DE212BC">
                  <w:pPr>
                    <w:pStyle w:val="57"/>
                    <w:adjustRightInd w:val="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CAS号</w:t>
                  </w:r>
                </w:p>
              </w:tc>
              <w:tc>
                <w:tcPr>
                  <w:tcW w:w="744" w:type="pct"/>
                  <w:tcBorders>
                    <w:bottom w:val="single" w:color="000000" w:sz="12" w:space="0"/>
                  </w:tcBorders>
                  <w:noWrap w:val="0"/>
                  <w:vAlign w:val="center"/>
                </w:tcPr>
                <w:p w14:paraId="21601FC9">
                  <w:pPr>
                    <w:pStyle w:val="57"/>
                    <w:adjustRightInd w:val="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临界量（t）</w:t>
                  </w:r>
                </w:p>
              </w:tc>
              <w:tc>
                <w:tcPr>
                  <w:tcW w:w="563" w:type="pct"/>
                  <w:tcBorders>
                    <w:bottom w:val="single" w:color="000000" w:sz="12" w:space="0"/>
                  </w:tcBorders>
                  <w:noWrap w:val="0"/>
                  <w:vAlign w:val="center"/>
                </w:tcPr>
                <w:p w14:paraId="772E9D1E">
                  <w:pPr>
                    <w:pStyle w:val="57"/>
                    <w:adjustRightInd w:val="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qn/Qn</w:t>
                  </w:r>
                </w:p>
              </w:tc>
            </w:tr>
            <w:tr w14:paraId="45B50F7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11" w:type="pct"/>
                  <w:tcBorders>
                    <w:top w:val="single" w:color="000000" w:sz="12" w:space="0"/>
                  </w:tcBorders>
                  <w:noWrap w:val="0"/>
                  <w:vAlign w:val="center"/>
                </w:tcPr>
                <w:p w14:paraId="40E0CB67">
                  <w:pPr>
                    <w:pStyle w:val="57"/>
                    <w:adjustRightIn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119" w:type="pct"/>
                  <w:tcBorders>
                    <w:top w:val="single" w:color="000000" w:sz="12" w:space="0"/>
                  </w:tcBorders>
                  <w:noWrap w:val="0"/>
                  <w:vAlign w:val="center"/>
                </w:tcPr>
                <w:p w14:paraId="0DC1E25C">
                  <w:pPr>
                    <w:pStyle w:val="57"/>
                    <w:adjustRightIn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废润滑油</w:t>
                  </w:r>
                </w:p>
              </w:tc>
              <w:tc>
                <w:tcPr>
                  <w:tcW w:w="1417" w:type="pct"/>
                  <w:tcBorders>
                    <w:top w:val="single" w:color="000000" w:sz="12" w:space="0"/>
                  </w:tcBorders>
                  <w:noWrap w:val="0"/>
                  <w:vAlign w:val="center"/>
                </w:tcPr>
                <w:p w14:paraId="4E889F56">
                  <w:pPr>
                    <w:pStyle w:val="57"/>
                    <w:adjustRightInd w:val="0"/>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0.</w:t>
                  </w:r>
                  <w:r>
                    <w:rPr>
                      <w:rFonts w:hint="eastAsia" w:ascii="Times New Roman" w:hAnsi="Times New Roman" w:cs="Times New Roman"/>
                      <w:color w:val="auto"/>
                      <w:sz w:val="21"/>
                      <w:szCs w:val="21"/>
                      <w:highlight w:val="none"/>
                      <w:lang w:val="en-US" w:eastAsia="zh-CN"/>
                    </w:rPr>
                    <w:t>4</w:t>
                  </w:r>
                </w:p>
              </w:tc>
              <w:tc>
                <w:tcPr>
                  <w:tcW w:w="743" w:type="pct"/>
                  <w:tcBorders>
                    <w:top w:val="single" w:color="000000" w:sz="12" w:space="0"/>
                  </w:tcBorders>
                  <w:noWrap w:val="0"/>
                  <w:vAlign w:val="center"/>
                </w:tcPr>
                <w:p w14:paraId="398BD328">
                  <w:pPr>
                    <w:pStyle w:val="57"/>
                    <w:adjustRightIn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shd w:val="clear" w:color="auto" w:fill="FFFFFF"/>
                    </w:rPr>
                    <w:t>25496-72-4</w:t>
                  </w:r>
                </w:p>
              </w:tc>
              <w:tc>
                <w:tcPr>
                  <w:tcW w:w="744" w:type="pct"/>
                  <w:tcBorders>
                    <w:top w:val="single" w:color="000000" w:sz="12" w:space="0"/>
                  </w:tcBorders>
                  <w:noWrap w:val="0"/>
                  <w:vAlign w:val="center"/>
                </w:tcPr>
                <w:p w14:paraId="14DB6845">
                  <w:pPr>
                    <w:pStyle w:val="57"/>
                    <w:adjustRightIn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2500</w:t>
                  </w:r>
                </w:p>
              </w:tc>
              <w:tc>
                <w:tcPr>
                  <w:tcW w:w="563" w:type="pct"/>
                  <w:tcBorders>
                    <w:top w:val="single" w:color="000000" w:sz="12" w:space="0"/>
                  </w:tcBorders>
                  <w:noWrap w:val="0"/>
                  <w:vAlign w:val="center"/>
                </w:tcPr>
                <w:p w14:paraId="20130FED">
                  <w:pPr>
                    <w:pStyle w:val="57"/>
                    <w:adjustRightInd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0.000</w:t>
                  </w:r>
                  <w:r>
                    <w:rPr>
                      <w:rFonts w:hint="eastAsia" w:ascii="Times New Roman" w:hAnsi="Times New Roman" w:cs="Times New Roman"/>
                      <w:color w:val="auto"/>
                      <w:sz w:val="21"/>
                      <w:szCs w:val="21"/>
                      <w:highlight w:val="none"/>
                      <w:lang w:val="en-US" w:eastAsia="zh-CN"/>
                    </w:rPr>
                    <w:t>16</w:t>
                  </w:r>
                </w:p>
              </w:tc>
            </w:tr>
            <w:tr w14:paraId="5B34A34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11" w:type="pct"/>
                  <w:noWrap w:val="0"/>
                  <w:vAlign w:val="center"/>
                </w:tcPr>
                <w:p w14:paraId="422EF223">
                  <w:pPr>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2</w:t>
                  </w:r>
                </w:p>
              </w:tc>
              <w:tc>
                <w:tcPr>
                  <w:tcW w:w="4024" w:type="pct"/>
                  <w:gridSpan w:val="4"/>
                  <w:noWrap w:val="0"/>
                  <w:vAlign w:val="center"/>
                </w:tcPr>
                <w:p w14:paraId="61168485">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合计</w:t>
                  </w:r>
                </w:p>
              </w:tc>
              <w:tc>
                <w:tcPr>
                  <w:tcW w:w="563" w:type="pct"/>
                  <w:noWrap w:val="0"/>
                  <w:vAlign w:val="center"/>
                </w:tcPr>
                <w:p w14:paraId="700D32AA">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0.</w:t>
                  </w:r>
                  <w:r>
                    <w:rPr>
                      <w:rFonts w:hint="eastAsia" w:cs="Times New Roman"/>
                      <w:color w:val="auto"/>
                      <w:szCs w:val="21"/>
                      <w:highlight w:val="none"/>
                      <w:lang w:val="en-US" w:eastAsia="zh-CN"/>
                    </w:rPr>
                    <w:t>00016</w:t>
                  </w:r>
                </w:p>
              </w:tc>
            </w:tr>
          </w:tbl>
          <w:p w14:paraId="2C95764B">
            <w:pPr>
              <w:spacing w:line="480" w:lineRule="exact"/>
              <w:ind w:firstLine="480" w:firstLineChars="200"/>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根据表4-</w:t>
            </w:r>
            <w:r>
              <w:rPr>
                <w:rFonts w:hint="eastAsia" w:cs="Times New Roman"/>
                <w:color w:val="auto"/>
                <w:sz w:val="24"/>
                <w:szCs w:val="32"/>
                <w:highlight w:val="none"/>
                <w:lang w:val="en-US" w:eastAsia="zh-CN"/>
              </w:rPr>
              <w:t>20</w:t>
            </w:r>
            <w:r>
              <w:rPr>
                <w:rFonts w:hint="default" w:ascii="Times New Roman" w:hAnsi="Times New Roman" w:cs="Times New Roman"/>
                <w:color w:val="auto"/>
                <w:sz w:val="24"/>
                <w:szCs w:val="32"/>
                <w:highlight w:val="none"/>
              </w:rPr>
              <w:t>中对项目风险物质的Q值的统计，本项目危险物质及临界量的比值Q值为0.</w:t>
            </w:r>
            <w:r>
              <w:rPr>
                <w:rFonts w:hint="eastAsia" w:cs="Times New Roman"/>
                <w:color w:val="auto"/>
                <w:sz w:val="24"/>
                <w:szCs w:val="32"/>
                <w:highlight w:val="none"/>
                <w:lang w:val="en-US" w:eastAsia="zh-CN"/>
              </w:rPr>
              <w:t>00016</w:t>
            </w:r>
            <w:r>
              <w:rPr>
                <w:rFonts w:hint="default" w:ascii="Times New Roman" w:hAnsi="Times New Roman" w:cs="Times New Roman"/>
                <w:color w:val="auto"/>
                <w:sz w:val="24"/>
                <w:szCs w:val="32"/>
                <w:highlight w:val="none"/>
              </w:rPr>
              <w:t>，因为Q＜1，所以直接判定该项目环境风险潜势为Ⅰ。</w:t>
            </w:r>
          </w:p>
          <w:p w14:paraId="25DFBB9D">
            <w:pPr>
              <w:numPr>
                <w:ilvl w:val="0"/>
                <w:numId w:val="0"/>
              </w:numPr>
              <w:spacing w:line="480" w:lineRule="exact"/>
              <w:ind w:left="0" w:leftChars="0" w:firstLine="480" w:firstLineChars="0"/>
              <w:rPr>
                <w:rFonts w:hint="default" w:ascii="Times New Roman" w:hAnsi="Times New Roman" w:cs="Times New Roman"/>
                <w:color w:val="auto"/>
                <w:sz w:val="24"/>
                <w:szCs w:val="32"/>
                <w:highlight w:val="none"/>
              </w:rPr>
            </w:pPr>
            <w:r>
              <w:rPr>
                <w:rFonts w:hint="default" w:ascii="Times New Roman" w:hAnsi="Times New Roman" w:eastAsia="宋体" w:cs="Times New Roman"/>
                <w:color w:val="auto"/>
                <w:kern w:val="2"/>
                <w:sz w:val="24"/>
                <w:szCs w:val="32"/>
                <w:lang w:val="en-US" w:eastAsia="zh-CN" w:bidi="ar-SA"/>
              </w:rPr>
              <w:t>3）</w:t>
            </w:r>
            <w:r>
              <w:rPr>
                <w:rFonts w:hint="default" w:ascii="Times New Roman" w:hAnsi="Times New Roman" w:cs="Times New Roman"/>
                <w:color w:val="auto"/>
                <w:sz w:val="24"/>
                <w:szCs w:val="32"/>
                <w:highlight w:val="none"/>
              </w:rPr>
              <w:t xml:space="preserve">评价等级 </w:t>
            </w:r>
          </w:p>
          <w:p w14:paraId="0F9974E2">
            <w:pPr>
              <w:wordWrap w:val="0"/>
              <w:spacing w:line="480" w:lineRule="exact"/>
              <w:ind w:firstLine="480" w:firstLineChars="200"/>
              <w:rPr>
                <w:rFonts w:hint="default" w:ascii="Times New Roman" w:hAnsi="Times New Roman" w:cs="Times New Roman"/>
                <w:color w:val="auto"/>
                <w:sz w:val="24"/>
                <w:szCs w:val="32"/>
                <w:highlight w:val="none"/>
              </w:rPr>
            </w:pPr>
            <w:r>
              <w:rPr>
                <w:rFonts w:hint="default" w:ascii="Times New Roman" w:hAnsi="Times New Roman" w:cs="Times New Roman"/>
                <w:color w:val="auto"/>
                <w:sz w:val="24"/>
                <w:szCs w:val="32"/>
                <w:highlight w:val="none"/>
              </w:rPr>
              <w:t>依据《建设项目环境风险评价技术导则》（HJ169-2018）中关于风险评价工作等级的判定依据，评价工作级别按表4-2</w:t>
            </w:r>
            <w:r>
              <w:rPr>
                <w:rFonts w:hint="eastAsia" w:cs="Times New Roman"/>
                <w:color w:val="auto"/>
                <w:sz w:val="24"/>
                <w:szCs w:val="32"/>
                <w:highlight w:val="none"/>
                <w:lang w:val="en-US" w:eastAsia="zh-CN"/>
              </w:rPr>
              <w:t>1</w:t>
            </w:r>
            <w:r>
              <w:rPr>
                <w:rFonts w:hint="default" w:ascii="Times New Roman" w:hAnsi="Times New Roman" w:cs="Times New Roman"/>
                <w:color w:val="auto"/>
                <w:sz w:val="24"/>
                <w:szCs w:val="32"/>
                <w:highlight w:val="none"/>
              </w:rPr>
              <w:t>划分：</w:t>
            </w:r>
          </w:p>
          <w:p w14:paraId="2D78E890">
            <w:pPr>
              <w:pStyle w:val="12"/>
              <w:spacing w:before="0" w:after="0" w:line="480" w:lineRule="exact"/>
              <w:ind w:right="0"/>
              <w:jc w:val="center"/>
              <w:rPr>
                <w:rFonts w:hint="default" w:ascii="Times New Roman" w:hAnsi="Times New Roman" w:cs="Times New Roman"/>
                <w:b/>
                <w:bCs/>
                <w:color w:val="auto"/>
                <w:sz w:val="21"/>
                <w:szCs w:val="22"/>
                <w:highlight w:val="none"/>
              </w:rPr>
            </w:pPr>
            <w:r>
              <w:rPr>
                <w:rFonts w:hint="default" w:ascii="Times New Roman" w:hAnsi="Times New Roman" w:cs="Times New Roman"/>
                <w:b/>
                <w:bCs/>
                <w:color w:val="auto"/>
                <w:sz w:val="21"/>
                <w:szCs w:val="22"/>
                <w:highlight w:val="none"/>
              </w:rPr>
              <w:t>表4-2</w:t>
            </w:r>
            <w:r>
              <w:rPr>
                <w:rFonts w:hint="eastAsia" w:ascii="Times New Roman" w:hAnsi="Times New Roman" w:cs="Times New Roman"/>
                <w:b/>
                <w:bCs/>
                <w:color w:val="auto"/>
                <w:sz w:val="21"/>
                <w:szCs w:val="22"/>
                <w:highlight w:val="none"/>
                <w:lang w:val="en-US" w:eastAsia="zh-CN"/>
              </w:rPr>
              <w:t>1</w:t>
            </w:r>
            <w:r>
              <w:rPr>
                <w:rFonts w:hint="default" w:ascii="Times New Roman" w:hAnsi="Times New Roman" w:cs="Times New Roman"/>
                <w:b/>
                <w:bCs/>
                <w:color w:val="auto"/>
                <w:sz w:val="21"/>
                <w:szCs w:val="22"/>
                <w:highlight w:val="none"/>
              </w:rPr>
              <w:t xml:space="preserve">   评价工作级别表</w:t>
            </w:r>
          </w:p>
          <w:tbl>
            <w:tblPr>
              <w:tblStyle w:val="26"/>
              <w:tblW w:w="4998" w:type="pct"/>
              <w:jc w:val="center"/>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Layout w:type="fixed"/>
              <w:tblCellMar>
                <w:top w:w="0" w:type="dxa"/>
                <w:left w:w="0" w:type="dxa"/>
                <w:bottom w:w="0" w:type="dxa"/>
                <w:right w:w="0" w:type="dxa"/>
              </w:tblCellMar>
            </w:tblPr>
            <w:tblGrid>
              <w:gridCol w:w="1885"/>
              <w:gridCol w:w="1596"/>
              <w:gridCol w:w="1547"/>
              <w:gridCol w:w="1539"/>
              <w:gridCol w:w="1542"/>
            </w:tblGrid>
            <w:tr w14:paraId="34D4E0AE">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62" w:type="pct"/>
                  <w:tcBorders>
                    <w:top w:val="single" w:color="auto" w:sz="12" w:space="0"/>
                    <w:left w:val="nil"/>
                    <w:bottom w:val="single" w:color="auto" w:sz="4" w:space="0"/>
                    <w:right w:val="single" w:color="auto" w:sz="4" w:space="0"/>
                  </w:tcBorders>
                  <w:noWrap w:val="0"/>
                  <w:vAlign w:val="center"/>
                </w:tcPr>
                <w:p w14:paraId="17C71797">
                  <w:pPr>
                    <w:adjustRightInd w:val="0"/>
                    <w:snapToGrid w:val="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环境风险潜势</w:t>
                  </w:r>
                </w:p>
              </w:tc>
              <w:tc>
                <w:tcPr>
                  <w:tcW w:w="984" w:type="pct"/>
                  <w:tcBorders>
                    <w:top w:val="single" w:color="auto" w:sz="12" w:space="0"/>
                    <w:left w:val="single" w:color="auto" w:sz="4" w:space="0"/>
                    <w:bottom w:val="single" w:color="auto" w:sz="4" w:space="0"/>
                    <w:right w:val="single" w:color="auto" w:sz="4" w:space="0"/>
                  </w:tcBorders>
                  <w:noWrap w:val="0"/>
                  <w:vAlign w:val="center"/>
                </w:tcPr>
                <w:p w14:paraId="410BBA8A">
                  <w:pPr>
                    <w:adjustRightInd w:val="0"/>
                    <w:snapToGrid w:val="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VI、VI+</w:t>
                  </w:r>
                </w:p>
              </w:tc>
              <w:tc>
                <w:tcPr>
                  <w:tcW w:w="954" w:type="pct"/>
                  <w:tcBorders>
                    <w:top w:val="single" w:color="auto" w:sz="12" w:space="0"/>
                    <w:left w:val="single" w:color="auto" w:sz="4" w:space="0"/>
                    <w:bottom w:val="single" w:color="auto" w:sz="4" w:space="0"/>
                    <w:right w:val="single" w:color="auto" w:sz="4" w:space="0"/>
                  </w:tcBorders>
                  <w:noWrap w:val="0"/>
                  <w:vAlign w:val="center"/>
                </w:tcPr>
                <w:p w14:paraId="28B553EE">
                  <w:pPr>
                    <w:adjustRightInd w:val="0"/>
                    <w:snapToGrid w:val="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III</w:t>
                  </w:r>
                </w:p>
              </w:tc>
              <w:tc>
                <w:tcPr>
                  <w:tcW w:w="949" w:type="pct"/>
                  <w:tcBorders>
                    <w:top w:val="single" w:color="auto" w:sz="12" w:space="0"/>
                    <w:left w:val="single" w:color="auto" w:sz="4" w:space="0"/>
                    <w:bottom w:val="single" w:color="auto" w:sz="4" w:space="0"/>
                    <w:right w:val="single" w:color="auto" w:sz="4" w:space="0"/>
                  </w:tcBorders>
                  <w:noWrap w:val="0"/>
                  <w:vAlign w:val="center"/>
                </w:tcPr>
                <w:p w14:paraId="42092406">
                  <w:pPr>
                    <w:adjustRightInd w:val="0"/>
                    <w:snapToGrid w:val="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II</w:t>
                  </w:r>
                </w:p>
              </w:tc>
              <w:tc>
                <w:tcPr>
                  <w:tcW w:w="949" w:type="pct"/>
                  <w:tcBorders>
                    <w:top w:val="single" w:color="auto" w:sz="12" w:space="0"/>
                    <w:left w:val="single" w:color="auto" w:sz="4" w:space="0"/>
                    <w:bottom w:val="single" w:color="auto" w:sz="4" w:space="0"/>
                    <w:right w:val="nil"/>
                  </w:tcBorders>
                  <w:noWrap w:val="0"/>
                  <w:vAlign w:val="center"/>
                </w:tcPr>
                <w:p w14:paraId="13F8D47A">
                  <w:pPr>
                    <w:adjustRightInd w:val="0"/>
                    <w:snapToGrid w:val="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I</w:t>
                  </w:r>
                </w:p>
              </w:tc>
            </w:tr>
            <w:tr w14:paraId="56557117">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62" w:type="pct"/>
                  <w:tcBorders>
                    <w:top w:val="single" w:color="auto" w:sz="4" w:space="0"/>
                    <w:left w:val="nil"/>
                    <w:bottom w:val="single" w:color="auto" w:sz="12" w:space="0"/>
                    <w:right w:val="single" w:color="auto" w:sz="4" w:space="0"/>
                  </w:tcBorders>
                  <w:noWrap w:val="0"/>
                  <w:vAlign w:val="center"/>
                </w:tcPr>
                <w:p w14:paraId="09809945">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环境风险评价等级</w:t>
                  </w:r>
                </w:p>
              </w:tc>
              <w:tc>
                <w:tcPr>
                  <w:tcW w:w="984" w:type="pct"/>
                  <w:tcBorders>
                    <w:top w:val="single" w:color="auto" w:sz="4" w:space="0"/>
                    <w:left w:val="single" w:color="auto" w:sz="4" w:space="0"/>
                    <w:bottom w:val="single" w:color="auto" w:sz="12" w:space="0"/>
                    <w:right w:val="single" w:color="auto" w:sz="4" w:space="0"/>
                  </w:tcBorders>
                  <w:noWrap w:val="0"/>
                  <w:vAlign w:val="center"/>
                </w:tcPr>
                <w:p w14:paraId="3C1269D7">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w:t>
                  </w:r>
                </w:p>
              </w:tc>
              <w:tc>
                <w:tcPr>
                  <w:tcW w:w="954" w:type="pct"/>
                  <w:tcBorders>
                    <w:top w:val="single" w:color="auto" w:sz="4" w:space="0"/>
                    <w:left w:val="single" w:color="auto" w:sz="4" w:space="0"/>
                    <w:bottom w:val="single" w:color="auto" w:sz="12" w:space="0"/>
                    <w:right w:val="single" w:color="auto" w:sz="4" w:space="0"/>
                  </w:tcBorders>
                  <w:noWrap w:val="0"/>
                  <w:vAlign w:val="center"/>
                </w:tcPr>
                <w:p w14:paraId="18568AE2">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w:t>
                  </w:r>
                </w:p>
              </w:tc>
              <w:tc>
                <w:tcPr>
                  <w:tcW w:w="949" w:type="pct"/>
                  <w:tcBorders>
                    <w:top w:val="single" w:color="auto" w:sz="4" w:space="0"/>
                    <w:left w:val="single" w:color="auto" w:sz="4" w:space="0"/>
                    <w:bottom w:val="single" w:color="auto" w:sz="12" w:space="0"/>
                    <w:right w:val="single" w:color="auto" w:sz="4" w:space="0"/>
                  </w:tcBorders>
                  <w:noWrap w:val="0"/>
                  <w:vAlign w:val="center"/>
                </w:tcPr>
                <w:p w14:paraId="2EBAA673">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三</w:t>
                  </w:r>
                </w:p>
              </w:tc>
              <w:tc>
                <w:tcPr>
                  <w:tcW w:w="949" w:type="pct"/>
                  <w:tcBorders>
                    <w:top w:val="single" w:color="auto" w:sz="4" w:space="0"/>
                    <w:left w:val="single" w:color="auto" w:sz="4" w:space="0"/>
                    <w:bottom w:val="single" w:color="auto" w:sz="12" w:space="0"/>
                    <w:right w:val="nil"/>
                  </w:tcBorders>
                  <w:noWrap w:val="0"/>
                  <w:vAlign w:val="center"/>
                </w:tcPr>
                <w:p w14:paraId="5BB76051">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简单分析a</w:t>
                  </w:r>
                </w:p>
              </w:tc>
            </w:tr>
            <w:tr w14:paraId="4533E871">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000" w:type="pct"/>
                  <w:gridSpan w:val="5"/>
                  <w:tcBorders>
                    <w:top w:val="single" w:color="auto" w:sz="12" w:space="0"/>
                    <w:left w:val="nil"/>
                    <w:bottom w:val="single" w:color="auto" w:sz="12" w:space="0"/>
                    <w:right w:val="nil"/>
                  </w:tcBorders>
                  <w:noWrap w:val="0"/>
                  <w:tcMar>
                    <w:left w:w="108" w:type="dxa"/>
                    <w:right w:w="108" w:type="dxa"/>
                  </w:tcMar>
                  <w:vAlign w:val="center"/>
                </w:tcPr>
                <w:p w14:paraId="0DAE9DA1">
                  <w:pPr>
                    <w:pStyle w:val="23"/>
                    <w:widowControl w:val="0"/>
                    <w:adjustRightInd w:val="0"/>
                    <w:snapToGrid w:val="0"/>
                    <w:spacing w:before="0" w:beforeAutospacing="0" w:after="0" w:afterAutospacing="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a 是相对于详细评价工作内容而言，在描述危险物质、环境影响途径、环境危害后果、风险防范措施等方面给出定性的说明。</w:t>
                  </w:r>
                </w:p>
              </w:tc>
            </w:tr>
          </w:tbl>
          <w:p w14:paraId="6B2DB805">
            <w:pPr>
              <w:wordWrap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根据表4-23风险评价工作级别划分依据，环境风险评价工作等级为“简单分析”。</w:t>
            </w:r>
          </w:p>
          <w:p w14:paraId="2F0E8724">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（2）环境敏感目标概况 </w:t>
            </w:r>
          </w:p>
          <w:p w14:paraId="34EC9613">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本项目位于工业</w:t>
            </w:r>
            <w:r>
              <w:rPr>
                <w:rFonts w:hint="eastAsia" w:cs="Times New Roman"/>
                <w:color w:val="auto"/>
                <w:sz w:val="24"/>
                <w:highlight w:val="none"/>
                <w:lang w:val="en-US" w:eastAsia="zh-CN"/>
              </w:rPr>
              <w:t>用地</w:t>
            </w:r>
            <w:r>
              <w:rPr>
                <w:rFonts w:hint="default" w:ascii="Times New Roman" w:hAnsi="Times New Roman" w:cs="Times New Roman"/>
                <w:color w:val="auto"/>
                <w:sz w:val="24"/>
                <w:highlight w:val="none"/>
              </w:rPr>
              <w:t>，根据现场调查，环境敏感目标为大气环境、土壤环境。</w:t>
            </w:r>
          </w:p>
          <w:p w14:paraId="52F37FB4">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（3）环境风险识别</w:t>
            </w:r>
          </w:p>
          <w:p w14:paraId="029E39BB">
            <w:pPr>
              <w:pStyle w:val="58"/>
              <w:widowControl/>
              <w:adjustRightInd w:val="0"/>
              <w:snapToGrid w:val="0"/>
              <w:spacing w:line="360" w:lineRule="auto"/>
              <w:ind w:firstLine="480" w:firstLineChars="200"/>
              <w:jc w:val="left"/>
              <w:rPr>
                <w:rFonts w:hint="default" w:ascii="Times New Roman" w:hAnsi="Times New Roman" w:eastAsia="宋体" w:cs="Times New Roman"/>
                <w:b w:val="0"/>
                <w:color w:val="auto"/>
                <w:sz w:val="24"/>
                <w:szCs w:val="24"/>
                <w:highlight w:val="none"/>
              </w:rPr>
            </w:pPr>
            <w:r>
              <w:rPr>
                <w:rFonts w:hint="default" w:ascii="Times New Roman" w:hAnsi="Times New Roman" w:eastAsia="宋体" w:cs="Times New Roman"/>
                <w:b w:val="0"/>
                <w:color w:val="auto"/>
                <w:sz w:val="24"/>
                <w:szCs w:val="24"/>
                <w:highlight w:val="none"/>
              </w:rPr>
              <w:t>拟建项目主要危险物质及分布情况，可能影响环境的途径详见表4-2</w:t>
            </w:r>
            <w:r>
              <w:rPr>
                <w:rFonts w:hint="eastAsia" w:ascii="Times New Roman" w:hAnsi="Times New Roman" w:eastAsia="宋体" w:cs="Times New Roman"/>
                <w:b w:val="0"/>
                <w:color w:val="auto"/>
                <w:sz w:val="24"/>
                <w:szCs w:val="24"/>
                <w:highlight w:val="none"/>
                <w:lang w:val="en-US" w:eastAsia="zh-CN"/>
              </w:rPr>
              <w:t>2</w:t>
            </w:r>
            <w:r>
              <w:rPr>
                <w:rFonts w:hint="default" w:ascii="Times New Roman" w:hAnsi="Times New Roman" w:eastAsia="宋体" w:cs="Times New Roman"/>
                <w:b w:val="0"/>
                <w:color w:val="auto"/>
                <w:sz w:val="24"/>
                <w:szCs w:val="24"/>
                <w:highlight w:val="none"/>
              </w:rPr>
              <w:t>。</w:t>
            </w:r>
          </w:p>
          <w:p w14:paraId="3084021C">
            <w:pPr>
              <w:pStyle w:val="58"/>
              <w:widowControl/>
              <w:adjustRightInd w:val="0"/>
              <w:snapToGrid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表4-2</w:t>
            </w:r>
            <w:r>
              <w:rPr>
                <w:rFonts w:hint="eastAsia" w:ascii="Times New Roman" w:hAnsi="Times New Roman" w:eastAsia="宋体" w:cs="Times New Roman"/>
                <w:color w:val="auto"/>
                <w:highlight w:val="none"/>
                <w:lang w:val="en-US" w:eastAsia="zh-CN"/>
              </w:rPr>
              <w:t>2</w:t>
            </w:r>
            <w:r>
              <w:rPr>
                <w:rFonts w:hint="default" w:ascii="Times New Roman" w:hAnsi="Times New Roman" w:eastAsia="宋体" w:cs="Times New Roman"/>
                <w:color w:val="auto"/>
                <w:highlight w:val="none"/>
              </w:rPr>
              <w:t xml:space="preserve">   主要物质危险性识别</w:t>
            </w:r>
          </w:p>
          <w:tbl>
            <w:tblPr>
              <w:tblStyle w:val="26"/>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81"/>
              <w:gridCol w:w="1138"/>
              <w:gridCol w:w="894"/>
              <w:gridCol w:w="942"/>
              <w:gridCol w:w="1375"/>
              <w:gridCol w:w="1119"/>
              <w:gridCol w:w="1153"/>
              <w:gridCol w:w="1007"/>
            </w:tblGrid>
            <w:tr w14:paraId="62FA19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97" w:type="pct"/>
                  <w:tcBorders>
                    <w:bottom w:val="single" w:color="auto" w:sz="12" w:space="0"/>
                  </w:tcBorders>
                  <w:noWrap w:val="0"/>
                  <w:vAlign w:val="center"/>
                </w:tcPr>
                <w:p w14:paraId="63F64990">
                  <w:pPr>
                    <w:adjustRightInd w:val="0"/>
                    <w:snapToGrid w:val="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序号</w:t>
                  </w:r>
                </w:p>
              </w:tc>
              <w:tc>
                <w:tcPr>
                  <w:tcW w:w="701" w:type="pct"/>
                  <w:tcBorders>
                    <w:bottom w:val="single" w:color="auto" w:sz="12" w:space="0"/>
                  </w:tcBorders>
                  <w:noWrap w:val="0"/>
                  <w:vAlign w:val="center"/>
                </w:tcPr>
                <w:p w14:paraId="4EEE7898">
                  <w:pPr>
                    <w:adjustRightInd w:val="0"/>
                    <w:snapToGrid w:val="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装置名称</w:t>
                  </w:r>
                </w:p>
              </w:tc>
              <w:tc>
                <w:tcPr>
                  <w:tcW w:w="551" w:type="pct"/>
                  <w:tcBorders>
                    <w:bottom w:val="single" w:color="auto" w:sz="12" w:space="0"/>
                  </w:tcBorders>
                  <w:noWrap w:val="0"/>
                  <w:vAlign w:val="center"/>
                </w:tcPr>
                <w:p w14:paraId="0DD8C9B6">
                  <w:pPr>
                    <w:adjustRightInd w:val="0"/>
                    <w:snapToGrid w:val="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物料名称</w:t>
                  </w:r>
                </w:p>
              </w:tc>
              <w:tc>
                <w:tcPr>
                  <w:tcW w:w="580" w:type="pct"/>
                  <w:tcBorders>
                    <w:bottom w:val="single" w:color="auto" w:sz="12" w:space="0"/>
                  </w:tcBorders>
                  <w:noWrap w:val="0"/>
                  <w:vAlign w:val="center"/>
                </w:tcPr>
                <w:p w14:paraId="03519B3D">
                  <w:pPr>
                    <w:adjustRightInd w:val="0"/>
                    <w:snapToGrid w:val="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储存量</w:t>
                  </w:r>
                </w:p>
              </w:tc>
              <w:tc>
                <w:tcPr>
                  <w:tcW w:w="847" w:type="pct"/>
                  <w:tcBorders>
                    <w:bottom w:val="single" w:color="auto" w:sz="12" w:space="0"/>
                  </w:tcBorders>
                  <w:noWrap w:val="0"/>
                  <w:vAlign w:val="center"/>
                </w:tcPr>
                <w:p w14:paraId="78A74EBA">
                  <w:pPr>
                    <w:adjustRightInd w:val="0"/>
                    <w:snapToGrid w:val="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储存位置</w:t>
                  </w:r>
                </w:p>
              </w:tc>
              <w:tc>
                <w:tcPr>
                  <w:tcW w:w="689" w:type="pct"/>
                  <w:tcBorders>
                    <w:bottom w:val="single" w:color="auto" w:sz="12" w:space="0"/>
                  </w:tcBorders>
                  <w:noWrap w:val="0"/>
                  <w:vAlign w:val="center"/>
                </w:tcPr>
                <w:p w14:paraId="318F1E7A">
                  <w:pPr>
                    <w:adjustRightInd w:val="0"/>
                    <w:snapToGrid w:val="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包装方式</w:t>
                  </w:r>
                </w:p>
              </w:tc>
              <w:tc>
                <w:tcPr>
                  <w:tcW w:w="710" w:type="pct"/>
                  <w:tcBorders>
                    <w:bottom w:val="single" w:color="auto" w:sz="12" w:space="0"/>
                  </w:tcBorders>
                  <w:noWrap w:val="0"/>
                  <w:vAlign w:val="center"/>
                </w:tcPr>
                <w:p w14:paraId="2167F71B">
                  <w:pPr>
                    <w:adjustRightInd w:val="0"/>
                    <w:snapToGrid w:val="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危险因素</w:t>
                  </w:r>
                </w:p>
              </w:tc>
              <w:tc>
                <w:tcPr>
                  <w:tcW w:w="620" w:type="pct"/>
                  <w:tcBorders>
                    <w:bottom w:val="single" w:color="auto" w:sz="12" w:space="0"/>
                  </w:tcBorders>
                  <w:noWrap w:val="0"/>
                  <w:vAlign w:val="center"/>
                </w:tcPr>
                <w:p w14:paraId="7B0E43A4">
                  <w:pPr>
                    <w:adjustRightInd w:val="0"/>
                    <w:snapToGrid w:val="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后果</w:t>
                  </w:r>
                </w:p>
              </w:tc>
            </w:tr>
            <w:tr w14:paraId="2A05C9B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97" w:type="pct"/>
                  <w:tcBorders>
                    <w:top w:val="single" w:color="auto" w:sz="12" w:space="0"/>
                  </w:tcBorders>
                  <w:noWrap w:val="0"/>
                  <w:vAlign w:val="center"/>
                </w:tcPr>
                <w:p w14:paraId="114CBF99">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701" w:type="pct"/>
                  <w:tcBorders>
                    <w:top w:val="single" w:color="auto" w:sz="12" w:space="0"/>
                  </w:tcBorders>
                  <w:noWrap w:val="0"/>
                  <w:vAlign w:val="center"/>
                </w:tcPr>
                <w:p w14:paraId="7F39BA06">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废润滑油暂存装置</w:t>
                  </w:r>
                </w:p>
              </w:tc>
              <w:tc>
                <w:tcPr>
                  <w:tcW w:w="551" w:type="pct"/>
                  <w:tcBorders>
                    <w:top w:val="single" w:color="auto" w:sz="12" w:space="0"/>
                  </w:tcBorders>
                  <w:noWrap w:val="0"/>
                  <w:vAlign w:val="center"/>
                </w:tcPr>
                <w:p w14:paraId="0025C531">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废润滑油</w:t>
                  </w:r>
                </w:p>
              </w:tc>
              <w:tc>
                <w:tcPr>
                  <w:tcW w:w="580" w:type="pct"/>
                  <w:tcBorders>
                    <w:top w:val="single" w:color="auto" w:sz="12" w:space="0"/>
                  </w:tcBorders>
                  <w:noWrap w:val="0"/>
                  <w:vAlign w:val="center"/>
                </w:tcPr>
                <w:p w14:paraId="6F2A4FB6">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w:t>
                  </w:r>
                  <w:r>
                    <w:rPr>
                      <w:rFonts w:hint="eastAsia" w:cs="Times New Roman"/>
                      <w:color w:val="auto"/>
                      <w:szCs w:val="21"/>
                      <w:highlight w:val="none"/>
                      <w:lang w:val="en-US" w:eastAsia="zh-CN"/>
                    </w:rPr>
                    <w:t>4</w:t>
                  </w:r>
                  <w:r>
                    <w:rPr>
                      <w:rFonts w:hint="default" w:ascii="Times New Roman" w:hAnsi="Times New Roman" w:cs="Times New Roman"/>
                      <w:color w:val="auto"/>
                      <w:szCs w:val="21"/>
                      <w:highlight w:val="none"/>
                    </w:rPr>
                    <w:t>t/a</w:t>
                  </w:r>
                </w:p>
              </w:tc>
              <w:tc>
                <w:tcPr>
                  <w:tcW w:w="847" w:type="pct"/>
                  <w:tcBorders>
                    <w:top w:val="single" w:color="auto" w:sz="12" w:space="0"/>
                  </w:tcBorders>
                  <w:noWrap w:val="0"/>
                  <w:vAlign w:val="center"/>
                </w:tcPr>
                <w:p w14:paraId="5C76E368">
                  <w:pPr>
                    <w:adjustRightInd w:val="0"/>
                    <w:snapToGrid w:val="0"/>
                    <w:jc w:val="center"/>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危废</w:t>
                  </w:r>
                  <w:r>
                    <w:rPr>
                      <w:rFonts w:hint="default" w:ascii="Times New Roman" w:hAnsi="Times New Roman" w:cs="Times New Roman"/>
                      <w:color w:val="auto"/>
                      <w:szCs w:val="21"/>
                      <w:highlight w:val="none"/>
                      <w:lang w:eastAsia="zh-CN"/>
                    </w:rPr>
                    <w:t>暂存库</w:t>
                  </w:r>
                </w:p>
              </w:tc>
              <w:tc>
                <w:tcPr>
                  <w:tcW w:w="689" w:type="pct"/>
                  <w:tcBorders>
                    <w:top w:val="single" w:color="auto" w:sz="12" w:space="0"/>
                  </w:tcBorders>
                  <w:noWrap w:val="0"/>
                  <w:vAlign w:val="center"/>
                </w:tcPr>
                <w:p w14:paraId="6D9A11CA">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液态、桶</w:t>
                  </w:r>
                </w:p>
                <w:p w14:paraId="02CC41FD">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装</w:t>
                  </w:r>
                </w:p>
              </w:tc>
              <w:tc>
                <w:tcPr>
                  <w:tcW w:w="710" w:type="pct"/>
                  <w:tcBorders>
                    <w:top w:val="single" w:color="auto" w:sz="12" w:space="0"/>
                  </w:tcBorders>
                  <w:noWrap w:val="0"/>
                  <w:vAlign w:val="center"/>
                </w:tcPr>
                <w:p w14:paraId="0386F1F3">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泄露、火灾</w:t>
                  </w:r>
                </w:p>
              </w:tc>
              <w:tc>
                <w:tcPr>
                  <w:tcW w:w="620" w:type="pct"/>
                  <w:tcBorders>
                    <w:top w:val="single" w:color="auto" w:sz="12" w:space="0"/>
                  </w:tcBorders>
                  <w:noWrap w:val="0"/>
                  <w:vAlign w:val="center"/>
                </w:tcPr>
                <w:p w14:paraId="1AEB8EC4">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污染土壤环境与大气环境</w:t>
                  </w:r>
                </w:p>
              </w:tc>
            </w:tr>
          </w:tbl>
          <w:p w14:paraId="2BBF84FF">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（4）风险分析 </w:t>
            </w:r>
          </w:p>
          <w:p w14:paraId="59311BE9">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本项目运营期风险主要是泄漏、火灾事故对环境的影响。</w:t>
            </w:r>
          </w:p>
          <w:p w14:paraId="1DD98707">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废润滑油泄漏存在火灾等风险，废润滑油储存期间若发生泄漏，则容易导致火灾等风险事故；主要为火灾，在未及时采取对策措施的情况下对周围环境有一定的影响；引发的火灾会迅速蔓延，燃烧产物主要为CO</w:t>
            </w:r>
            <w:r>
              <w:rPr>
                <w:rFonts w:hint="default" w:ascii="Times New Roman" w:hAnsi="Times New Roman" w:cs="Times New Roman"/>
                <w:color w:val="auto"/>
                <w:sz w:val="24"/>
                <w:highlight w:val="none"/>
                <w:vertAlign w:val="subscript"/>
              </w:rPr>
              <w:t>2</w:t>
            </w:r>
            <w:r>
              <w:rPr>
                <w:rFonts w:hint="default" w:ascii="Times New Roman" w:hAnsi="Times New Roman" w:cs="Times New Roman"/>
                <w:color w:val="auto"/>
                <w:sz w:val="24"/>
                <w:highlight w:val="none"/>
              </w:rPr>
              <w:t>和水蒸汽，同时伴随浓烟，挥发至空气中，会造成大气污染，会对人的健康造成危害。正常状况下，项目危废</w:t>
            </w:r>
            <w:r>
              <w:rPr>
                <w:rFonts w:hint="default" w:ascii="Times New Roman" w:hAnsi="Times New Roman" w:cs="Times New Roman"/>
                <w:color w:val="auto"/>
                <w:sz w:val="24"/>
                <w:highlight w:val="none"/>
                <w:lang w:eastAsia="zh-CN"/>
              </w:rPr>
              <w:t>暂存库</w:t>
            </w:r>
            <w:r>
              <w:rPr>
                <w:rFonts w:hint="default" w:ascii="Times New Roman" w:hAnsi="Times New Roman" w:cs="Times New Roman"/>
                <w:color w:val="auto"/>
                <w:sz w:val="24"/>
                <w:highlight w:val="none"/>
              </w:rPr>
              <w:t>根据</w:t>
            </w:r>
            <w:r>
              <w:rPr>
                <w:rFonts w:hint="default" w:ascii="Times New Roman" w:hAnsi="Times New Roman" w:cs="Times New Roman"/>
                <w:color w:val="auto"/>
                <w:sz w:val="24"/>
                <w:highlight w:val="none"/>
                <w:lang w:val="zh-CN"/>
              </w:rPr>
              <w:t>危险废物贮存的</w:t>
            </w:r>
            <w:r>
              <w:rPr>
                <w:rFonts w:hint="default" w:ascii="Times New Roman" w:hAnsi="Times New Roman" w:cs="Times New Roman"/>
                <w:color w:val="auto"/>
                <w:sz w:val="24"/>
                <w:highlight w:val="none"/>
              </w:rPr>
              <w:t>相关规范及要求，已进行重点防渗处理，运行期间进行定期巡检，在正常贮存的状态下，不会对厂区内土壤环境产生影响。在非正常工况下，</w:t>
            </w:r>
            <w:r>
              <w:rPr>
                <w:rFonts w:hint="default" w:ascii="Times New Roman" w:hAnsi="Times New Roman" w:cs="Times New Roman"/>
                <w:color w:val="auto"/>
                <w:sz w:val="24"/>
                <w:highlight w:val="none"/>
                <w:lang w:val="zh-CN"/>
              </w:rPr>
              <w:t>当危废暂存库防渗效果不好，或地面防渗层因系统老化、腐蚀等原因不能正常运行或保护效果达不到设计要求时，或出现跑冒滴漏等非正常状况下，将导致废润滑油泄漏入外环境，</w:t>
            </w:r>
            <w:r>
              <w:rPr>
                <w:rFonts w:hint="default" w:ascii="Times New Roman" w:hAnsi="Times New Roman" w:cs="Times New Roman"/>
                <w:color w:val="auto"/>
                <w:sz w:val="24"/>
                <w:highlight w:val="none"/>
              </w:rPr>
              <w:t>导致含有污染物的少量污水通过泄漏点进入包气带，从而污染土壤。</w:t>
            </w:r>
          </w:p>
          <w:p w14:paraId="5BD8959F">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（2）环境风险防范措施及应急要求 </w:t>
            </w:r>
          </w:p>
          <w:p w14:paraId="43CA8BF3">
            <w:pPr>
              <w:pStyle w:val="54"/>
              <w:adjustRightInd/>
              <w:snapToGrid/>
              <w:rPr>
                <w:rFonts w:hint="default" w:ascii="Times New Roman" w:hAnsi="Times New Roman" w:cs="Times New Roman"/>
                <w:color w:val="auto"/>
                <w:highlight w:val="none"/>
              </w:rPr>
            </w:pPr>
            <w:r>
              <w:rPr>
                <w:rFonts w:hint="default" w:ascii="Times New Roman" w:hAnsi="Times New Roman" w:cs="Times New Roman"/>
                <w:color w:val="auto"/>
                <w:highlight w:val="none"/>
              </w:rPr>
              <w:t>1）运输过程的环境风险防范</w:t>
            </w:r>
          </w:p>
          <w:p w14:paraId="7908AE65">
            <w:pPr>
              <w:pStyle w:val="54"/>
              <w:adjustRightInd/>
              <w:snapToGrid/>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本项目生产原料采用</w:t>
            </w:r>
            <w:r>
              <w:rPr>
                <w:rFonts w:hint="eastAsia" w:cs="Times New Roman"/>
                <w:color w:val="auto"/>
                <w:highlight w:val="none"/>
                <w:lang w:eastAsia="zh-CN"/>
              </w:rPr>
              <w:t>厢式货车</w:t>
            </w:r>
            <w:r>
              <w:rPr>
                <w:rFonts w:hint="default" w:ascii="Times New Roman" w:hAnsi="Times New Roman" w:cs="Times New Roman"/>
                <w:color w:val="auto"/>
                <w:highlight w:val="none"/>
              </w:rPr>
              <w:t>运输，运输过程风险事故发生概率较小，要求在输送环节上尽可能的减少人为的不安全行为，遵守交通规则，最大程度减少交通事故导致的散落或起火，同时输送车辆要配有专门的灭火设施，以降低火灾风险。合理选择行驶时间、路线、停车地点，同时要避开上下班等的交通高峰期，降低运输过程中的交通事故发生的可能。装卸作业由专人负责安全监督。</w:t>
            </w:r>
          </w:p>
          <w:p w14:paraId="787E9661">
            <w:pPr>
              <w:pStyle w:val="54"/>
              <w:adjustRightInd/>
              <w:snapToGrid/>
              <w:rPr>
                <w:rFonts w:hint="default" w:ascii="Times New Roman" w:hAnsi="Times New Roman" w:cs="Times New Roman"/>
                <w:color w:val="auto"/>
                <w:highlight w:val="none"/>
              </w:rPr>
            </w:pPr>
            <w:r>
              <w:rPr>
                <w:rFonts w:hint="default" w:ascii="Times New Roman" w:hAnsi="Times New Roman" w:cs="Times New Roman"/>
                <w:color w:val="auto"/>
                <w:highlight w:val="none"/>
              </w:rPr>
              <w:t>2）储存过程的环境风险防范</w:t>
            </w:r>
          </w:p>
          <w:p w14:paraId="0C11F0B6">
            <w:pPr>
              <w:pStyle w:val="54"/>
              <w:adjustRightInd/>
              <w:snapToGrid/>
              <w:rPr>
                <w:rFonts w:hint="default" w:ascii="Times New Roman" w:hAnsi="Times New Roman" w:cs="Times New Roman"/>
                <w:color w:val="auto"/>
                <w:highlight w:val="none"/>
              </w:rPr>
            </w:pPr>
            <w:r>
              <w:rPr>
                <w:rFonts w:hint="default" w:ascii="Times New Roman" w:hAnsi="Times New Roman" w:cs="Times New Roman"/>
                <w:color w:val="auto"/>
                <w:highlight w:val="none"/>
              </w:rPr>
              <w:t>项目在原料储存过程中需采取一系列风险管理措施，具体包括：</w:t>
            </w:r>
          </w:p>
          <w:p w14:paraId="6CAF7BDF">
            <w:pPr>
              <w:pStyle w:val="54"/>
              <w:adjustRightInd/>
              <w:snapToGrid/>
              <w:rPr>
                <w:rFonts w:hint="default" w:ascii="Times New Roman" w:hAnsi="Times New Roman" w:cs="Times New Roman"/>
                <w:color w:val="auto"/>
                <w:highlight w:val="none"/>
              </w:rPr>
            </w:pPr>
            <w:r>
              <w:rPr>
                <w:rFonts w:hint="default" w:ascii="Times New Roman" w:hAnsi="Times New Roman" w:cs="Times New Roman"/>
                <w:color w:val="auto"/>
                <w:highlight w:val="none"/>
              </w:rPr>
              <w:t>①存储场设置明显的标志；</w:t>
            </w:r>
          </w:p>
          <w:p w14:paraId="535F4650">
            <w:pPr>
              <w:pStyle w:val="54"/>
              <w:adjustRightInd/>
              <w:snapToGrid/>
              <w:rPr>
                <w:rFonts w:hint="default" w:ascii="Times New Roman" w:hAnsi="Times New Roman" w:cs="Times New Roman"/>
                <w:color w:val="auto"/>
                <w:highlight w:val="none"/>
              </w:rPr>
            </w:pPr>
            <w:r>
              <w:rPr>
                <w:rFonts w:hint="default" w:ascii="Times New Roman" w:hAnsi="Times New Roman" w:cs="Times New Roman"/>
                <w:color w:val="auto"/>
                <w:highlight w:val="none"/>
              </w:rPr>
              <w:t>②分区存放，按生产计划合理进料；</w:t>
            </w:r>
          </w:p>
          <w:p w14:paraId="4642E1DA">
            <w:pPr>
              <w:pStyle w:val="54"/>
              <w:adjustRightInd/>
              <w:snapToGrid/>
              <w:rPr>
                <w:rFonts w:hint="default" w:ascii="Times New Roman" w:hAnsi="Times New Roman" w:cs="Times New Roman"/>
                <w:color w:val="auto"/>
                <w:highlight w:val="none"/>
              </w:rPr>
            </w:pPr>
            <w:r>
              <w:rPr>
                <w:rFonts w:hint="default" w:ascii="Times New Roman" w:hAnsi="Times New Roman" w:cs="Times New Roman"/>
                <w:color w:val="auto"/>
                <w:highlight w:val="none"/>
              </w:rPr>
              <w:t>③对各类火种、火源和有散发火花危险的机械设备、作业活动，以及可燃、易燃物品等实行严格管理，禁止人员带火种进入存储场，对存储场动火实行全过程安全监督制；</w:t>
            </w:r>
          </w:p>
          <w:p w14:paraId="4CF3674E">
            <w:pPr>
              <w:pStyle w:val="54"/>
              <w:adjustRightInd/>
              <w:snapToGrid/>
              <w:rPr>
                <w:rFonts w:hint="default" w:ascii="Times New Roman" w:hAnsi="Times New Roman" w:cs="Times New Roman"/>
                <w:color w:val="auto"/>
                <w:highlight w:val="none"/>
              </w:rPr>
            </w:pPr>
            <w:r>
              <w:rPr>
                <w:rFonts w:hint="default" w:ascii="Times New Roman" w:hAnsi="Times New Roman" w:cs="Times New Roman"/>
                <w:color w:val="auto"/>
                <w:highlight w:val="none"/>
              </w:rPr>
              <w:t>④对各类安全设施、消防器材，进行定期检查，并将发现的问题责任到人落实整改；</w:t>
            </w:r>
          </w:p>
          <w:p w14:paraId="2C162C69">
            <w:pPr>
              <w:pStyle w:val="54"/>
              <w:adjustRightInd/>
              <w:snapToGrid/>
              <w:rPr>
                <w:rFonts w:hint="default" w:ascii="Times New Roman" w:hAnsi="Times New Roman" w:cs="Times New Roman"/>
                <w:color w:val="auto"/>
                <w:highlight w:val="none"/>
              </w:rPr>
            </w:pPr>
            <w:r>
              <w:rPr>
                <w:rFonts w:hint="default" w:ascii="Times New Roman" w:hAnsi="Times New Roman" w:cs="Times New Roman"/>
                <w:color w:val="auto"/>
                <w:highlight w:val="none"/>
              </w:rPr>
              <w:t>⑤贮存场所，实行安全责任制。</w:t>
            </w:r>
          </w:p>
          <w:p w14:paraId="1ACDEB2F">
            <w:pPr>
              <w:pStyle w:val="54"/>
              <w:adjustRightInd/>
              <w:snapToGrid/>
              <w:rPr>
                <w:rFonts w:hint="default" w:ascii="Times New Roman" w:hAnsi="Times New Roman" w:cs="Times New Roman"/>
                <w:color w:val="auto"/>
                <w:highlight w:val="none"/>
              </w:rPr>
            </w:pPr>
            <w:r>
              <w:rPr>
                <w:rFonts w:hint="default" w:ascii="Times New Roman" w:hAnsi="Times New Roman" w:cs="Times New Roman"/>
                <w:color w:val="auto"/>
                <w:highlight w:val="none"/>
              </w:rPr>
              <w:t>3）其他风险防范措施</w:t>
            </w:r>
          </w:p>
          <w:p w14:paraId="379B8D77">
            <w:pPr>
              <w:pStyle w:val="54"/>
              <w:adjustRightInd/>
              <w:snapToGrid/>
              <w:rPr>
                <w:rFonts w:hint="default" w:ascii="Times New Roman" w:hAnsi="Times New Roman" w:cs="Times New Roman"/>
                <w:color w:val="auto"/>
                <w:highlight w:val="none"/>
              </w:rPr>
            </w:pPr>
            <w:r>
              <w:rPr>
                <w:rFonts w:hint="default" w:ascii="Times New Roman" w:hAnsi="Times New Roman" w:cs="Times New Roman"/>
                <w:color w:val="auto"/>
                <w:highlight w:val="none"/>
              </w:rPr>
              <w:t>①存储场内不得设置移动照明、配电线路与货垛之间应按规范的要求保持足够的防火间距，不得在堆垛上方架设临时线路，不得设置移动照明和配电板等。对生产区和仓储区及其他需要配置的地方，安装事故应急照明和疏散指示标志。</w:t>
            </w:r>
          </w:p>
          <w:p w14:paraId="33C6DA59">
            <w:pPr>
              <w:pStyle w:val="54"/>
              <w:numPr>
                <w:ilvl w:val="0"/>
                <w:numId w:val="3"/>
              </w:numPr>
              <w:adjustRightInd/>
              <w:snapToGrid/>
              <w:ind w:left="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加强消防设施的维护与保养使其保持在良好的性能状态，减少机械伤害的发生。</w:t>
            </w:r>
          </w:p>
          <w:p w14:paraId="0155E797">
            <w:pPr>
              <w:pStyle w:val="54"/>
              <w:adjustRightInd/>
              <w:snapToGrid/>
              <w:rPr>
                <w:rFonts w:hint="default" w:ascii="Times New Roman" w:hAnsi="Times New Roman" w:cs="Times New Roman"/>
                <w:color w:val="auto"/>
                <w:highlight w:val="none"/>
              </w:rPr>
            </w:pPr>
            <w:r>
              <w:rPr>
                <w:rFonts w:hint="default" w:ascii="Times New Roman" w:hAnsi="Times New Roman" w:cs="Times New Roman"/>
                <w:color w:val="auto"/>
                <w:highlight w:val="none"/>
              </w:rPr>
              <w:t>③加强安全教育，强化安全意识，具备相应的安全知识，原料区域安全管理人员必须增强安全意识和法制观念，掌握安全卫生基本知识，具有一定的安全管理和决策能力。</w:t>
            </w:r>
          </w:p>
          <w:p w14:paraId="03AA2837">
            <w:pPr>
              <w:pStyle w:val="54"/>
              <w:adjustRightInd/>
              <w:snapToGrid/>
              <w:rPr>
                <w:rFonts w:hint="default" w:ascii="Times New Roman" w:hAnsi="Times New Roman" w:cs="Times New Roman"/>
                <w:color w:val="auto"/>
                <w:highlight w:val="none"/>
              </w:rPr>
            </w:pPr>
            <w:r>
              <w:rPr>
                <w:rFonts w:hint="default" w:ascii="Times New Roman" w:hAnsi="Times New Roman" w:cs="Times New Roman"/>
                <w:color w:val="auto"/>
                <w:highlight w:val="none"/>
              </w:rPr>
              <w:t>④要落实消防安全责任制，严格各项规章制度。原料区的各项消防安全规章制度不能光挂在墙上，关键要落到实处，加强违规违章操作人员的管理和查处，要经常进行消防安全教育，实行车辆进出的登记查问制度、火种管理制度、动用明火制度、货物进出仓库的检查制度、货物堆放制度、巡查制度。</w:t>
            </w:r>
          </w:p>
          <w:p w14:paraId="37FE4306">
            <w:pPr>
              <w:pStyle w:val="54"/>
              <w:adjustRightInd/>
              <w:snapToGrid/>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（3）应急预案</w:t>
            </w:r>
          </w:p>
          <w:p w14:paraId="53DBD6D8">
            <w:pPr>
              <w:pStyle w:val="54"/>
              <w:adjustRightInd/>
              <w:snapToGrid/>
              <w:rPr>
                <w:rFonts w:hint="default" w:ascii="Times New Roman" w:hAnsi="Times New Roman" w:cs="Times New Roman"/>
                <w:color w:val="auto"/>
                <w:highlight w:val="none"/>
              </w:rPr>
            </w:pPr>
            <w:r>
              <w:rPr>
                <w:rFonts w:hint="default" w:ascii="Times New Roman" w:hAnsi="Times New Roman" w:cs="Times New Roman"/>
                <w:color w:val="auto"/>
                <w:highlight w:val="none"/>
              </w:rPr>
              <w:t>建设单位应按照《企业事业单位突发环境事件应急预案备案管理办法（试行）》（环发〔2015〕4号）的要求建立环境风险事故应急预案，应急预案所要求的基本内容可参照表</w:t>
            </w:r>
            <w:r>
              <w:rPr>
                <w:rFonts w:hint="default" w:ascii="Times New Roman" w:hAnsi="Times New Roman" w:cs="Times New Roman"/>
                <w:bCs/>
                <w:color w:val="auto"/>
                <w:spacing w:val="-10"/>
                <w:highlight w:val="none"/>
              </w:rPr>
              <w:t>4-2</w:t>
            </w:r>
            <w:r>
              <w:rPr>
                <w:rFonts w:hint="eastAsia" w:cs="Times New Roman"/>
                <w:bCs/>
                <w:color w:val="auto"/>
                <w:spacing w:val="-10"/>
                <w:highlight w:val="none"/>
                <w:lang w:val="en-US" w:eastAsia="zh-CN"/>
              </w:rPr>
              <w:t>3</w:t>
            </w:r>
            <w:r>
              <w:rPr>
                <w:rFonts w:hint="default" w:ascii="Times New Roman" w:hAnsi="Times New Roman" w:cs="Times New Roman"/>
                <w:color w:val="auto"/>
                <w:highlight w:val="none"/>
              </w:rPr>
              <w:t>中的相关内容。</w:t>
            </w:r>
          </w:p>
          <w:p w14:paraId="0870F923">
            <w:pPr>
              <w:pStyle w:val="9"/>
              <w:spacing w:before="0" w:after="0" w:line="240" w:lineRule="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表4-2</w:t>
            </w:r>
            <w:r>
              <w:rPr>
                <w:rFonts w:hint="eastAsia"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rPr>
              <w:t xml:space="preserve">    应急预案内容一览表</w:t>
            </w:r>
          </w:p>
          <w:tbl>
            <w:tblPr>
              <w:tblStyle w:val="26"/>
              <w:tblW w:w="4950" w:type="pct"/>
              <w:jc w:val="center"/>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0" w:type="dxa"/>
                <w:left w:w="108" w:type="dxa"/>
                <w:bottom w:w="0" w:type="dxa"/>
                <w:right w:w="108" w:type="dxa"/>
              </w:tblCellMar>
            </w:tblPr>
            <w:tblGrid>
              <w:gridCol w:w="673"/>
              <w:gridCol w:w="2148"/>
              <w:gridCol w:w="5210"/>
            </w:tblGrid>
            <w:tr w14:paraId="596D1764">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19" w:type="pct"/>
                  <w:tcBorders>
                    <w:bottom w:val="single" w:color="000000" w:sz="12" w:space="0"/>
                  </w:tcBorders>
                  <w:noWrap w:val="0"/>
                  <w:vAlign w:val="center"/>
                </w:tcPr>
                <w:p w14:paraId="1FE47899">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序号</w:t>
                  </w:r>
                </w:p>
              </w:tc>
              <w:tc>
                <w:tcPr>
                  <w:tcW w:w="1337" w:type="pct"/>
                  <w:tcBorders>
                    <w:bottom w:val="single" w:color="000000" w:sz="12" w:space="0"/>
                  </w:tcBorders>
                  <w:noWrap w:val="0"/>
                  <w:vAlign w:val="center"/>
                </w:tcPr>
                <w:p w14:paraId="0B45F402">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项目</w:t>
                  </w:r>
                </w:p>
              </w:tc>
              <w:tc>
                <w:tcPr>
                  <w:tcW w:w="3243" w:type="pct"/>
                  <w:tcBorders>
                    <w:bottom w:val="single" w:color="000000" w:sz="12" w:space="0"/>
                  </w:tcBorders>
                  <w:noWrap w:val="0"/>
                  <w:vAlign w:val="center"/>
                </w:tcPr>
                <w:p w14:paraId="5F899B79">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内容及要求</w:t>
                  </w:r>
                </w:p>
              </w:tc>
            </w:tr>
            <w:tr w14:paraId="4ECB8145">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19" w:type="pct"/>
                  <w:tcBorders>
                    <w:top w:val="single" w:color="000000" w:sz="12" w:space="0"/>
                  </w:tcBorders>
                  <w:noWrap w:val="0"/>
                  <w:vAlign w:val="center"/>
                </w:tcPr>
                <w:p w14:paraId="01D38AC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1337" w:type="pct"/>
                  <w:tcBorders>
                    <w:top w:val="single" w:color="000000" w:sz="12" w:space="0"/>
                  </w:tcBorders>
                  <w:noWrap w:val="0"/>
                  <w:vAlign w:val="center"/>
                </w:tcPr>
                <w:p w14:paraId="4509F2C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应急计划区</w:t>
                  </w:r>
                </w:p>
              </w:tc>
              <w:tc>
                <w:tcPr>
                  <w:tcW w:w="3243" w:type="pct"/>
                  <w:tcBorders>
                    <w:top w:val="single" w:color="000000" w:sz="12" w:space="0"/>
                  </w:tcBorders>
                  <w:noWrap w:val="0"/>
                  <w:vAlign w:val="center"/>
                </w:tcPr>
                <w:p w14:paraId="16D5C7E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危险目标，环境保护目标</w:t>
                  </w:r>
                </w:p>
              </w:tc>
            </w:tr>
            <w:tr w14:paraId="2AAA5A4D">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19" w:type="pct"/>
                  <w:noWrap w:val="0"/>
                  <w:vAlign w:val="center"/>
                </w:tcPr>
                <w:p w14:paraId="6EF163B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1337" w:type="pct"/>
                  <w:noWrap w:val="0"/>
                  <w:vAlign w:val="center"/>
                </w:tcPr>
                <w:p w14:paraId="5A27B31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应急组织机构、人员</w:t>
                  </w:r>
                </w:p>
              </w:tc>
              <w:tc>
                <w:tcPr>
                  <w:tcW w:w="3243" w:type="pct"/>
                  <w:noWrap w:val="0"/>
                  <w:vAlign w:val="center"/>
                </w:tcPr>
                <w:p w14:paraId="5BB34A09">
                  <w:pPr>
                    <w:jc w:val="center"/>
                    <w:rPr>
                      <w:rFonts w:hint="default" w:ascii="Times New Roman" w:hAnsi="Times New Roman" w:cs="Times New Roman"/>
                      <w:color w:val="auto"/>
                      <w:highlight w:val="none"/>
                    </w:rPr>
                  </w:pPr>
                  <w:r>
                    <w:rPr>
                      <w:rFonts w:hint="default" w:ascii="Times New Roman" w:hAnsi="Times New Roman" w:cs="Times New Roman"/>
                      <w:color w:val="auto"/>
                      <w:kern w:val="0"/>
                      <w:highlight w:val="none"/>
                    </w:rPr>
                    <w:t>公司设置应急组织机构，经理为应急计划、协调第一人，应急人员必须为培训上岗熟练工；区域应急组织结构由当地政府、相关行业专家、卫生安全相关单位组成，并由当地政府进行统一调度</w:t>
                  </w:r>
                </w:p>
              </w:tc>
            </w:tr>
            <w:tr w14:paraId="74C1D514">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19" w:type="pct"/>
                  <w:noWrap w:val="0"/>
                  <w:vAlign w:val="center"/>
                </w:tcPr>
                <w:p w14:paraId="72632B72">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w:t>
                  </w:r>
                </w:p>
              </w:tc>
              <w:tc>
                <w:tcPr>
                  <w:tcW w:w="1337" w:type="pct"/>
                  <w:noWrap w:val="0"/>
                  <w:vAlign w:val="center"/>
                </w:tcPr>
                <w:p w14:paraId="2C14AD4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预案分级响应条件</w:t>
                  </w:r>
                </w:p>
              </w:tc>
              <w:tc>
                <w:tcPr>
                  <w:tcW w:w="3243" w:type="pct"/>
                  <w:noWrap w:val="0"/>
                  <w:vAlign w:val="center"/>
                </w:tcPr>
                <w:p w14:paraId="521342B9">
                  <w:pPr>
                    <w:jc w:val="center"/>
                    <w:rPr>
                      <w:rFonts w:hint="default" w:ascii="Times New Roman" w:hAnsi="Times New Roman" w:cs="Times New Roman"/>
                      <w:color w:val="auto"/>
                      <w:highlight w:val="none"/>
                    </w:rPr>
                  </w:pPr>
                  <w:r>
                    <w:rPr>
                      <w:rFonts w:hint="default" w:ascii="Times New Roman" w:hAnsi="Times New Roman" w:cs="Times New Roman"/>
                      <w:color w:val="auto"/>
                      <w:kern w:val="0"/>
                      <w:highlight w:val="none"/>
                    </w:rPr>
                    <w:t>根据事故的严重程度制定相应级别的应急预案，以及适合相应情况的处理措施</w:t>
                  </w:r>
                </w:p>
              </w:tc>
            </w:tr>
            <w:tr w14:paraId="11440E8A">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19" w:type="pct"/>
                  <w:noWrap w:val="0"/>
                  <w:vAlign w:val="center"/>
                </w:tcPr>
                <w:p w14:paraId="1B88908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4</w:t>
                  </w:r>
                </w:p>
              </w:tc>
              <w:tc>
                <w:tcPr>
                  <w:tcW w:w="1337" w:type="pct"/>
                  <w:noWrap w:val="0"/>
                  <w:vAlign w:val="center"/>
                </w:tcPr>
                <w:p w14:paraId="28BD4B0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应急救援保障</w:t>
                  </w:r>
                </w:p>
              </w:tc>
              <w:tc>
                <w:tcPr>
                  <w:tcW w:w="3243" w:type="pct"/>
                  <w:noWrap w:val="0"/>
                  <w:vAlign w:val="center"/>
                </w:tcPr>
                <w:p w14:paraId="49450326">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应急设施，设备与器材</w:t>
                  </w:r>
                </w:p>
              </w:tc>
            </w:tr>
            <w:tr w14:paraId="7A154123">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19" w:type="pct"/>
                  <w:noWrap w:val="0"/>
                  <w:vAlign w:val="center"/>
                </w:tcPr>
                <w:p w14:paraId="0E88B643">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5</w:t>
                  </w:r>
                </w:p>
              </w:tc>
              <w:tc>
                <w:tcPr>
                  <w:tcW w:w="1337" w:type="pct"/>
                  <w:noWrap w:val="0"/>
                  <w:vAlign w:val="center"/>
                </w:tcPr>
                <w:p w14:paraId="2BECD6F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报警、通讯联络方式</w:t>
                  </w:r>
                </w:p>
              </w:tc>
              <w:tc>
                <w:tcPr>
                  <w:tcW w:w="3243" w:type="pct"/>
                  <w:noWrap w:val="0"/>
                  <w:vAlign w:val="center"/>
                </w:tcPr>
                <w:p w14:paraId="28D7612C">
                  <w:pPr>
                    <w:jc w:val="center"/>
                    <w:rPr>
                      <w:rFonts w:hint="default" w:ascii="Times New Roman" w:hAnsi="Times New Roman" w:cs="Times New Roman"/>
                      <w:color w:val="auto"/>
                      <w:highlight w:val="none"/>
                    </w:rPr>
                  </w:pPr>
                  <w:r>
                    <w:rPr>
                      <w:rFonts w:hint="default" w:ascii="Times New Roman" w:hAnsi="Times New Roman" w:cs="Times New Roman"/>
                      <w:color w:val="auto"/>
                      <w:kern w:val="0"/>
                      <w:highlight w:val="none"/>
                    </w:rPr>
                    <w:t>逐一细化应急状态下各主要负责部门的报警通讯方式、地点、电话号码以及相关配套的交通保障、管制、消防联络方法，涉及跨区域的还应与相关区域环境保护部门和上级环保部门保持联系，及时通报事故处理情况，以获得区域性支援</w:t>
                  </w:r>
                </w:p>
              </w:tc>
            </w:tr>
            <w:tr w14:paraId="4C2BF26E">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19" w:type="pct"/>
                  <w:noWrap w:val="0"/>
                  <w:vAlign w:val="center"/>
                </w:tcPr>
                <w:p w14:paraId="7694482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6</w:t>
                  </w:r>
                </w:p>
              </w:tc>
              <w:tc>
                <w:tcPr>
                  <w:tcW w:w="1337" w:type="pct"/>
                  <w:noWrap w:val="0"/>
                  <w:vAlign w:val="center"/>
                </w:tcPr>
                <w:p w14:paraId="7D2649C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应急环境监测、抢险、救援及控制措施</w:t>
                  </w:r>
                </w:p>
              </w:tc>
              <w:tc>
                <w:tcPr>
                  <w:tcW w:w="3243" w:type="pct"/>
                  <w:noWrap w:val="0"/>
                  <w:vAlign w:val="center"/>
                </w:tcPr>
                <w:p w14:paraId="4E869AA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由专业队伍负责对事故现场进行侦查监测，对事故性质、参数与后果进行评估，为指挥部门提供决策依据</w:t>
                  </w:r>
                </w:p>
              </w:tc>
            </w:tr>
            <w:tr w14:paraId="08772AAB">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19" w:type="pct"/>
                  <w:noWrap w:val="0"/>
                  <w:vAlign w:val="center"/>
                </w:tcPr>
                <w:p w14:paraId="6DC4645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7</w:t>
                  </w:r>
                </w:p>
              </w:tc>
              <w:tc>
                <w:tcPr>
                  <w:tcW w:w="1337" w:type="pct"/>
                  <w:noWrap w:val="0"/>
                  <w:vAlign w:val="center"/>
                </w:tcPr>
                <w:p w14:paraId="4E8A91D5">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应急检测、防护措施、清楚泄露措施和器材</w:t>
                  </w:r>
                </w:p>
              </w:tc>
              <w:tc>
                <w:tcPr>
                  <w:tcW w:w="3243" w:type="pct"/>
                  <w:noWrap w:val="0"/>
                  <w:vAlign w:val="center"/>
                </w:tcPr>
                <w:p w14:paraId="6BB7518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事故现场、临近区域、控制防火措施，控制和清楚污染措施及相应设备</w:t>
                  </w:r>
                </w:p>
              </w:tc>
            </w:tr>
            <w:tr w14:paraId="4F32DA03">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19" w:type="pct"/>
                  <w:noWrap w:val="0"/>
                  <w:vAlign w:val="center"/>
                </w:tcPr>
                <w:p w14:paraId="47E5526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8</w:t>
                  </w:r>
                </w:p>
              </w:tc>
              <w:tc>
                <w:tcPr>
                  <w:tcW w:w="1337" w:type="pct"/>
                  <w:noWrap w:val="0"/>
                  <w:vAlign w:val="center"/>
                </w:tcPr>
                <w:p w14:paraId="4F3E515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人员紧急撤离、疏散，应急剂量控制、撤离组织计划</w:t>
                  </w:r>
                </w:p>
              </w:tc>
              <w:tc>
                <w:tcPr>
                  <w:tcW w:w="3243" w:type="pct"/>
                  <w:noWrap w:val="0"/>
                  <w:vAlign w:val="center"/>
                </w:tcPr>
                <w:p w14:paraId="5BABC060">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事故现场、厂区临近区、受事故影响的区域人员及公众对毒物应急剂量控制规定，撤离组织计划及救护，医疗救护与公众健康</w:t>
                  </w:r>
                </w:p>
              </w:tc>
            </w:tr>
            <w:tr w14:paraId="4EF556E3">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19" w:type="pct"/>
                  <w:noWrap w:val="0"/>
                  <w:vAlign w:val="center"/>
                </w:tcPr>
                <w:p w14:paraId="13BF5E4A">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9</w:t>
                  </w:r>
                </w:p>
              </w:tc>
              <w:tc>
                <w:tcPr>
                  <w:tcW w:w="1337" w:type="pct"/>
                  <w:noWrap w:val="0"/>
                  <w:vAlign w:val="center"/>
                </w:tcPr>
                <w:p w14:paraId="5384A1B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事故应急救援关闭程序与恢复措施</w:t>
                  </w:r>
                </w:p>
              </w:tc>
              <w:tc>
                <w:tcPr>
                  <w:tcW w:w="3243" w:type="pct"/>
                  <w:noWrap w:val="0"/>
                  <w:vAlign w:val="center"/>
                </w:tcPr>
                <w:p w14:paraId="08610E9B">
                  <w:pPr>
                    <w:jc w:val="center"/>
                    <w:rPr>
                      <w:rFonts w:hint="default" w:ascii="Times New Roman" w:hAnsi="Times New Roman" w:cs="Times New Roman"/>
                      <w:color w:val="auto"/>
                      <w:highlight w:val="none"/>
                    </w:rPr>
                  </w:pPr>
                  <w:r>
                    <w:rPr>
                      <w:rFonts w:hint="default" w:ascii="Times New Roman" w:hAnsi="Times New Roman" w:cs="Times New Roman"/>
                      <w:color w:val="auto"/>
                      <w:kern w:val="0"/>
                      <w:highlight w:val="none"/>
                    </w:rPr>
                    <w:t>制定相关应急状态终止程序，事故现场、受影响范围内的善后处理、恢复措施，邻近区域解除事故警戒及善后恢复措施</w:t>
                  </w:r>
                </w:p>
              </w:tc>
            </w:tr>
            <w:tr w14:paraId="762670C1">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19" w:type="pct"/>
                  <w:noWrap w:val="0"/>
                  <w:vAlign w:val="center"/>
                </w:tcPr>
                <w:p w14:paraId="19AC5537">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10</w:t>
                  </w:r>
                </w:p>
              </w:tc>
              <w:tc>
                <w:tcPr>
                  <w:tcW w:w="1337" w:type="pct"/>
                  <w:noWrap w:val="0"/>
                  <w:vAlign w:val="center"/>
                </w:tcPr>
                <w:p w14:paraId="003D361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应急培训计划</w:t>
                  </w:r>
                </w:p>
              </w:tc>
              <w:tc>
                <w:tcPr>
                  <w:tcW w:w="3243" w:type="pct"/>
                  <w:noWrap w:val="0"/>
                  <w:vAlign w:val="center"/>
                </w:tcPr>
                <w:p w14:paraId="13685CEC">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定期安排有关人员进行培训与演练</w:t>
                  </w:r>
                </w:p>
              </w:tc>
            </w:tr>
            <w:tr w14:paraId="2224F92D">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419" w:type="pct"/>
                  <w:noWrap w:val="0"/>
                  <w:vAlign w:val="center"/>
                </w:tcPr>
                <w:p w14:paraId="003267A4">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11</w:t>
                  </w:r>
                </w:p>
              </w:tc>
              <w:tc>
                <w:tcPr>
                  <w:tcW w:w="1337" w:type="pct"/>
                  <w:noWrap w:val="0"/>
                  <w:vAlign w:val="center"/>
                </w:tcPr>
                <w:p w14:paraId="0814701D">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公众教育和信息</w:t>
                  </w:r>
                </w:p>
              </w:tc>
              <w:tc>
                <w:tcPr>
                  <w:tcW w:w="3243" w:type="pct"/>
                  <w:noWrap w:val="0"/>
                  <w:vAlign w:val="center"/>
                </w:tcPr>
                <w:p w14:paraId="6CB6D25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对工厂邻近地区开展公众教育、培训和发布有关信息</w:t>
                  </w:r>
                </w:p>
              </w:tc>
            </w:tr>
          </w:tbl>
          <w:p w14:paraId="6A8A32BF">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（4）环境风险分析结论 </w:t>
            </w:r>
          </w:p>
          <w:p w14:paraId="374AD927">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风险事故主要为废润滑油泄漏造成的地下水环境、土壤环境污染和火灾事故导致大气环境污染。项目应严格落实本评价提出的各项环境风险防范措施，严格按照国家有关环保、安全处理的要求，规范工程设计，落实有关安全、环保设施“三同时”，制定相应的环保及安全处理规章制度及应急预案；处理过程中，加强处理管理，注意做好废润滑油在运输、使用过程中的风险事故防范工作，避免火灾等事故的发生。评价认为，在采取相应的防范控制及应急措施后，项目风险处于可接受水平，不会对项目周围环境产生明显影响，项目提出的风险管理措施可靠、有效，在认真落实本评价针对安全处理以及风险事故提出的具体防范对策及应急措施的情况下，从环境风险角度，项目在拟建地实施是可行的。建设项目环境风险简单分析内容见表4-2</w:t>
            </w:r>
            <w:r>
              <w:rPr>
                <w:rFonts w:hint="eastAsia" w:cs="Times New Roman"/>
                <w:color w:val="auto"/>
                <w:sz w:val="24"/>
                <w:highlight w:val="none"/>
                <w:lang w:val="en-US" w:eastAsia="zh-CN"/>
              </w:rPr>
              <w:t>4</w:t>
            </w:r>
            <w:r>
              <w:rPr>
                <w:rFonts w:hint="default" w:ascii="Times New Roman" w:hAnsi="Times New Roman" w:cs="Times New Roman"/>
                <w:color w:val="auto"/>
                <w:sz w:val="24"/>
                <w:highlight w:val="none"/>
              </w:rPr>
              <w:t>。</w:t>
            </w:r>
          </w:p>
          <w:p w14:paraId="778AC0EA">
            <w:pPr>
              <w:ind w:firstLine="422" w:firstLineChars="20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表4-2</w:t>
            </w:r>
            <w:r>
              <w:rPr>
                <w:rFonts w:hint="eastAsia" w:cs="Times New Roman"/>
                <w:b/>
                <w:bCs/>
                <w:color w:val="auto"/>
                <w:szCs w:val="21"/>
                <w:highlight w:val="none"/>
                <w:lang w:val="en-US" w:eastAsia="zh-CN"/>
              </w:rPr>
              <w:t>4</w:t>
            </w:r>
            <w:r>
              <w:rPr>
                <w:rFonts w:hint="default" w:ascii="Times New Roman" w:hAnsi="Times New Roman" w:cs="Times New Roman"/>
                <w:b/>
                <w:bCs/>
                <w:color w:val="auto"/>
                <w:szCs w:val="21"/>
                <w:highlight w:val="none"/>
              </w:rPr>
              <w:t xml:space="preserve">    建设项目环境风险简单分析内容表</w:t>
            </w:r>
          </w:p>
          <w:tbl>
            <w:tblPr>
              <w:tblStyle w:val="26"/>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31"/>
              <w:gridCol w:w="2729"/>
              <w:gridCol w:w="3049"/>
            </w:tblGrid>
            <w:tr w14:paraId="79C5C2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37" w:type="pct"/>
                  <w:tcBorders>
                    <w:bottom w:val="single" w:color="auto" w:sz="12" w:space="0"/>
                  </w:tcBorders>
                  <w:noWrap w:val="0"/>
                  <w:vAlign w:val="center"/>
                </w:tcPr>
                <w:p w14:paraId="2ED7F0F0">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建设项目名称</w:t>
                  </w:r>
                </w:p>
              </w:tc>
              <w:tc>
                <w:tcPr>
                  <w:tcW w:w="3562" w:type="pct"/>
                  <w:gridSpan w:val="2"/>
                  <w:tcBorders>
                    <w:bottom w:val="single" w:color="auto" w:sz="12" w:space="0"/>
                  </w:tcBorders>
                  <w:noWrap w:val="0"/>
                  <w:vAlign w:val="center"/>
                </w:tcPr>
                <w:p w14:paraId="51158016">
                  <w:pPr>
                    <w:jc w:val="center"/>
                    <w:rPr>
                      <w:rFonts w:hint="default" w:ascii="Times New Roman" w:hAnsi="Times New Roman" w:cs="Times New Roman"/>
                      <w:b/>
                      <w:bCs/>
                      <w:color w:val="auto"/>
                      <w:szCs w:val="21"/>
                      <w:highlight w:val="none"/>
                    </w:rPr>
                  </w:pPr>
                  <w:r>
                    <w:rPr>
                      <w:rFonts w:hint="default" w:ascii="Times New Roman" w:hAnsi="Times New Roman" w:cs="Times New Roman"/>
                      <w:b w:val="0"/>
                      <w:bCs w:val="0"/>
                      <w:color w:val="auto"/>
                      <w:szCs w:val="21"/>
                      <w:highlight w:val="none"/>
                      <w:lang w:val="en-US" w:eastAsia="zh-CN"/>
                    </w:rPr>
                    <w:t>高端智慧农业装备生产基地建设项目</w:t>
                  </w:r>
                </w:p>
              </w:tc>
            </w:tr>
            <w:tr w14:paraId="2D03346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37" w:type="pct"/>
                  <w:tcBorders>
                    <w:top w:val="single" w:color="auto" w:sz="12" w:space="0"/>
                  </w:tcBorders>
                  <w:noWrap w:val="0"/>
                  <w:vAlign w:val="center"/>
                </w:tcPr>
                <w:p w14:paraId="5ADDF06D">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建设地点</w:t>
                  </w:r>
                </w:p>
              </w:tc>
              <w:tc>
                <w:tcPr>
                  <w:tcW w:w="3562" w:type="pct"/>
                  <w:gridSpan w:val="2"/>
                  <w:tcBorders>
                    <w:top w:val="single" w:color="auto" w:sz="12" w:space="0"/>
                  </w:tcBorders>
                  <w:noWrap w:val="0"/>
                  <w:vAlign w:val="center"/>
                </w:tcPr>
                <w:p w14:paraId="13DD4022">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新疆昌吉回族自治州昌吉市大西渠镇</w:t>
                  </w:r>
                  <w:r>
                    <w:rPr>
                      <w:rFonts w:hint="eastAsia" w:cs="Times New Roman"/>
                      <w:color w:val="auto"/>
                      <w:szCs w:val="21"/>
                      <w:highlight w:val="none"/>
                      <w:lang w:val="en-US" w:eastAsia="zh-CN"/>
                    </w:rPr>
                    <w:t>闽昌工业园区</w:t>
                  </w:r>
                </w:p>
              </w:tc>
            </w:tr>
            <w:tr w14:paraId="01D8368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37" w:type="pct"/>
                  <w:noWrap w:val="0"/>
                  <w:vAlign w:val="center"/>
                </w:tcPr>
                <w:p w14:paraId="4BB11EB6">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地理坐标</w:t>
                  </w:r>
                </w:p>
              </w:tc>
              <w:tc>
                <w:tcPr>
                  <w:tcW w:w="1683" w:type="pct"/>
                  <w:noWrap w:val="0"/>
                  <w:vAlign w:val="center"/>
                </w:tcPr>
                <w:p w14:paraId="11B77586">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东经87</w:t>
                  </w:r>
                  <w:r>
                    <w:rPr>
                      <w:rFonts w:hint="default" w:ascii="Times New Roman" w:hAnsi="Times New Roman" w:cs="Times New Roman"/>
                      <w:color w:val="auto"/>
                      <w:szCs w:val="21"/>
                      <w:highlight w:val="none"/>
                    </w:rPr>
                    <w:t>度</w:t>
                  </w:r>
                  <w:r>
                    <w:rPr>
                      <w:rFonts w:hint="default" w:ascii="Times New Roman" w:hAnsi="Times New Roman" w:cs="Times New Roman"/>
                      <w:color w:val="auto"/>
                      <w:szCs w:val="21"/>
                      <w:highlight w:val="none"/>
                      <w:lang w:val="en-US" w:eastAsia="zh-CN"/>
                    </w:rPr>
                    <w:t>13</w:t>
                  </w:r>
                  <w:r>
                    <w:rPr>
                      <w:rFonts w:hint="default" w:ascii="Times New Roman" w:hAnsi="Times New Roman" w:cs="Times New Roman"/>
                      <w:color w:val="auto"/>
                      <w:szCs w:val="21"/>
                      <w:highlight w:val="none"/>
                    </w:rPr>
                    <w:t>分</w:t>
                  </w:r>
                  <w:r>
                    <w:rPr>
                      <w:rFonts w:hint="default" w:ascii="Times New Roman" w:hAnsi="Times New Roman" w:cs="Times New Roman"/>
                      <w:color w:val="auto"/>
                      <w:szCs w:val="21"/>
                      <w:highlight w:val="none"/>
                      <w:lang w:val="en-US" w:eastAsia="zh-CN"/>
                    </w:rPr>
                    <w:t>19.224</w:t>
                  </w:r>
                  <w:r>
                    <w:rPr>
                      <w:rFonts w:hint="default" w:ascii="Times New Roman" w:hAnsi="Times New Roman" w:cs="Times New Roman"/>
                      <w:color w:val="auto"/>
                      <w:szCs w:val="21"/>
                      <w:highlight w:val="none"/>
                    </w:rPr>
                    <w:t>秒</w:t>
                  </w:r>
                </w:p>
              </w:tc>
              <w:tc>
                <w:tcPr>
                  <w:tcW w:w="1879" w:type="pct"/>
                  <w:noWrap w:val="0"/>
                  <w:vAlign w:val="center"/>
                </w:tcPr>
                <w:p w14:paraId="1F2572C0">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北纬44</w:t>
                  </w:r>
                  <w:r>
                    <w:rPr>
                      <w:rFonts w:hint="default" w:ascii="Times New Roman" w:hAnsi="Times New Roman" w:cs="Times New Roman"/>
                      <w:color w:val="auto"/>
                      <w:szCs w:val="21"/>
                      <w:highlight w:val="none"/>
                    </w:rPr>
                    <w:t>度</w:t>
                  </w:r>
                  <w:r>
                    <w:rPr>
                      <w:rFonts w:hint="default" w:ascii="Times New Roman" w:hAnsi="Times New Roman" w:cs="Times New Roman"/>
                      <w:color w:val="auto"/>
                      <w:szCs w:val="21"/>
                      <w:highlight w:val="none"/>
                      <w:lang w:val="en-US" w:eastAsia="zh-CN"/>
                    </w:rPr>
                    <w:t>02</w:t>
                  </w:r>
                  <w:r>
                    <w:rPr>
                      <w:rFonts w:hint="default" w:ascii="Times New Roman" w:hAnsi="Times New Roman" w:cs="Times New Roman"/>
                      <w:color w:val="auto"/>
                      <w:szCs w:val="21"/>
                      <w:highlight w:val="none"/>
                    </w:rPr>
                    <w:t>分</w:t>
                  </w:r>
                  <w:r>
                    <w:rPr>
                      <w:rFonts w:hint="default" w:ascii="Times New Roman" w:hAnsi="Times New Roman" w:cs="Times New Roman"/>
                      <w:color w:val="auto"/>
                      <w:szCs w:val="21"/>
                      <w:highlight w:val="none"/>
                      <w:lang w:val="en-US" w:eastAsia="zh-CN"/>
                    </w:rPr>
                    <w:t>30.558</w:t>
                  </w:r>
                  <w:r>
                    <w:rPr>
                      <w:rFonts w:hint="default" w:ascii="Times New Roman" w:hAnsi="Times New Roman" w:cs="Times New Roman"/>
                      <w:color w:val="auto"/>
                      <w:szCs w:val="21"/>
                      <w:highlight w:val="none"/>
                    </w:rPr>
                    <w:t>秒</w:t>
                  </w:r>
                </w:p>
              </w:tc>
            </w:tr>
            <w:tr w14:paraId="114B59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37" w:type="pct"/>
                  <w:noWrap w:val="0"/>
                  <w:vAlign w:val="center"/>
                </w:tcPr>
                <w:p w14:paraId="667EE458">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主要危险物质及分布</w:t>
                  </w:r>
                </w:p>
              </w:tc>
              <w:tc>
                <w:tcPr>
                  <w:tcW w:w="3562" w:type="pct"/>
                  <w:gridSpan w:val="2"/>
                  <w:noWrap w:val="0"/>
                  <w:vAlign w:val="center"/>
                </w:tcPr>
                <w:p w14:paraId="4D0E564C">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废润滑油暂存于危废</w:t>
                  </w:r>
                  <w:r>
                    <w:rPr>
                      <w:rFonts w:hint="default" w:ascii="Times New Roman" w:hAnsi="Times New Roman" w:cs="Times New Roman"/>
                      <w:color w:val="auto"/>
                      <w:szCs w:val="21"/>
                      <w:highlight w:val="none"/>
                      <w:lang w:eastAsia="zh-CN"/>
                    </w:rPr>
                    <w:t>暂存库</w:t>
                  </w:r>
                  <w:r>
                    <w:rPr>
                      <w:rFonts w:hint="default" w:ascii="Times New Roman" w:hAnsi="Times New Roman" w:cs="Times New Roman"/>
                      <w:color w:val="auto"/>
                      <w:szCs w:val="21"/>
                      <w:highlight w:val="none"/>
                    </w:rPr>
                    <w:t>内</w:t>
                  </w:r>
                </w:p>
              </w:tc>
            </w:tr>
            <w:tr w14:paraId="130193C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37" w:type="pct"/>
                  <w:noWrap w:val="0"/>
                  <w:vAlign w:val="center"/>
                </w:tcPr>
                <w:p w14:paraId="4AC9418D">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环境影响途径及危害后果（大气、地表水、地下水等）</w:t>
                  </w:r>
                </w:p>
              </w:tc>
              <w:tc>
                <w:tcPr>
                  <w:tcW w:w="3562" w:type="pct"/>
                  <w:gridSpan w:val="2"/>
                  <w:noWrap w:val="0"/>
                  <w:vAlign w:val="center"/>
                </w:tcPr>
                <w:p w14:paraId="43CE4A57">
                  <w:pPr>
                    <w:pStyle w:val="3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firstLineChars="0"/>
                    <w:jc w:val="both"/>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（1）危险物质泄漏，风险物质</w:t>
                  </w:r>
                  <w:r>
                    <w:rPr>
                      <w:rFonts w:hint="default" w:ascii="Times New Roman" w:hAnsi="Times New Roman" w:cs="Times New Roman"/>
                      <w:color w:val="auto"/>
                      <w:szCs w:val="21"/>
                      <w:highlight w:val="none"/>
                    </w:rPr>
                    <w:t>废润滑油</w:t>
                  </w:r>
                  <w:r>
                    <w:rPr>
                      <w:rFonts w:hint="default" w:ascii="Times New Roman" w:hAnsi="Times New Roman" w:eastAsia="宋体" w:cs="Times New Roman"/>
                      <w:b w:val="0"/>
                      <w:bCs w:val="0"/>
                      <w:color w:val="auto"/>
                      <w:sz w:val="21"/>
                      <w:szCs w:val="21"/>
                      <w:highlight w:val="none"/>
                      <w:lang w:val="en-US" w:eastAsia="zh-CN"/>
                    </w:rPr>
                    <w:t>泄漏，遇明火发生火灾、爆炸，燃烧产生的 SO</w:t>
                  </w:r>
                  <w:r>
                    <w:rPr>
                      <w:rFonts w:hint="default" w:ascii="Times New Roman" w:hAnsi="Times New Roman" w:eastAsia="宋体" w:cs="Times New Roman"/>
                      <w:b w:val="0"/>
                      <w:bCs w:val="0"/>
                      <w:color w:val="auto"/>
                      <w:sz w:val="21"/>
                      <w:szCs w:val="21"/>
                      <w:highlight w:val="none"/>
                      <w:vertAlign w:val="subscript"/>
                      <w:lang w:val="en-US" w:eastAsia="zh-CN"/>
                    </w:rPr>
                    <w:t>2</w:t>
                  </w:r>
                  <w:r>
                    <w:rPr>
                      <w:rFonts w:hint="default" w:ascii="Times New Roman" w:hAnsi="Times New Roman" w:eastAsia="宋体" w:cs="Times New Roman"/>
                      <w:b w:val="0"/>
                      <w:bCs w:val="0"/>
                      <w:color w:val="auto"/>
                      <w:sz w:val="21"/>
                      <w:szCs w:val="21"/>
                      <w:highlight w:val="none"/>
                      <w:lang w:val="en-US" w:eastAsia="zh-CN"/>
                    </w:rPr>
                    <w:t>、NOx、烟尘进行大气环境，影响大气环境。</w:t>
                  </w:r>
                </w:p>
                <w:p w14:paraId="3DBA55CF">
                  <w:pPr>
                    <w:jc w:val="center"/>
                    <w:rPr>
                      <w:rFonts w:hint="default" w:ascii="Times New Roman" w:hAnsi="Times New Roman" w:cs="Times New Roman"/>
                      <w:color w:val="auto"/>
                      <w:szCs w:val="21"/>
                      <w:highlight w:val="none"/>
                    </w:rPr>
                  </w:pPr>
                  <w:r>
                    <w:rPr>
                      <w:rFonts w:hint="default" w:ascii="Times New Roman" w:hAnsi="Times New Roman" w:eastAsia="宋体" w:cs="Times New Roman"/>
                      <w:b w:val="0"/>
                      <w:bCs w:val="0"/>
                      <w:color w:val="auto"/>
                      <w:sz w:val="21"/>
                      <w:szCs w:val="21"/>
                      <w:highlight w:val="none"/>
                      <w:lang w:val="en-US" w:eastAsia="zh-CN"/>
                    </w:rPr>
                    <w:t xml:space="preserve">（2）火灾爆炸等引发的伴生/次生污染物排放，一旦发生火灾爆炸对下风向大气环境造成影响，污染大气环境。 </w:t>
                  </w:r>
                </w:p>
              </w:tc>
            </w:tr>
            <w:tr w14:paraId="76507BA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37" w:type="pct"/>
                  <w:noWrap w:val="0"/>
                  <w:vAlign w:val="center"/>
                </w:tcPr>
                <w:p w14:paraId="34576A41">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风险防范措施要求</w:t>
                  </w:r>
                </w:p>
              </w:tc>
              <w:tc>
                <w:tcPr>
                  <w:tcW w:w="3562" w:type="pct"/>
                  <w:gridSpan w:val="2"/>
                  <w:noWrap w:val="0"/>
                  <w:vAlign w:val="center"/>
                </w:tcPr>
                <w:p w14:paraId="0C4F7E34">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①在危废</w:t>
                  </w:r>
                  <w:r>
                    <w:rPr>
                      <w:rFonts w:hint="default" w:ascii="Times New Roman" w:hAnsi="Times New Roman" w:cs="Times New Roman"/>
                      <w:color w:val="auto"/>
                      <w:szCs w:val="21"/>
                      <w:highlight w:val="none"/>
                      <w:lang w:eastAsia="zh-CN"/>
                    </w:rPr>
                    <w:t>暂存库</w:t>
                  </w:r>
                  <w:r>
                    <w:rPr>
                      <w:rFonts w:hint="default" w:ascii="Times New Roman" w:hAnsi="Times New Roman" w:cs="Times New Roman"/>
                      <w:color w:val="auto"/>
                      <w:szCs w:val="21"/>
                      <w:highlight w:val="none"/>
                    </w:rPr>
                    <w:t>门口设置门槛，一旦发生泄漏确保无外排放；</w:t>
                  </w:r>
                </w:p>
                <w:p w14:paraId="6E68E5EA">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②加强危险废物监管；</w:t>
                  </w:r>
                </w:p>
                <w:p w14:paraId="1218C72D">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③制定环境风险突发事故应急预案。</w:t>
                  </w:r>
                </w:p>
              </w:tc>
            </w:tr>
            <w:tr w14:paraId="223CA1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3"/>
                  <w:noWrap w:val="0"/>
                  <w:vAlign w:val="center"/>
                </w:tcPr>
                <w:p w14:paraId="3D846847">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填表说明（列出项目相关信息及评价说明）：项目环境风险分析结合《建设项目环境风险评价技术导则》（HJ 169-2018）及《建设项目环境影响评价技术导则 总纲》相关内容进行分析评价。</w:t>
                  </w:r>
                </w:p>
              </w:tc>
            </w:tr>
          </w:tbl>
          <w:p w14:paraId="4EFE2CF9">
            <w:pPr>
              <w:pStyle w:val="7"/>
              <w:pageBreakBefore w:val="0"/>
              <w:widowControl w:val="0"/>
              <w:kinsoku/>
              <w:wordWrap/>
              <w:overflowPunct/>
              <w:topLinePunct w:val="0"/>
              <w:autoSpaceDE/>
              <w:autoSpaceDN/>
              <w:bidi w:val="0"/>
              <w:adjustRightInd/>
              <w:snapToGrid/>
              <w:spacing w:beforeLines="0" w:afterLines="0" w:line="360" w:lineRule="auto"/>
              <w:ind w:right="0"/>
              <w:textAlignment w:val="auto"/>
              <w:rPr>
                <w:rFonts w:hint="default" w:ascii="Times New Roman" w:hAnsi="Times New Roman" w:eastAsia="宋体" w:cs="Times New Roman"/>
                <w:b/>
                <w:bCs/>
                <w:color w:val="auto"/>
                <w:sz w:val="24"/>
                <w:szCs w:val="24"/>
                <w:highlight w:val="none"/>
              </w:rPr>
            </w:pPr>
            <w:r>
              <w:rPr>
                <w:rFonts w:hint="eastAsia" w:cs="Times New Roman"/>
                <w:b/>
                <w:bCs/>
                <w:color w:val="auto"/>
                <w:sz w:val="24"/>
                <w:szCs w:val="24"/>
                <w:highlight w:val="none"/>
                <w:lang w:val="en-US" w:eastAsia="zh-CN"/>
              </w:rPr>
              <w:t>7.</w:t>
            </w:r>
            <w:r>
              <w:rPr>
                <w:rFonts w:hint="default" w:ascii="Times New Roman" w:hAnsi="Times New Roman" w:eastAsia="宋体" w:cs="Times New Roman"/>
                <w:b/>
                <w:bCs/>
                <w:color w:val="auto"/>
                <w:sz w:val="24"/>
                <w:szCs w:val="24"/>
                <w:highlight w:val="none"/>
              </w:rPr>
              <w:t>环保投资</w:t>
            </w:r>
          </w:p>
          <w:p w14:paraId="2A24C0E8">
            <w:pPr>
              <w:pStyle w:val="12"/>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建设项目总投资</w:t>
            </w:r>
            <w:r>
              <w:rPr>
                <w:rFonts w:hint="eastAsia" w:ascii="Times New Roman" w:hAnsi="Times New Roman" w:cs="Times New Roman"/>
                <w:color w:val="auto"/>
                <w:sz w:val="24"/>
                <w:szCs w:val="24"/>
                <w:highlight w:val="none"/>
                <w:lang w:val="en-US" w:eastAsia="zh-CN"/>
              </w:rPr>
              <w:t>19800</w:t>
            </w:r>
            <w:r>
              <w:rPr>
                <w:rFonts w:hint="default" w:ascii="Times New Roman" w:hAnsi="Times New Roman" w:eastAsia="宋体" w:cs="Times New Roman"/>
                <w:color w:val="auto"/>
                <w:sz w:val="24"/>
                <w:szCs w:val="24"/>
                <w:highlight w:val="none"/>
              </w:rPr>
              <w:t>万元，其中环保投资</w:t>
            </w:r>
            <w:r>
              <w:rPr>
                <w:rFonts w:hint="eastAsia" w:ascii="Times New Roman" w:hAnsi="Times New Roman" w:cs="Times New Roman"/>
                <w:color w:val="auto"/>
                <w:sz w:val="24"/>
                <w:szCs w:val="24"/>
                <w:highlight w:val="none"/>
                <w:lang w:val="en-US" w:eastAsia="zh-CN"/>
              </w:rPr>
              <w:t>110</w:t>
            </w:r>
            <w:r>
              <w:rPr>
                <w:rFonts w:hint="default" w:ascii="Times New Roman" w:hAnsi="Times New Roman" w:eastAsia="宋体" w:cs="Times New Roman"/>
                <w:color w:val="auto"/>
                <w:sz w:val="24"/>
                <w:szCs w:val="24"/>
                <w:highlight w:val="none"/>
              </w:rPr>
              <w:t>万元，环保投资占总投资的</w:t>
            </w:r>
            <w:r>
              <w:rPr>
                <w:rFonts w:hint="eastAsia" w:ascii="Times New Roman" w:hAnsi="Times New Roman" w:cs="Times New Roman"/>
                <w:color w:val="auto"/>
                <w:sz w:val="24"/>
                <w:szCs w:val="24"/>
                <w:highlight w:val="none"/>
                <w:lang w:val="en-US" w:eastAsia="zh-CN"/>
              </w:rPr>
              <w:t>0.56</w:t>
            </w:r>
            <w:r>
              <w:rPr>
                <w:rFonts w:hint="default" w:ascii="Times New Roman" w:hAnsi="Times New Roman" w:eastAsia="宋体" w:cs="Times New Roman"/>
                <w:color w:val="auto"/>
                <w:sz w:val="24"/>
                <w:szCs w:val="24"/>
                <w:highlight w:val="none"/>
              </w:rPr>
              <w:t>%，具体环保投资内容见表4-</w:t>
            </w:r>
            <w:r>
              <w:rPr>
                <w:rFonts w:hint="eastAsia" w:ascii="Times New Roman" w:hAnsi="Times New Roman" w:cs="Times New Roman"/>
                <w:color w:val="auto"/>
                <w:sz w:val="24"/>
                <w:szCs w:val="24"/>
                <w:highlight w:val="none"/>
                <w:lang w:val="en-US" w:eastAsia="zh-CN"/>
              </w:rPr>
              <w:t>25</w:t>
            </w:r>
            <w:r>
              <w:rPr>
                <w:rFonts w:hint="default" w:ascii="Times New Roman" w:hAnsi="Times New Roman" w:eastAsia="宋体" w:cs="Times New Roman"/>
                <w:color w:val="auto"/>
                <w:sz w:val="24"/>
                <w:szCs w:val="24"/>
                <w:highlight w:val="none"/>
              </w:rPr>
              <w:t>。</w:t>
            </w:r>
          </w:p>
          <w:p w14:paraId="59A2D195">
            <w:pPr>
              <w:pageBreakBefore w:val="0"/>
              <w:tabs>
                <w:tab w:val="left" w:pos="4563"/>
              </w:tabs>
              <w:kinsoku/>
              <w:wordWrap/>
              <w:overflowPunct/>
              <w:topLinePunct w:val="0"/>
              <w:autoSpaceDE/>
              <w:autoSpaceDN/>
              <w:bidi w:val="0"/>
              <w:spacing w:line="240" w:lineRule="auto"/>
              <w:ind w:left="0" w:right="0" w:firstLine="422" w:firstLineChars="20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表4-</w:t>
            </w:r>
            <w:r>
              <w:rPr>
                <w:rFonts w:hint="eastAsia" w:cs="Times New Roman"/>
                <w:b/>
                <w:bCs/>
                <w:color w:val="auto"/>
                <w:sz w:val="21"/>
                <w:szCs w:val="21"/>
                <w:highlight w:val="none"/>
                <w:lang w:val="en-US" w:eastAsia="zh-CN"/>
              </w:rPr>
              <w:t xml:space="preserve">25    </w:t>
            </w:r>
            <w:r>
              <w:rPr>
                <w:rFonts w:hint="default" w:ascii="Times New Roman" w:hAnsi="Times New Roman" w:eastAsia="宋体" w:cs="Times New Roman"/>
                <w:b/>
                <w:bCs/>
                <w:color w:val="auto"/>
                <w:sz w:val="21"/>
                <w:szCs w:val="21"/>
                <w:highlight w:val="none"/>
                <w:lang w:val="en-US" w:eastAsia="zh-CN"/>
              </w:rPr>
              <w:t>环保措施</w:t>
            </w:r>
            <w:r>
              <w:rPr>
                <w:rFonts w:hint="eastAsia" w:cs="Times New Roman"/>
                <w:b/>
                <w:bCs/>
                <w:color w:val="auto"/>
                <w:sz w:val="21"/>
                <w:szCs w:val="21"/>
                <w:highlight w:val="none"/>
                <w:lang w:val="en-US" w:eastAsia="zh-CN"/>
              </w:rPr>
              <w:t>及</w:t>
            </w:r>
            <w:r>
              <w:rPr>
                <w:rFonts w:hint="default" w:ascii="Times New Roman" w:hAnsi="Times New Roman" w:eastAsia="宋体" w:cs="Times New Roman"/>
                <w:b/>
                <w:bCs/>
                <w:color w:val="auto"/>
                <w:sz w:val="21"/>
                <w:szCs w:val="21"/>
                <w:highlight w:val="none"/>
              </w:rPr>
              <w:t>环保投资一览表</w:t>
            </w:r>
          </w:p>
          <w:tbl>
            <w:tblPr>
              <w:tblStyle w:val="26"/>
              <w:tblW w:w="4948"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708"/>
              <w:gridCol w:w="1346"/>
              <w:gridCol w:w="4906"/>
              <w:gridCol w:w="1068"/>
            </w:tblGrid>
            <w:tr w14:paraId="0340B18F">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41" w:type="pct"/>
                  <w:tcBorders>
                    <w:bottom w:val="single" w:color="auto" w:sz="12" w:space="0"/>
                  </w:tcBorders>
                  <w:noWrap w:val="0"/>
                  <w:vAlign w:val="center"/>
                </w:tcPr>
                <w:p w14:paraId="1909C26C">
                  <w:pPr>
                    <w:jc w:val="center"/>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项目</w:t>
                  </w:r>
                </w:p>
              </w:tc>
              <w:tc>
                <w:tcPr>
                  <w:tcW w:w="838" w:type="pct"/>
                  <w:tcBorders>
                    <w:bottom w:val="single" w:color="auto" w:sz="12" w:space="0"/>
                  </w:tcBorders>
                  <w:noWrap w:val="0"/>
                  <w:vAlign w:val="center"/>
                </w:tcPr>
                <w:p w14:paraId="5FD60B8F">
                  <w:pPr>
                    <w:jc w:val="center"/>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污染控制类型</w:t>
                  </w:r>
                </w:p>
              </w:tc>
              <w:tc>
                <w:tcPr>
                  <w:tcW w:w="3053" w:type="pct"/>
                  <w:tcBorders>
                    <w:bottom w:val="single" w:color="auto" w:sz="12" w:space="0"/>
                  </w:tcBorders>
                  <w:noWrap w:val="0"/>
                  <w:vAlign w:val="center"/>
                </w:tcPr>
                <w:p w14:paraId="588ADE04">
                  <w:pPr>
                    <w:jc w:val="center"/>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控制措施</w:t>
                  </w:r>
                </w:p>
              </w:tc>
              <w:tc>
                <w:tcPr>
                  <w:tcW w:w="665" w:type="pct"/>
                  <w:tcBorders>
                    <w:bottom w:val="single" w:color="auto" w:sz="12" w:space="0"/>
                  </w:tcBorders>
                  <w:noWrap w:val="0"/>
                  <w:vAlign w:val="center"/>
                </w:tcPr>
                <w:p w14:paraId="0A6F8C07">
                  <w:pPr>
                    <w:jc w:val="center"/>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投资</w:t>
                  </w:r>
                </w:p>
                <w:p w14:paraId="0BF391A9">
                  <w:pPr>
                    <w:jc w:val="center"/>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（万元）</w:t>
                  </w:r>
                </w:p>
              </w:tc>
            </w:tr>
            <w:tr w14:paraId="55AA6A0E">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41" w:type="pct"/>
                  <w:vMerge w:val="restart"/>
                  <w:tcBorders>
                    <w:top w:val="single" w:color="auto" w:sz="12" w:space="0"/>
                  </w:tcBorders>
                  <w:noWrap w:val="0"/>
                  <w:vAlign w:val="center"/>
                </w:tcPr>
                <w:p w14:paraId="0C1EDAC2">
                  <w:pPr>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废气</w:t>
                  </w:r>
                </w:p>
              </w:tc>
              <w:tc>
                <w:tcPr>
                  <w:tcW w:w="838" w:type="pct"/>
                  <w:tcBorders>
                    <w:top w:val="single" w:color="auto" w:sz="12" w:space="0"/>
                    <w:bottom w:val="single" w:color="auto" w:sz="8" w:space="0"/>
                  </w:tcBorders>
                  <w:noWrap w:val="0"/>
                  <w:vAlign w:val="center"/>
                </w:tcPr>
                <w:p w14:paraId="7C5B5633">
                  <w:pPr>
                    <w:pStyle w:val="23"/>
                    <w:spacing w:before="0" w:beforeAutospacing="0" w:after="0" w:afterAutospacing="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颗粒物</w:t>
                  </w:r>
                </w:p>
              </w:tc>
              <w:tc>
                <w:tcPr>
                  <w:tcW w:w="3053" w:type="pct"/>
                  <w:tcBorders>
                    <w:top w:val="single" w:color="auto" w:sz="12" w:space="0"/>
                    <w:bottom w:val="single" w:color="auto" w:sz="8" w:space="0"/>
                  </w:tcBorders>
                  <w:noWrap w:val="0"/>
                  <w:vAlign w:val="center"/>
                </w:tcPr>
                <w:p w14:paraId="2B53C1F5">
                  <w:pPr>
                    <w:pStyle w:val="23"/>
                    <w:spacing w:before="0" w:beforeAutospacing="0" w:after="0" w:afterAutospacing="0"/>
                    <w:jc w:val="left"/>
                    <w:rPr>
                      <w:rFonts w:hint="eastAsia" w:ascii="Times New Roman" w:hAnsi="Times New Roman" w:eastAsia="宋体" w:cs="Times New Roman"/>
                      <w:color w:val="auto"/>
                      <w:sz w:val="21"/>
                      <w:szCs w:val="21"/>
                      <w:highlight w:val="none"/>
                      <w:lang w:eastAsia="zh-CN"/>
                    </w:rPr>
                  </w:pPr>
                  <w:r>
                    <w:rPr>
                      <w:rFonts w:hint="default" w:ascii="Times New Roman" w:hAnsi="Times New Roman" w:cs="Times New Roman"/>
                      <w:bCs/>
                      <w:color w:val="auto"/>
                      <w:sz w:val="21"/>
                      <w:szCs w:val="21"/>
                      <w:highlight w:val="none"/>
                      <w:lang w:bidi="ar"/>
                    </w:rPr>
                    <w:t>①切割下料</w:t>
                  </w:r>
                  <w:r>
                    <w:rPr>
                      <w:rFonts w:hint="default" w:ascii="Times New Roman" w:hAnsi="Times New Roman" w:cs="Times New Roman"/>
                      <w:color w:val="auto"/>
                      <w:sz w:val="21"/>
                      <w:szCs w:val="21"/>
                      <w:highlight w:val="none"/>
                    </w:rPr>
                    <w:t>产生的颗粒物经</w:t>
                  </w:r>
                  <w:r>
                    <w:rPr>
                      <w:rFonts w:hint="eastAsia" w:ascii="Times New Roman" w:hAnsi="Times New Roman" w:cs="Times New Roman"/>
                      <w:color w:val="auto"/>
                      <w:sz w:val="21"/>
                      <w:szCs w:val="21"/>
                      <w:highlight w:val="none"/>
                      <w:lang w:val="en-US" w:eastAsia="zh-CN"/>
                    </w:rPr>
                    <w:t>袋式除尘器</w:t>
                  </w:r>
                  <w:r>
                    <w:rPr>
                      <w:rFonts w:hint="default" w:ascii="Times New Roman" w:hAnsi="Times New Roman" w:cs="Times New Roman"/>
                      <w:color w:val="auto"/>
                      <w:sz w:val="21"/>
                      <w:szCs w:val="21"/>
                      <w:highlight w:val="none"/>
                    </w:rPr>
                    <w:t>处理后经15m高排气筒排放（DA001）</w:t>
                  </w:r>
                  <w:r>
                    <w:rPr>
                      <w:rFonts w:hint="eastAsia" w:ascii="Times New Roman" w:hAnsi="Times New Roman" w:cs="Times New Roman"/>
                      <w:color w:val="auto"/>
                      <w:sz w:val="21"/>
                      <w:szCs w:val="21"/>
                      <w:highlight w:val="none"/>
                      <w:lang w:eastAsia="zh-CN"/>
                    </w:rPr>
                    <w:t>；</w:t>
                  </w:r>
                </w:p>
                <w:p w14:paraId="2C2DF447">
                  <w:pPr>
                    <w:pStyle w:val="23"/>
                    <w:spacing w:before="0" w:beforeAutospacing="0" w:after="0" w:afterAutospacing="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②抛丸打磨工序产生的颗粒物经</w:t>
                  </w:r>
                  <w:r>
                    <w:rPr>
                      <w:rFonts w:hint="eastAsia" w:ascii="Times New Roman" w:hAnsi="Times New Roman" w:cs="Times New Roman"/>
                      <w:color w:val="auto"/>
                      <w:sz w:val="21"/>
                      <w:szCs w:val="21"/>
                      <w:highlight w:val="none"/>
                      <w:lang w:val="en-US" w:eastAsia="zh-CN"/>
                    </w:rPr>
                    <w:t>袋式除尘器</w:t>
                  </w:r>
                  <w:r>
                    <w:rPr>
                      <w:rFonts w:hint="default" w:ascii="Times New Roman" w:hAnsi="Times New Roman" w:cs="Times New Roman"/>
                      <w:color w:val="auto"/>
                      <w:sz w:val="21"/>
                      <w:szCs w:val="21"/>
                      <w:highlight w:val="none"/>
                    </w:rPr>
                    <w:t>处理后通过1根经15米高排气筒（DA002）排放</w:t>
                  </w:r>
                </w:p>
                <w:p w14:paraId="42C18083">
                  <w:pPr>
                    <w:pStyle w:val="23"/>
                    <w:spacing w:before="0" w:beforeAutospacing="0" w:after="0" w:afterAutospacing="0"/>
                    <w:jc w:val="left"/>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③</w:t>
                  </w:r>
                  <w:r>
                    <w:rPr>
                      <w:rFonts w:hint="default" w:ascii="Times New Roman" w:hAnsi="Times New Roman" w:eastAsia="宋体" w:cs="Times New Roman"/>
                      <w:color w:val="auto"/>
                      <w:sz w:val="21"/>
                      <w:szCs w:val="21"/>
                      <w:highlight w:val="none"/>
                    </w:rPr>
                    <w:t>在焊接工序设置</w:t>
                  </w:r>
                  <w:r>
                    <w:rPr>
                      <w:rFonts w:hint="eastAsia" w:ascii="Times New Roman" w:hAnsi="Times New Roman" w:cs="Times New Roman"/>
                      <w:color w:val="auto"/>
                      <w:sz w:val="21"/>
                      <w:szCs w:val="21"/>
                      <w:highlight w:val="none"/>
                      <w:lang w:val="en-US" w:eastAsia="zh-CN"/>
                    </w:rPr>
                    <w:t>烟尘</w:t>
                  </w:r>
                  <w:r>
                    <w:rPr>
                      <w:rFonts w:hint="default" w:ascii="Times New Roman" w:hAnsi="Times New Roman" w:eastAsia="宋体" w:cs="Times New Roman"/>
                      <w:color w:val="auto"/>
                      <w:sz w:val="21"/>
                      <w:szCs w:val="21"/>
                      <w:highlight w:val="none"/>
                    </w:rPr>
                    <w:t>净化器对该部分废气进行处理</w:t>
                  </w:r>
                </w:p>
              </w:tc>
              <w:tc>
                <w:tcPr>
                  <w:tcW w:w="665" w:type="pct"/>
                  <w:tcBorders>
                    <w:top w:val="single" w:color="auto" w:sz="12" w:space="0"/>
                    <w:bottom w:val="single" w:color="auto" w:sz="8" w:space="0"/>
                  </w:tcBorders>
                  <w:noWrap w:val="0"/>
                  <w:vAlign w:val="center"/>
                </w:tcPr>
                <w:p w14:paraId="32C22878">
                  <w:pPr>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48</w:t>
                  </w:r>
                </w:p>
              </w:tc>
            </w:tr>
            <w:tr w14:paraId="52A12776">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41" w:type="pct"/>
                  <w:vMerge w:val="continue"/>
                  <w:noWrap w:val="0"/>
                  <w:vAlign w:val="center"/>
                </w:tcPr>
                <w:p w14:paraId="6DC41D2A">
                  <w:pPr>
                    <w:jc w:val="center"/>
                    <w:rPr>
                      <w:rFonts w:hint="default" w:ascii="Times New Roman" w:hAnsi="Times New Roman" w:cs="Times New Roman"/>
                      <w:color w:val="auto"/>
                      <w:kern w:val="0"/>
                      <w:sz w:val="21"/>
                      <w:szCs w:val="21"/>
                      <w:highlight w:val="none"/>
                    </w:rPr>
                  </w:pPr>
                </w:p>
              </w:tc>
              <w:tc>
                <w:tcPr>
                  <w:tcW w:w="838" w:type="pct"/>
                  <w:tcBorders>
                    <w:top w:val="single" w:color="auto" w:sz="8" w:space="0"/>
                  </w:tcBorders>
                  <w:noWrap w:val="0"/>
                  <w:vAlign w:val="center"/>
                </w:tcPr>
                <w:p w14:paraId="2B21140D">
                  <w:pPr>
                    <w:pStyle w:val="23"/>
                    <w:spacing w:before="0" w:beforeAutospacing="0" w:after="0" w:afterAutospacing="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颗粒物、非甲烷总烃</w:t>
                  </w:r>
                </w:p>
              </w:tc>
              <w:tc>
                <w:tcPr>
                  <w:tcW w:w="3053" w:type="pct"/>
                  <w:tcBorders>
                    <w:top w:val="single" w:color="auto" w:sz="8" w:space="0"/>
                  </w:tcBorders>
                  <w:noWrap w:val="0"/>
                  <w:vAlign w:val="center"/>
                </w:tcPr>
                <w:p w14:paraId="2335F33B">
                  <w:pPr>
                    <w:pStyle w:val="23"/>
                    <w:spacing w:before="0" w:beforeAutospacing="0" w:after="0" w:afterAutospacing="0"/>
                    <w:jc w:val="left"/>
                    <w:rPr>
                      <w:rFonts w:hint="default" w:ascii="Times New Roman" w:hAnsi="Times New Roman" w:cs="Times New Roman"/>
                      <w:bCs/>
                      <w:color w:val="auto"/>
                      <w:sz w:val="21"/>
                      <w:szCs w:val="21"/>
                      <w:highlight w:val="none"/>
                      <w:lang w:bidi="ar"/>
                    </w:rPr>
                  </w:pPr>
                  <w:r>
                    <w:rPr>
                      <w:rFonts w:hint="eastAsia" w:ascii="Times New Roman" w:hAnsi="Times New Roman" w:cs="Times New Roman"/>
                      <w:color w:val="auto"/>
                      <w:sz w:val="21"/>
                      <w:szCs w:val="21"/>
                      <w:highlight w:val="none"/>
                      <w:lang w:val="en-US" w:eastAsia="zh-CN"/>
                    </w:rPr>
                    <w:t>喷塑</w:t>
                  </w:r>
                  <w:r>
                    <w:rPr>
                      <w:rFonts w:hint="default" w:ascii="Times New Roman" w:hAnsi="Times New Roman" w:cs="Times New Roman"/>
                      <w:color w:val="auto"/>
                      <w:sz w:val="21"/>
                      <w:szCs w:val="21"/>
                      <w:highlight w:val="none"/>
                    </w:rPr>
                    <w:t>、烘干过程产生的废气在1座封闭式喷烘一体房进行，经负压收集，</w:t>
                  </w:r>
                  <w:r>
                    <w:rPr>
                      <w:rFonts w:hint="eastAsia" w:ascii="Times New Roman" w:hAnsi="Times New Roman" w:cs="Times New Roman"/>
                      <w:color w:val="auto"/>
                      <w:sz w:val="21"/>
                      <w:szCs w:val="21"/>
                      <w:highlight w:val="none"/>
                      <w:lang w:val="en-US" w:eastAsia="zh-CN"/>
                    </w:rPr>
                    <w:t>颗粒物和非甲烷总烃分别</w:t>
                  </w:r>
                  <w:r>
                    <w:rPr>
                      <w:rFonts w:hint="default" w:ascii="Times New Roman" w:hAnsi="Times New Roman" w:cs="Times New Roman"/>
                      <w:color w:val="auto"/>
                      <w:sz w:val="21"/>
                      <w:szCs w:val="21"/>
                      <w:highlight w:val="none"/>
                    </w:rPr>
                    <w:t>通过</w:t>
                  </w:r>
                  <w:r>
                    <w:rPr>
                      <w:rFonts w:hint="eastAsia" w:ascii="Times New Roman" w:hAnsi="Times New Roman" w:cs="Times New Roman"/>
                      <w:color w:val="auto"/>
                      <w:sz w:val="21"/>
                      <w:szCs w:val="21"/>
                      <w:highlight w:val="none"/>
                      <w:lang w:val="en-US" w:eastAsia="zh-CN"/>
                    </w:rPr>
                    <w:t>袋式除尘器和活性炭吸附+</w:t>
                  </w:r>
                  <w:r>
                    <w:rPr>
                      <w:rFonts w:hint="default" w:ascii="Times New Roman" w:hAnsi="Times New Roman" w:cs="Times New Roman"/>
                      <w:color w:val="auto"/>
                      <w:sz w:val="21"/>
                      <w:szCs w:val="21"/>
                      <w:highlight w:val="none"/>
                    </w:rPr>
                    <w:t>催化燃烧装置处理后由1根15m高排气筒（DA003）达标排放</w:t>
                  </w:r>
                </w:p>
              </w:tc>
              <w:tc>
                <w:tcPr>
                  <w:tcW w:w="665" w:type="pct"/>
                  <w:tcBorders>
                    <w:top w:val="single" w:color="auto" w:sz="8" w:space="0"/>
                  </w:tcBorders>
                  <w:noWrap w:val="0"/>
                  <w:vAlign w:val="center"/>
                </w:tcPr>
                <w:p w14:paraId="686BE0C9">
                  <w:pPr>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38</w:t>
                  </w:r>
                </w:p>
              </w:tc>
            </w:tr>
            <w:tr w14:paraId="4DF50355">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41" w:type="pct"/>
                  <w:vMerge w:val="continue"/>
                  <w:noWrap w:val="0"/>
                  <w:vAlign w:val="center"/>
                </w:tcPr>
                <w:p w14:paraId="1593917F">
                  <w:pPr>
                    <w:jc w:val="center"/>
                    <w:rPr>
                      <w:rFonts w:hint="default" w:ascii="Times New Roman" w:hAnsi="Times New Roman" w:cs="Times New Roman"/>
                      <w:color w:val="auto"/>
                      <w:kern w:val="0"/>
                      <w:sz w:val="21"/>
                      <w:szCs w:val="21"/>
                      <w:highlight w:val="none"/>
                    </w:rPr>
                  </w:pPr>
                </w:p>
              </w:tc>
              <w:tc>
                <w:tcPr>
                  <w:tcW w:w="838" w:type="pct"/>
                  <w:tcBorders>
                    <w:top w:val="single" w:color="auto" w:sz="8" w:space="0"/>
                  </w:tcBorders>
                  <w:noWrap w:val="0"/>
                  <w:vAlign w:val="center"/>
                </w:tcPr>
                <w:p w14:paraId="09769967">
                  <w:pPr>
                    <w:pStyle w:val="23"/>
                    <w:spacing w:before="0" w:beforeAutospacing="0" w:after="0" w:afterAutospacing="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无组织废气</w:t>
                  </w:r>
                </w:p>
              </w:tc>
              <w:tc>
                <w:tcPr>
                  <w:tcW w:w="3053" w:type="pct"/>
                  <w:tcBorders>
                    <w:top w:val="single" w:color="auto" w:sz="8" w:space="0"/>
                  </w:tcBorders>
                  <w:noWrap w:val="0"/>
                  <w:vAlign w:val="center"/>
                </w:tcPr>
                <w:p w14:paraId="6BCA73B9">
                  <w:pPr>
                    <w:pStyle w:val="23"/>
                    <w:spacing w:before="0" w:beforeAutospacing="0" w:after="0" w:afterAutospacing="0"/>
                    <w:jc w:val="center"/>
                    <w:rPr>
                      <w:rFonts w:hint="default" w:ascii="Times New Roman" w:hAnsi="Times New Roman" w:cs="Times New Roman"/>
                      <w:b/>
                      <w:bCs/>
                      <w:color w:val="auto"/>
                      <w:sz w:val="21"/>
                      <w:szCs w:val="21"/>
                      <w:highlight w:val="none"/>
                    </w:rPr>
                  </w:pPr>
                  <w:r>
                    <w:rPr>
                      <w:rFonts w:hint="default" w:ascii="Times New Roman" w:hAnsi="Times New Roman" w:cs="Times New Roman"/>
                      <w:bCs/>
                      <w:color w:val="auto"/>
                      <w:sz w:val="21"/>
                      <w:szCs w:val="21"/>
                      <w:highlight w:val="none"/>
                      <w:lang w:bidi="ar"/>
                    </w:rPr>
                    <w:t>洒水降尘，加大车间通风量</w:t>
                  </w:r>
                </w:p>
              </w:tc>
              <w:tc>
                <w:tcPr>
                  <w:tcW w:w="665" w:type="pct"/>
                  <w:tcBorders>
                    <w:top w:val="single" w:color="auto" w:sz="8" w:space="0"/>
                  </w:tcBorders>
                  <w:noWrap w:val="0"/>
                  <w:vAlign w:val="center"/>
                </w:tcPr>
                <w:p w14:paraId="2A7685ED">
                  <w:pPr>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1</w:t>
                  </w:r>
                </w:p>
              </w:tc>
            </w:tr>
            <w:tr w14:paraId="49B521C2">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41" w:type="pct"/>
                  <w:noWrap w:val="0"/>
                  <w:vAlign w:val="center"/>
                </w:tcPr>
                <w:p w14:paraId="5CEEFF06">
                  <w:pPr>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废水</w:t>
                  </w:r>
                </w:p>
              </w:tc>
              <w:tc>
                <w:tcPr>
                  <w:tcW w:w="838" w:type="pct"/>
                  <w:noWrap w:val="0"/>
                  <w:vAlign w:val="center"/>
                </w:tcPr>
                <w:p w14:paraId="045D83F5">
                  <w:pPr>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生活污水</w:t>
                  </w:r>
                </w:p>
              </w:tc>
              <w:tc>
                <w:tcPr>
                  <w:tcW w:w="3053" w:type="pct"/>
                  <w:noWrap w:val="0"/>
                  <w:vAlign w:val="center"/>
                </w:tcPr>
                <w:p w14:paraId="12A867A5">
                  <w:pPr>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产生的生活污水排入污水管网</w:t>
                  </w:r>
                </w:p>
              </w:tc>
              <w:tc>
                <w:tcPr>
                  <w:tcW w:w="665" w:type="pct"/>
                  <w:noWrap w:val="0"/>
                  <w:vAlign w:val="center"/>
                </w:tcPr>
                <w:p w14:paraId="652ED86B">
                  <w:pPr>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1.5</w:t>
                  </w:r>
                </w:p>
              </w:tc>
            </w:tr>
            <w:tr w14:paraId="7E9C3C10">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41" w:type="pct"/>
                  <w:noWrap w:val="0"/>
                  <w:vAlign w:val="center"/>
                </w:tcPr>
                <w:p w14:paraId="0E283702">
                  <w:pPr>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噪声</w:t>
                  </w:r>
                </w:p>
              </w:tc>
              <w:tc>
                <w:tcPr>
                  <w:tcW w:w="838" w:type="pct"/>
                  <w:noWrap w:val="0"/>
                  <w:vAlign w:val="center"/>
                </w:tcPr>
                <w:p w14:paraId="2B808A9A">
                  <w:pPr>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设备噪声</w:t>
                  </w:r>
                </w:p>
              </w:tc>
              <w:tc>
                <w:tcPr>
                  <w:tcW w:w="3053" w:type="pct"/>
                  <w:noWrap w:val="0"/>
                  <w:vAlign w:val="center"/>
                </w:tcPr>
                <w:p w14:paraId="098ACB6C">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选用低噪声设备、合理布局、基础减振、厂房隔音、距离衰减</w:t>
                  </w:r>
                </w:p>
              </w:tc>
              <w:tc>
                <w:tcPr>
                  <w:tcW w:w="665" w:type="pct"/>
                  <w:noWrap w:val="0"/>
                  <w:vAlign w:val="center"/>
                </w:tcPr>
                <w:p w14:paraId="650482B6">
                  <w:pPr>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2.0</w:t>
                  </w:r>
                </w:p>
              </w:tc>
            </w:tr>
            <w:tr w14:paraId="705F3F11">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41" w:type="pct"/>
                  <w:vMerge w:val="restart"/>
                  <w:noWrap w:val="0"/>
                  <w:vAlign w:val="center"/>
                </w:tcPr>
                <w:p w14:paraId="389F4362">
                  <w:pPr>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固体废物</w:t>
                  </w:r>
                </w:p>
              </w:tc>
              <w:tc>
                <w:tcPr>
                  <w:tcW w:w="838" w:type="pct"/>
                  <w:noWrap w:val="0"/>
                  <w:vAlign w:val="center"/>
                </w:tcPr>
                <w:p w14:paraId="6236F1AC">
                  <w:pPr>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一般固体废物</w:t>
                  </w:r>
                </w:p>
              </w:tc>
              <w:tc>
                <w:tcPr>
                  <w:tcW w:w="3053" w:type="pct"/>
                  <w:noWrap w:val="0"/>
                  <w:vAlign w:val="center"/>
                </w:tcPr>
                <w:p w14:paraId="3EA77E9E">
                  <w:pPr>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边角料、除尘器收集的粉尘暂存于一般固体废物</w:t>
                  </w:r>
                  <w:r>
                    <w:rPr>
                      <w:rFonts w:hint="default" w:ascii="Times New Roman" w:hAnsi="Times New Roman" w:cs="Times New Roman"/>
                      <w:color w:val="auto"/>
                      <w:kern w:val="0"/>
                      <w:sz w:val="21"/>
                      <w:szCs w:val="21"/>
                      <w:highlight w:val="none"/>
                      <w:lang w:eastAsia="zh-CN"/>
                    </w:rPr>
                    <w:t>暂存库</w:t>
                  </w:r>
                  <w:r>
                    <w:rPr>
                      <w:rFonts w:hint="default" w:ascii="Times New Roman" w:hAnsi="Times New Roman" w:cs="Times New Roman"/>
                      <w:color w:val="auto"/>
                      <w:kern w:val="0"/>
                      <w:sz w:val="21"/>
                      <w:szCs w:val="21"/>
                      <w:highlight w:val="none"/>
                    </w:rPr>
                    <w:t>，统一外售；废</w:t>
                  </w:r>
                  <w:r>
                    <w:rPr>
                      <w:rFonts w:hint="eastAsia" w:cs="Times New Roman"/>
                      <w:color w:val="auto"/>
                      <w:kern w:val="0"/>
                      <w:sz w:val="21"/>
                      <w:szCs w:val="21"/>
                      <w:highlight w:val="none"/>
                      <w:lang w:val="en-US" w:eastAsia="zh-CN"/>
                    </w:rPr>
                    <w:t>润滑油桶</w:t>
                  </w:r>
                  <w:r>
                    <w:rPr>
                      <w:rFonts w:hint="default" w:ascii="Times New Roman" w:hAnsi="Times New Roman" w:cs="Times New Roman"/>
                      <w:color w:val="auto"/>
                      <w:kern w:val="0"/>
                      <w:sz w:val="21"/>
                      <w:szCs w:val="21"/>
                      <w:highlight w:val="none"/>
                    </w:rPr>
                    <w:t>定期委托环卫部门清运处置；</w:t>
                  </w:r>
                </w:p>
              </w:tc>
              <w:tc>
                <w:tcPr>
                  <w:tcW w:w="665" w:type="pct"/>
                  <w:noWrap w:val="0"/>
                  <w:vAlign w:val="center"/>
                </w:tcPr>
                <w:p w14:paraId="2852C7ED">
                  <w:pPr>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9</w:t>
                  </w:r>
                </w:p>
              </w:tc>
            </w:tr>
            <w:tr w14:paraId="6A48F6F2">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41" w:type="pct"/>
                  <w:vMerge w:val="continue"/>
                  <w:noWrap w:val="0"/>
                  <w:vAlign w:val="center"/>
                </w:tcPr>
                <w:p w14:paraId="5428A0B4">
                  <w:pPr>
                    <w:jc w:val="center"/>
                    <w:rPr>
                      <w:rFonts w:hint="default" w:ascii="Times New Roman" w:hAnsi="Times New Roman" w:cs="Times New Roman"/>
                      <w:color w:val="auto"/>
                      <w:kern w:val="0"/>
                      <w:sz w:val="21"/>
                      <w:szCs w:val="21"/>
                      <w:highlight w:val="none"/>
                    </w:rPr>
                  </w:pPr>
                </w:p>
              </w:tc>
              <w:tc>
                <w:tcPr>
                  <w:tcW w:w="838" w:type="pct"/>
                  <w:noWrap w:val="0"/>
                  <w:vAlign w:val="center"/>
                </w:tcPr>
                <w:p w14:paraId="3F33EEE3">
                  <w:pPr>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危险废物</w:t>
                  </w:r>
                </w:p>
              </w:tc>
              <w:tc>
                <w:tcPr>
                  <w:tcW w:w="3053" w:type="pct"/>
                  <w:noWrap w:val="0"/>
                  <w:vAlign w:val="center"/>
                </w:tcPr>
                <w:p w14:paraId="581F0FC2">
                  <w:pPr>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sz w:val="21"/>
                      <w:szCs w:val="21"/>
                      <w:highlight w:val="none"/>
                    </w:rPr>
                    <w:t>废活性炭、废催化剂、</w:t>
                  </w:r>
                  <w:r>
                    <w:rPr>
                      <w:rFonts w:hint="eastAsia" w:cs="Times New Roman"/>
                      <w:color w:val="auto"/>
                      <w:sz w:val="21"/>
                      <w:szCs w:val="21"/>
                      <w:highlight w:val="none"/>
                      <w:lang w:val="en-US" w:eastAsia="zh-CN"/>
                    </w:rPr>
                    <w:t>废润滑油、</w:t>
                  </w:r>
                  <w:r>
                    <w:rPr>
                      <w:rFonts w:hint="default" w:ascii="Times New Roman" w:hAnsi="Times New Roman" w:cs="Times New Roman"/>
                      <w:color w:val="auto"/>
                      <w:sz w:val="21"/>
                      <w:szCs w:val="21"/>
                      <w:highlight w:val="none"/>
                    </w:rPr>
                    <w:t>废润滑油桶暂存于危废</w:t>
                  </w:r>
                  <w:r>
                    <w:rPr>
                      <w:rFonts w:hint="default" w:ascii="Times New Roman" w:hAnsi="Times New Roman" w:cs="Times New Roman"/>
                      <w:color w:val="auto"/>
                      <w:sz w:val="21"/>
                      <w:szCs w:val="21"/>
                      <w:highlight w:val="none"/>
                      <w:lang w:eastAsia="zh-CN"/>
                    </w:rPr>
                    <w:t>暂存库</w:t>
                  </w:r>
                  <w:r>
                    <w:rPr>
                      <w:rFonts w:hint="default" w:ascii="Times New Roman" w:hAnsi="Times New Roman" w:cs="Times New Roman"/>
                      <w:color w:val="auto"/>
                      <w:sz w:val="21"/>
                      <w:szCs w:val="21"/>
                      <w:highlight w:val="none"/>
                    </w:rPr>
                    <w:t>，定期交由资质单位处置</w:t>
                  </w:r>
                </w:p>
              </w:tc>
              <w:tc>
                <w:tcPr>
                  <w:tcW w:w="665" w:type="pct"/>
                  <w:noWrap w:val="0"/>
                  <w:vAlign w:val="center"/>
                </w:tcPr>
                <w:p w14:paraId="723A00F8">
                  <w:pPr>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4.0</w:t>
                  </w:r>
                </w:p>
              </w:tc>
            </w:tr>
            <w:tr w14:paraId="7D017E7A">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41" w:type="pct"/>
                  <w:noWrap w:val="0"/>
                  <w:vAlign w:val="center"/>
                </w:tcPr>
                <w:p w14:paraId="51967DC5">
                  <w:pPr>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生态保护</w:t>
                  </w:r>
                </w:p>
              </w:tc>
              <w:tc>
                <w:tcPr>
                  <w:tcW w:w="838" w:type="pct"/>
                  <w:noWrap w:val="0"/>
                  <w:vAlign w:val="center"/>
                </w:tcPr>
                <w:p w14:paraId="1AAF70FE">
                  <w:pPr>
                    <w:jc w:val="center"/>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c>
                <w:tcPr>
                  <w:tcW w:w="3053" w:type="pct"/>
                  <w:noWrap w:val="0"/>
                  <w:vAlign w:val="center"/>
                </w:tcPr>
                <w:p w14:paraId="7A1A5FE5">
                  <w:pPr>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厂区绿化</w:t>
                  </w:r>
                </w:p>
              </w:tc>
              <w:tc>
                <w:tcPr>
                  <w:tcW w:w="665" w:type="pct"/>
                  <w:noWrap w:val="0"/>
                  <w:vAlign w:val="center"/>
                </w:tcPr>
                <w:p w14:paraId="0542DB6D">
                  <w:pPr>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6.5</w:t>
                  </w:r>
                </w:p>
              </w:tc>
            </w:tr>
            <w:tr w14:paraId="0160D9F2">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334" w:type="pct"/>
                  <w:gridSpan w:val="3"/>
                  <w:noWrap w:val="0"/>
                  <w:vAlign w:val="center"/>
                </w:tcPr>
                <w:p w14:paraId="06F6BF46">
                  <w:pPr>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合计</w:t>
                  </w:r>
                </w:p>
              </w:tc>
              <w:tc>
                <w:tcPr>
                  <w:tcW w:w="665" w:type="pct"/>
                  <w:noWrap w:val="0"/>
                  <w:vAlign w:val="center"/>
                </w:tcPr>
                <w:p w14:paraId="13F60FA7">
                  <w:pPr>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110</w:t>
                  </w:r>
                </w:p>
              </w:tc>
            </w:tr>
          </w:tbl>
          <w:p w14:paraId="2B97154F">
            <w:pPr>
              <w:pStyle w:val="37"/>
              <w:pageBreakBefore w:val="0"/>
              <w:kinsoku/>
              <w:wordWrap/>
              <w:overflowPunct/>
              <w:topLinePunct w:val="0"/>
              <w:autoSpaceDE/>
              <w:autoSpaceDN/>
              <w:bidi w:val="0"/>
              <w:spacing w:line="360" w:lineRule="auto"/>
              <w:ind w:right="0"/>
              <w:textAlignment w:val="auto"/>
              <w:rPr>
                <w:rFonts w:hint="eastAsia" w:ascii="Times New Roman" w:hAnsi="Times New Roman" w:cs="Times New Roman"/>
                <w:b/>
                <w:bCs/>
                <w:color w:val="auto"/>
                <w:sz w:val="24"/>
                <w:szCs w:val="24"/>
                <w:highlight w:val="none"/>
                <w:lang w:val="en-US" w:eastAsia="zh-CN"/>
              </w:rPr>
            </w:pPr>
          </w:p>
          <w:p w14:paraId="7849F37F">
            <w:pPr>
              <w:pStyle w:val="37"/>
              <w:pageBreakBefore w:val="0"/>
              <w:kinsoku/>
              <w:wordWrap/>
              <w:overflowPunct/>
              <w:topLinePunct w:val="0"/>
              <w:autoSpaceDE/>
              <w:autoSpaceDN/>
              <w:bidi w:val="0"/>
              <w:spacing w:line="360" w:lineRule="auto"/>
              <w:ind w:right="0"/>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cs="Times New Roman"/>
                <w:b/>
                <w:bCs/>
                <w:color w:val="auto"/>
                <w:sz w:val="24"/>
                <w:szCs w:val="24"/>
                <w:highlight w:val="none"/>
                <w:lang w:val="en-US" w:eastAsia="zh-CN"/>
              </w:rPr>
              <w:t>8.</w:t>
            </w:r>
            <w:r>
              <w:rPr>
                <w:rFonts w:hint="default" w:ascii="Times New Roman" w:hAnsi="Times New Roman" w:eastAsia="宋体" w:cs="Times New Roman"/>
                <w:b/>
                <w:bCs/>
                <w:color w:val="auto"/>
                <w:sz w:val="24"/>
                <w:szCs w:val="24"/>
                <w:highlight w:val="none"/>
              </w:rPr>
              <w:t>“三同时”验收一览表</w:t>
            </w:r>
          </w:p>
          <w:p w14:paraId="44F2FF33">
            <w:pPr>
              <w:pStyle w:val="37"/>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国务院关于修改〈建设项目环境保护管理条例〉的决定》（国务院第682号令）第十七条：编制环境影响报告书、环境影响报告表的建设项目竣工后，建设单位应当按照国务院环境保护行政主管部门规定的标准和程序，对配套建设的环境保护设施进行验收，编制验收报告。建设单位在环境保护设施验收过程中，应当如实查验、监测、记载建设项目环境保护设施的建设和调试情况，不得弄虚作假。除按照国家规定需要保密的情形外，建设单位应当依法向社会公开验收报告。第十九条：编制环境影响报告书、环境影响报告表的建设项目，其配套建设的环境保护设施经验收合格，方可正式投入生产或者使用；未经验收合格或者验收不合格的，不得投入生产或者使用。根据建设项目环境管理要求，建设项目在投入生产或者使用前，依据环评文件及其审批意见，自行或委托第三方机构编制建设项目环境保护设施竣工验收报告，向社会公开并向环保部门备案。</w:t>
            </w:r>
          </w:p>
          <w:p w14:paraId="7EB5CF3A">
            <w:pPr>
              <w:pStyle w:val="37"/>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项目各项污染治理措施必须严格执行“三同时”制度，环保设施“三同时”竣工验收一览表见表4-</w:t>
            </w:r>
            <w:r>
              <w:rPr>
                <w:rFonts w:hint="eastAsia" w:ascii="Times New Roman" w:hAnsi="Times New Roman" w:cs="Times New Roman"/>
                <w:color w:val="auto"/>
                <w:sz w:val="24"/>
                <w:szCs w:val="24"/>
                <w:highlight w:val="none"/>
                <w:lang w:val="en-US" w:eastAsia="zh-CN"/>
              </w:rPr>
              <w:t>26</w:t>
            </w:r>
            <w:r>
              <w:rPr>
                <w:rFonts w:hint="default" w:ascii="Times New Roman" w:hAnsi="Times New Roman" w:eastAsia="宋体" w:cs="Times New Roman"/>
                <w:color w:val="auto"/>
                <w:sz w:val="24"/>
                <w:szCs w:val="24"/>
                <w:highlight w:val="none"/>
              </w:rPr>
              <w:t>。</w:t>
            </w:r>
          </w:p>
          <w:p w14:paraId="7B15007E">
            <w:pPr>
              <w:pStyle w:val="6"/>
              <w:pageBreakBefore w:val="0"/>
              <w:widowControl w:val="0"/>
              <w:kinsoku/>
              <w:wordWrap/>
              <w:overflowPunct/>
              <w:topLinePunct w:val="0"/>
              <w:autoSpaceDE/>
              <w:autoSpaceDN/>
              <w:bidi w:val="0"/>
              <w:adjustRightInd/>
              <w:snapToGrid/>
              <w:spacing w:beforeLines="0" w:afterLines="0"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表4-</w:t>
            </w:r>
            <w:r>
              <w:rPr>
                <w:rFonts w:hint="eastAsia" w:cs="Times New Roman"/>
                <w:b/>
                <w:bCs/>
                <w:color w:val="auto"/>
                <w:sz w:val="21"/>
                <w:szCs w:val="21"/>
                <w:highlight w:val="none"/>
                <w:lang w:val="en-US" w:eastAsia="zh-CN"/>
              </w:rPr>
              <w:t xml:space="preserve">26    </w:t>
            </w:r>
            <w:r>
              <w:rPr>
                <w:rFonts w:hint="default" w:ascii="Times New Roman" w:hAnsi="Times New Roman" w:eastAsia="宋体" w:cs="Times New Roman"/>
                <w:b/>
                <w:bCs/>
                <w:color w:val="auto"/>
                <w:sz w:val="21"/>
                <w:szCs w:val="21"/>
                <w:highlight w:val="none"/>
              </w:rPr>
              <w:t>“三同时”竣工验收一览表</w:t>
            </w:r>
          </w:p>
          <w:tbl>
            <w:tblPr>
              <w:tblStyle w:val="26"/>
              <w:tblW w:w="4948"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743"/>
              <w:gridCol w:w="389"/>
              <w:gridCol w:w="757"/>
              <w:gridCol w:w="1656"/>
              <w:gridCol w:w="2415"/>
              <w:gridCol w:w="2068"/>
            </w:tblGrid>
            <w:tr w14:paraId="14965F71">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63" w:type="pct"/>
                  <w:tcBorders>
                    <w:bottom w:val="single" w:color="auto" w:sz="12" w:space="0"/>
                  </w:tcBorders>
                  <w:noWrap w:val="0"/>
                  <w:vAlign w:val="center"/>
                </w:tcPr>
                <w:p w14:paraId="75E63C60">
                  <w:pPr>
                    <w:pStyle w:val="23"/>
                    <w:keepNext w:val="0"/>
                    <w:keepLines w:val="0"/>
                    <w:pageBreakBefore w:val="0"/>
                    <w:kinsoku/>
                    <w:overflowPunct/>
                    <w:topLinePunct w:val="0"/>
                    <w:bidi w:val="0"/>
                    <w:spacing w:before="0" w:beforeAutospacing="0" w:after="0" w:afterAutospacing="0" w:line="240" w:lineRule="auto"/>
                    <w:ind w:firstLine="0" w:firstLineChars="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bidi="ar"/>
                    </w:rPr>
                    <w:t>污染类别</w:t>
                  </w:r>
                </w:p>
              </w:tc>
              <w:tc>
                <w:tcPr>
                  <w:tcW w:w="713" w:type="pct"/>
                  <w:gridSpan w:val="2"/>
                  <w:tcBorders>
                    <w:bottom w:val="single" w:color="auto" w:sz="12" w:space="0"/>
                  </w:tcBorders>
                  <w:noWrap w:val="0"/>
                  <w:vAlign w:val="center"/>
                </w:tcPr>
                <w:p w14:paraId="2261F22F">
                  <w:pPr>
                    <w:pStyle w:val="23"/>
                    <w:keepNext w:val="0"/>
                    <w:keepLines w:val="0"/>
                    <w:pageBreakBefore w:val="0"/>
                    <w:kinsoku/>
                    <w:overflowPunct/>
                    <w:topLinePunct w:val="0"/>
                    <w:bidi w:val="0"/>
                    <w:spacing w:before="0" w:beforeAutospacing="0" w:after="0" w:afterAutospacing="0" w:line="240" w:lineRule="auto"/>
                    <w:ind w:firstLine="0" w:firstLineChars="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bidi="ar"/>
                    </w:rPr>
                    <w:t>污染源名称</w:t>
                  </w:r>
                </w:p>
              </w:tc>
              <w:tc>
                <w:tcPr>
                  <w:tcW w:w="1031" w:type="pct"/>
                  <w:tcBorders>
                    <w:bottom w:val="single" w:color="auto" w:sz="12" w:space="0"/>
                  </w:tcBorders>
                  <w:noWrap w:val="0"/>
                  <w:vAlign w:val="center"/>
                </w:tcPr>
                <w:p w14:paraId="27DBB888">
                  <w:pPr>
                    <w:pStyle w:val="23"/>
                    <w:keepNext w:val="0"/>
                    <w:keepLines w:val="0"/>
                    <w:pageBreakBefore w:val="0"/>
                    <w:kinsoku/>
                    <w:overflowPunct/>
                    <w:topLinePunct w:val="0"/>
                    <w:bidi w:val="0"/>
                    <w:spacing w:before="0" w:beforeAutospacing="0" w:after="0" w:afterAutospacing="0" w:line="240" w:lineRule="auto"/>
                    <w:ind w:firstLine="0" w:firstLineChars="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bidi="ar"/>
                    </w:rPr>
                    <w:t>主要污染物</w:t>
                  </w:r>
                </w:p>
              </w:tc>
              <w:tc>
                <w:tcPr>
                  <w:tcW w:w="1503" w:type="pct"/>
                  <w:tcBorders>
                    <w:bottom w:val="single" w:color="auto" w:sz="12" w:space="0"/>
                  </w:tcBorders>
                  <w:noWrap w:val="0"/>
                  <w:vAlign w:val="center"/>
                </w:tcPr>
                <w:p w14:paraId="549C85D7">
                  <w:pPr>
                    <w:pStyle w:val="34"/>
                    <w:keepNext w:val="0"/>
                    <w:keepLines w:val="0"/>
                    <w:pageBreakBefore w:val="0"/>
                    <w:tabs>
                      <w:tab w:val="left" w:pos="312"/>
                      <w:tab w:val="clear" w:pos="1845"/>
                    </w:tabs>
                    <w:kinsoku/>
                    <w:overflowPunct/>
                    <w:topLinePunct w:val="0"/>
                    <w:bidi w:val="0"/>
                    <w:spacing w:line="240" w:lineRule="auto"/>
                    <w:ind w:firstLine="0" w:firstLineChars="0"/>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环保措施</w:t>
                  </w:r>
                </w:p>
              </w:tc>
              <w:tc>
                <w:tcPr>
                  <w:tcW w:w="1287" w:type="pct"/>
                  <w:tcBorders>
                    <w:bottom w:val="single" w:color="auto" w:sz="12" w:space="0"/>
                  </w:tcBorders>
                  <w:noWrap w:val="0"/>
                  <w:vAlign w:val="center"/>
                </w:tcPr>
                <w:p w14:paraId="7A8D4115">
                  <w:pPr>
                    <w:pStyle w:val="34"/>
                    <w:keepNext w:val="0"/>
                    <w:keepLines w:val="0"/>
                    <w:pageBreakBefore w:val="0"/>
                    <w:tabs>
                      <w:tab w:val="left" w:pos="312"/>
                      <w:tab w:val="clear" w:pos="1845"/>
                    </w:tabs>
                    <w:kinsoku/>
                    <w:overflowPunct/>
                    <w:topLinePunct w:val="0"/>
                    <w:bidi w:val="0"/>
                    <w:spacing w:line="240" w:lineRule="auto"/>
                    <w:ind w:firstLine="0" w:firstLineChars="0"/>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执行标准</w:t>
                  </w:r>
                </w:p>
              </w:tc>
            </w:tr>
            <w:tr w14:paraId="67A286E1">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63" w:type="pct"/>
                  <w:vMerge w:val="restart"/>
                  <w:tcBorders>
                    <w:top w:val="single" w:color="auto" w:sz="12" w:space="0"/>
                  </w:tcBorders>
                  <w:noWrap w:val="0"/>
                  <w:vAlign w:val="center"/>
                </w:tcPr>
                <w:p w14:paraId="43C1A84E">
                  <w:pPr>
                    <w:pStyle w:val="34"/>
                    <w:keepNext w:val="0"/>
                    <w:keepLines w:val="0"/>
                    <w:pageBreakBefore w:val="0"/>
                    <w:tabs>
                      <w:tab w:val="left" w:pos="312"/>
                      <w:tab w:val="clear" w:pos="1845"/>
                    </w:tabs>
                    <w:kinsoku/>
                    <w:overflowPunct/>
                    <w:topLinePunct w:val="0"/>
                    <w:bidi w:val="0"/>
                    <w:spacing w:line="240" w:lineRule="auto"/>
                    <w:ind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bCs/>
                      <w:color w:val="auto"/>
                      <w:sz w:val="21"/>
                      <w:szCs w:val="21"/>
                      <w:highlight w:val="none"/>
                    </w:rPr>
                    <w:t>废气</w:t>
                  </w:r>
                </w:p>
              </w:tc>
              <w:tc>
                <w:tcPr>
                  <w:tcW w:w="242" w:type="pct"/>
                  <w:vMerge w:val="restart"/>
                  <w:tcBorders>
                    <w:top w:val="single" w:color="auto" w:sz="12" w:space="0"/>
                  </w:tcBorders>
                  <w:noWrap w:val="0"/>
                  <w:vAlign w:val="center"/>
                </w:tcPr>
                <w:p w14:paraId="0B096289">
                  <w:pPr>
                    <w:keepNext w:val="0"/>
                    <w:keepLines w:val="0"/>
                    <w:pageBreakBefore w:val="0"/>
                    <w:kinsoku/>
                    <w:overflowPunct/>
                    <w:topLinePunct w:val="0"/>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生产车间</w:t>
                  </w:r>
                </w:p>
              </w:tc>
              <w:tc>
                <w:tcPr>
                  <w:tcW w:w="470" w:type="pct"/>
                  <w:tcBorders>
                    <w:top w:val="single" w:color="auto" w:sz="12" w:space="0"/>
                    <w:bottom w:val="single" w:color="auto" w:sz="4" w:space="0"/>
                  </w:tcBorders>
                  <w:noWrap w:val="0"/>
                  <w:vAlign w:val="center"/>
                </w:tcPr>
                <w:p w14:paraId="6F78B89B">
                  <w:pPr>
                    <w:pStyle w:val="33"/>
                    <w:keepNext w:val="0"/>
                    <w:keepLines w:val="0"/>
                    <w:pageBreakBefore w:val="0"/>
                    <w:kinsoku/>
                    <w:overflowPunct/>
                    <w:topLinePunct w:val="0"/>
                    <w:bidi w:val="0"/>
                    <w:spacing w:beforeLines="0" w:afterLines="0" w:line="240" w:lineRule="auto"/>
                    <w:ind w:lef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切割</w:t>
                  </w:r>
                </w:p>
              </w:tc>
              <w:tc>
                <w:tcPr>
                  <w:tcW w:w="1031" w:type="pct"/>
                  <w:tcBorders>
                    <w:top w:val="single" w:color="auto" w:sz="12" w:space="0"/>
                    <w:bottom w:val="single" w:color="auto" w:sz="4" w:space="0"/>
                  </w:tcBorders>
                  <w:noWrap w:val="0"/>
                  <w:vAlign w:val="center"/>
                </w:tcPr>
                <w:p w14:paraId="11BA1BF4">
                  <w:pPr>
                    <w:pStyle w:val="23"/>
                    <w:keepNext w:val="0"/>
                    <w:keepLines w:val="0"/>
                    <w:pageBreakBefore w:val="0"/>
                    <w:kinsoku/>
                    <w:overflowPunct/>
                    <w:topLinePunct w:val="0"/>
                    <w:bidi w:val="0"/>
                    <w:spacing w:before="0" w:beforeAutospacing="0" w:after="0" w:afterAutospacing="0"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颗粒物</w:t>
                  </w:r>
                </w:p>
              </w:tc>
              <w:tc>
                <w:tcPr>
                  <w:tcW w:w="1503" w:type="pct"/>
                  <w:tcBorders>
                    <w:top w:val="single" w:color="auto" w:sz="12" w:space="0"/>
                    <w:bottom w:val="single" w:color="auto" w:sz="4" w:space="0"/>
                  </w:tcBorders>
                  <w:noWrap w:val="0"/>
                  <w:vAlign w:val="center"/>
                </w:tcPr>
                <w:p w14:paraId="63AAAC72">
                  <w:pPr>
                    <w:pStyle w:val="23"/>
                    <w:keepNext w:val="0"/>
                    <w:keepLines w:val="0"/>
                    <w:pageBreakBefore w:val="0"/>
                    <w:kinsoku/>
                    <w:overflowPunct/>
                    <w:topLinePunct w:val="0"/>
                    <w:bidi w:val="0"/>
                    <w:spacing w:before="0" w:beforeAutospacing="0" w:after="0" w:afterAutospacing="0" w:line="240" w:lineRule="auto"/>
                    <w:ind w:firstLine="0" w:firstLineChars="0"/>
                    <w:jc w:val="center"/>
                    <w:textAlignment w:val="auto"/>
                    <w:rPr>
                      <w:rFonts w:hint="eastAsia" w:ascii="Times New Roman" w:hAnsi="Times New Roman" w:eastAsia="宋体" w:cs="Times New Roman"/>
                      <w:bCs/>
                      <w:color w:val="auto"/>
                      <w:sz w:val="21"/>
                      <w:szCs w:val="21"/>
                      <w:highlight w:val="none"/>
                      <w:lang w:eastAsia="zh-CN" w:bidi="ar"/>
                    </w:rPr>
                  </w:pPr>
                  <w:r>
                    <w:rPr>
                      <w:rFonts w:hint="default" w:ascii="Times New Roman" w:hAnsi="Times New Roman" w:cs="Times New Roman"/>
                      <w:bCs/>
                      <w:color w:val="auto"/>
                      <w:sz w:val="21"/>
                      <w:szCs w:val="21"/>
                      <w:highlight w:val="none"/>
                      <w:lang w:bidi="ar"/>
                    </w:rPr>
                    <w:t>①切割下料</w:t>
                  </w:r>
                  <w:r>
                    <w:rPr>
                      <w:rFonts w:hint="default" w:ascii="Times New Roman" w:hAnsi="Times New Roman" w:cs="Times New Roman"/>
                      <w:color w:val="auto"/>
                      <w:sz w:val="21"/>
                      <w:szCs w:val="21"/>
                      <w:highlight w:val="none"/>
                    </w:rPr>
                    <w:t>产生的颗粒物经1套</w:t>
                  </w:r>
                  <w:r>
                    <w:rPr>
                      <w:rFonts w:hint="eastAsia" w:ascii="Times New Roman" w:hAnsi="Times New Roman" w:cs="Times New Roman"/>
                      <w:color w:val="auto"/>
                      <w:sz w:val="21"/>
                      <w:szCs w:val="21"/>
                      <w:highlight w:val="none"/>
                      <w:lang w:val="en-US" w:eastAsia="zh-CN"/>
                    </w:rPr>
                    <w:t>袋式除尘器</w:t>
                  </w:r>
                  <w:r>
                    <w:rPr>
                      <w:rFonts w:hint="default" w:ascii="Times New Roman" w:hAnsi="Times New Roman" w:cs="Times New Roman"/>
                      <w:color w:val="auto"/>
                      <w:sz w:val="21"/>
                      <w:szCs w:val="21"/>
                      <w:highlight w:val="none"/>
                    </w:rPr>
                    <w:t>处理后经15m高排气筒排放（DA001）</w:t>
                  </w:r>
                  <w:r>
                    <w:rPr>
                      <w:rFonts w:hint="eastAsia" w:ascii="Times New Roman" w:hAnsi="Times New Roman" w:cs="Times New Roman"/>
                      <w:color w:val="auto"/>
                      <w:sz w:val="21"/>
                      <w:szCs w:val="21"/>
                      <w:highlight w:val="none"/>
                      <w:lang w:eastAsia="zh-CN"/>
                    </w:rPr>
                    <w:t>；</w:t>
                  </w:r>
                </w:p>
              </w:tc>
              <w:tc>
                <w:tcPr>
                  <w:tcW w:w="1287" w:type="pct"/>
                  <w:vMerge w:val="restart"/>
                  <w:tcBorders>
                    <w:top w:val="single" w:color="auto" w:sz="12" w:space="0"/>
                  </w:tcBorders>
                  <w:noWrap w:val="0"/>
                  <w:vAlign w:val="center"/>
                </w:tcPr>
                <w:p w14:paraId="507B321B">
                  <w:pPr>
                    <w:keepNext w:val="0"/>
                    <w:keepLines w:val="0"/>
                    <w:pageBreakBefore w:val="0"/>
                    <w:kinsoku/>
                    <w:overflowPunct/>
                    <w:topLinePunct w:val="0"/>
                    <w:bidi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《大气污染物综合排放标准》（GB16297-1996）中表2二级排放限值</w:t>
                  </w:r>
                </w:p>
              </w:tc>
            </w:tr>
            <w:tr w14:paraId="669A5B1C">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63" w:type="pct"/>
                  <w:vMerge w:val="continue"/>
                  <w:noWrap w:val="0"/>
                  <w:vAlign w:val="center"/>
                </w:tcPr>
                <w:p w14:paraId="5C9669EE">
                  <w:pPr>
                    <w:pStyle w:val="34"/>
                    <w:keepNext w:val="0"/>
                    <w:keepLines w:val="0"/>
                    <w:pageBreakBefore w:val="0"/>
                    <w:tabs>
                      <w:tab w:val="left" w:pos="312"/>
                      <w:tab w:val="clear" w:pos="1845"/>
                    </w:tabs>
                    <w:kinsoku/>
                    <w:overflowPunct/>
                    <w:topLinePunct w:val="0"/>
                    <w:bidi w:val="0"/>
                    <w:spacing w:line="240" w:lineRule="auto"/>
                    <w:ind w:firstLine="0" w:firstLineChars="0"/>
                    <w:textAlignment w:val="auto"/>
                    <w:rPr>
                      <w:rFonts w:hint="default" w:ascii="Times New Roman" w:hAnsi="Times New Roman" w:cs="Times New Roman"/>
                      <w:b/>
                      <w:color w:val="auto"/>
                      <w:sz w:val="21"/>
                      <w:szCs w:val="21"/>
                      <w:highlight w:val="none"/>
                    </w:rPr>
                  </w:pPr>
                </w:p>
              </w:tc>
              <w:tc>
                <w:tcPr>
                  <w:tcW w:w="242" w:type="pct"/>
                  <w:vMerge w:val="continue"/>
                  <w:noWrap w:val="0"/>
                  <w:vAlign w:val="center"/>
                </w:tcPr>
                <w:p w14:paraId="3408BE01">
                  <w:pPr>
                    <w:keepNext w:val="0"/>
                    <w:keepLines w:val="0"/>
                    <w:pageBreakBefore w:val="0"/>
                    <w:kinsoku/>
                    <w:overflowPunct/>
                    <w:topLinePunct w:val="0"/>
                    <w:bidi w:val="0"/>
                    <w:spacing w:line="240" w:lineRule="auto"/>
                    <w:ind w:firstLine="0" w:firstLineChars="0"/>
                    <w:jc w:val="center"/>
                    <w:textAlignment w:val="auto"/>
                    <w:rPr>
                      <w:rFonts w:hint="default" w:ascii="Times New Roman" w:hAnsi="Times New Roman" w:cs="Times New Roman"/>
                      <w:color w:val="auto"/>
                      <w:sz w:val="21"/>
                      <w:szCs w:val="21"/>
                      <w:highlight w:val="none"/>
                    </w:rPr>
                  </w:pPr>
                </w:p>
              </w:tc>
              <w:tc>
                <w:tcPr>
                  <w:tcW w:w="470" w:type="pct"/>
                  <w:tcBorders>
                    <w:top w:val="single" w:color="auto" w:sz="4" w:space="0"/>
                    <w:left w:val="single" w:color="auto" w:sz="4" w:space="0"/>
                    <w:bottom w:val="single" w:color="auto" w:sz="4" w:space="0"/>
                    <w:right w:val="single" w:color="auto" w:sz="4" w:space="0"/>
                  </w:tcBorders>
                  <w:noWrap w:val="0"/>
                  <w:vAlign w:val="center"/>
                </w:tcPr>
                <w:p w14:paraId="5CA8C16C">
                  <w:pPr>
                    <w:pStyle w:val="33"/>
                    <w:keepNext w:val="0"/>
                    <w:keepLines w:val="0"/>
                    <w:pageBreakBefore w:val="0"/>
                    <w:kinsoku/>
                    <w:overflowPunct/>
                    <w:topLinePunct w:val="0"/>
                    <w:bidi w:val="0"/>
                    <w:spacing w:beforeLines="0" w:afterLines="0" w:line="240" w:lineRule="auto"/>
                    <w:ind w:lef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抛丸打磨</w:t>
                  </w:r>
                </w:p>
              </w:tc>
              <w:tc>
                <w:tcPr>
                  <w:tcW w:w="1031" w:type="pct"/>
                  <w:tcBorders>
                    <w:top w:val="single" w:color="auto" w:sz="4" w:space="0"/>
                    <w:left w:val="single" w:color="auto" w:sz="4" w:space="0"/>
                    <w:bottom w:val="single" w:color="auto" w:sz="4" w:space="0"/>
                    <w:right w:val="single" w:color="auto" w:sz="4" w:space="0"/>
                  </w:tcBorders>
                  <w:noWrap w:val="0"/>
                  <w:vAlign w:val="center"/>
                </w:tcPr>
                <w:p w14:paraId="7322A54E">
                  <w:pPr>
                    <w:keepNext w:val="0"/>
                    <w:keepLines w:val="0"/>
                    <w:pageBreakBefore w:val="0"/>
                    <w:kinsoku/>
                    <w:overflowPunct/>
                    <w:topLinePunct w:val="0"/>
                    <w:bidi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颗粒物</w:t>
                  </w:r>
                </w:p>
              </w:tc>
              <w:tc>
                <w:tcPr>
                  <w:tcW w:w="1503" w:type="pct"/>
                  <w:tcBorders>
                    <w:top w:val="single" w:color="auto" w:sz="4" w:space="0"/>
                    <w:left w:val="single" w:color="auto" w:sz="4" w:space="0"/>
                    <w:bottom w:val="single" w:color="auto" w:sz="4" w:space="0"/>
                    <w:right w:val="single" w:color="auto" w:sz="4" w:space="0"/>
                  </w:tcBorders>
                  <w:noWrap w:val="0"/>
                  <w:vAlign w:val="center"/>
                </w:tcPr>
                <w:p w14:paraId="19C79D13">
                  <w:pPr>
                    <w:keepNext w:val="0"/>
                    <w:keepLines w:val="0"/>
                    <w:pageBreakBefore w:val="0"/>
                    <w:kinsoku/>
                    <w:overflowPunct/>
                    <w:topLinePunct w:val="0"/>
                    <w:bidi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eastAsia" w:cs="Times New Roman"/>
                      <w:b w:val="0"/>
                      <w:bCs w:val="0"/>
                      <w:color w:val="auto"/>
                      <w:highlight w:val="none"/>
                      <w:lang w:val="en-US" w:eastAsia="zh-CN"/>
                    </w:rPr>
                    <w:t>袋式除尘器</w:t>
                  </w:r>
                  <w:r>
                    <w:rPr>
                      <w:rFonts w:hint="default" w:ascii="Times New Roman" w:hAnsi="Times New Roman" w:cs="Times New Roman"/>
                      <w:color w:val="auto"/>
                      <w:sz w:val="21"/>
                      <w:szCs w:val="21"/>
                      <w:highlight w:val="none"/>
                    </w:rPr>
                    <w:t>处理后通过1根经15米高排气筒（DA002）排放</w:t>
                  </w:r>
                </w:p>
              </w:tc>
              <w:tc>
                <w:tcPr>
                  <w:tcW w:w="1287" w:type="pct"/>
                  <w:vMerge w:val="continue"/>
                  <w:tcBorders>
                    <w:left w:val="single" w:color="auto" w:sz="4" w:space="0"/>
                  </w:tcBorders>
                  <w:noWrap w:val="0"/>
                  <w:vAlign w:val="center"/>
                </w:tcPr>
                <w:p w14:paraId="78CD1F35">
                  <w:pPr>
                    <w:keepNext w:val="0"/>
                    <w:keepLines w:val="0"/>
                    <w:pageBreakBefore w:val="0"/>
                    <w:kinsoku/>
                    <w:overflowPunct/>
                    <w:topLinePunct w:val="0"/>
                    <w:bidi w:val="0"/>
                    <w:spacing w:line="240" w:lineRule="auto"/>
                    <w:ind w:firstLine="0" w:firstLineChars="0"/>
                    <w:jc w:val="center"/>
                    <w:textAlignment w:val="auto"/>
                    <w:rPr>
                      <w:rFonts w:hint="default" w:ascii="Times New Roman" w:hAnsi="Times New Roman" w:cs="Times New Roman"/>
                      <w:color w:val="auto"/>
                      <w:sz w:val="21"/>
                      <w:szCs w:val="21"/>
                      <w:highlight w:val="none"/>
                    </w:rPr>
                  </w:pPr>
                </w:p>
              </w:tc>
            </w:tr>
            <w:tr w14:paraId="0626936C">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63" w:type="pct"/>
                  <w:vMerge w:val="continue"/>
                  <w:noWrap w:val="0"/>
                  <w:vAlign w:val="center"/>
                </w:tcPr>
                <w:p w14:paraId="0472E833">
                  <w:pPr>
                    <w:pStyle w:val="34"/>
                    <w:keepNext w:val="0"/>
                    <w:keepLines w:val="0"/>
                    <w:pageBreakBefore w:val="0"/>
                    <w:tabs>
                      <w:tab w:val="left" w:pos="312"/>
                      <w:tab w:val="clear" w:pos="1845"/>
                    </w:tabs>
                    <w:kinsoku/>
                    <w:overflowPunct/>
                    <w:topLinePunct w:val="0"/>
                    <w:bidi w:val="0"/>
                    <w:spacing w:line="240" w:lineRule="auto"/>
                    <w:ind w:firstLine="0" w:firstLineChars="0"/>
                    <w:textAlignment w:val="auto"/>
                    <w:rPr>
                      <w:rFonts w:hint="default" w:ascii="Times New Roman" w:hAnsi="Times New Roman" w:cs="Times New Roman"/>
                      <w:b/>
                      <w:color w:val="auto"/>
                      <w:sz w:val="21"/>
                      <w:szCs w:val="21"/>
                      <w:highlight w:val="none"/>
                    </w:rPr>
                  </w:pPr>
                </w:p>
              </w:tc>
              <w:tc>
                <w:tcPr>
                  <w:tcW w:w="242" w:type="pct"/>
                  <w:vMerge w:val="continue"/>
                  <w:noWrap w:val="0"/>
                  <w:vAlign w:val="center"/>
                </w:tcPr>
                <w:p w14:paraId="03755B9A">
                  <w:pPr>
                    <w:keepNext w:val="0"/>
                    <w:keepLines w:val="0"/>
                    <w:pageBreakBefore w:val="0"/>
                    <w:kinsoku/>
                    <w:overflowPunct/>
                    <w:topLinePunct w:val="0"/>
                    <w:bidi w:val="0"/>
                    <w:spacing w:line="240" w:lineRule="auto"/>
                    <w:ind w:firstLine="0" w:firstLineChars="0"/>
                    <w:jc w:val="center"/>
                    <w:textAlignment w:val="auto"/>
                    <w:rPr>
                      <w:rFonts w:hint="default" w:ascii="Times New Roman" w:hAnsi="Times New Roman" w:cs="Times New Roman"/>
                      <w:color w:val="auto"/>
                      <w:sz w:val="21"/>
                      <w:szCs w:val="21"/>
                      <w:highlight w:val="none"/>
                    </w:rPr>
                  </w:pPr>
                </w:p>
              </w:tc>
              <w:tc>
                <w:tcPr>
                  <w:tcW w:w="470" w:type="pct"/>
                  <w:tcBorders>
                    <w:top w:val="single" w:color="auto" w:sz="4" w:space="0"/>
                    <w:left w:val="single" w:color="auto" w:sz="4" w:space="0"/>
                    <w:bottom w:val="single" w:color="auto" w:sz="4" w:space="0"/>
                    <w:right w:val="single" w:color="auto" w:sz="4" w:space="0"/>
                  </w:tcBorders>
                  <w:noWrap w:val="0"/>
                  <w:vAlign w:val="center"/>
                </w:tcPr>
                <w:p w14:paraId="5C8631A6">
                  <w:pPr>
                    <w:pStyle w:val="33"/>
                    <w:keepNext w:val="0"/>
                    <w:keepLines w:val="0"/>
                    <w:pageBreakBefore w:val="0"/>
                    <w:kinsoku/>
                    <w:overflowPunct/>
                    <w:topLinePunct w:val="0"/>
                    <w:bidi w:val="0"/>
                    <w:spacing w:beforeLines="0" w:afterLines="0" w:line="240" w:lineRule="auto"/>
                    <w:ind w:left="0" w:firstLine="0" w:firstLineChars="0"/>
                    <w:textAlignment w:val="auto"/>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sz w:val="21"/>
                      <w:szCs w:val="21"/>
                      <w:highlight w:val="none"/>
                      <w:lang w:val="en-US" w:eastAsia="zh-CN"/>
                    </w:rPr>
                    <w:t>喷塑</w:t>
                  </w:r>
                  <w:r>
                    <w:rPr>
                      <w:rFonts w:hint="default" w:ascii="Times New Roman" w:hAnsi="Times New Roman" w:cs="Times New Roman"/>
                      <w:color w:val="auto"/>
                      <w:kern w:val="2"/>
                      <w:sz w:val="21"/>
                      <w:szCs w:val="21"/>
                      <w:highlight w:val="none"/>
                    </w:rPr>
                    <w:t>工序</w:t>
                  </w:r>
                </w:p>
              </w:tc>
              <w:tc>
                <w:tcPr>
                  <w:tcW w:w="1031" w:type="pct"/>
                  <w:tcBorders>
                    <w:top w:val="single" w:color="auto" w:sz="4" w:space="0"/>
                    <w:left w:val="single" w:color="auto" w:sz="4" w:space="0"/>
                    <w:bottom w:val="single" w:color="auto" w:sz="4" w:space="0"/>
                    <w:right w:val="single" w:color="auto" w:sz="4" w:space="0"/>
                  </w:tcBorders>
                  <w:noWrap w:val="0"/>
                  <w:vAlign w:val="center"/>
                </w:tcPr>
                <w:p w14:paraId="7AE147FB">
                  <w:pPr>
                    <w:keepNext w:val="0"/>
                    <w:keepLines w:val="0"/>
                    <w:pageBreakBefore w:val="0"/>
                    <w:kinsoku/>
                    <w:overflowPunct/>
                    <w:topLinePunct w:val="0"/>
                    <w:bidi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颗粒物</w:t>
                  </w:r>
                </w:p>
              </w:tc>
              <w:tc>
                <w:tcPr>
                  <w:tcW w:w="1503" w:type="pct"/>
                  <w:tcBorders>
                    <w:top w:val="single" w:color="auto" w:sz="4" w:space="0"/>
                    <w:left w:val="single" w:color="auto" w:sz="4" w:space="0"/>
                    <w:bottom w:val="single" w:color="auto" w:sz="4" w:space="0"/>
                    <w:right w:val="single" w:color="auto" w:sz="4" w:space="0"/>
                  </w:tcBorders>
                  <w:noWrap w:val="0"/>
                  <w:vAlign w:val="center"/>
                </w:tcPr>
                <w:p w14:paraId="0655651E">
                  <w:pPr>
                    <w:keepNext w:val="0"/>
                    <w:keepLines w:val="0"/>
                    <w:pageBreakBefore w:val="0"/>
                    <w:kinsoku/>
                    <w:overflowPunct/>
                    <w:topLinePunct w:val="0"/>
                    <w:bidi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eastAsia" w:cs="Times New Roman"/>
                      <w:color w:val="auto"/>
                      <w:sz w:val="21"/>
                      <w:szCs w:val="21"/>
                      <w:highlight w:val="none"/>
                      <w:lang w:val="en-US" w:eastAsia="zh-CN"/>
                    </w:rPr>
                    <w:t>袋式除尘器</w:t>
                  </w:r>
                  <w:r>
                    <w:rPr>
                      <w:rFonts w:hint="default" w:ascii="Times New Roman" w:hAnsi="Times New Roman" w:cs="Times New Roman"/>
                      <w:color w:val="auto"/>
                      <w:sz w:val="21"/>
                      <w:szCs w:val="21"/>
                      <w:highlight w:val="none"/>
                    </w:rPr>
                    <w:t>+15米高排气筒（DA003）</w:t>
                  </w:r>
                </w:p>
              </w:tc>
              <w:tc>
                <w:tcPr>
                  <w:tcW w:w="1287" w:type="pct"/>
                  <w:vMerge w:val="continue"/>
                  <w:tcBorders>
                    <w:left w:val="single" w:color="auto" w:sz="4" w:space="0"/>
                  </w:tcBorders>
                  <w:noWrap w:val="0"/>
                  <w:vAlign w:val="center"/>
                </w:tcPr>
                <w:p w14:paraId="6FF63398">
                  <w:pPr>
                    <w:keepNext w:val="0"/>
                    <w:keepLines w:val="0"/>
                    <w:pageBreakBefore w:val="0"/>
                    <w:kinsoku/>
                    <w:overflowPunct/>
                    <w:topLinePunct w:val="0"/>
                    <w:bidi w:val="0"/>
                    <w:spacing w:line="240" w:lineRule="auto"/>
                    <w:ind w:firstLine="0" w:firstLineChars="0"/>
                    <w:jc w:val="center"/>
                    <w:textAlignment w:val="auto"/>
                    <w:rPr>
                      <w:rFonts w:hint="default" w:ascii="Times New Roman" w:hAnsi="Times New Roman" w:cs="Times New Roman"/>
                      <w:color w:val="auto"/>
                      <w:sz w:val="21"/>
                      <w:szCs w:val="21"/>
                      <w:highlight w:val="none"/>
                    </w:rPr>
                  </w:pPr>
                </w:p>
              </w:tc>
            </w:tr>
            <w:tr w14:paraId="278347BF">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63" w:type="pct"/>
                  <w:vMerge w:val="continue"/>
                  <w:noWrap w:val="0"/>
                  <w:vAlign w:val="center"/>
                </w:tcPr>
                <w:p w14:paraId="37E7C3E4">
                  <w:pPr>
                    <w:pStyle w:val="34"/>
                    <w:keepNext w:val="0"/>
                    <w:keepLines w:val="0"/>
                    <w:pageBreakBefore w:val="0"/>
                    <w:tabs>
                      <w:tab w:val="left" w:pos="312"/>
                      <w:tab w:val="clear" w:pos="1845"/>
                    </w:tabs>
                    <w:kinsoku/>
                    <w:overflowPunct/>
                    <w:topLinePunct w:val="0"/>
                    <w:bidi w:val="0"/>
                    <w:spacing w:line="240" w:lineRule="auto"/>
                    <w:ind w:firstLine="0" w:firstLineChars="0"/>
                    <w:textAlignment w:val="auto"/>
                    <w:rPr>
                      <w:rFonts w:hint="default" w:ascii="Times New Roman" w:hAnsi="Times New Roman" w:cs="Times New Roman"/>
                      <w:b/>
                      <w:color w:val="auto"/>
                      <w:sz w:val="21"/>
                      <w:szCs w:val="21"/>
                      <w:highlight w:val="none"/>
                    </w:rPr>
                  </w:pPr>
                </w:p>
              </w:tc>
              <w:tc>
                <w:tcPr>
                  <w:tcW w:w="242" w:type="pct"/>
                  <w:vMerge w:val="continue"/>
                  <w:noWrap w:val="0"/>
                  <w:vAlign w:val="center"/>
                </w:tcPr>
                <w:p w14:paraId="63DAD9B1">
                  <w:pPr>
                    <w:keepNext w:val="0"/>
                    <w:keepLines w:val="0"/>
                    <w:pageBreakBefore w:val="0"/>
                    <w:kinsoku/>
                    <w:overflowPunct/>
                    <w:topLinePunct w:val="0"/>
                    <w:bidi w:val="0"/>
                    <w:spacing w:line="240" w:lineRule="auto"/>
                    <w:ind w:firstLine="0" w:firstLineChars="0"/>
                    <w:jc w:val="center"/>
                    <w:textAlignment w:val="auto"/>
                    <w:rPr>
                      <w:rFonts w:hint="default" w:ascii="Times New Roman" w:hAnsi="Times New Roman" w:cs="Times New Roman"/>
                      <w:color w:val="auto"/>
                      <w:sz w:val="21"/>
                      <w:szCs w:val="21"/>
                      <w:highlight w:val="none"/>
                    </w:rPr>
                  </w:pPr>
                </w:p>
              </w:tc>
              <w:tc>
                <w:tcPr>
                  <w:tcW w:w="470" w:type="pct"/>
                  <w:tcBorders>
                    <w:top w:val="single" w:color="auto" w:sz="4" w:space="0"/>
                    <w:left w:val="single" w:color="auto" w:sz="4" w:space="0"/>
                    <w:bottom w:val="single" w:color="auto" w:sz="4" w:space="0"/>
                    <w:right w:val="single" w:color="auto" w:sz="4" w:space="0"/>
                  </w:tcBorders>
                  <w:noWrap w:val="0"/>
                  <w:vAlign w:val="center"/>
                </w:tcPr>
                <w:p w14:paraId="57BFA383">
                  <w:pPr>
                    <w:pStyle w:val="33"/>
                    <w:keepNext w:val="0"/>
                    <w:keepLines w:val="0"/>
                    <w:pageBreakBefore w:val="0"/>
                    <w:kinsoku/>
                    <w:overflowPunct/>
                    <w:topLinePunct w:val="0"/>
                    <w:bidi w:val="0"/>
                    <w:spacing w:beforeLines="0" w:afterLines="0" w:line="240" w:lineRule="auto"/>
                    <w:ind w:left="0" w:firstLine="0" w:firstLineChars="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烘干</w:t>
                  </w:r>
                  <w:r>
                    <w:rPr>
                      <w:rFonts w:hint="default" w:ascii="Times New Roman" w:hAnsi="Times New Roman" w:cs="Times New Roman"/>
                      <w:color w:val="auto"/>
                      <w:kern w:val="2"/>
                      <w:sz w:val="21"/>
                      <w:szCs w:val="21"/>
                      <w:highlight w:val="none"/>
                    </w:rPr>
                    <w:t>工序</w:t>
                  </w:r>
                </w:p>
              </w:tc>
              <w:tc>
                <w:tcPr>
                  <w:tcW w:w="1031" w:type="pct"/>
                  <w:tcBorders>
                    <w:top w:val="single" w:color="auto" w:sz="4" w:space="0"/>
                    <w:left w:val="single" w:color="auto" w:sz="4" w:space="0"/>
                    <w:bottom w:val="single" w:color="auto" w:sz="4" w:space="0"/>
                    <w:right w:val="single" w:color="auto" w:sz="4" w:space="0"/>
                  </w:tcBorders>
                  <w:noWrap w:val="0"/>
                  <w:vAlign w:val="center"/>
                </w:tcPr>
                <w:p w14:paraId="11B1BBE5">
                  <w:pPr>
                    <w:keepNext w:val="0"/>
                    <w:keepLines w:val="0"/>
                    <w:pageBreakBefore w:val="0"/>
                    <w:kinsoku/>
                    <w:overflowPunct/>
                    <w:topLinePunct w:val="0"/>
                    <w:bidi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非甲烷总烃</w:t>
                  </w:r>
                </w:p>
              </w:tc>
              <w:tc>
                <w:tcPr>
                  <w:tcW w:w="1503" w:type="pct"/>
                  <w:tcBorders>
                    <w:top w:val="single" w:color="auto" w:sz="4" w:space="0"/>
                    <w:left w:val="single" w:color="auto" w:sz="4" w:space="0"/>
                    <w:bottom w:val="single" w:color="auto" w:sz="4" w:space="0"/>
                    <w:right w:val="single" w:color="auto" w:sz="4" w:space="0"/>
                  </w:tcBorders>
                  <w:noWrap w:val="0"/>
                  <w:vAlign w:val="center"/>
                </w:tcPr>
                <w:p w14:paraId="292F898D">
                  <w:pPr>
                    <w:keepNext w:val="0"/>
                    <w:keepLines w:val="0"/>
                    <w:pageBreakBefore w:val="0"/>
                    <w:kinsoku/>
                    <w:overflowPunct/>
                    <w:topLinePunct w:val="0"/>
                    <w:bidi w:val="0"/>
                    <w:spacing w:line="240" w:lineRule="auto"/>
                    <w:ind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活性炭吸附+</w:t>
                  </w:r>
                  <w:r>
                    <w:rPr>
                      <w:rFonts w:hint="default" w:ascii="Times New Roman" w:hAnsi="Times New Roman" w:cs="Times New Roman"/>
                      <w:color w:val="auto"/>
                      <w:sz w:val="21"/>
                      <w:szCs w:val="21"/>
                      <w:highlight w:val="none"/>
                    </w:rPr>
                    <w:t>催化燃烧装置+15米高排气筒（DA003）</w:t>
                  </w:r>
                </w:p>
              </w:tc>
              <w:tc>
                <w:tcPr>
                  <w:tcW w:w="1287" w:type="pct"/>
                  <w:tcBorders>
                    <w:left w:val="single" w:color="auto" w:sz="4" w:space="0"/>
                  </w:tcBorders>
                  <w:noWrap w:val="0"/>
                  <w:vAlign w:val="center"/>
                </w:tcPr>
                <w:p w14:paraId="7AB16F4D">
                  <w:pPr>
                    <w:keepNext w:val="0"/>
                    <w:keepLines w:val="0"/>
                    <w:pageBreakBefore w:val="0"/>
                    <w:kinsoku/>
                    <w:overflowPunct/>
                    <w:topLinePunct w:val="0"/>
                    <w:bidi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《重污染天气重点行业应急减排措施制定技术指南》表39-1 A级企业排放限值</w:t>
                  </w:r>
                </w:p>
              </w:tc>
            </w:tr>
            <w:tr w14:paraId="67845CB3">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63" w:type="pct"/>
                  <w:vMerge w:val="continue"/>
                  <w:noWrap w:val="0"/>
                  <w:vAlign w:val="center"/>
                </w:tcPr>
                <w:p w14:paraId="62B32B5F">
                  <w:pPr>
                    <w:pStyle w:val="34"/>
                    <w:keepNext w:val="0"/>
                    <w:keepLines w:val="0"/>
                    <w:pageBreakBefore w:val="0"/>
                    <w:tabs>
                      <w:tab w:val="left" w:pos="312"/>
                      <w:tab w:val="clear" w:pos="1845"/>
                    </w:tabs>
                    <w:kinsoku/>
                    <w:overflowPunct/>
                    <w:topLinePunct w:val="0"/>
                    <w:bidi w:val="0"/>
                    <w:spacing w:line="240" w:lineRule="auto"/>
                    <w:ind w:firstLine="0" w:firstLineChars="0"/>
                    <w:textAlignment w:val="auto"/>
                    <w:rPr>
                      <w:rFonts w:hint="default" w:ascii="Times New Roman" w:hAnsi="Times New Roman" w:cs="Times New Roman"/>
                      <w:b/>
                      <w:color w:val="auto"/>
                      <w:sz w:val="21"/>
                      <w:szCs w:val="21"/>
                      <w:highlight w:val="none"/>
                    </w:rPr>
                  </w:pPr>
                </w:p>
              </w:tc>
              <w:tc>
                <w:tcPr>
                  <w:tcW w:w="713" w:type="pct"/>
                  <w:gridSpan w:val="2"/>
                  <w:noWrap w:val="0"/>
                  <w:vAlign w:val="center"/>
                </w:tcPr>
                <w:p w14:paraId="79C93396">
                  <w:pPr>
                    <w:keepNext w:val="0"/>
                    <w:keepLines w:val="0"/>
                    <w:pageBreakBefore w:val="0"/>
                    <w:kinsoku/>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生产车间</w:t>
                  </w:r>
                </w:p>
              </w:tc>
              <w:tc>
                <w:tcPr>
                  <w:tcW w:w="1031" w:type="pct"/>
                  <w:noWrap w:val="0"/>
                  <w:vAlign w:val="center"/>
                </w:tcPr>
                <w:p w14:paraId="51D08BCF">
                  <w:pPr>
                    <w:keepNext w:val="0"/>
                    <w:keepLines w:val="0"/>
                    <w:pageBreakBefore w:val="0"/>
                    <w:kinsoku/>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非甲烷总烃、颗粒物</w:t>
                  </w:r>
                </w:p>
              </w:tc>
              <w:tc>
                <w:tcPr>
                  <w:tcW w:w="1503" w:type="pct"/>
                  <w:noWrap w:val="0"/>
                  <w:vAlign w:val="center"/>
                </w:tcPr>
                <w:p w14:paraId="0BF334AD">
                  <w:pPr>
                    <w:keepNext w:val="0"/>
                    <w:keepLines w:val="0"/>
                    <w:pageBreakBefore w:val="0"/>
                    <w:kinsoku/>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kern w:val="0"/>
                      <w:sz w:val="21"/>
                      <w:szCs w:val="21"/>
                      <w:highlight w:val="none"/>
                    </w:rPr>
                  </w:pPr>
                  <w:r>
                    <w:rPr>
                      <w:rFonts w:hint="eastAsia" w:cs="Times New Roman"/>
                      <w:color w:val="auto"/>
                      <w:sz w:val="21"/>
                      <w:szCs w:val="21"/>
                      <w:highlight w:val="none"/>
                      <w:lang w:val="en-US" w:eastAsia="zh-CN"/>
                    </w:rPr>
                    <w:t>移动</w:t>
                  </w:r>
                  <w:r>
                    <w:rPr>
                      <w:rFonts w:hint="default" w:ascii="Times New Roman" w:hAnsi="Times New Roman" w:cs="Times New Roman"/>
                      <w:color w:val="auto"/>
                      <w:sz w:val="21"/>
                      <w:szCs w:val="21"/>
                      <w:highlight w:val="none"/>
                    </w:rPr>
                    <w:t>烟尘净化器，脉冲</w:t>
                  </w:r>
                  <w:r>
                    <w:rPr>
                      <w:rFonts w:hint="eastAsia" w:cs="Times New Roman"/>
                      <w:color w:val="auto"/>
                      <w:sz w:val="21"/>
                      <w:szCs w:val="21"/>
                      <w:highlight w:val="none"/>
                      <w:lang w:val="en-US" w:eastAsia="zh-CN"/>
                    </w:rPr>
                    <w:t>布袋</w:t>
                  </w:r>
                  <w:r>
                    <w:rPr>
                      <w:rFonts w:hint="default" w:ascii="Times New Roman" w:hAnsi="Times New Roman" w:cs="Times New Roman"/>
                      <w:color w:val="auto"/>
                      <w:sz w:val="21"/>
                      <w:szCs w:val="21"/>
                      <w:highlight w:val="none"/>
                    </w:rPr>
                    <w:t>除尘器</w:t>
                  </w:r>
                  <w:r>
                    <w:rPr>
                      <w:rFonts w:hint="eastAsia" w:cs="Times New Roman"/>
                      <w:color w:val="auto"/>
                      <w:sz w:val="21"/>
                      <w:szCs w:val="21"/>
                      <w:highlight w:val="none"/>
                      <w:lang w:eastAsia="zh-CN"/>
                    </w:rPr>
                    <w:t>，</w:t>
                  </w:r>
                  <w:r>
                    <w:rPr>
                      <w:rFonts w:hint="default" w:ascii="Times New Roman" w:hAnsi="Times New Roman" w:cs="Times New Roman"/>
                      <w:color w:val="auto"/>
                      <w:sz w:val="21"/>
                      <w:szCs w:val="21"/>
                      <w:highlight w:val="none"/>
                    </w:rPr>
                    <w:t>洒水降尘，加大车间通风量，减少无组织排放</w:t>
                  </w:r>
                </w:p>
              </w:tc>
              <w:tc>
                <w:tcPr>
                  <w:tcW w:w="1287" w:type="pct"/>
                  <w:noWrap w:val="0"/>
                  <w:vAlign w:val="center"/>
                </w:tcPr>
                <w:p w14:paraId="3AEE2C54">
                  <w:pPr>
                    <w:keepNext w:val="0"/>
                    <w:keepLines w:val="0"/>
                    <w:pageBreakBefore w:val="0"/>
                    <w:kinsoku/>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sz w:val="21"/>
                      <w:szCs w:val="21"/>
                      <w:highlight w:val="none"/>
                    </w:rPr>
                    <w:t>《大气污染物综合排放标准》（GB16297-1996）表2中无组织排放监控浓度限值要求</w:t>
                  </w:r>
                </w:p>
              </w:tc>
            </w:tr>
            <w:tr w14:paraId="06EECF61">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63" w:type="pct"/>
                  <w:noWrap w:val="0"/>
                  <w:vAlign w:val="center"/>
                </w:tcPr>
                <w:p w14:paraId="5DD7D6C3">
                  <w:pPr>
                    <w:pStyle w:val="34"/>
                    <w:keepNext w:val="0"/>
                    <w:keepLines w:val="0"/>
                    <w:pageBreakBefore w:val="0"/>
                    <w:tabs>
                      <w:tab w:val="left" w:pos="312"/>
                      <w:tab w:val="clear" w:pos="1845"/>
                    </w:tabs>
                    <w:kinsoku/>
                    <w:overflowPunct/>
                    <w:topLinePunct w:val="0"/>
                    <w:bidi w:val="0"/>
                    <w:spacing w:line="240" w:lineRule="auto"/>
                    <w:ind w:firstLine="0" w:firstLineChars="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废水</w:t>
                  </w:r>
                </w:p>
              </w:tc>
              <w:tc>
                <w:tcPr>
                  <w:tcW w:w="713" w:type="pct"/>
                  <w:gridSpan w:val="2"/>
                  <w:noWrap w:val="0"/>
                  <w:vAlign w:val="center"/>
                </w:tcPr>
                <w:p w14:paraId="5A901C23">
                  <w:pPr>
                    <w:keepNext w:val="0"/>
                    <w:keepLines w:val="0"/>
                    <w:pageBreakBefore w:val="0"/>
                    <w:kinsoku/>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生活污水</w:t>
                  </w:r>
                </w:p>
              </w:tc>
              <w:tc>
                <w:tcPr>
                  <w:tcW w:w="1031" w:type="pct"/>
                  <w:noWrap w:val="0"/>
                  <w:vAlign w:val="center"/>
                </w:tcPr>
                <w:p w14:paraId="32F19979">
                  <w:pPr>
                    <w:keepNext w:val="0"/>
                    <w:keepLines w:val="0"/>
                    <w:pageBreakBefore w:val="0"/>
                    <w:kinsoku/>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COD</w:t>
                  </w:r>
                  <w:r>
                    <w:rPr>
                      <w:rFonts w:hint="default" w:ascii="Times New Roman" w:hAnsi="Times New Roman" w:cs="Times New Roman"/>
                      <w:color w:val="auto"/>
                      <w:sz w:val="21"/>
                      <w:szCs w:val="21"/>
                      <w:highlight w:val="none"/>
                      <w:vertAlign w:val="subscript"/>
                    </w:rPr>
                    <w:t>cr</w:t>
                  </w:r>
                  <w:r>
                    <w:rPr>
                      <w:rFonts w:hint="default" w:ascii="Times New Roman" w:hAnsi="Times New Roman" w:cs="Times New Roman"/>
                      <w:color w:val="auto"/>
                      <w:sz w:val="21"/>
                      <w:szCs w:val="21"/>
                      <w:highlight w:val="none"/>
                    </w:rPr>
                    <w:t>、BOD</w:t>
                  </w:r>
                  <w:r>
                    <w:rPr>
                      <w:rFonts w:hint="default" w:ascii="Times New Roman" w:hAnsi="Times New Roman" w:cs="Times New Roman"/>
                      <w:color w:val="auto"/>
                      <w:sz w:val="21"/>
                      <w:szCs w:val="21"/>
                      <w:highlight w:val="none"/>
                      <w:vertAlign w:val="subscript"/>
                    </w:rPr>
                    <w:t>5</w:t>
                  </w:r>
                  <w:r>
                    <w:rPr>
                      <w:rFonts w:hint="default" w:ascii="Times New Roman" w:hAnsi="Times New Roman" w:cs="Times New Roman"/>
                      <w:color w:val="auto"/>
                      <w:sz w:val="21"/>
                      <w:szCs w:val="21"/>
                      <w:highlight w:val="none"/>
                    </w:rPr>
                    <w:t>、SS、NH</w:t>
                  </w:r>
                  <w:r>
                    <w:rPr>
                      <w:rFonts w:hint="default" w:ascii="Times New Roman" w:hAnsi="Times New Roman" w:cs="Times New Roman"/>
                      <w:color w:val="auto"/>
                      <w:sz w:val="21"/>
                      <w:szCs w:val="21"/>
                      <w:highlight w:val="none"/>
                      <w:vertAlign w:val="subscript"/>
                    </w:rPr>
                    <w:t>3</w:t>
                  </w:r>
                  <w:r>
                    <w:rPr>
                      <w:rFonts w:hint="default" w:ascii="Times New Roman" w:hAnsi="Times New Roman" w:cs="Times New Roman"/>
                      <w:color w:val="auto"/>
                      <w:sz w:val="21"/>
                      <w:szCs w:val="21"/>
                      <w:highlight w:val="none"/>
                    </w:rPr>
                    <w:t>-N</w:t>
                  </w:r>
                </w:p>
              </w:tc>
              <w:tc>
                <w:tcPr>
                  <w:tcW w:w="1503" w:type="pct"/>
                  <w:noWrap w:val="0"/>
                  <w:vAlign w:val="center"/>
                </w:tcPr>
                <w:p w14:paraId="41DEDABB">
                  <w:pPr>
                    <w:keepNext w:val="0"/>
                    <w:keepLines w:val="0"/>
                    <w:pageBreakBefore w:val="0"/>
                    <w:kinsoku/>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生活污水排入污水管网</w:t>
                  </w:r>
                </w:p>
              </w:tc>
              <w:tc>
                <w:tcPr>
                  <w:tcW w:w="1287" w:type="pct"/>
                  <w:noWrap w:val="0"/>
                  <w:vAlign w:val="center"/>
                </w:tcPr>
                <w:p w14:paraId="0452F18F">
                  <w:pPr>
                    <w:keepNext w:val="0"/>
                    <w:keepLines w:val="0"/>
                    <w:pageBreakBefore w:val="0"/>
                    <w:kinsoku/>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《污水综合排放标准》（GB8978-1996）三级标准</w:t>
                  </w:r>
                </w:p>
              </w:tc>
            </w:tr>
            <w:tr w14:paraId="0DFFEB2E">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63" w:type="pct"/>
                  <w:noWrap w:val="0"/>
                  <w:vAlign w:val="center"/>
                </w:tcPr>
                <w:p w14:paraId="646712AF">
                  <w:pPr>
                    <w:pStyle w:val="34"/>
                    <w:keepNext w:val="0"/>
                    <w:keepLines w:val="0"/>
                    <w:pageBreakBefore w:val="0"/>
                    <w:tabs>
                      <w:tab w:val="left" w:pos="312"/>
                      <w:tab w:val="clear" w:pos="1845"/>
                    </w:tabs>
                    <w:kinsoku/>
                    <w:overflowPunct/>
                    <w:topLinePunct w:val="0"/>
                    <w:bidi w:val="0"/>
                    <w:spacing w:line="240" w:lineRule="auto"/>
                    <w:ind w:firstLine="0" w:firstLineChars="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噪声</w:t>
                  </w:r>
                </w:p>
              </w:tc>
              <w:tc>
                <w:tcPr>
                  <w:tcW w:w="713" w:type="pct"/>
                  <w:gridSpan w:val="2"/>
                  <w:noWrap w:val="0"/>
                  <w:vAlign w:val="center"/>
                </w:tcPr>
                <w:p w14:paraId="0DE991E7">
                  <w:pPr>
                    <w:keepNext w:val="0"/>
                    <w:keepLines w:val="0"/>
                    <w:pageBreakBefore w:val="0"/>
                    <w:kinsoku/>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设备噪声</w:t>
                  </w:r>
                </w:p>
              </w:tc>
              <w:tc>
                <w:tcPr>
                  <w:tcW w:w="1031" w:type="pct"/>
                  <w:noWrap w:val="0"/>
                  <w:vAlign w:val="center"/>
                </w:tcPr>
                <w:p w14:paraId="2B95D6C8">
                  <w:pPr>
                    <w:keepNext w:val="0"/>
                    <w:keepLines w:val="0"/>
                    <w:pageBreakBefore w:val="0"/>
                    <w:kinsoku/>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连续等效A声级</w:t>
                  </w:r>
                </w:p>
              </w:tc>
              <w:tc>
                <w:tcPr>
                  <w:tcW w:w="1503" w:type="pct"/>
                  <w:noWrap w:val="0"/>
                  <w:vAlign w:val="center"/>
                </w:tcPr>
                <w:p w14:paraId="632DAE33">
                  <w:pPr>
                    <w:keepNext w:val="0"/>
                    <w:keepLines w:val="0"/>
                    <w:pageBreakBefore w:val="0"/>
                    <w:kinsoku/>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基础减震，厂房隔声、距离衰减</w:t>
                  </w:r>
                </w:p>
              </w:tc>
              <w:tc>
                <w:tcPr>
                  <w:tcW w:w="1287" w:type="pct"/>
                  <w:noWrap w:val="0"/>
                  <w:vAlign w:val="center"/>
                </w:tcPr>
                <w:p w14:paraId="5034B5D8">
                  <w:pPr>
                    <w:keepNext w:val="0"/>
                    <w:keepLines w:val="0"/>
                    <w:pageBreakBefore w:val="0"/>
                    <w:kinsoku/>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《工业企业厂界环境噪声排放标准》(GB12348-2008）中</w:t>
                  </w:r>
                  <w:r>
                    <w:rPr>
                      <w:rFonts w:hint="eastAsia"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类标准</w:t>
                  </w:r>
                </w:p>
              </w:tc>
            </w:tr>
            <w:tr w14:paraId="55DEAD24">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63" w:type="pct"/>
                  <w:vMerge w:val="restart"/>
                  <w:noWrap w:val="0"/>
                  <w:vAlign w:val="center"/>
                </w:tcPr>
                <w:p w14:paraId="725450FE">
                  <w:pPr>
                    <w:pStyle w:val="34"/>
                    <w:keepNext w:val="0"/>
                    <w:keepLines w:val="0"/>
                    <w:pageBreakBefore w:val="0"/>
                    <w:tabs>
                      <w:tab w:val="left" w:pos="312"/>
                      <w:tab w:val="clear" w:pos="1845"/>
                    </w:tabs>
                    <w:kinsoku/>
                    <w:overflowPunct/>
                    <w:topLinePunct w:val="0"/>
                    <w:bidi w:val="0"/>
                    <w:spacing w:line="240" w:lineRule="auto"/>
                    <w:ind w:firstLine="0" w:firstLineChars="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固体废物</w:t>
                  </w:r>
                </w:p>
              </w:tc>
              <w:tc>
                <w:tcPr>
                  <w:tcW w:w="713" w:type="pct"/>
                  <w:gridSpan w:val="2"/>
                  <w:noWrap w:val="0"/>
                  <w:vAlign w:val="center"/>
                </w:tcPr>
                <w:p w14:paraId="3DC3C1AE">
                  <w:pPr>
                    <w:pStyle w:val="33"/>
                    <w:keepNext w:val="0"/>
                    <w:keepLines w:val="0"/>
                    <w:pageBreakBefore w:val="0"/>
                    <w:kinsoku/>
                    <w:overflowPunct/>
                    <w:topLinePunct w:val="0"/>
                    <w:bidi w:val="0"/>
                    <w:spacing w:beforeLines="0" w:afterLines="0" w:line="240" w:lineRule="auto"/>
                    <w:ind w:lef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下料、机加工工序</w:t>
                  </w:r>
                </w:p>
              </w:tc>
              <w:tc>
                <w:tcPr>
                  <w:tcW w:w="1031" w:type="pct"/>
                  <w:noWrap w:val="0"/>
                  <w:vAlign w:val="center"/>
                </w:tcPr>
                <w:p w14:paraId="1B49F3B8">
                  <w:pPr>
                    <w:pStyle w:val="33"/>
                    <w:keepNext w:val="0"/>
                    <w:keepLines w:val="0"/>
                    <w:pageBreakBefore w:val="0"/>
                    <w:kinsoku/>
                    <w:overflowPunct/>
                    <w:topLinePunct w:val="0"/>
                    <w:bidi w:val="0"/>
                    <w:spacing w:beforeLines="0" w:afterLines="0" w:line="240" w:lineRule="auto"/>
                    <w:ind w:lef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边角料</w:t>
                  </w:r>
                </w:p>
              </w:tc>
              <w:tc>
                <w:tcPr>
                  <w:tcW w:w="1503" w:type="pct"/>
                  <w:vMerge w:val="restart"/>
                  <w:noWrap w:val="0"/>
                  <w:vAlign w:val="center"/>
                </w:tcPr>
                <w:p w14:paraId="788DF9C5">
                  <w:pPr>
                    <w:pStyle w:val="34"/>
                    <w:keepNext w:val="0"/>
                    <w:keepLines w:val="0"/>
                    <w:pageBreakBefore w:val="0"/>
                    <w:tabs>
                      <w:tab w:val="left" w:pos="312"/>
                      <w:tab w:val="clear" w:pos="1845"/>
                    </w:tabs>
                    <w:kinsoku/>
                    <w:overflowPunct/>
                    <w:topLinePunct w:val="0"/>
                    <w:bidi w:val="0"/>
                    <w:spacing w:line="240" w:lineRule="auto"/>
                    <w:ind w:firstLine="0" w:firstLineChars="0"/>
                    <w:textAlignment w:val="auto"/>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收集后暂存于一般固体废物</w:t>
                  </w:r>
                  <w:r>
                    <w:rPr>
                      <w:rFonts w:hint="default" w:ascii="Times New Roman" w:hAnsi="Times New Roman" w:cs="Times New Roman"/>
                      <w:b w:val="0"/>
                      <w:bCs w:val="0"/>
                      <w:color w:val="auto"/>
                      <w:sz w:val="21"/>
                      <w:szCs w:val="21"/>
                      <w:highlight w:val="none"/>
                      <w:lang w:eastAsia="zh-CN"/>
                    </w:rPr>
                    <w:t>暂存库</w:t>
                  </w:r>
                  <w:r>
                    <w:rPr>
                      <w:rFonts w:hint="default" w:ascii="Times New Roman" w:hAnsi="Times New Roman" w:cs="Times New Roman"/>
                      <w:b w:val="0"/>
                      <w:bCs w:val="0"/>
                      <w:color w:val="auto"/>
                      <w:sz w:val="21"/>
                      <w:szCs w:val="21"/>
                      <w:highlight w:val="none"/>
                    </w:rPr>
                    <w:t>，统一外售</w:t>
                  </w:r>
                </w:p>
              </w:tc>
              <w:tc>
                <w:tcPr>
                  <w:tcW w:w="1287" w:type="pct"/>
                  <w:vMerge w:val="restart"/>
                  <w:noWrap w:val="0"/>
                  <w:vAlign w:val="center"/>
                </w:tcPr>
                <w:p w14:paraId="467539A9">
                  <w:pPr>
                    <w:pStyle w:val="34"/>
                    <w:keepNext w:val="0"/>
                    <w:keepLines w:val="0"/>
                    <w:pageBreakBefore w:val="0"/>
                    <w:tabs>
                      <w:tab w:val="left" w:pos="312"/>
                      <w:tab w:val="clear" w:pos="1845"/>
                    </w:tabs>
                    <w:kinsoku/>
                    <w:wordWrap w:val="0"/>
                    <w:overflowPunct/>
                    <w:topLinePunct w:val="0"/>
                    <w:bidi w:val="0"/>
                    <w:spacing w:line="240" w:lineRule="auto"/>
                    <w:ind w:firstLine="0" w:firstLineChars="0"/>
                    <w:textAlignment w:val="auto"/>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《一般工业固体废物贮存和填埋污染控制标准》（GB18599-2020）</w:t>
                  </w:r>
                </w:p>
              </w:tc>
            </w:tr>
            <w:tr w14:paraId="5DC35977">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63" w:type="pct"/>
                  <w:vMerge w:val="continue"/>
                  <w:noWrap w:val="0"/>
                  <w:vAlign w:val="center"/>
                </w:tcPr>
                <w:p w14:paraId="2ED411C3">
                  <w:pPr>
                    <w:keepNext w:val="0"/>
                    <w:keepLines w:val="0"/>
                    <w:pageBreakBefore w:val="0"/>
                    <w:kinsoku/>
                    <w:overflowPunct/>
                    <w:topLinePunct w:val="0"/>
                    <w:bidi w:val="0"/>
                    <w:spacing w:line="240" w:lineRule="auto"/>
                    <w:ind w:firstLine="0" w:firstLineChars="0"/>
                    <w:jc w:val="center"/>
                    <w:textAlignment w:val="auto"/>
                    <w:rPr>
                      <w:rFonts w:hint="default" w:ascii="Times New Roman" w:hAnsi="Times New Roman" w:cs="Times New Roman"/>
                      <w:color w:val="auto"/>
                      <w:sz w:val="21"/>
                      <w:szCs w:val="21"/>
                      <w:highlight w:val="none"/>
                    </w:rPr>
                  </w:pPr>
                </w:p>
              </w:tc>
              <w:tc>
                <w:tcPr>
                  <w:tcW w:w="713" w:type="pct"/>
                  <w:gridSpan w:val="2"/>
                  <w:noWrap w:val="0"/>
                  <w:vAlign w:val="center"/>
                </w:tcPr>
                <w:p w14:paraId="7D5CDD93">
                  <w:pPr>
                    <w:pStyle w:val="33"/>
                    <w:keepNext w:val="0"/>
                    <w:keepLines w:val="0"/>
                    <w:pageBreakBefore w:val="0"/>
                    <w:kinsoku/>
                    <w:overflowPunct/>
                    <w:topLinePunct w:val="0"/>
                    <w:bidi w:val="0"/>
                    <w:spacing w:beforeLines="0" w:afterLines="0" w:line="240" w:lineRule="auto"/>
                    <w:ind w:lef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焊接工序</w:t>
                  </w:r>
                </w:p>
              </w:tc>
              <w:tc>
                <w:tcPr>
                  <w:tcW w:w="1031" w:type="pct"/>
                  <w:noWrap w:val="0"/>
                  <w:vAlign w:val="center"/>
                </w:tcPr>
                <w:p w14:paraId="1C6BDECE">
                  <w:pPr>
                    <w:pStyle w:val="33"/>
                    <w:keepNext w:val="0"/>
                    <w:keepLines w:val="0"/>
                    <w:pageBreakBefore w:val="0"/>
                    <w:kinsoku/>
                    <w:overflowPunct/>
                    <w:topLinePunct w:val="0"/>
                    <w:bidi w:val="0"/>
                    <w:spacing w:beforeLines="0" w:afterLines="0" w:line="240" w:lineRule="auto"/>
                    <w:ind w:lef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废焊渣</w:t>
                  </w:r>
                </w:p>
              </w:tc>
              <w:tc>
                <w:tcPr>
                  <w:tcW w:w="1503" w:type="pct"/>
                  <w:vMerge w:val="continue"/>
                  <w:noWrap w:val="0"/>
                  <w:vAlign w:val="center"/>
                </w:tcPr>
                <w:p w14:paraId="3DF72B85">
                  <w:pPr>
                    <w:keepNext w:val="0"/>
                    <w:keepLines w:val="0"/>
                    <w:pageBreakBefore w:val="0"/>
                    <w:kinsoku/>
                    <w:overflowPunct/>
                    <w:topLinePunct w:val="0"/>
                    <w:bidi w:val="0"/>
                    <w:spacing w:line="240" w:lineRule="auto"/>
                    <w:ind w:firstLine="0" w:firstLineChars="0"/>
                    <w:jc w:val="center"/>
                    <w:textAlignment w:val="auto"/>
                    <w:rPr>
                      <w:rFonts w:hint="default" w:ascii="Times New Roman" w:hAnsi="Times New Roman" w:cs="Times New Roman"/>
                      <w:b w:val="0"/>
                      <w:bCs w:val="0"/>
                      <w:color w:val="auto"/>
                      <w:sz w:val="21"/>
                      <w:szCs w:val="21"/>
                      <w:highlight w:val="none"/>
                    </w:rPr>
                  </w:pPr>
                </w:p>
              </w:tc>
              <w:tc>
                <w:tcPr>
                  <w:tcW w:w="1287" w:type="pct"/>
                  <w:vMerge w:val="continue"/>
                  <w:noWrap w:val="0"/>
                  <w:vAlign w:val="center"/>
                </w:tcPr>
                <w:p w14:paraId="5D5D4721">
                  <w:pPr>
                    <w:keepNext w:val="0"/>
                    <w:keepLines w:val="0"/>
                    <w:pageBreakBefore w:val="0"/>
                    <w:kinsoku/>
                    <w:overflowPunct/>
                    <w:topLinePunct w:val="0"/>
                    <w:bidi w:val="0"/>
                    <w:spacing w:line="240" w:lineRule="auto"/>
                    <w:ind w:firstLine="0" w:firstLineChars="0"/>
                    <w:jc w:val="center"/>
                    <w:textAlignment w:val="auto"/>
                    <w:rPr>
                      <w:rFonts w:hint="default" w:ascii="Times New Roman" w:hAnsi="Times New Roman" w:cs="Times New Roman"/>
                      <w:b w:val="0"/>
                      <w:bCs w:val="0"/>
                      <w:color w:val="auto"/>
                      <w:sz w:val="21"/>
                      <w:szCs w:val="21"/>
                      <w:highlight w:val="none"/>
                    </w:rPr>
                  </w:pPr>
                </w:p>
              </w:tc>
            </w:tr>
            <w:tr w14:paraId="5A07E3D0">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63" w:type="pct"/>
                  <w:vMerge w:val="continue"/>
                  <w:noWrap w:val="0"/>
                  <w:vAlign w:val="center"/>
                </w:tcPr>
                <w:p w14:paraId="7D86812C">
                  <w:pPr>
                    <w:keepNext w:val="0"/>
                    <w:keepLines w:val="0"/>
                    <w:pageBreakBefore w:val="0"/>
                    <w:kinsoku/>
                    <w:overflowPunct/>
                    <w:topLinePunct w:val="0"/>
                    <w:bidi w:val="0"/>
                    <w:spacing w:line="240" w:lineRule="auto"/>
                    <w:ind w:firstLine="0" w:firstLineChars="0"/>
                    <w:jc w:val="center"/>
                    <w:textAlignment w:val="auto"/>
                    <w:rPr>
                      <w:rFonts w:hint="default" w:ascii="Times New Roman" w:hAnsi="Times New Roman" w:cs="Times New Roman"/>
                      <w:color w:val="auto"/>
                      <w:sz w:val="21"/>
                      <w:szCs w:val="21"/>
                      <w:highlight w:val="none"/>
                    </w:rPr>
                  </w:pPr>
                </w:p>
              </w:tc>
              <w:tc>
                <w:tcPr>
                  <w:tcW w:w="713" w:type="pct"/>
                  <w:gridSpan w:val="2"/>
                  <w:noWrap w:val="0"/>
                  <w:vAlign w:val="center"/>
                </w:tcPr>
                <w:p w14:paraId="4F4FF7F8">
                  <w:pPr>
                    <w:pStyle w:val="33"/>
                    <w:keepNext w:val="0"/>
                    <w:keepLines w:val="0"/>
                    <w:pageBreakBefore w:val="0"/>
                    <w:kinsoku/>
                    <w:overflowPunct/>
                    <w:topLinePunct w:val="0"/>
                    <w:bidi w:val="0"/>
                    <w:spacing w:beforeLines="0" w:afterLines="0" w:line="240" w:lineRule="auto"/>
                    <w:ind w:lef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废气处理</w:t>
                  </w:r>
                </w:p>
              </w:tc>
              <w:tc>
                <w:tcPr>
                  <w:tcW w:w="1031" w:type="pct"/>
                  <w:noWrap w:val="0"/>
                  <w:vAlign w:val="center"/>
                </w:tcPr>
                <w:p w14:paraId="7B0711A5">
                  <w:pPr>
                    <w:pStyle w:val="33"/>
                    <w:keepNext w:val="0"/>
                    <w:keepLines w:val="0"/>
                    <w:pageBreakBefore w:val="0"/>
                    <w:kinsoku/>
                    <w:overflowPunct/>
                    <w:topLinePunct w:val="0"/>
                    <w:bidi w:val="0"/>
                    <w:spacing w:beforeLines="0" w:afterLines="0" w:line="240" w:lineRule="auto"/>
                    <w:ind w:lef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除尘器收集的粉尘</w:t>
                  </w:r>
                </w:p>
              </w:tc>
              <w:tc>
                <w:tcPr>
                  <w:tcW w:w="1503" w:type="pct"/>
                  <w:vMerge w:val="continue"/>
                  <w:noWrap w:val="0"/>
                  <w:vAlign w:val="center"/>
                </w:tcPr>
                <w:p w14:paraId="379553CB">
                  <w:pPr>
                    <w:keepNext w:val="0"/>
                    <w:keepLines w:val="0"/>
                    <w:pageBreakBefore w:val="0"/>
                    <w:kinsoku/>
                    <w:overflowPunct/>
                    <w:topLinePunct w:val="0"/>
                    <w:bidi w:val="0"/>
                    <w:spacing w:line="240" w:lineRule="auto"/>
                    <w:ind w:firstLine="0" w:firstLineChars="0"/>
                    <w:jc w:val="center"/>
                    <w:textAlignment w:val="auto"/>
                    <w:rPr>
                      <w:rFonts w:hint="default" w:ascii="Times New Roman" w:hAnsi="Times New Roman" w:cs="Times New Roman"/>
                      <w:b w:val="0"/>
                      <w:bCs w:val="0"/>
                      <w:color w:val="auto"/>
                      <w:sz w:val="21"/>
                      <w:szCs w:val="21"/>
                      <w:highlight w:val="none"/>
                    </w:rPr>
                  </w:pPr>
                </w:p>
              </w:tc>
              <w:tc>
                <w:tcPr>
                  <w:tcW w:w="1287" w:type="pct"/>
                  <w:vMerge w:val="continue"/>
                  <w:noWrap w:val="0"/>
                  <w:vAlign w:val="center"/>
                </w:tcPr>
                <w:p w14:paraId="743EECF0">
                  <w:pPr>
                    <w:keepNext w:val="0"/>
                    <w:keepLines w:val="0"/>
                    <w:pageBreakBefore w:val="0"/>
                    <w:kinsoku/>
                    <w:overflowPunct/>
                    <w:topLinePunct w:val="0"/>
                    <w:bidi w:val="0"/>
                    <w:spacing w:line="240" w:lineRule="auto"/>
                    <w:ind w:firstLine="0" w:firstLineChars="0"/>
                    <w:jc w:val="center"/>
                    <w:textAlignment w:val="auto"/>
                    <w:rPr>
                      <w:rFonts w:hint="default" w:ascii="Times New Roman" w:hAnsi="Times New Roman" w:cs="Times New Roman"/>
                      <w:b w:val="0"/>
                      <w:bCs w:val="0"/>
                      <w:color w:val="auto"/>
                      <w:sz w:val="21"/>
                      <w:szCs w:val="21"/>
                      <w:highlight w:val="none"/>
                    </w:rPr>
                  </w:pPr>
                </w:p>
              </w:tc>
            </w:tr>
            <w:tr w14:paraId="3D577090">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63" w:type="pct"/>
                  <w:vMerge w:val="continue"/>
                  <w:noWrap w:val="0"/>
                  <w:vAlign w:val="top"/>
                </w:tcPr>
                <w:p w14:paraId="0B9D2B50">
                  <w:pPr>
                    <w:pStyle w:val="34"/>
                    <w:keepNext w:val="0"/>
                    <w:keepLines w:val="0"/>
                    <w:pageBreakBefore w:val="0"/>
                    <w:tabs>
                      <w:tab w:val="left" w:pos="312"/>
                      <w:tab w:val="clear" w:pos="1845"/>
                    </w:tabs>
                    <w:kinsoku/>
                    <w:overflowPunct/>
                    <w:topLinePunct w:val="0"/>
                    <w:bidi w:val="0"/>
                    <w:spacing w:line="240" w:lineRule="auto"/>
                    <w:ind w:firstLine="0" w:firstLineChars="0"/>
                    <w:textAlignment w:val="auto"/>
                    <w:rPr>
                      <w:rFonts w:hint="default" w:ascii="Times New Roman" w:hAnsi="Times New Roman" w:cs="Times New Roman"/>
                      <w:b/>
                      <w:color w:val="auto"/>
                      <w:sz w:val="21"/>
                      <w:szCs w:val="21"/>
                      <w:highlight w:val="none"/>
                    </w:rPr>
                  </w:pPr>
                </w:p>
              </w:tc>
              <w:tc>
                <w:tcPr>
                  <w:tcW w:w="713" w:type="pct"/>
                  <w:gridSpan w:val="2"/>
                  <w:vMerge w:val="restart"/>
                  <w:noWrap w:val="0"/>
                  <w:vAlign w:val="center"/>
                </w:tcPr>
                <w:p w14:paraId="5A3C771D">
                  <w:pPr>
                    <w:pStyle w:val="33"/>
                    <w:keepNext w:val="0"/>
                    <w:keepLines w:val="0"/>
                    <w:pageBreakBefore w:val="0"/>
                    <w:kinsoku/>
                    <w:overflowPunct/>
                    <w:topLinePunct w:val="0"/>
                    <w:bidi w:val="0"/>
                    <w:spacing w:beforeLines="0" w:afterLines="0" w:line="240" w:lineRule="auto"/>
                    <w:ind w:lef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废气处理装置</w:t>
                  </w:r>
                </w:p>
              </w:tc>
              <w:tc>
                <w:tcPr>
                  <w:tcW w:w="1031" w:type="pct"/>
                  <w:noWrap w:val="0"/>
                  <w:vAlign w:val="center"/>
                </w:tcPr>
                <w:p w14:paraId="0686756F">
                  <w:pPr>
                    <w:keepNext w:val="0"/>
                    <w:keepLines w:val="0"/>
                    <w:pageBreakBefore w:val="0"/>
                    <w:kinsoku/>
                    <w:overflowPunct/>
                    <w:topLinePunct w:val="0"/>
                    <w:bidi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废活性炭</w:t>
                  </w:r>
                </w:p>
              </w:tc>
              <w:tc>
                <w:tcPr>
                  <w:tcW w:w="1503" w:type="pct"/>
                  <w:vMerge w:val="restart"/>
                  <w:noWrap w:val="0"/>
                  <w:vAlign w:val="center"/>
                </w:tcPr>
                <w:p w14:paraId="286E885C">
                  <w:pPr>
                    <w:keepNext w:val="0"/>
                    <w:keepLines w:val="0"/>
                    <w:pageBreakBefore w:val="0"/>
                    <w:kinsoku/>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bCs/>
                      <w:color w:val="auto"/>
                      <w:sz w:val="21"/>
                      <w:szCs w:val="21"/>
                      <w:highlight w:val="none"/>
                      <w:lang w:bidi="ar"/>
                    </w:rPr>
                  </w:pPr>
                  <w:r>
                    <w:rPr>
                      <w:rFonts w:hint="default" w:ascii="Times New Roman" w:hAnsi="Times New Roman" w:cs="Times New Roman"/>
                      <w:b w:val="0"/>
                      <w:bCs w:val="0"/>
                      <w:color w:val="auto"/>
                      <w:sz w:val="21"/>
                      <w:szCs w:val="21"/>
                      <w:highlight w:val="none"/>
                    </w:rPr>
                    <w:t>暂存于危废</w:t>
                  </w:r>
                  <w:r>
                    <w:rPr>
                      <w:rFonts w:hint="default" w:ascii="Times New Roman" w:hAnsi="Times New Roman" w:cs="Times New Roman"/>
                      <w:b w:val="0"/>
                      <w:bCs w:val="0"/>
                      <w:color w:val="auto"/>
                      <w:sz w:val="21"/>
                      <w:szCs w:val="21"/>
                      <w:highlight w:val="none"/>
                      <w:lang w:eastAsia="zh-CN"/>
                    </w:rPr>
                    <w:t>暂存库</w:t>
                  </w:r>
                  <w:r>
                    <w:rPr>
                      <w:rFonts w:hint="default" w:ascii="Times New Roman" w:hAnsi="Times New Roman" w:cs="Times New Roman"/>
                      <w:b w:val="0"/>
                      <w:bCs w:val="0"/>
                      <w:color w:val="auto"/>
                      <w:sz w:val="21"/>
                      <w:szCs w:val="21"/>
                      <w:highlight w:val="none"/>
                    </w:rPr>
                    <w:t>，定期交由资质单位处置</w:t>
                  </w:r>
                </w:p>
              </w:tc>
              <w:tc>
                <w:tcPr>
                  <w:tcW w:w="1287" w:type="pct"/>
                  <w:vMerge w:val="restart"/>
                  <w:noWrap w:val="0"/>
                  <w:vAlign w:val="center"/>
                </w:tcPr>
                <w:p w14:paraId="28678D58">
                  <w:pPr>
                    <w:pStyle w:val="34"/>
                    <w:keepNext w:val="0"/>
                    <w:keepLines w:val="0"/>
                    <w:pageBreakBefore w:val="0"/>
                    <w:tabs>
                      <w:tab w:val="left" w:pos="312"/>
                      <w:tab w:val="clear" w:pos="1845"/>
                    </w:tabs>
                    <w:kinsoku/>
                    <w:wordWrap w:val="0"/>
                    <w:overflowPunct/>
                    <w:topLinePunct w:val="0"/>
                    <w:bidi w:val="0"/>
                    <w:spacing w:line="240" w:lineRule="auto"/>
                    <w:ind w:firstLine="0" w:firstLineChars="0"/>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val="0"/>
                      <w:bCs w:val="0"/>
                      <w:color w:val="auto"/>
                      <w:sz w:val="21"/>
                      <w:szCs w:val="21"/>
                      <w:highlight w:val="none"/>
                    </w:rPr>
                    <w:t>《危险废物贮存污染控制标准》（GB18597-2023）</w:t>
                  </w:r>
                </w:p>
              </w:tc>
            </w:tr>
            <w:tr w14:paraId="49E88807">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63" w:type="pct"/>
                  <w:vMerge w:val="continue"/>
                  <w:noWrap w:val="0"/>
                  <w:vAlign w:val="top"/>
                </w:tcPr>
                <w:p w14:paraId="1263BBDB">
                  <w:pPr>
                    <w:pStyle w:val="34"/>
                    <w:keepNext w:val="0"/>
                    <w:keepLines w:val="0"/>
                    <w:pageBreakBefore w:val="0"/>
                    <w:tabs>
                      <w:tab w:val="left" w:pos="312"/>
                      <w:tab w:val="clear" w:pos="1845"/>
                    </w:tabs>
                    <w:kinsoku/>
                    <w:overflowPunct/>
                    <w:topLinePunct w:val="0"/>
                    <w:bidi w:val="0"/>
                    <w:spacing w:line="240" w:lineRule="auto"/>
                    <w:ind w:firstLine="0" w:firstLineChars="0"/>
                    <w:textAlignment w:val="auto"/>
                    <w:rPr>
                      <w:rFonts w:hint="default" w:ascii="Times New Roman" w:hAnsi="Times New Roman" w:cs="Times New Roman"/>
                      <w:b/>
                      <w:color w:val="auto"/>
                      <w:sz w:val="21"/>
                      <w:szCs w:val="21"/>
                      <w:highlight w:val="none"/>
                    </w:rPr>
                  </w:pPr>
                </w:p>
              </w:tc>
              <w:tc>
                <w:tcPr>
                  <w:tcW w:w="713" w:type="pct"/>
                  <w:gridSpan w:val="2"/>
                  <w:vMerge w:val="continue"/>
                  <w:noWrap w:val="0"/>
                  <w:vAlign w:val="center"/>
                </w:tcPr>
                <w:p w14:paraId="495C761E">
                  <w:pPr>
                    <w:pStyle w:val="33"/>
                    <w:keepNext w:val="0"/>
                    <w:keepLines w:val="0"/>
                    <w:pageBreakBefore w:val="0"/>
                    <w:kinsoku/>
                    <w:overflowPunct/>
                    <w:topLinePunct w:val="0"/>
                    <w:bidi w:val="0"/>
                    <w:spacing w:beforeLines="0" w:afterLines="0" w:line="240" w:lineRule="auto"/>
                    <w:ind w:left="0" w:firstLine="0" w:firstLineChars="0"/>
                    <w:textAlignment w:val="auto"/>
                    <w:rPr>
                      <w:rFonts w:hint="default" w:ascii="Times New Roman" w:hAnsi="Times New Roman" w:cs="Times New Roman"/>
                      <w:color w:val="auto"/>
                      <w:sz w:val="21"/>
                      <w:szCs w:val="21"/>
                      <w:highlight w:val="none"/>
                    </w:rPr>
                  </w:pPr>
                </w:p>
              </w:tc>
              <w:tc>
                <w:tcPr>
                  <w:tcW w:w="1031" w:type="pct"/>
                  <w:noWrap w:val="0"/>
                  <w:vAlign w:val="center"/>
                </w:tcPr>
                <w:p w14:paraId="4277F46D">
                  <w:pPr>
                    <w:keepNext w:val="0"/>
                    <w:keepLines w:val="0"/>
                    <w:pageBreakBefore w:val="0"/>
                    <w:kinsoku/>
                    <w:overflowPunct/>
                    <w:topLinePunct w:val="0"/>
                    <w:bidi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废催化剂</w:t>
                  </w:r>
                </w:p>
              </w:tc>
              <w:tc>
                <w:tcPr>
                  <w:tcW w:w="1503" w:type="pct"/>
                  <w:vMerge w:val="continue"/>
                  <w:noWrap w:val="0"/>
                  <w:vAlign w:val="top"/>
                </w:tcPr>
                <w:p w14:paraId="63361C1A">
                  <w:pPr>
                    <w:keepNext w:val="0"/>
                    <w:keepLines w:val="0"/>
                    <w:pageBreakBefore w:val="0"/>
                    <w:kinsoku/>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bCs/>
                      <w:color w:val="auto"/>
                      <w:sz w:val="21"/>
                      <w:szCs w:val="21"/>
                      <w:highlight w:val="none"/>
                      <w:lang w:bidi="ar"/>
                    </w:rPr>
                  </w:pPr>
                </w:p>
              </w:tc>
              <w:tc>
                <w:tcPr>
                  <w:tcW w:w="1287" w:type="pct"/>
                  <w:vMerge w:val="continue"/>
                  <w:noWrap w:val="0"/>
                  <w:vAlign w:val="top"/>
                </w:tcPr>
                <w:p w14:paraId="60868DEF">
                  <w:pPr>
                    <w:pStyle w:val="34"/>
                    <w:keepNext w:val="0"/>
                    <w:keepLines w:val="0"/>
                    <w:pageBreakBefore w:val="0"/>
                    <w:tabs>
                      <w:tab w:val="left" w:pos="312"/>
                      <w:tab w:val="clear" w:pos="1845"/>
                    </w:tabs>
                    <w:kinsoku/>
                    <w:wordWrap w:val="0"/>
                    <w:overflowPunct/>
                    <w:topLinePunct w:val="0"/>
                    <w:bidi w:val="0"/>
                    <w:spacing w:line="240" w:lineRule="auto"/>
                    <w:ind w:firstLine="0" w:firstLineChars="0"/>
                    <w:textAlignment w:val="auto"/>
                    <w:rPr>
                      <w:rFonts w:hint="default" w:ascii="Times New Roman" w:hAnsi="Times New Roman" w:cs="Times New Roman"/>
                      <w:b/>
                      <w:bCs/>
                      <w:color w:val="auto"/>
                      <w:sz w:val="21"/>
                      <w:szCs w:val="21"/>
                      <w:highlight w:val="none"/>
                    </w:rPr>
                  </w:pPr>
                </w:p>
              </w:tc>
            </w:tr>
            <w:tr w14:paraId="1C25470D">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63" w:type="pct"/>
                  <w:vMerge w:val="continue"/>
                  <w:noWrap w:val="0"/>
                  <w:vAlign w:val="top"/>
                </w:tcPr>
                <w:p w14:paraId="6EF479A4">
                  <w:pPr>
                    <w:pStyle w:val="34"/>
                    <w:keepNext w:val="0"/>
                    <w:keepLines w:val="0"/>
                    <w:pageBreakBefore w:val="0"/>
                    <w:tabs>
                      <w:tab w:val="left" w:pos="312"/>
                      <w:tab w:val="clear" w:pos="1845"/>
                    </w:tabs>
                    <w:kinsoku/>
                    <w:overflowPunct/>
                    <w:topLinePunct w:val="0"/>
                    <w:bidi w:val="0"/>
                    <w:spacing w:line="240" w:lineRule="auto"/>
                    <w:ind w:firstLine="0" w:firstLineChars="0"/>
                    <w:textAlignment w:val="auto"/>
                    <w:rPr>
                      <w:rFonts w:hint="default" w:ascii="Times New Roman" w:hAnsi="Times New Roman" w:cs="Times New Roman"/>
                      <w:b/>
                      <w:color w:val="auto"/>
                      <w:sz w:val="21"/>
                      <w:szCs w:val="21"/>
                      <w:highlight w:val="none"/>
                    </w:rPr>
                  </w:pPr>
                </w:p>
              </w:tc>
              <w:tc>
                <w:tcPr>
                  <w:tcW w:w="713" w:type="pct"/>
                  <w:gridSpan w:val="2"/>
                  <w:vMerge w:val="restart"/>
                  <w:noWrap w:val="0"/>
                  <w:vAlign w:val="center"/>
                </w:tcPr>
                <w:p w14:paraId="4A591069">
                  <w:pPr>
                    <w:pStyle w:val="33"/>
                    <w:keepNext w:val="0"/>
                    <w:keepLines w:val="0"/>
                    <w:pageBreakBefore w:val="0"/>
                    <w:kinsoku/>
                    <w:overflowPunct/>
                    <w:topLinePunct w:val="0"/>
                    <w:bidi w:val="0"/>
                    <w:spacing w:beforeLines="0" w:afterLines="0" w:line="240" w:lineRule="auto"/>
                    <w:ind w:lef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机械设备维修</w:t>
                  </w:r>
                </w:p>
              </w:tc>
              <w:tc>
                <w:tcPr>
                  <w:tcW w:w="1031" w:type="pct"/>
                  <w:noWrap w:val="0"/>
                  <w:vAlign w:val="center"/>
                </w:tcPr>
                <w:p w14:paraId="2A68AF70">
                  <w:pPr>
                    <w:keepNext w:val="0"/>
                    <w:keepLines w:val="0"/>
                    <w:pageBreakBefore w:val="0"/>
                    <w:kinsoku/>
                    <w:overflowPunct/>
                    <w:topLinePunct w:val="0"/>
                    <w:bidi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废润滑油</w:t>
                  </w:r>
                </w:p>
              </w:tc>
              <w:tc>
                <w:tcPr>
                  <w:tcW w:w="1503" w:type="pct"/>
                  <w:vMerge w:val="continue"/>
                  <w:noWrap w:val="0"/>
                  <w:vAlign w:val="top"/>
                </w:tcPr>
                <w:p w14:paraId="109CDBB3">
                  <w:pPr>
                    <w:keepNext w:val="0"/>
                    <w:keepLines w:val="0"/>
                    <w:pageBreakBefore w:val="0"/>
                    <w:kinsoku/>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bCs/>
                      <w:color w:val="auto"/>
                      <w:sz w:val="21"/>
                      <w:szCs w:val="21"/>
                      <w:highlight w:val="none"/>
                      <w:lang w:bidi="ar"/>
                    </w:rPr>
                  </w:pPr>
                </w:p>
              </w:tc>
              <w:tc>
                <w:tcPr>
                  <w:tcW w:w="1287" w:type="pct"/>
                  <w:vMerge w:val="continue"/>
                  <w:noWrap w:val="0"/>
                  <w:vAlign w:val="top"/>
                </w:tcPr>
                <w:p w14:paraId="51342961">
                  <w:pPr>
                    <w:pStyle w:val="34"/>
                    <w:keepNext w:val="0"/>
                    <w:keepLines w:val="0"/>
                    <w:pageBreakBefore w:val="0"/>
                    <w:tabs>
                      <w:tab w:val="left" w:pos="312"/>
                      <w:tab w:val="clear" w:pos="1845"/>
                    </w:tabs>
                    <w:kinsoku/>
                    <w:wordWrap w:val="0"/>
                    <w:overflowPunct/>
                    <w:topLinePunct w:val="0"/>
                    <w:bidi w:val="0"/>
                    <w:spacing w:line="240" w:lineRule="auto"/>
                    <w:ind w:firstLine="0" w:firstLineChars="0"/>
                    <w:textAlignment w:val="auto"/>
                    <w:rPr>
                      <w:rFonts w:hint="default" w:ascii="Times New Roman" w:hAnsi="Times New Roman" w:cs="Times New Roman"/>
                      <w:b/>
                      <w:bCs/>
                      <w:color w:val="auto"/>
                      <w:sz w:val="21"/>
                      <w:szCs w:val="21"/>
                      <w:highlight w:val="none"/>
                    </w:rPr>
                  </w:pPr>
                </w:p>
              </w:tc>
            </w:tr>
            <w:tr w14:paraId="1B406052">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463" w:type="pct"/>
                  <w:vMerge w:val="continue"/>
                  <w:noWrap w:val="0"/>
                  <w:vAlign w:val="top"/>
                </w:tcPr>
                <w:p w14:paraId="7402A64F">
                  <w:pPr>
                    <w:pStyle w:val="34"/>
                    <w:keepNext w:val="0"/>
                    <w:keepLines w:val="0"/>
                    <w:pageBreakBefore w:val="0"/>
                    <w:tabs>
                      <w:tab w:val="left" w:pos="312"/>
                      <w:tab w:val="clear" w:pos="1845"/>
                    </w:tabs>
                    <w:kinsoku/>
                    <w:overflowPunct/>
                    <w:topLinePunct w:val="0"/>
                    <w:bidi w:val="0"/>
                    <w:spacing w:line="240" w:lineRule="auto"/>
                    <w:ind w:firstLine="0" w:firstLineChars="0"/>
                    <w:textAlignment w:val="auto"/>
                    <w:rPr>
                      <w:rFonts w:hint="default" w:ascii="Times New Roman" w:hAnsi="Times New Roman" w:cs="Times New Roman"/>
                      <w:b/>
                      <w:color w:val="auto"/>
                      <w:sz w:val="21"/>
                      <w:szCs w:val="21"/>
                      <w:highlight w:val="none"/>
                    </w:rPr>
                  </w:pPr>
                </w:p>
              </w:tc>
              <w:tc>
                <w:tcPr>
                  <w:tcW w:w="713" w:type="pct"/>
                  <w:gridSpan w:val="2"/>
                  <w:vMerge w:val="continue"/>
                  <w:noWrap w:val="0"/>
                  <w:vAlign w:val="center"/>
                </w:tcPr>
                <w:p w14:paraId="63E83915">
                  <w:pPr>
                    <w:pStyle w:val="47"/>
                    <w:keepNext w:val="0"/>
                    <w:keepLines w:val="0"/>
                    <w:pageBreakBefore w:val="0"/>
                    <w:kinsoku/>
                    <w:overflowPunct/>
                    <w:topLinePunct w:val="0"/>
                    <w:bidi w:val="0"/>
                    <w:spacing w:line="240" w:lineRule="auto"/>
                    <w:ind w:firstLine="0" w:firstLineChars="0"/>
                    <w:textAlignment w:val="auto"/>
                    <w:rPr>
                      <w:rFonts w:hint="default" w:ascii="Times New Roman" w:hAnsi="Times New Roman" w:cs="Times New Roman"/>
                      <w:color w:val="auto"/>
                      <w:sz w:val="21"/>
                      <w:szCs w:val="21"/>
                      <w:highlight w:val="none"/>
                    </w:rPr>
                  </w:pPr>
                </w:p>
              </w:tc>
              <w:tc>
                <w:tcPr>
                  <w:tcW w:w="1031" w:type="pct"/>
                  <w:noWrap w:val="0"/>
                  <w:vAlign w:val="center"/>
                </w:tcPr>
                <w:p w14:paraId="37238D6D">
                  <w:pPr>
                    <w:keepNext w:val="0"/>
                    <w:keepLines w:val="0"/>
                    <w:pageBreakBefore w:val="0"/>
                    <w:kinsoku/>
                    <w:overflowPunct/>
                    <w:topLinePunct w:val="0"/>
                    <w:bidi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废润滑油桶</w:t>
                  </w:r>
                </w:p>
              </w:tc>
              <w:tc>
                <w:tcPr>
                  <w:tcW w:w="1503" w:type="pct"/>
                  <w:vMerge w:val="continue"/>
                  <w:noWrap w:val="0"/>
                  <w:vAlign w:val="top"/>
                </w:tcPr>
                <w:p w14:paraId="1F94230F">
                  <w:pPr>
                    <w:keepNext w:val="0"/>
                    <w:keepLines w:val="0"/>
                    <w:pageBreakBefore w:val="0"/>
                    <w:kinsoku/>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bCs/>
                      <w:color w:val="auto"/>
                      <w:sz w:val="21"/>
                      <w:szCs w:val="21"/>
                      <w:highlight w:val="none"/>
                      <w:lang w:bidi="ar"/>
                    </w:rPr>
                  </w:pPr>
                </w:p>
              </w:tc>
              <w:tc>
                <w:tcPr>
                  <w:tcW w:w="1287" w:type="pct"/>
                  <w:vMerge w:val="continue"/>
                  <w:noWrap w:val="0"/>
                  <w:vAlign w:val="top"/>
                </w:tcPr>
                <w:p w14:paraId="40A3AB02">
                  <w:pPr>
                    <w:pStyle w:val="34"/>
                    <w:keepNext w:val="0"/>
                    <w:keepLines w:val="0"/>
                    <w:pageBreakBefore w:val="0"/>
                    <w:tabs>
                      <w:tab w:val="left" w:pos="312"/>
                      <w:tab w:val="clear" w:pos="1845"/>
                    </w:tabs>
                    <w:kinsoku/>
                    <w:wordWrap w:val="0"/>
                    <w:overflowPunct/>
                    <w:topLinePunct w:val="0"/>
                    <w:bidi w:val="0"/>
                    <w:spacing w:line="240" w:lineRule="auto"/>
                    <w:ind w:firstLine="0" w:firstLineChars="0"/>
                    <w:textAlignment w:val="auto"/>
                    <w:rPr>
                      <w:rFonts w:hint="default" w:ascii="Times New Roman" w:hAnsi="Times New Roman" w:cs="Times New Roman"/>
                      <w:b/>
                      <w:bCs/>
                      <w:color w:val="auto"/>
                      <w:sz w:val="21"/>
                      <w:szCs w:val="21"/>
                      <w:highlight w:val="none"/>
                    </w:rPr>
                  </w:pPr>
                </w:p>
              </w:tc>
            </w:tr>
          </w:tbl>
          <w:p w14:paraId="03717357">
            <w:pPr>
              <w:rPr>
                <w:rFonts w:hint="default" w:ascii="Times New Roman" w:hAnsi="Times New Roman" w:eastAsia="宋体" w:cs="Times New Roman"/>
                <w:b/>
                <w:bCs/>
                <w:color w:val="auto"/>
                <w:sz w:val="21"/>
                <w:szCs w:val="21"/>
                <w:highlight w:val="none"/>
              </w:rPr>
            </w:pPr>
          </w:p>
          <w:p w14:paraId="0B711D29">
            <w:pPr>
              <w:pageBreakBefore w:val="0"/>
              <w:kinsoku/>
              <w:wordWrap/>
              <w:overflowPunct/>
              <w:topLinePunct w:val="0"/>
              <w:autoSpaceDE/>
              <w:autoSpaceDN/>
              <w:bidi w:val="0"/>
              <w:spacing w:line="360" w:lineRule="auto"/>
              <w:textAlignment w:val="auto"/>
              <w:rPr>
                <w:rFonts w:hint="default" w:ascii="Times New Roman" w:hAnsi="Times New Roman" w:eastAsia="宋体" w:cs="Times New Roman"/>
                <w:color w:val="auto"/>
                <w:sz w:val="24"/>
                <w:szCs w:val="24"/>
                <w:highlight w:val="none"/>
              </w:rPr>
            </w:pPr>
          </w:p>
        </w:tc>
      </w:tr>
    </w:tbl>
    <w:p w14:paraId="4641598B">
      <w:pPr>
        <w:adjustRightInd w:val="0"/>
        <w:snapToGrid w:val="0"/>
        <w:spacing w:line="360" w:lineRule="auto"/>
        <w:rPr>
          <w:rFonts w:hint="eastAsia" w:ascii="宋体" w:cs="宋体"/>
          <w:b/>
          <w:color w:val="auto"/>
          <w:kern w:val="0"/>
          <w:sz w:val="28"/>
          <w:szCs w:val="28"/>
          <w:highlight w:val="none"/>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19829280">
      <w:pPr>
        <w:pStyle w:val="23"/>
        <w:jc w:val="center"/>
        <w:outlineLvl w:val="0"/>
        <w:rPr>
          <w:rFonts w:ascii="黑体" w:hAnsi="黑体" w:eastAsia="黑体"/>
          <w:snapToGrid w:val="0"/>
          <w:color w:val="auto"/>
          <w:sz w:val="30"/>
          <w:szCs w:val="30"/>
          <w:highlight w:val="none"/>
        </w:rPr>
      </w:pPr>
      <w:r>
        <w:rPr>
          <w:rFonts w:hint="eastAsia" w:ascii="黑体" w:hAnsi="黑体" w:eastAsia="黑体"/>
          <w:snapToGrid w:val="0"/>
          <w:color w:val="auto"/>
          <w:sz w:val="30"/>
          <w:szCs w:val="30"/>
          <w:highlight w:val="none"/>
        </w:rPr>
        <w:t>五、</w:t>
      </w:r>
      <w:bookmarkStart w:id="1" w:name="_Hlk54167917"/>
      <w:r>
        <w:rPr>
          <w:rFonts w:hint="eastAsia" w:ascii="黑体" w:hAnsi="黑体" w:eastAsia="黑体"/>
          <w:snapToGrid w:val="0"/>
          <w:color w:val="auto"/>
          <w:sz w:val="30"/>
          <w:szCs w:val="30"/>
          <w:highlight w:val="none"/>
        </w:rPr>
        <w:t>环境保护措施监督检查清单</w:t>
      </w:r>
      <w:bookmarkEnd w:id="1"/>
    </w:p>
    <w:tbl>
      <w:tblPr>
        <w:tblStyle w:val="26"/>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1545"/>
        <w:gridCol w:w="1225"/>
        <w:gridCol w:w="2123"/>
        <w:gridCol w:w="3119"/>
      </w:tblGrid>
      <w:tr w14:paraId="2D1DEF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pct"/>
            <w:noWrap w:val="0"/>
            <w:vAlign w:val="top"/>
          </w:tcPr>
          <w:p w14:paraId="55A8813A">
            <w:pPr>
              <w:adjustRightInd w:val="0"/>
              <w:snapToGrid w:val="0"/>
              <w:ind w:firstLine="210" w:firstLineChars="1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内容</w:t>
            </w:r>
          </w:p>
          <w:p w14:paraId="7260602C">
            <w:pPr>
              <w:adjustRightInd w:val="0"/>
              <w:snapToGrid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要素</w:t>
            </w:r>
          </w:p>
        </w:tc>
        <w:tc>
          <w:tcPr>
            <w:tcW w:w="853" w:type="pct"/>
            <w:noWrap w:val="0"/>
            <w:vAlign w:val="center"/>
          </w:tcPr>
          <w:p w14:paraId="1DDFA141">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排放口(编号、名称)/污染源</w:t>
            </w:r>
          </w:p>
        </w:tc>
        <w:tc>
          <w:tcPr>
            <w:tcW w:w="676" w:type="pct"/>
            <w:noWrap w:val="0"/>
            <w:vAlign w:val="center"/>
          </w:tcPr>
          <w:p w14:paraId="75D704E9">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污染物</w:t>
            </w:r>
          </w:p>
          <w:p w14:paraId="5DA71326">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w:t>
            </w:r>
          </w:p>
        </w:tc>
        <w:tc>
          <w:tcPr>
            <w:tcW w:w="1172" w:type="pct"/>
            <w:noWrap w:val="0"/>
            <w:vAlign w:val="center"/>
          </w:tcPr>
          <w:p w14:paraId="3666DAB8">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环境保护措施</w:t>
            </w:r>
          </w:p>
        </w:tc>
        <w:tc>
          <w:tcPr>
            <w:tcW w:w="1720" w:type="pct"/>
            <w:noWrap w:val="0"/>
            <w:vAlign w:val="center"/>
          </w:tcPr>
          <w:p w14:paraId="2210C245">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执行标准</w:t>
            </w:r>
          </w:p>
        </w:tc>
      </w:tr>
      <w:tr w14:paraId="3CF6F9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pct"/>
            <w:vMerge w:val="restart"/>
            <w:noWrap w:val="0"/>
            <w:vAlign w:val="center"/>
          </w:tcPr>
          <w:p w14:paraId="57C5B206">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大气环境</w:t>
            </w:r>
          </w:p>
        </w:tc>
        <w:tc>
          <w:tcPr>
            <w:tcW w:w="853" w:type="pct"/>
            <w:noWrap w:val="0"/>
            <w:vAlign w:val="center"/>
          </w:tcPr>
          <w:p w14:paraId="7F6A41BB">
            <w:pPr>
              <w:pStyle w:val="3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textAlignment w:val="auto"/>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DA001</w:t>
            </w:r>
          </w:p>
        </w:tc>
        <w:tc>
          <w:tcPr>
            <w:tcW w:w="676" w:type="pct"/>
            <w:noWrap w:val="0"/>
            <w:vAlign w:val="center"/>
          </w:tcPr>
          <w:p w14:paraId="3451FE83">
            <w:pPr>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颗粒物</w:t>
            </w:r>
          </w:p>
        </w:tc>
        <w:tc>
          <w:tcPr>
            <w:tcW w:w="1172" w:type="pct"/>
            <w:noWrap w:val="0"/>
            <w:vAlign w:val="center"/>
          </w:tcPr>
          <w:p w14:paraId="270EE313">
            <w:pPr>
              <w:jc w:val="center"/>
              <w:rPr>
                <w:rFonts w:hint="default" w:ascii="Times New Roman" w:hAnsi="Times New Roman" w:cs="Times New Roman"/>
                <w:color w:val="auto"/>
                <w:szCs w:val="21"/>
                <w:highlight w:val="none"/>
              </w:rPr>
            </w:pPr>
            <w:r>
              <w:rPr>
                <w:rFonts w:hint="eastAsia" w:cs="Times New Roman"/>
                <w:b w:val="0"/>
                <w:bCs w:val="0"/>
                <w:color w:val="auto"/>
                <w:highlight w:val="none"/>
                <w:lang w:val="en-US" w:eastAsia="zh-CN"/>
              </w:rPr>
              <w:t>袋式除尘器</w:t>
            </w:r>
            <w:r>
              <w:rPr>
                <w:rFonts w:hint="default" w:ascii="Times New Roman" w:hAnsi="Times New Roman" w:cs="Times New Roman"/>
                <w:color w:val="auto"/>
                <w:szCs w:val="21"/>
                <w:highlight w:val="none"/>
              </w:rPr>
              <w:t>处理后通过1根经15米高排气简(DA001)排放</w:t>
            </w:r>
          </w:p>
        </w:tc>
        <w:tc>
          <w:tcPr>
            <w:tcW w:w="1720" w:type="pct"/>
            <w:vMerge w:val="restart"/>
            <w:noWrap w:val="0"/>
            <w:vAlign w:val="center"/>
          </w:tcPr>
          <w:p w14:paraId="537D65AE">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《大气污染物综合排放标准》（GB16297-1996）表2浓度限值要求。（非甲烷总烃120mg/m</w:t>
            </w:r>
            <w:r>
              <w:rPr>
                <w:rFonts w:hint="default" w:ascii="Times New Roman" w:hAnsi="Times New Roman" w:cs="Times New Roman"/>
                <w:color w:val="auto"/>
                <w:szCs w:val="21"/>
                <w:highlight w:val="none"/>
                <w:vertAlign w:val="superscript"/>
              </w:rPr>
              <w:t>3</w:t>
            </w:r>
            <w:r>
              <w:rPr>
                <w:rFonts w:hint="default" w:ascii="Times New Roman" w:hAnsi="Times New Roman" w:cs="Times New Roman"/>
                <w:color w:val="auto"/>
                <w:szCs w:val="21"/>
                <w:highlight w:val="none"/>
              </w:rPr>
              <w:t>；颗粒物：3.5kg/h，120mg/m</w:t>
            </w:r>
            <w:r>
              <w:rPr>
                <w:rFonts w:hint="default" w:ascii="Times New Roman" w:hAnsi="Times New Roman" w:cs="Times New Roman"/>
                <w:color w:val="auto"/>
                <w:szCs w:val="21"/>
                <w:highlight w:val="none"/>
                <w:vertAlign w:val="superscript"/>
              </w:rPr>
              <w:t>3</w:t>
            </w:r>
            <w:r>
              <w:rPr>
                <w:rFonts w:hint="default" w:ascii="Times New Roman" w:hAnsi="Times New Roman" w:cs="Times New Roman"/>
                <w:color w:val="auto"/>
                <w:szCs w:val="21"/>
                <w:highlight w:val="none"/>
              </w:rPr>
              <w:t>）</w:t>
            </w:r>
          </w:p>
        </w:tc>
      </w:tr>
      <w:tr w14:paraId="556F25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pct"/>
            <w:vMerge w:val="continue"/>
            <w:noWrap w:val="0"/>
            <w:vAlign w:val="center"/>
          </w:tcPr>
          <w:p w14:paraId="45CB6AA3">
            <w:pPr>
              <w:adjustRightInd w:val="0"/>
              <w:snapToGrid w:val="0"/>
              <w:jc w:val="center"/>
              <w:rPr>
                <w:rFonts w:hint="default" w:ascii="Times New Roman" w:hAnsi="Times New Roman" w:cs="Times New Roman"/>
                <w:color w:val="auto"/>
                <w:szCs w:val="21"/>
                <w:highlight w:val="none"/>
              </w:rPr>
            </w:pPr>
          </w:p>
        </w:tc>
        <w:tc>
          <w:tcPr>
            <w:tcW w:w="853" w:type="pct"/>
            <w:noWrap w:val="0"/>
            <w:vAlign w:val="center"/>
          </w:tcPr>
          <w:p w14:paraId="6E7AF49E">
            <w:pPr>
              <w:pStyle w:val="3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textAlignment w:val="auto"/>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DA002</w:t>
            </w:r>
          </w:p>
        </w:tc>
        <w:tc>
          <w:tcPr>
            <w:tcW w:w="676" w:type="pct"/>
            <w:noWrap w:val="0"/>
            <w:vAlign w:val="center"/>
          </w:tcPr>
          <w:p w14:paraId="7C5CEAA3">
            <w:pPr>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颗粒物</w:t>
            </w:r>
          </w:p>
        </w:tc>
        <w:tc>
          <w:tcPr>
            <w:tcW w:w="1172" w:type="pct"/>
            <w:noWrap w:val="0"/>
            <w:vAlign w:val="center"/>
          </w:tcPr>
          <w:p w14:paraId="36CDD644">
            <w:pPr>
              <w:jc w:val="center"/>
              <w:rPr>
                <w:rFonts w:hint="default" w:ascii="Times New Roman" w:hAnsi="Times New Roman" w:cs="Times New Roman"/>
                <w:color w:val="auto"/>
                <w:szCs w:val="21"/>
                <w:highlight w:val="none"/>
              </w:rPr>
            </w:pPr>
            <w:r>
              <w:rPr>
                <w:rFonts w:hint="eastAsia" w:cs="Times New Roman"/>
                <w:b w:val="0"/>
                <w:bCs w:val="0"/>
                <w:color w:val="auto"/>
                <w:highlight w:val="none"/>
                <w:lang w:val="en-US" w:eastAsia="zh-CN"/>
              </w:rPr>
              <w:t>袋式除尘器</w:t>
            </w:r>
            <w:r>
              <w:rPr>
                <w:rFonts w:hint="default" w:ascii="Times New Roman" w:hAnsi="Times New Roman" w:cs="Times New Roman"/>
                <w:color w:val="auto"/>
                <w:szCs w:val="21"/>
                <w:highlight w:val="none"/>
              </w:rPr>
              <w:t>处理后通过1根经15米高排气筒（DA002）排放</w:t>
            </w:r>
          </w:p>
        </w:tc>
        <w:tc>
          <w:tcPr>
            <w:tcW w:w="1720" w:type="pct"/>
            <w:vMerge w:val="continue"/>
            <w:noWrap w:val="0"/>
            <w:vAlign w:val="center"/>
          </w:tcPr>
          <w:p w14:paraId="1060C95C">
            <w:pPr>
              <w:jc w:val="center"/>
              <w:rPr>
                <w:rFonts w:hint="default" w:ascii="Times New Roman" w:hAnsi="Times New Roman" w:cs="Times New Roman"/>
                <w:color w:val="auto"/>
                <w:szCs w:val="21"/>
                <w:highlight w:val="none"/>
              </w:rPr>
            </w:pPr>
          </w:p>
        </w:tc>
      </w:tr>
      <w:tr w14:paraId="5538C1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pct"/>
            <w:vMerge w:val="continue"/>
            <w:noWrap w:val="0"/>
            <w:vAlign w:val="center"/>
          </w:tcPr>
          <w:p w14:paraId="54355AD8">
            <w:pPr>
              <w:adjustRightInd w:val="0"/>
              <w:snapToGrid w:val="0"/>
              <w:jc w:val="center"/>
              <w:rPr>
                <w:rFonts w:hint="default" w:ascii="Times New Roman" w:hAnsi="Times New Roman" w:cs="Times New Roman"/>
                <w:color w:val="auto"/>
                <w:szCs w:val="21"/>
                <w:highlight w:val="none"/>
              </w:rPr>
            </w:pPr>
          </w:p>
        </w:tc>
        <w:tc>
          <w:tcPr>
            <w:tcW w:w="853" w:type="pct"/>
            <w:shd w:val="clear" w:color="auto" w:fill="auto"/>
            <w:noWrap w:val="0"/>
            <w:vAlign w:val="center"/>
          </w:tcPr>
          <w:p w14:paraId="2037011E">
            <w:pPr>
              <w:pStyle w:val="3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bCs/>
                <w:color w:val="auto"/>
                <w:szCs w:val="21"/>
                <w:highlight w:val="none"/>
              </w:rPr>
              <w:t>DA003</w:t>
            </w:r>
          </w:p>
        </w:tc>
        <w:tc>
          <w:tcPr>
            <w:tcW w:w="676" w:type="pct"/>
            <w:shd w:val="clear" w:color="auto" w:fill="auto"/>
            <w:noWrap w:val="0"/>
            <w:vAlign w:val="center"/>
          </w:tcPr>
          <w:p w14:paraId="44CB246F">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bCs/>
                <w:color w:val="auto"/>
                <w:szCs w:val="21"/>
                <w:highlight w:val="none"/>
              </w:rPr>
              <w:t>颗粒物</w:t>
            </w:r>
          </w:p>
        </w:tc>
        <w:tc>
          <w:tcPr>
            <w:tcW w:w="1172" w:type="pct"/>
            <w:shd w:val="clear" w:color="auto" w:fill="auto"/>
            <w:noWrap w:val="0"/>
            <w:vAlign w:val="center"/>
          </w:tcPr>
          <w:p w14:paraId="79A7AFC8">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b w:val="0"/>
                <w:bCs w:val="0"/>
                <w:color w:val="auto"/>
                <w:highlight w:val="none"/>
                <w:lang w:val="en-US" w:eastAsia="zh-CN"/>
              </w:rPr>
              <w:t>袋式除尘器</w:t>
            </w:r>
            <w:r>
              <w:rPr>
                <w:rFonts w:hint="default" w:ascii="Times New Roman" w:hAnsi="Times New Roman" w:cs="Times New Roman"/>
                <w:color w:val="auto"/>
                <w:szCs w:val="21"/>
                <w:highlight w:val="none"/>
              </w:rPr>
              <w:t>处理后通过1根经15米高排气筒（DA002）排放</w:t>
            </w:r>
          </w:p>
        </w:tc>
        <w:tc>
          <w:tcPr>
            <w:tcW w:w="1720" w:type="pct"/>
            <w:vMerge w:val="continue"/>
            <w:noWrap w:val="0"/>
            <w:vAlign w:val="center"/>
          </w:tcPr>
          <w:p w14:paraId="0CD39A63">
            <w:pPr>
              <w:jc w:val="center"/>
              <w:rPr>
                <w:rFonts w:hint="default" w:ascii="Times New Roman" w:hAnsi="Times New Roman" w:cs="Times New Roman"/>
                <w:color w:val="auto"/>
                <w:szCs w:val="21"/>
                <w:highlight w:val="none"/>
              </w:rPr>
            </w:pPr>
          </w:p>
        </w:tc>
      </w:tr>
      <w:tr w14:paraId="41E3C3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pct"/>
            <w:vMerge w:val="continue"/>
            <w:noWrap w:val="0"/>
            <w:vAlign w:val="center"/>
          </w:tcPr>
          <w:p w14:paraId="778FCE81">
            <w:pPr>
              <w:adjustRightInd w:val="0"/>
              <w:snapToGrid w:val="0"/>
              <w:jc w:val="center"/>
              <w:rPr>
                <w:rFonts w:hint="default" w:ascii="Times New Roman" w:hAnsi="Times New Roman" w:cs="Times New Roman"/>
                <w:color w:val="auto"/>
                <w:szCs w:val="21"/>
                <w:highlight w:val="none"/>
              </w:rPr>
            </w:pPr>
          </w:p>
        </w:tc>
        <w:tc>
          <w:tcPr>
            <w:tcW w:w="853" w:type="pct"/>
            <w:noWrap w:val="0"/>
            <w:vAlign w:val="center"/>
          </w:tcPr>
          <w:p w14:paraId="78388AD1">
            <w:pPr>
              <w:pStyle w:val="3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textAlignment w:val="auto"/>
              <w:rPr>
                <w:rFonts w:hint="default" w:ascii="Times New Roman" w:hAnsi="Times New Roman" w:cs="Times New Roman"/>
                <w:color w:val="auto"/>
                <w:szCs w:val="21"/>
                <w:highlight w:val="none"/>
              </w:rPr>
            </w:pPr>
            <w:r>
              <w:rPr>
                <w:rFonts w:hint="default" w:ascii="Times New Roman" w:hAnsi="Times New Roman" w:cs="Times New Roman"/>
                <w:bCs/>
                <w:color w:val="auto"/>
                <w:szCs w:val="21"/>
                <w:highlight w:val="none"/>
              </w:rPr>
              <w:t>DA003</w:t>
            </w:r>
          </w:p>
        </w:tc>
        <w:tc>
          <w:tcPr>
            <w:tcW w:w="676" w:type="pct"/>
            <w:noWrap w:val="0"/>
            <w:vAlign w:val="center"/>
          </w:tcPr>
          <w:p w14:paraId="142D088D">
            <w:pPr>
              <w:jc w:val="center"/>
              <w:rPr>
                <w:rFonts w:hint="default" w:ascii="Times New Roman" w:hAnsi="Times New Roman" w:cs="Times New Roman"/>
                <w:color w:val="auto"/>
                <w:szCs w:val="21"/>
                <w:highlight w:val="none"/>
              </w:rPr>
            </w:pPr>
            <w:r>
              <w:rPr>
                <w:rFonts w:hint="default" w:ascii="Times New Roman" w:hAnsi="Times New Roman" w:cs="Times New Roman"/>
                <w:bCs/>
                <w:color w:val="auto"/>
                <w:szCs w:val="21"/>
                <w:highlight w:val="none"/>
              </w:rPr>
              <w:t>非甲烷总烃</w:t>
            </w:r>
          </w:p>
        </w:tc>
        <w:tc>
          <w:tcPr>
            <w:tcW w:w="1172" w:type="pct"/>
            <w:noWrap w:val="0"/>
            <w:vAlign w:val="center"/>
          </w:tcPr>
          <w:p w14:paraId="17562AC3">
            <w:pPr>
              <w:jc w:val="center"/>
              <w:rPr>
                <w:rFonts w:hint="default" w:ascii="Times New Roman" w:hAnsi="Times New Roman" w:cs="Times New Roman"/>
                <w:color w:val="auto"/>
                <w:szCs w:val="21"/>
                <w:highlight w:val="none"/>
              </w:rPr>
            </w:pPr>
            <w:r>
              <w:rPr>
                <w:rFonts w:hint="eastAsia" w:cs="Times New Roman"/>
                <w:color w:val="auto"/>
                <w:highlight w:val="none"/>
                <w:lang w:val="en-US" w:eastAsia="zh-CN"/>
              </w:rPr>
              <w:t>活性炭吸附+</w:t>
            </w:r>
            <w:r>
              <w:rPr>
                <w:rFonts w:hint="default" w:ascii="Times New Roman" w:hAnsi="Times New Roman" w:cs="Times New Roman"/>
                <w:color w:val="auto"/>
                <w:szCs w:val="21"/>
                <w:highlight w:val="none"/>
              </w:rPr>
              <w:t>催化燃烧装置+15米高排气筒（DA003）</w:t>
            </w:r>
          </w:p>
        </w:tc>
        <w:tc>
          <w:tcPr>
            <w:tcW w:w="1720" w:type="pct"/>
            <w:noWrap w:val="0"/>
            <w:vAlign w:val="center"/>
          </w:tcPr>
          <w:p w14:paraId="27A8ED7C">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《重污染天气重点行业应急减排措施制定技术指南》表39-1 A级企业排放限值</w:t>
            </w:r>
          </w:p>
        </w:tc>
      </w:tr>
      <w:tr w14:paraId="53E440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pct"/>
            <w:vMerge w:val="continue"/>
            <w:noWrap w:val="0"/>
            <w:vAlign w:val="center"/>
          </w:tcPr>
          <w:p w14:paraId="3293F7D6">
            <w:pPr>
              <w:adjustRightInd w:val="0"/>
              <w:snapToGrid w:val="0"/>
              <w:jc w:val="center"/>
              <w:rPr>
                <w:rFonts w:hint="default" w:ascii="Times New Roman" w:hAnsi="Times New Roman" w:cs="Times New Roman"/>
                <w:color w:val="auto"/>
                <w:szCs w:val="21"/>
                <w:highlight w:val="none"/>
              </w:rPr>
            </w:pPr>
          </w:p>
        </w:tc>
        <w:tc>
          <w:tcPr>
            <w:tcW w:w="853" w:type="pct"/>
            <w:noWrap w:val="0"/>
            <w:vAlign w:val="center"/>
          </w:tcPr>
          <w:p w14:paraId="0B0070FC">
            <w:pPr>
              <w:pStyle w:val="3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textAlignment w:val="auto"/>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厂房外</w:t>
            </w:r>
          </w:p>
        </w:tc>
        <w:tc>
          <w:tcPr>
            <w:tcW w:w="676" w:type="pct"/>
            <w:noWrap w:val="0"/>
            <w:vAlign w:val="center"/>
          </w:tcPr>
          <w:p w14:paraId="4C2F7334">
            <w:pPr>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无组织VOCs</w:t>
            </w:r>
          </w:p>
        </w:tc>
        <w:tc>
          <w:tcPr>
            <w:tcW w:w="1172" w:type="pct"/>
            <w:vMerge w:val="restart"/>
            <w:noWrap w:val="0"/>
            <w:vAlign w:val="center"/>
          </w:tcPr>
          <w:p w14:paraId="09AF584E">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洒水降尘，加大车间通风量，减少无组织排放</w:t>
            </w:r>
          </w:p>
        </w:tc>
        <w:tc>
          <w:tcPr>
            <w:tcW w:w="1720" w:type="pct"/>
            <w:noWrap w:val="0"/>
            <w:vAlign w:val="center"/>
          </w:tcPr>
          <w:p w14:paraId="11D1173F">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《大气污染物综合排放标准》（GB16297-1996）表2非甲烷总烃无组织排放限值要求（非甲烷总烃：4.0</w:t>
            </w:r>
            <w:r>
              <w:rPr>
                <w:rFonts w:hint="default" w:ascii="Times New Roman" w:hAnsi="Times New Roman" w:cs="Times New Roman"/>
                <w:bCs/>
                <w:color w:val="auto"/>
                <w:szCs w:val="21"/>
                <w:highlight w:val="none"/>
              </w:rPr>
              <w:t>mg/m</w:t>
            </w:r>
            <w:r>
              <w:rPr>
                <w:rFonts w:hint="default" w:ascii="Times New Roman" w:hAnsi="Times New Roman" w:cs="Times New Roman"/>
                <w:bCs/>
                <w:color w:val="auto"/>
                <w:szCs w:val="21"/>
                <w:highlight w:val="none"/>
                <w:vertAlign w:val="superscript"/>
              </w:rPr>
              <w:t>3</w:t>
            </w:r>
            <w:r>
              <w:rPr>
                <w:rFonts w:hint="default" w:ascii="Times New Roman" w:hAnsi="Times New Roman" w:cs="Times New Roman"/>
                <w:color w:val="auto"/>
                <w:szCs w:val="21"/>
                <w:highlight w:val="none"/>
              </w:rPr>
              <w:t>）</w:t>
            </w:r>
          </w:p>
        </w:tc>
      </w:tr>
      <w:tr w14:paraId="462ABA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pct"/>
            <w:vMerge w:val="continue"/>
            <w:noWrap w:val="0"/>
            <w:vAlign w:val="center"/>
          </w:tcPr>
          <w:p w14:paraId="37931B28">
            <w:pPr>
              <w:adjustRightInd w:val="0"/>
              <w:snapToGrid w:val="0"/>
              <w:jc w:val="center"/>
              <w:rPr>
                <w:rFonts w:hint="default" w:ascii="Times New Roman" w:hAnsi="Times New Roman" w:cs="Times New Roman"/>
                <w:color w:val="auto"/>
                <w:szCs w:val="21"/>
                <w:highlight w:val="none"/>
              </w:rPr>
            </w:pPr>
          </w:p>
        </w:tc>
        <w:tc>
          <w:tcPr>
            <w:tcW w:w="853" w:type="pct"/>
            <w:noWrap w:val="0"/>
            <w:vAlign w:val="center"/>
          </w:tcPr>
          <w:p w14:paraId="62D8A563">
            <w:pPr>
              <w:pStyle w:val="3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textAlignment w:val="auto"/>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厂界</w:t>
            </w:r>
          </w:p>
        </w:tc>
        <w:tc>
          <w:tcPr>
            <w:tcW w:w="676" w:type="pct"/>
            <w:noWrap w:val="0"/>
            <w:vAlign w:val="center"/>
          </w:tcPr>
          <w:p w14:paraId="4E3B72C6">
            <w:pPr>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无组织VOCs</w:t>
            </w:r>
          </w:p>
        </w:tc>
        <w:tc>
          <w:tcPr>
            <w:tcW w:w="1172" w:type="pct"/>
            <w:vMerge w:val="continue"/>
            <w:noWrap w:val="0"/>
            <w:vAlign w:val="center"/>
          </w:tcPr>
          <w:p w14:paraId="2698BC03">
            <w:pPr>
              <w:jc w:val="center"/>
              <w:rPr>
                <w:rFonts w:hint="default" w:ascii="Times New Roman" w:hAnsi="Times New Roman" w:cs="Times New Roman"/>
                <w:color w:val="auto"/>
                <w:szCs w:val="21"/>
                <w:highlight w:val="none"/>
              </w:rPr>
            </w:pPr>
          </w:p>
        </w:tc>
        <w:tc>
          <w:tcPr>
            <w:tcW w:w="1720" w:type="pct"/>
            <w:noWrap w:val="0"/>
            <w:vAlign w:val="center"/>
          </w:tcPr>
          <w:p w14:paraId="32BA352D">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厂界无组织VOCs可以满足《挥发性有机物无组织排放控制标准》（GB37822-2019）表A1.1厂区内VOCs无组织排放限值（VOCs：6.0mg/m³）</w:t>
            </w:r>
          </w:p>
        </w:tc>
      </w:tr>
      <w:tr w14:paraId="6B0713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pct"/>
            <w:vMerge w:val="continue"/>
            <w:noWrap w:val="0"/>
            <w:vAlign w:val="center"/>
          </w:tcPr>
          <w:p w14:paraId="41FC2670">
            <w:pPr>
              <w:adjustRightInd w:val="0"/>
              <w:snapToGrid w:val="0"/>
              <w:jc w:val="center"/>
              <w:rPr>
                <w:rFonts w:hint="default" w:ascii="Times New Roman" w:hAnsi="Times New Roman" w:cs="Times New Roman"/>
                <w:color w:val="auto"/>
                <w:szCs w:val="21"/>
                <w:highlight w:val="none"/>
              </w:rPr>
            </w:pPr>
          </w:p>
        </w:tc>
        <w:tc>
          <w:tcPr>
            <w:tcW w:w="853" w:type="pct"/>
            <w:noWrap w:val="0"/>
            <w:vAlign w:val="center"/>
          </w:tcPr>
          <w:p w14:paraId="07E41561">
            <w:pPr>
              <w:pStyle w:val="33"/>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firstLine="0"/>
              <w:textAlignment w:val="auto"/>
              <w:rPr>
                <w:rFonts w:hint="default" w:ascii="Times New Roman" w:hAnsi="Times New Roman" w:eastAsia="宋体" w:cs="Times New Roman"/>
                <w:bCs/>
                <w:color w:val="auto"/>
                <w:szCs w:val="21"/>
                <w:highlight w:val="none"/>
                <w:lang w:val="en-US" w:eastAsia="zh-CN"/>
              </w:rPr>
            </w:pPr>
            <w:r>
              <w:rPr>
                <w:rFonts w:hint="eastAsia" w:ascii="Times New Roman" w:cs="Times New Roman"/>
                <w:bCs/>
                <w:color w:val="auto"/>
                <w:szCs w:val="21"/>
                <w:highlight w:val="none"/>
                <w:lang w:val="en-US" w:eastAsia="zh-CN"/>
              </w:rPr>
              <w:t>食堂油烟排放口</w:t>
            </w:r>
          </w:p>
        </w:tc>
        <w:tc>
          <w:tcPr>
            <w:tcW w:w="676" w:type="pct"/>
            <w:noWrap w:val="0"/>
            <w:vAlign w:val="center"/>
          </w:tcPr>
          <w:p w14:paraId="64D67243">
            <w:pPr>
              <w:jc w:val="center"/>
              <w:rPr>
                <w:rFonts w:hint="default" w:ascii="Times New Roman" w:hAnsi="Times New Roman" w:eastAsia="宋体" w:cs="Times New Roman"/>
                <w:bCs/>
                <w:color w:val="auto"/>
                <w:szCs w:val="21"/>
                <w:highlight w:val="none"/>
                <w:lang w:val="en-US" w:eastAsia="zh-CN"/>
              </w:rPr>
            </w:pPr>
            <w:r>
              <w:rPr>
                <w:rFonts w:hint="eastAsia" w:cs="Times New Roman"/>
                <w:bCs/>
                <w:color w:val="auto"/>
                <w:szCs w:val="21"/>
                <w:highlight w:val="none"/>
                <w:lang w:val="en-US" w:eastAsia="zh-CN"/>
              </w:rPr>
              <w:t>食堂油烟</w:t>
            </w:r>
          </w:p>
        </w:tc>
        <w:tc>
          <w:tcPr>
            <w:tcW w:w="1172" w:type="pct"/>
            <w:noWrap w:val="0"/>
            <w:vAlign w:val="center"/>
          </w:tcPr>
          <w:p w14:paraId="27CB6154">
            <w:pPr>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经油烟净化器处理后通向屋顶排放</w:t>
            </w:r>
          </w:p>
        </w:tc>
        <w:tc>
          <w:tcPr>
            <w:tcW w:w="1720" w:type="pct"/>
            <w:noWrap w:val="0"/>
            <w:vAlign w:val="center"/>
          </w:tcPr>
          <w:p w14:paraId="3507FE1F">
            <w:pPr>
              <w:wordWrap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《饮食业油烟排放标准（试行）》（GB18483-2001）小型食堂要求</w:t>
            </w:r>
          </w:p>
        </w:tc>
      </w:tr>
      <w:tr w14:paraId="46CC93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pct"/>
            <w:vMerge w:val="restart"/>
            <w:noWrap w:val="0"/>
            <w:vAlign w:val="center"/>
          </w:tcPr>
          <w:p w14:paraId="0459E48E">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地表水环境</w:t>
            </w:r>
          </w:p>
        </w:tc>
        <w:tc>
          <w:tcPr>
            <w:tcW w:w="853" w:type="pct"/>
            <w:vMerge w:val="restart"/>
            <w:noWrap w:val="0"/>
            <w:vAlign w:val="center"/>
          </w:tcPr>
          <w:p w14:paraId="6A8A1DA9">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生活污水</w:t>
            </w:r>
          </w:p>
        </w:tc>
        <w:tc>
          <w:tcPr>
            <w:tcW w:w="676" w:type="pct"/>
            <w:noWrap w:val="0"/>
            <w:vAlign w:val="center"/>
          </w:tcPr>
          <w:p w14:paraId="4B2F3577">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CODcr</w:t>
            </w:r>
          </w:p>
        </w:tc>
        <w:tc>
          <w:tcPr>
            <w:tcW w:w="1172" w:type="pct"/>
            <w:vMerge w:val="restart"/>
            <w:noWrap w:val="0"/>
            <w:vAlign w:val="center"/>
          </w:tcPr>
          <w:p w14:paraId="3D03BB25">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生活污水排入污水管网</w:t>
            </w:r>
          </w:p>
        </w:tc>
        <w:tc>
          <w:tcPr>
            <w:tcW w:w="1720" w:type="pct"/>
            <w:vMerge w:val="restart"/>
            <w:noWrap w:val="0"/>
            <w:vAlign w:val="center"/>
          </w:tcPr>
          <w:p w14:paraId="1F6E467B">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《污水综合排放标准》（GB8978-1996）表4中三级标准</w:t>
            </w:r>
          </w:p>
        </w:tc>
      </w:tr>
      <w:tr w14:paraId="355F79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pct"/>
            <w:vMerge w:val="continue"/>
            <w:noWrap w:val="0"/>
            <w:vAlign w:val="center"/>
          </w:tcPr>
          <w:p w14:paraId="6942505D">
            <w:pPr>
              <w:adjustRightInd w:val="0"/>
              <w:snapToGrid w:val="0"/>
              <w:jc w:val="center"/>
              <w:rPr>
                <w:rFonts w:hint="default" w:ascii="Times New Roman" w:hAnsi="Times New Roman" w:cs="Times New Roman"/>
                <w:color w:val="auto"/>
                <w:szCs w:val="21"/>
                <w:highlight w:val="none"/>
              </w:rPr>
            </w:pPr>
          </w:p>
        </w:tc>
        <w:tc>
          <w:tcPr>
            <w:tcW w:w="853" w:type="pct"/>
            <w:vMerge w:val="continue"/>
            <w:noWrap w:val="0"/>
            <w:vAlign w:val="center"/>
          </w:tcPr>
          <w:p w14:paraId="7B3824D4">
            <w:pPr>
              <w:adjustRightInd w:val="0"/>
              <w:snapToGrid w:val="0"/>
              <w:jc w:val="center"/>
              <w:rPr>
                <w:rFonts w:hint="default" w:ascii="Times New Roman" w:hAnsi="Times New Roman" w:cs="Times New Roman"/>
                <w:color w:val="auto"/>
                <w:szCs w:val="21"/>
                <w:highlight w:val="none"/>
              </w:rPr>
            </w:pPr>
          </w:p>
        </w:tc>
        <w:tc>
          <w:tcPr>
            <w:tcW w:w="676" w:type="pct"/>
            <w:noWrap w:val="0"/>
            <w:vAlign w:val="center"/>
          </w:tcPr>
          <w:p w14:paraId="23CCCA9F">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BOD</w:t>
            </w:r>
            <w:r>
              <w:rPr>
                <w:rFonts w:hint="default" w:ascii="Times New Roman" w:hAnsi="Times New Roman" w:cs="Times New Roman"/>
                <w:color w:val="auto"/>
                <w:szCs w:val="21"/>
                <w:highlight w:val="none"/>
                <w:vertAlign w:val="subscript"/>
              </w:rPr>
              <w:t>5</w:t>
            </w:r>
          </w:p>
        </w:tc>
        <w:tc>
          <w:tcPr>
            <w:tcW w:w="1172" w:type="pct"/>
            <w:vMerge w:val="continue"/>
            <w:noWrap w:val="0"/>
            <w:vAlign w:val="center"/>
          </w:tcPr>
          <w:p w14:paraId="19243AE2">
            <w:pPr>
              <w:adjustRightInd w:val="0"/>
              <w:snapToGrid w:val="0"/>
              <w:jc w:val="center"/>
              <w:rPr>
                <w:rFonts w:hint="default" w:ascii="Times New Roman" w:hAnsi="Times New Roman" w:cs="Times New Roman"/>
                <w:color w:val="auto"/>
                <w:szCs w:val="21"/>
                <w:highlight w:val="none"/>
              </w:rPr>
            </w:pPr>
          </w:p>
        </w:tc>
        <w:tc>
          <w:tcPr>
            <w:tcW w:w="1720" w:type="pct"/>
            <w:vMerge w:val="continue"/>
            <w:noWrap w:val="0"/>
            <w:vAlign w:val="center"/>
          </w:tcPr>
          <w:p w14:paraId="48C5563D">
            <w:pPr>
              <w:adjustRightInd w:val="0"/>
              <w:snapToGrid w:val="0"/>
              <w:jc w:val="center"/>
              <w:rPr>
                <w:rFonts w:hint="default" w:ascii="Times New Roman" w:hAnsi="Times New Roman" w:cs="Times New Roman"/>
                <w:color w:val="auto"/>
                <w:szCs w:val="21"/>
                <w:highlight w:val="none"/>
              </w:rPr>
            </w:pPr>
          </w:p>
        </w:tc>
      </w:tr>
      <w:tr w14:paraId="27633F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pct"/>
            <w:vMerge w:val="continue"/>
            <w:noWrap w:val="0"/>
            <w:vAlign w:val="center"/>
          </w:tcPr>
          <w:p w14:paraId="24C89648">
            <w:pPr>
              <w:adjustRightInd w:val="0"/>
              <w:snapToGrid w:val="0"/>
              <w:jc w:val="center"/>
              <w:rPr>
                <w:rFonts w:hint="default" w:ascii="Times New Roman" w:hAnsi="Times New Roman" w:cs="Times New Roman"/>
                <w:color w:val="auto"/>
                <w:szCs w:val="21"/>
                <w:highlight w:val="none"/>
              </w:rPr>
            </w:pPr>
          </w:p>
        </w:tc>
        <w:tc>
          <w:tcPr>
            <w:tcW w:w="853" w:type="pct"/>
            <w:vMerge w:val="continue"/>
            <w:noWrap w:val="0"/>
            <w:vAlign w:val="center"/>
          </w:tcPr>
          <w:p w14:paraId="19692D56">
            <w:pPr>
              <w:adjustRightInd w:val="0"/>
              <w:snapToGrid w:val="0"/>
              <w:jc w:val="center"/>
              <w:rPr>
                <w:rFonts w:hint="default" w:ascii="Times New Roman" w:hAnsi="Times New Roman" w:cs="Times New Roman"/>
                <w:color w:val="auto"/>
                <w:szCs w:val="21"/>
                <w:highlight w:val="none"/>
              </w:rPr>
            </w:pPr>
          </w:p>
        </w:tc>
        <w:tc>
          <w:tcPr>
            <w:tcW w:w="676" w:type="pct"/>
            <w:noWrap w:val="0"/>
            <w:vAlign w:val="center"/>
          </w:tcPr>
          <w:p w14:paraId="75EE96ED">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SS</w:t>
            </w:r>
          </w:p>
        </w:tc>
        <w:tc>
          <w:tcPr>
            <w:tcW w:w="1172" w:type="pct"/>
            <w:vMerge w:val="continue"/>
            <w:noWrap w:val="0"/>
            <w:vAlign w:val="center"/>
          </w:tcPr>
          <w:p w14:paraId="2F460D09">
            <w:pPr>
              <w:adjustRightInd w:val="0"/>
              <w:snapToGrid w:val="0"/>
              <w:jc w:val="center"/>
              <w:rPr>
                <w:rFonts w:hint="default" w:ascii="Times New Roman" w:hAnsi="Times New Roman" w:cs="Times New Roman"/>
                <w:color w:val="auto"/>
                <w:szCs w:val="21"/>
                <w:highlight w:val="none"/>
              </w:rPr>
            </w:pPr>
          </w:p>
        </w:tc>
        <w:tc>
          <w:tcPr>
            <w:tcW w:w="1720" w:type="pct"/>
            <w:vMerge w:val="continue"/>
            <w:noWrap w:val="0"/>
            <w:vAlign w:val="center"/>
          </w:tcPr>
          <w:p w14:paraId="35DCAFE2">
            <w:pPr>
              <w:adjustRightInd w:val="0"/>
              <w:snapToGrid w:val="0"/>
              <w:jc w:val="center"/>
              <w:rPr>
                <w:rFonts w:hint="default" w:ascii="Times New Roman" w:hAnsi="Times New Roman" w:cs="Times New Roman"/>
                <w:color w:val="auto"/>
                <w:szCs w:val="21"/>
                <w:highlight w:val="none"/>
              </w:rPr>
            </w:pPr>
          </w:p>
        </w:tc>
      </w:tr>
      <w:tr w14:paraId="5B9C9F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pct"/>
            <w:vMerge w:val="continue"/>
            <w:noWrap w:val="0"/>
            <w:vAlign w:val="center"/>
          </w:tcPr>
          <w:p w14:paraId="594F8425">
            <w:pPr>
              <w:adjustRightInd w:val="0"/>
              <w:snapToGrid w:val="0"/>
              <w:jc w:val="center"/>
              <w:rPr>
                <w:rFonts w:hint="default" w:ascii="Times New Roman" w:hAnsi="Times New Roman" w:cs="Times New Roman"/>
                <w:color w:val="auto"/>
                <w:szCs w:val="21"/>
                <w:highlight w:val="none"/>
              </w:rPr>
            </w:pPr>
          </w:p>
        </w:tc>
        <w:tc>
          <w:tcPr>
            <w:tcW w:w="853" w:type="pct"/>
            <w:vMerge w:val="continue"/>
            <w:noWrap w:val="0"/>
            <w:vAlign w:val="center"/>
          </w:tcPr>
          <w:p w14:paraId="4B8F0F23">
            <w:pPr>
              <w:adjustRightInd w:val="0"/>
              <w:snapToGrid w:val="0"/>
              <w:jc w:val="center"/>
              <w:rPr>
                <w:rFonts w:hint="default" w:ascii="Times New Roman" w:hAnsi="Times New Roman" w:cs="Times New Roman"/>
                <w:color w:val="auto"/>
                <w:szCs w:val="21"/>
                <w:highlight w:val="none"/>
              </w:rPr>
            </w:pPr>
          </w:p>
        </w:tc>
        <w:tc>
          <w:tcPr>
            <w:tcW w:w="676" w:type="pct"/>
            <w:noWrap w:val="0"/>
            <w:vAlign w:val="center"/>
          </w:tcPr>
          <w:p w14:paraId="4A87DDCB">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NH</w:t>
            </w:r>
            <w:r>
              <w:rPr>
                <w:rFonts w:hint="default" w:ascii="Times New Roman" w:hAnsi="Times New Roman" w:cs="Times New Roman"/>
                <w:color w:val="auto"/>
                <w:szCs w:val="21"/>
                <w:highlight w:val="none"/>
                <w:vertAlign w:val="subscript"/>
              </w:rPr>
              <w:t>3</w:t>
            </w:r>
            <w:r>
              <w:rPr>
                <w:rFonts w:hint="default" w:ascii="Times New Roman" w:hAnsi="Times New Roman" w:cs="Times New Roman"/>
                <w:color w:val="auto"/>
                <w:szCs w:val="21"/>
                <w:highlight w:val="none"/>
              </w:rPr>
              <w:t>-N</w:t>
            </w:r>
          </w:p>
        </w:tc>
        <w:tc>
          <w:tcPr>
            <w:tcW w:w="1172" w:type="pct"/>
            <w:vMerge w:val="continue"/>
            <w:noWrap w:val="0"/>
            <w:vAlign w:val="center"/>
          </w:tcPr>
          <w:p w14:paraId="46A6F5D9">
            <w:pPr>
              <w:adjustRightInd w:val="0"/>
              <w:snapToGrid w:val="0"/>
              <w:jc w:val="center"/>
              <w:rPr>
                <w:rFonts w:hint="default" w:ascii="Times New Roman" w:hAnsi="Times New Roman" w:cs="Times New Roman"/>
                <w:color w:val="auto"/>
                <w:szCs w:val="21"/>
                <w:highlight w:val="none"/>
              </w:rPr>
            </w:pPr>
          </w:p>
        </w:tc>
        <w:tc>
          <w:tcPr>
            <w:tcW w:w="1720" w:type="pct"/>
            <w:vMerge w:val="continue"/>
            <w:noWrap w:val="0"/>
            <w:vAlign w:val="center"/>
          </w:tcPr>
          <w:p w14:paraId="38567D46">
            <w:pPr>
              <w:adjustRightInd w:val="0"/>
              <w:snapToGrid w:val="0"/>
              <w:jc w:val="center"/>
              <w:rPr>
                <w:rFonts w:hint="default" w:ascii="Times New Roman" w:hAnsi="Times New Roman" w:cs="Times New Roman"/>
                <w:color w:val="auto"/>
                <w:szCs w:val="21"/>
                <w:highlight w:val="none"/>
              </w:rPr>
            </w:pPr>
          </w:p>
        </w:tc>
      </w:tr>
      <w:tr w14:paraId="51B42D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pct"/>
            <w:noWrap w:val="0"/>
            <w:vAlign w:val="center"/>
          </w:tcPr>
          <w:p w14:paraId="1277B2D6">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声环境</w:t>
            </w:r>
          </w:p>
        </w:tc>
        <w:tc>
          <w:tcPr>
            <w:tcW w:w="853" w:type="pct"/>
            <w:noWrap w:val="0"/>
            <w:vAlign w:val="center"/>
          </w:tcPr>
          <w:p w14:paraId="3956E66E">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设备</w:t>
            </w:r>
          </w:p>
        </w:tc>
        <w:tc>
          <w:tcPr>
            <w:tcW w:w="676" w:type="pct"/>
            <w:noWrap w:val="0"/>
            <w:vAlign w:val="center"/>
          </w:tcPr>
          <w:p w14:paraId="5EA1CE7E">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机械噪声</w:t>
            </w:r>
          </w:p>
        </w:tc>
        <w:tc>
          <w:tcPr>
            <w:tcW w:w="1172" w:type="pct"/>
            <w:noWrap w:val="0"/>
            <w:vAlign w:val="center"/>
          </w:tcPr>
          <w:p w14:paraId="79B6179B">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选用低噪声设备，同时采用减震垫进行减震降噪，加强设备维护，合理布局，采取这些综合措施后厂界外噪声可以达标。</w:t>
            </w:r>
          </w:p>
        </w:tc>
        <w:tc>
          <w:tcPr>
            <w:tcW w:w="1720" w:type="pct"/>
            <w:noWrap w:val="0"/>
            <w:vAlign w:val="center"/>
          </w:tcPr>
          <w:p w14:paraId="6E0D9C9B">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《工业企业厂界环境噪声排放标准》（GB12348-2008 ）中</w:t>
            </w:r>
            <w:r>
              <w:rPr>
                <w:rFonts w:hint="eastAsia" w:cs="Times New Roman"/>
                <w:color w:val="auto"/>
                <w:szCs w:val="21"/>
                <w:highlight w:val="none"/>
                <w:lang w:val="en-US" w:eastAsia="zh-CN"/>
              </w:rPr>
              <w:t>3</w:t>
            </w:r>
            <w:r>
              <w:rPr>
                <w:rFonts w:hint="default" w:ascii="Times New Roman" w:hAnsi="Times New Roman" w:cs="Times New Roman"/>
                <w:color w:val="auto"/>
                <w:szCs w:val="21"/>
                <w:highlight w:val="none"/>
              </w:rPr>
              <w:t>类声环境功能区标准</w:t>
            </w:r>
          </w:p>
        </w:tc>
      </w:tr>
      <w:tr w14:paraId="4D4042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pct"/>
            <w:noWrap w:val="0"/>
            <w:vAlign w:val="center"/>
          </w:tcPr>
          <w:p w14:paraId="6FA9EE4E">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电磁辐射</w:t>
            </w:r>
          </w:p>
        </w:tc>
        <w:tc>
          <w:tcPr>
            <w:tcW w:w="4423" w:type="pct"/>
            <w:gridSpan w:val="4"/>
            <w:noWrap w:val="0"/>
            <w:vAlign w:val="center"/>
          </w:tcPr>
          <w:p w14:paraId="47E371A7">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无</w:t>
            </w:r>
          </w:p>
        </w:tc>
      </w:tr>
      <w:tr w14:paraId="59A029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pct"/>
            <w:noWrap w:val="0"/>
            <w:vAlign w:val="center"/>
          </w:tcPr>
          <w:p w14:paraId="1468D61A">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固体废物</w:t>
            </w:r>
          </w:p>
        </w:tc>
        <w:tc>
          <w:tcPr>
            <w:tcW w:w="4423" w:type="pct"/>
            <w:gridSpan w:val="4"/>
            <w:noWrap w:val="0"/>
            <w:vAlign w:val="center"/>
          </w:tcPr>
          <w:p w14:paraId="771691FE">
            <w:pPr>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一般工业固体废物：</w:t>
            </w:r>
          </w:p>
          <w:p w14:paraId="1D4508C7">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除尘灰回收利用；一般固废处置执行《一般工业固体废物贮存和填埋污染控制标准》（GB 18599-2020）要求；</w:t>
            </w:r>
          </w:p>
          <w:p w14:paraId="28CC944F">
            <w:pPr>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危险废物：</w:t>
            </w:r>
          </w:p>
          <w:p w14:paraId="0311EAC8">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废活性炭、废润滑油暂存于危废</w:t>
            </w:r>
            <w:r>
              <w:rPr>
                <w:rFonts w:hint="default" w:ascii="Times New Roman" w:hAnsi="Times New Roman" w:cs="Times New Roman"/>
                <w:color w:val="auto"/>
                <w:sz w:val="24"/>
                <w:highlight w:val="none"/>
                <w:lang w:eastAsia="zh-CN"/>
              </w:rPr>
              <w:t>暂存库</w:t>
            </w:r>
            <w:r>
              <w:rPr>
                <w:rFonts w:hint="default" w:ascii="Times New Roman" w:hAnsi="Times New Roman" w:cs="Times New Roman"/>
                <w:color w:val="auto"/>
                <w:sz w:val="24"/>
                <w:highlight w:val="none"/>
              </w:rPr>
              <w:t>内（6m</w:t>
            </w:r>
            <w:r>
              <w:rPr>
                <w:rFonts w:hint="default" w:ascii="Times New Roman" w:hAnsi="Times New Roman" w:cs="Times New Roman"/>
                <w:color w:val="auto"/>
                <w:sz w:val="24"/>
                <w:highlight w:val="none"/>
                <w:vertAlign w:val="superscript"/>
              </w:rPr>
              <w:t>2</w:t>
            </w:r>
            <w:r>
              <w:rPr>
                <w:rFonts w:hint="default" w:ascii="Times New Roman" w:hAnsi="Times New Roman" w:cs="Times New Roman"/>
                <w:color w:val="auto"/>
                <w:sz w:val="24"/>
                <w:highlight w:val="none"/>
              </w:rPr>
              <w:t>），定期交予有资质单位集中处理；危险废物暂存执行《危险废物贮存污染控制标准》（GB18597-2023）。</w:t>
            </w:r>
          </w:p>
          <w:p w14:paraId="1F87A1E4">
            <w:pPr>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生活垃圾：</w:t>
            </w:r>
          </w:p>
          <w:p w14:paraId="53174A3E">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垃圾箱收集</w:t>
            </w:r>
            <w:r>
              <w:rPr>
                <w:rFonts w:hint="eastAsia" w:cs="Times New Roman"/>
                <w:color w:val="auto"/>
                <w:sz w:val="24"/>
                <w:highlight w:val="none"/>
                <w:lang w:val="en-US" w:eastAsia="zh-CN"/>
              </w:rPr>
              <w:t>后定期清运</w:t>
            </w:r>
            <w:r>
              <w:rPr>
                <w:rFonts w:hint="default" w:ascii="Times New Roman" w:hAnsi="Times New Roman" w:cs="Times New Roman"/>
                <w:color w:val="auto"/>
                <w:sz w:val="24"/>
                <w:highlight w:val="none"/>
              </w:rPr>
              <w:t>。</w:t>
            </w:r>
          </w:p>
        </w:tc>
      </w:tr>
      <w:tr w14:paraId="33490C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pct"/>
            <w:noWrap w:val="0"/>
            <w:vAlign w:val="center"/>
          </w:tcPr>
          <w:p w14:paraId="626C6A27">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土壤及地下水</w:t>
            </w:r>
          </w:p>
          <w:p w14:paraId="3071C758">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污染防治措施</w:t>
            </w:r>
          </w:p>
        </w:tc>
        <w:tc>
          <w:tcPr>
            <w:tcW w:w="4423" w:type="pct"/>
            <w:gridSpan w:val="4"/>
            <w:noWrap w:val="0"/>
            <w:vAlign w:val="center"/>
          </w:tcPr>
          <w:p w14:paraId="2638A097">
            <w:pPr>
              <w:widowControl/>
              <w:spacing w:line="360" w:lineRule="auto"/>
              <w:jc w:val="left"/>
              <w:rPr>
                <w:rFonts w:hint="default" w:ascii="Times New Roman" w:hAnsi="Times New Roman" w:cs="Times New Roman"/>
                <w:b/>
                <w:bCs/>
                <w:color w:val="auto"/>
                <w:kern w:val="0"/>
                <w:sz w:val="24"/>
                <w:highlight w:val="none"/>
                <w:lang w:bidi="ar"/>
              </w:rPr>
            </w:pPr>
            <w:r>
              <w:rPr>
                <w:rFonts w:hint="default" w:ascii="Times New Roman" w:hAnsi="Times New Roman" w:cs="Times New Roman"/>
                <w:b/>
                <w:bCs/>
                <w:color w:val="auto"/>
                <w:kern w:val="0"/>
                <w:sz w:val="24"/>
                <w:highlight w:val="none"/>
                <w:lang w:bidi="ar"/>
              </w:rPr>
              <w:t>1.源头控制措施</w:t>
            </w:r>
          </w:p>
          <w:p w14:paraId="23F0D6D6">
            <w:pPr>
              <w:widowControl/>
              <w:spacing w:line="360" w:lineRule="auto"/>
              <w:ind w:firstLine="480" w:firstLineChars="200"/>
              <w:jc w:val="left"/>
              <w:rPr>
                <w:rFonts w:hint="default" w:ascii="Times New Roman" w:hAnsi="Times New Roman" w:cs="Times New Roman"/>
                <w:color w:val="auto"/>
                <w:kern w:val="0"/>
                <w:sz w:val="24"/>
                <w:highlight w:val="none"/>
                <w:lang w:bidi="ar"/>
              </w:rPr>
            </w:pPr>
            <w:r>
              <w:rPr>
                <w:rFonts w:hint="default" w:ascii="Times New Roman" w:hAnsi="Times New Roman" w:cs="Times New Roman"/>
                <w:color w:val="auto"/>
                <w:kern w:val="0"/>
                <w:sz w:val="24"/>
                <w:highlight w:val="none"/>
                <w:lang w:bidi="ar"/>
              </w:rPr>
              <w:t>①项目应根据国家现行相关规范加强环境管理，采取防止和降低污染物跑、冒、滴、漏的措施。正常生产过程中应加强巡检及时处理污染物跑、冒、滴、漏，同时应加强对防渗工程的检查，若发现防渗密封材料老化或损坏，应及时维修更换；</w:t>
            </w:r>
          </w:p>
          <w:p w14:paraId="6810035D">
            <w:pPr>
              <w:widowControl/>
              <w:spacing w:line="360" w:lineRule="auto"/>
              <w:ind w:firstLine="480" w:firstLineChars="200"/>
              <w:jc w:val="left"/>
              <w:rPr>
                <w:rFonts w:hint="default" w:ascii="Times New Roman" w:hAnsi="Times New Roman" w:cs="Times New Roman"/>
                <w:color w:val="auto"/>
                <w:kern w:val="0"/>
                <w:sz w:val="24"/>
                <w:highlight w:val="none"/>
                <w:lang w:bidi="ar"/>
              </w:rPr>
            </w:pPr>
            <w:r>
              <w:rPr>
                <w:rFonts w:hint="default" w:ascii="Times New Roman" w:hAnsi="Times New Roman" w:cs="Times New Roman"/>
                <w:color w:val="auto"/>
                <w:kern w:val="0"/>
                <w:sz w:val="24"/>
                <w:highlight w:val="none"/>
                <w:lang w:bidi="ar"/>
              </w:rPr>
              <w:t>②对工艺、设备、废水处理设施等构筑物采取控制措施，防止污染物的跑、冒、滴、漏，将污染物泄漏的环境风险事故降到最低限度。</w:t>
            </w:r>
          </w:p>
          <w:p w14:paraId="5667A768">
            <w:pPr>
              <w:widowControl/>
              <w:spacing w:line="360" w:lineRule="auto"/>
              <w:ind w:firstLine="480" w:firstLineChars="200"/>
              <w:jc w:val="left"/>
              <w:rPr>
                <w:rFonts w:hint="default" w:ascii="Times New Roman" w:hAnsi="Times New Roman" w:cs="Times New Roman"/>
                <w:color w:val="auto"/>
                <w:kern w:val="0"/>
                <w:sz w:val="24"/>
                <w:highlight w:val="none"/>
                <w:lang w:bidi="ar"/>
              </w:rPr>
            </w:pPr>
            <w:r>
              <w:rPr>
                <w:rFonts w:hint="default" w:ascii="Times New Roman" w:hAnsi="Times New Roman" w:cs="Times New Roman"/>
                <w:color w:val="auto"/>
                <w:kern w:val="0"/>
                <w:sz w:val="24"/>
                <w:highlight w:val="none"/>
                <w:lang w:bidi="ar"/>
              </w:rPr>
              <w:t>③加强管理，设备维修保养时应注意防止废润滑油滴漏。</w:t>
            </w:r>
          </w:p>
          <w:p w14:paraId="5D1C86B5">
            <w:pPr>
              <w:widowControl/>
              <w:spacing w:line="360" w:lineRule="auto"/>
              <w:jc w:val="left"/>
              <w:rPr>
                <w:rFonts w:hint="default" w:ascii="Times New Roman" w:hAnsi="Times New Roman" w:cs="Times New Roman"/>
                <w:b/>
                <w:bCs/>
                <w:color w:val="auto"/>
                <w:kern w:val="0"/>
                <w:sz w:val="24"/>
                <w:highlight w:val="none"/>
                <w:lang w:bidi="ar"/>
              </w:rPr>
            </w:pPr>
            <w:r>
              <w:rPr>
                <w:rFonts w:hint="default" w:ascii="Times New Roman" w:hAnsi="Times New Roman" w:cs="Times New Roman"/>
                <w:b/>
                <w:bCs/>
                <w:color w:val="auto"/>
                <w:kern w:val="0"/>
                <w:sz w:val="24"/>
                <w:highlight w:val="none"/>
                <w:lang w:bidi="ar"/>
              </w:rPr>
              <w:t>2.分区防渗控制措施</w:t>
            </w:r>
          </w:p>
          <w:p w14:paraId="1B2D0BC5">
            <w:pPr>
              <w:widowControl/>
              <w:spacing w:line="360" w:lineRule="auto"/>
              <w:ind w:firstLine="480" w:firstLineChars="200"/>
              <w:jc w:val="left"/>
              <w:rPr>
                <w:rFonts w:hint="default" w:ascii="Times New Roman" w:hAnsi="Times New Roman" w:cs="Times New Roman"/>
                <w:color w:val="auto"/>
                <w:kern w:val="0"/>
                <w:sz w:val="24"/>
                <w:highlight w:val="none"/>
                <w:lang w:bidi="ar"/>
              </w:rPr>
            </w:pPr>
            <w:r>
              <w:rPr>
                <w:rFonts w:hint="default" w:ascii="Times New Roman" w:hAnsi="Times New Roman" w:cs="Times New Roman"/>
                <w:color w:val="auto"/>
                <w:kern w:val="0"/>
                <w:sz w:val="24"/>
                <w:highlight w:val="none"/>
                <w:lang w:bidi="ar"/>
              </w:rPr>
              <w:t>厂区可能泄漏污染物的污染区地面进行防渗处理，并及时地将泄漏/渗漏的污染物收集起来进行处理，有效防治洒落地面的污染物渗入地下。根据本工程的特点，将厂区不同的区域划分为重点污染防治区和一般污染防治区。</w:t>
            </w:r>
          </w:p>
          <w:p w14:paraId="69EFD9D9">
            <w:pPr>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重点防渗区：本项目危废</w:t>
            </w:r>
            <w:r>
              <w:rPr>
                <w:rFonts w:hint="default" w:ascii="Times New Roman" w:hAnsi="Times New Roman" w:cs="Times New Roman"/>
                <w:color w:val="auto"/>
                <w:sz w:val="24"/>
                <w:highlight w:val="none"/>
                <w:lang w:eastAsia="zh-CN"/>
              </w:rPr>
              <w:t>暂存库</w:t>
            </w:r>
            <w:r>
              <w:rPr>
                <w:rFonts w:hint="default" w:ascii="Times New Roman" w:hAnsi="Times New Roman" w:cs="Times New Roman"/>
                <w:color w:val="auto"/>
                <w:sz w:val="24"/>
                <w:highlight w:val="none"/>
              </w:rPr>
              <w:t>，防渗方案黏土夯实+2mm厚高密度聚乙烯膜（HDPE）+水泥地面，防渗技术为：等效黏土防渗层Mb≥6.0m，K≤1×10</w:t>
            </w:r>
            <w:r>
              <w:rPr>
                <w:rFonts w:hint="default" w:ascii="Times New Roman" w:hAnsi="Times New Roman" w:cs="Times New Roman"/>
                <w:color w:val="auto"/>
                <w:sz w:val="24"/>
                <w:highlight w:val="none"/>
                <w:vertAlign w:val="superscript"/>
              </w:rPr>
              <w:t>-10</w:t>
            </w:r>
            <w:r>
              <w:rPr>
                <w:rFonts w:hint="default" w:ascii="Times New Roman" w:hAnsi="Times New Roman" w:cs="Times New Roman"/>
                <w:color w:val="auto"/>
                <w:sz w:val="24"/>
                <w:highlight w:val="none"/>
              </w:rPr>
              <w:t>cm/s。</w:t>
            </w:r>
          </w:p>
          <w:p w14:paraId="61186CC6">
            <w:pPr>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一般防渗区：采用厚度Mb=1.5m，渗透系数K≤10</w:t>
            </w:r>
            <w:r>
              <w:rPr>
                <w:rFonts w:hint="default" w:ascii="Times New Roman" w:hAnsi="Times New Roman" w:cs="Times New Roman"/>
                <w:color w:val="auto"/>
                <w:sz w:val="24"/>
                <w:highlight w:val="none"/>
                <w:vertAlign w:val="superscript"/>
              </w:rPr>
              <w:t>-7</w:t>
            </w:r>
            <w:r>
              <w:rPr>
                <w:rFonts w:hint="default" w:ascii="Times New Roman" w:hAnsi="Times New Roman" w:cs="Times New Roman"/>
                <w:color w:val="auto"/>
                <w:sz w:val="24"/>
                <w:highlight w:val="none"/>
              </w:rPr>
              <w:t>cm/s防渗等效的20cm厚P4等级水泥制品进行防渗。要求防渗技术要求为：等效黏土防渗层Mb≥1.5m，K≤1×10</w:t>
            </w:r>
            <w:r>
              <w:rPr>
                <w:rFonts w:hint="default" w:ascii="Times New Roman" w:hAnsi="Times New Roman" w:cs="Times New Roman"/>
                <w:color w:val="auto"/>
                <w:sz w:val="24"/>
                <w:highlight w:val="none"/>
                <w:vertAlign w:val="superscript"/>
              </w:rPr>
              <w:t>-7</w:t>
            </w:r>
            <w:r>
              <w:rPr>
                <w:rFonts w:hint="default" w:ascii="Times New Roman" w:hAnsi="Times New Roman" w:cs="Times New Roman"/>
                <w:color w:val="auto"/>
                <w:sz w:val="24"/>
                <w:highlight w:val="none"/>
              </w:rPr>
              <w:t>cm/s；或参照GB16889执行。</w:t>
            </w:r>
          </w:p>
          <w:p w14:paraId="07491CE1">
            <w:pPr>
              <w:widowControl/>
              <w:spacing w:line="360" w:lineRule="auto"/>
              <w:ind w:firstLine="480" w:firstLineChars="200"/>
              <w:jc w:val="left"/>
              <w:rPr>
                <w:rFonts w:hint="eastAsia"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简单污染防治区：硬化地面即可</w:t>
            </w:r>
            <w:r>
              <w:rPr>
                <w:rFonts w:hint="eastAsia" w:cs="Times New Roman"/>
                <w:color w:val="auto"/>
                <w:sz w:val="24"/>
                <w:highlight w:val="none"/>
                <w:lang w:eastAsia="zh-CN"/>
              </w:rPr>
              <w:t>。</w:t>
            </w:r>
          </w:p>
          <w:p w14:paraId="6720808B">
            <w:pPr>
              <w:widowControl/>
              <w:spacing w:line="360" w:lineRule="auto"/>
              <w:ind w:firstLine="480" w:firstLineChars="200"/>
              <w:jc w:val="left"/>
              <w:rPr>
                <w:rFonts w:hint="default" w:ascii="Times New Roman" w:hAnsi="Times New Roman" w:cs="Times New Roman"/>
                <w:color w:val="auto"/>
                <w:kern w:val="0"/>
                <w:sz w:val="24"/>
                <w:highlight w:val="none"/>
                <w:lang w:bidi="ar"/>
              </w:rPr>
            </w:pPr>
            <w:r>
              <w:rPr>
                <w:rFonts w:hint="default" w:ascii="Times New Roman" w:hAnsi="Times New Roman" w:cs="Times New Roman"/>
                <w:color w:val="auto"/>
                <w:kern w:val="0"/>
                <w:sz w:val="24"/>
                <w:highlight w:val="none"/>
                <w:lang w:bidi="ar"/>
              </w:rPr>
              <w:t>同时，项目建设符合《工业建筑防腐蚀设计规范》（GB50046-2008）等有关要求，其它采取的防渗漏措施主要有：</w:t>
            </w:r>
          </w:p>
          <w:p w14:paraId="5AF7314F">
            <w:pPr>
              <w:widowControl/>
              <w:spacing w:line="360" w:lineRule="auto"/>
              <w:ind w:firstLine="480" w:firstLineChars="200"/>
              <w:jc w:val="left"/>
              <w:rPr>
                <w:rFonts w:hint="default" w:ascii="Times New Roman" w:hAnsi="Times New Roman" w:cs="Times New Roman"/>
                <w:color w:val="auto"/>
                <w:kern w:val="0"/>
                <w:sz w:val="24"/>
                <w:highlight w:val="none"/>
                <w:lang w:bidi="ar"/>
              </w:rPr>
            </w:pPr>
            <w:r>
              <w:rPr>
                <w:rFonts w:hint="default" w:ascii="Times New Roman" w:hAnsi="Times New Roman" w:cs="Times New Roman"/>
                <w:color w:val="auto"/>
                <w:kern w:val="0"/>
                <w:sz w:val="24"/>
                <w:highlight w:val="none"/>
                <w:lang w:bidi="ar"/>
              </w:rPr>
              <w:t>（1）选用优质设备和管件，并加强日常管理和维修维护工作，防止和减少跑、冒、滴、漏现象的发生。</w:t>
            </w:r>
          </w:p>
          <w:p w14:paraId="0244BBC7">
            <w:pPr>
              <w:pStyle w:val="34"/>
              <w:spacing w:line="360" w:lineRule="auto"/>
              <w:ind w:firstLine="480" w:firstLineChars="200"/>
              <w:jc w:val="left"/>
              <w:rPr>
                <w:rFonts w:hint="default" w:ascii="Times New Roman" w:hAnsi="Times New Roman" w:cs="Times New Roman"/>
                <w:color w:val="auto"/>
                <w:highlight w:val="none"/>
              </w:rPr>
            </w:pPr>
            <w:r>
              <w:rPr>
                <w:rFonts w:hint="default" w:ascii="Times New Roman" w:hAnsi="Times New Roman" w:cs="Times New Roman"/>
                <w:b w:val="0"/>
                <w:bCs w:val="0"/>
                <w:color w:val="auto"/>
                <w:highlight w:val="none"/>
              </w:rPr>
              <w:t>（2）在厂区设置雨水、排水系统并做好相应的防渗措施。同时在厂区内严格管理，禁止进行分散的地面漫流冲洗。采取上述措施后，可有效避免对土壤、地下水造成污染。</w:t>
            </w:r>
          </w:p>
        </w:tc>
      </w:tr>
      <w:tr w14:paraId="0C38B7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pct"/>
            <w:noWrap w:val="0"/>
            <w:vAlign w:val="center"/>
          </w:tcPr>
          <w:p w14:paraId="1CFB4EE9">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生态保护措施</w:t>
            </w:r>
          </w:p>
        </w:tc>
        <w:tc>
          <w:tcPr>
            <w:tcW w:w="4423" w:type="pct"/>
            <w:gridSpan w:val="4"/>
            <w:noWrap w:val="0"/>
            <w:vAlign w:val="center"/>
          </w:tcPr>
          <w:p w14:paraId="54B00FA4">
            <w:pPr>
              <w:adjustRightInd w:val="0"/>
              <w:snapToGrid w:val="0"/>
              <w:spacing w:line="360" w:lineRule="auto"/>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无</w:t>
            </w:r>
          </w:p>
        </w:tc>
      </w:tr>
      <w:tr w14:paraId="7E0615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pct"/>
            <w:noWrap w:val="0"/>
            <w:vAlign w:val="center"/>
          </w:tcPr>
          <w:p w14:paraId="1F666EE8">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环境风险防范措施</w:t>
            </w:r>
          </w:p>
        </w:tc>
        <w:tc>
          <w:tcPr>
            <w:tcW w:w="4423" w:type="pct"/>
            <w:gridSpan w:val="4"/>
            <w:noWrap w:val="0"/>
            <w:vAlign w:val="center"/>
          </w:tcPr>
          <w:p w14:paraId="048B7B74">
            <w:pPr>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1.建立完善的安全生产管理制度和消防安全规定，制定设备操作规程并严格遵照执行；</w:t>
            </w:r>
          </w:p>
          <w:p w14:paraId="7A3DBEB5">
            <w:pPr>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2.生产车间等应按照《建筑设计防火规范》等文件的要求设置消防给水和灭火设施、火灾探测及火灾报警系统。生产车间配备灭火器、消防栓等消防器材；</w:t>
            </w:r>
          </w:p>
          <w:p w14:paraId="6E54F166">
            <w:pPr>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3.生产区域应加强管理，避免和及时消除各种激发能源的产生和积累，杜绝火种及违章违纪现象，进入车辆必须装阻火器；</w:t>
            </w:r>
          </w:p>
          <w:p w14:paraId="392BB4E4">
            <w:pPr>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4.加强员工的思想、道德教育，提高员工的责任心和主观能动性：完善并严格遵守相关的操作规程，加强岗位培训，落实岗位责任制，加强设备管理；</w:t>
            </w:r>
          </w:p>
          <w:p w14:paraId="7CACE1D9">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5.加强事故管理，在生产过程中注意对其它单位相关事故的研究，充分吸取经验和教训；</w:t>
            </w:r>
          </w:p>
        </w:tc>
      </w:tr>
      <w:tr w14:paraId="238F73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6" w:type="pct"/>
            <w:noWrap w:val="0"/>
            <w:vAlign w:val="center"/>
          </w:tcPr>
          <w:p w14:paraId="708CEC57">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其他环境管理要求</w:t>
            </w:r>
          </w:p>
        </w:tc>
        <w:tc>
          <w:tcPr>
            <w:tcW w:w="4423" w:type="pct"/>
            <w:gridSpan w:val="4"/>
            <w:noWrap w:val="0"/>
            <w:vAlign w:val="center"/>
          </w:tcPr>
          <w:p w14:paraId="35E9DB86">
            <w:pPr>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加强管理，项目建成投入运营后，按要求填报排污许可证，并尽快组织竣工环保验收；项目正式运营后必须按照当地环境保护行政主管部门的要求，委托第三方社会化环境监测机构对企业排污状况按照监测计划进行环境监测。</w:t>
            </w:r>
          </w:p>
          <w:p w14:paraId="11955A69">
            <w:pPr>
              <w:spacing w:line="360" w:lineRule="auto"/>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排污许可信息填报要求：</w:t>
            </w:r>
          </w:p>
          <w:p w14:paraId="6121F120">
            <w:pPr>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根据《固定污染源排污许可分类管理名录》（2019年版）及《排污许可证申请与核发技术规范 金属铸造工业》（HJ1115-2020），建设单位应在启动生产设施或者发生实际排污之前申请取得排污许可证，并严格按照排污许可证规定的污染物排放种类、浓度、总量等排污。</w:t>
            </w:r>
          </w:p>
          <w:p w14:paraId="02D59FD0">
            <w:pPr>
              <w:spacing w:line="360" w:lineRule="auto"/>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排污口规范化管理：</w:t>
            </w:r>
          </w:p>
          <w:p w14:paraId="2BA28D0A">
            <w:pPr>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（1）污染物排放口和固体废物堆放场地，应按国家《环境保护图形标志》（GB15562.1-95）、GB15562.2-95及《危险废物识别标志设置技术规范》（HJ 1276-2022）的规定，设置国家环境保护总局统一制作的环境保护图形标志。</w:t>
            </w:r>
          </w:p>
          <w:p w14:paraId="0706806D">
            <w:pPr>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（2）污染物排放口的环保图形标志牌应设置在靠近采样点的醒目位置处，标志牌设置高度为其上缘距地面约2m。</w:t>
            </w:r>
          </w:p>
          <w:p w14:paraId="28927135">
            <w:pPr>
              <w:pStyle w:val="10"/>
              <w:spacing w:line="360" w:lineRule="auto"/>
              <w:ind w:firstLine="420" w:firstLineChars="200"/>
              <w:rPr>
                <w:rFonts w:hint="default" w:ascii="Times New Roman" w:hAnsi="Times New Roman" w:cs="Times New Roman"/>
                <w:color w:val="auto"/>
                <w:sz w:val="21"/>
                <w:szCs w:val="21"/>
                <w:highlight w:val="none"/>
              </w:rPr>
            </w:pPr>
          </w:p>
          <w:p w14:paraId="10978E44">
            <w:pPr>
              <w:pStyle w:val="10"/>
              <w:spacing w:line="360" w:lineRule="auto"/>
              <w:ind w:firstLine="420" w:firstLineChars="200"/>
              <w:rPr>
                <w:rFonts w:hint="default" w:ascii="Times New Roman" w:hAnsi="Times New Roman" w:cs="Times New Roman"/>
                <w:color w:val="auto"/>
                <w:sz w:val="21"/>
                <w:szCs w:val="21"/>
                <w:highlight w:val="none"/>
              </w:rPr>
            </w:pPr>
          </w:p>
          <w:p w14:paraId="16AEC5B8">
            <w:pPr>
              <w:pStyle w:val="10"/>
              <w:spacing w:line="360" w:lineRule="auto"/>
              <w:ind w:firstLine="420" w:firstLineChars="200"/>
              <w:rPr>
                <w:rFonts w:hint="default" w:ascii="Times New Roman" w:hAnsi="Times New Roman" w:cs="Times New Roman"/>
                <w:color w:val="auto"/>
                <w:sz w:val="21"/>
                <w:szCs w:val="21"/>
                <w:highlight w:val="none"/>
              </w:rPr>
            </w:pPr>
          </w:p>
          <w:p w14:paraId="459F1502">
            <w:pPr>
              <w:pStyle w:val="10"/>
              <w:spacing w:line="360" w:lineRule="auto"/>
              <w:ind w:firstLine="420" w:firstLineChars="200"/>
              <w:rPr>
                <w:rFonts w:hint="default" w:ascii="Times New Roman" w:hAnsi="Times New Roman" w:cs="Times New Roman"/>
                <w:color w:val="auto"/>
                <w:sz w:val="21"/>
                <w:szCs w:val="21"/>
                <w:highlight w:val="none"/>
              </w:rPr>
            </w:pPr>
          </w:p>
          <w:p w14:paraId="78355BF0">
            <w:pPr>
              <w:pStyle w:val="10"/>
              <w:spacing w:line="360" w:lineRule="auto"/>
              <w:ind w:firstLine="420" w:firstLineChars="200"/>
              <w:rPr>
                <w:rFonts w:hint="default" w:ascii="Times New Roman" w:hAnsi="Times New Roman" w:cs="Times New Roman"/>
                <w:color w:val="auto"/>
                <w:sz w:val="21"/>
                <w:szCs w:val="21"/>
                <w:highlight w:val="none"/>
              </w:rPr>
            </w:pPr>
          </w:p>
          <w:p w14:paraId="0F6FD228">
            <w:pPr>
              <w:pStyle w:val="10"/>
              <w:spacing w:line="360" w:lineRule="auto"/>
              <w:ind w:firstLine="420" w:firstLineChars="200"/>
              <w:rPr>
                <w:rFonts w:hint="default" w:ascii="Times New Roman" w:hAnsi="Times New Roman" w:cs="Times New Roman"/>
                <w:color w:val="auto"/>
                <w:sz w:val="21"/>
                <w:szCs w:val="21"/>
                <w:highlight w:val="none"/>
              </w:rPr>
            </w:pPr>
          </w:p>
          <w:p w14:paraId="4DDBC27D">
            <w:pPr>
              <w:pStyle w:val="10"/>
              <w:spacing w:line="360" w:lineRule="auto"/>
              <w:ind w:firstLine="420" w:firstLineChars="200"/>
              <w:rPr>
                <w:rFonts w:hint="default" w:ascii="Times New Roman" w:hAnsi="Times New Roman" w:cs="Times New Roman"/>
                <w:color w:val="auto"/>
                <w:sz w:val="21"/>
                <w:szCs w:val="21"/>
                <w:highlight w:val="none"/>
              </w:rPr>
            </w:pPr>
          </w:p>
          <w:p w14:paraId="6BFAE6DE">
            <w:pPr>
              <w:pStyle w:val="10"/>
              <w:spacing w:line="360" w:lineRule="auto"/>
              <w:ind w:firstLine="420" w:firstLineChars="200"/>
              <w:rPr>
                <w:rFonts w:hint="default" w:ascii="Times New Roman" w:hAnsi="Times New Roman" w:cs="Times New Roman"/>
                <w:color w:val="auto"/>
                <w:sz w:val="21"/>
                <w:szCs w:val="21"/>
                <w:highlight w:val="none"/>
              </w:rPr>
            </w:pPr>
          </w:p>
          <w:p w14:paraId="71B2682E">
            <w:pPr>
              <w:pStyle w:val="10"/>
              <w:spacing w:line="360" w:lineRule="auto"/>
              <w:ind w:firstLine="420" w:firstLineChars="200"/>
              <w:rPr>
                <w:rFonts w:hint="default" w:ascii="Times New Roman" w:hAnsi="Times New Roman" w:cs="Times New Roman"/>
                <w:color w:val="auto"/>
                <w:sz w:val="21"/>
                <w:szCs w:val="21"/>
                <w:highlight w:val="none"/>
              </w:rPr>
            </w:pPr>
          </w:p>
          <w:p w14:paraId="0CBF7303">
            <w:pPr>
              <w:pStyle w:val="10"/>
              <w:spacing w:line="360" w:lineRule="auto"/>
              <w:ind w:firstLine="420" w:firstLineChars="200"/>
              <w:rPr>
                <w:rFonts w:hint="default" w:ascii="Times New Roman" w:hAnsi="Times New Roman" w:cs="Times New Roman"/>
                <w:color w:val="auto"/>
                <w:sz w:val="21"/>
                <w:szCs w:val="21"/>
                <w:highlight w:val="none"/>
              </w:rPr>
            </w:pPr>
          </w:p>
          <w:p w14:paraId="305B4E68">
            <w:pPr>
              <w:pStyle w:val="10"/>
              <w:spacing w:line="360" w:lineRule="auto"/>
              <w:ind w:firstLine="420" w:firstLineChars="200"/>
              <w:rPr>
                <w:rFonts w:hint="default" w:ascii="Times New Roman" w:hAnsi="Times New Roman" w:cs="Times New Roman"/>
                <w:color w:val="auto"/>
                <w:sz w:val="21"/>
                <w:szCs w:val="21"/>
                <w:highlight w:val="none"/>
              </w:rPr>
            </w:pPr>
          </w:p>
          <w:p w14:paraId="7F1AA904">
            <w:pPr>
              <w:pStyle w:val="10"/>
              <w:spacing w:line="360" w:lineRule="auto"/>
              <w:ind w:firstLine="420" w:firstLineChars="200"/>
              <w:rPr>
                <w:rFonts w:hint="default" w:ascii="Times New Roman" w:hAnsi="Times New Roman" w:cs="Times New Roman"/>
                <w:color w:val="auto"/>
                <w:sz w:val="21"/>
                <w:szCs w:val="21"/>
                <w:highlight w:val="none"/>
              </w:rPr>
            </w:pPr>
          </w:p>
          <w:p w14:paraId="06257F3F">
            <w:pPr>
              <w:pStyle w:val="10"/>
              <w:spacing w:line="360" w:lineRule="auto"/>
              <w:ind w:firstLine="420" w:firstLineChars="200"/>
              <w:rPr>
                <w:rFonts w:hint="default" w:ascii="Times New Roman" w:hAnsi="Times New Roman" w:cs="Times New Roman"/>
                <w:color w:val="auto"/>
                <w:sz w:val="21"/>
                <w:szCs w:val="21"/>
                <w:highlight w:val="none"/>
              </w:rPr>
            </w:pPr>
          </w:p>
          <w:p w14:paraId="6BB1CAD6">
            <w:pPr>
              <w:pStyle w:val="10"/>
              <w:spacing w:line="360" w:lineRule="auto"/>
              <w:ind w:firstLine="420" w:firstLineChars="200"/>
              <w:rPr>
                <w:rFonts w:hint="default" w:ascii="Times New Roman" w:hAnsi="Times New Roman" w:cs="Times New Roman"/>
                <w:color w:val="auto"/>
                <w:sz w:val="21"/>
                <w:szCs w:val="21"/>
                <w:highlight w:val="none"/>
              </w:rPr>
            </w:pPr>
          </w:p>
          <w:p w14:paraId="76A23043">
            <w:pPr>
              <w:pStyle w:val="10"/>
              <w:spacing w:line="360" w:lineRule="auto"/>
              <w:ind w:firstLine="420" w:firstLineChars="200"/>
              <w:rPr>
                <w:rFonts w:hint="default" w:ascii="Times New Roman" w:hAnsi="Times New Roman" w:cs="Times New Roman"/>
                <w:color w:val="auto"/>
                <w:sz w:val="21"/>
                <w:szCs w:val="21"/>
                <w:highlight w:val="none"/>
              </w:rPr>
            </w:pPr>
          </w:p>
          <w:p w14:paraId="5B6CB089">
            <w:pPr>
              <w:pStyle w:val="10"/>
              <w:spacing w:line="360" w:lineRule="auto"/>
              <w:ind w:firstLine="420" w:firstLineChars="200"/>
              <w:rPr>
                <w:rFonts w:hint="default" w:ascii="Times New Roman" w:hAnsi="Times New Roman" w:cs="Times New Roman"/>
                <w:color w:val="auto"/>
                <w:sz w:val="21"/>
                <w:szCs w:val="21"/>
                <w:highlight w:val="none"/>
              </w:rPr>
            </w:pPr>
          </w:p>
          <w:p w14:paraId="4CD268B3">
            <w:pPr>
              <w:pStyle w:val="10"/>
              <w:spacing w:line="360" w:lineRule="auto"/>
              <w:ind w:firstLine="420" w:firstLineChars="200"/>
              <w:rPr>
                <w:rFonts w:hint="default" w:ascii="Times New Roman" w:hAnsi="Times New Roman" w:cs="Times New Roman"/>
                <w:color w:val="auto"/>
                <w:sz w:val="21"/>
                <w:szCs w:val="21"/>
                <w:highlight w:val="none"/>
              </w:rPr>
            </w:pPr>
          </w:p>
          <w:p w14:paraId="3B8C12ED">
            <w:pPr>
              <w:pStyle w:val="10"/>
              <w:spacing w:line="360" w:lineRule="auto"/>
              <w:ind w:firstLine="420" w:firstLineChars="200"/>
              <w:rPr>
                <w:rFonts w:hint="default" w:ascii="Times New Roman" w:hAnsi="Times New Roman" w:cs="Times New Roman"/>
                <w:color w:val="auto"/>
                <w:sz w:val="21"/>
                <w:szCs w:val="21"/>
                <w:highlight w:val="none"/>
              </w:rPr>
            </w:pPr>
          </w:p>
          <w:p w14:paraId="692A275D">
            <w:pPr>
              <w:pStyle w:val="10"/>
              <w:spacing w:line="360" w:lineRule="auto"/>
              <w:ind w:firstLine="420" w:firstLineChars="200"/>
              <w:rPr>
                <w:rFonts w:hint="default" w:ascii="Times New Roman" w:hAnsi="Times New Roman" w:cs="Times New Roman"/>
                <w:color w:val="auto"/>
                <w:sz w:val="21"/>
                <w:szCs w:val="21"/>
                <w:highlight w:val="none"/>
              </w:rPr>
            </w:pPr>
          </w:p>
          <w:p w14:paraId="523A3115">
            <w:pPr>
              <w:pStyle w:val="10"/>
              <w:spacing w:line="360" w:lineRule="auto"/>
              <w:ind w:firstLine="420" w:firstLineChars="200"/>
              <w:rPr>
                <w:rFonts w:hint="default" w:ascii="Times New Roman" w:hAnsi="Times New Roman" w:cs="Times New Roman"/>
                <w:color w:val="auto"/>
                <w:sz w:val="21"/>
                <w:szCs w:val="21"/>
                <w:highlight w:val="none"/>
              </w:rPr>
            </w:pPr>
          </w:p>
          <w:p w14:paraId="4752FEEA">
            <w:pPr>
              <w:pStyle w:val="10"/>
              <w:spacing w:line="360" w:lineRule="auto"/>
              <w:ind w:firstLine="420" w:firstLineChars="200"/>
              <w:rPr>
                <w:rFonts w:hint="default" w:ascii="Times New Roman" w:hAnsi="Times New Roman" w:cs="Times New Roman"/>
                <w:color w:val="auto"/>
                <w:sz w:val="21"/>
                <w:szCs w:val="21"/>
                <w:highlight w:val="none"/>
              </w:rPr>
            </w:pPr>
          </w:p>
          <w:p w14:paraId="4C0A42F3">
            <w:pPr>
              <w:pStyle w:val="10"/>
              <w:spacing w:line="360" w:lineRule="auto"/>
              <w:ind w:firstLine="420" w:firstLineChars="200"/>
              <w:rPr>
                <w:rFonts w:hint="default" w:ascii="Times New Roman" w:hAnsi="Times New Roman" w:cs="Times New Roman"/>
                <w:color w:val="auto"/>
                <w:sz w:val="21"/>
                <w:szCs w:val="21"/>
                <w:highlight w:val="none"/>
              </w:rPr>
            </w:pPr>
          </w:p>
          <w:p w14:paraId="0CA8C092">
            <w:pPr>
              <w:pStyle w:val="10"/>
              <w:spacing w:line="360" w:lineRule="auto"/>
              <w:rPr>
                <w:rFonts w:hint="default" w:ascii="Times New Roman" w:hAnsi="Times New Roman" w:cs="Times New Roman"/>
                <w:color w:val="auto"/>
                <w:sz w:val="21"/>
                <w:szCs w:val="21"/>
                <w:highlight w:val="none"/>
              </w:rPr>
            </w:pPr>
          </w:p>
          <w:p w14:paraId="0F2522C7">
            <w:pPr>
              <w:pStyle w:val="10"/>
              <w:spacing w:line="360" w:lineRule="auto"/>
              <w:ind w:firstLine="420" w:firstLineChars="200"/>
              <w:rPr>
                <w:rFonts w:hint="default" w:ascii="Times New Roman" w:hAnsi="Times New Roman" w:cs="Times New Roman"/>
                <w:color w:val="auto"/>
                <w:sz w:val="21"/>
                <w:szCs w:val="21"/>
                <w:highlight w:val="none"/>
              </w:rPr>
            </w:pPr>
          </w:p>
          <w:p w14:paraId="02EFD8C7">
            <w:pPr>
              <w:pStyle w:val="10"/>
              <w:spacing w:line="360" w:lineRule="auto"/>
              <w:ind w:firstLine="420" w:firstLineChars="200"/>
              <w:rPr>
                <w:rFonts w:hint="default" w:ascii="Times New Roman" w:hAnsi="Times New Roman" w:cs="Times New Roman"/>
                <w:color w:val="auto"/>
                <w:sz w:val="21"/>
                <w:szCs w:val="21"/>
                <w:highlight w:val="none"/>
              </w:rPr>
            </w:pPr>
          </w:p>
          <w:p w14:paraId="095AF2A2">
            <w:pPr>
              <w:pStyle w:val="10"/>
              <w:spacing w:line="360" w:lineRule="auto"/>
              <w:ind w:firstLine="420" w:firstLineChars="200"/>
              <w:rPr>
                <w:rFonts w:hint="default" w:ascii="Times New Roman" w:hAnsi="Times New Roman" w:cs="Times New Roman"/>
                <w:color w:val="auto"/>
                <w:sz w:val="21"/>
                <w:szCs w:val="21"/>
                <w:highlight w:val="none"/>
              </w:rPr>
            </w:pPr>
          </w:p>
          <w:p w14:paraId="370B1608">
            <w:pPr>
              <w:pStyle w:val="10"/>
              <w:spacing w:line="360" w:lineRule="auto"/>
              <w:ind w:firstLine="420" w:firstLineChars="200"/>
              <w:rPr>
                <w:rFonts w:hint="default" w:ascii="Times New Roman" w:hAnsi="Times New Roman" w:cs="Times New Roman"/>
                <w:color w:val="auto"/>
                <w:sz w:val="21"/>
                <w:szCs w:val="21"/>
                <w:highlight w:val="none"/>
              </w:rPr>
            </w:pPr>
          </w:p>
          <w:p w14:paraId="16DA4297">
            <w:pPr>
              <w:pStyle w:val="10"/>
              <w:spacing w:line="360" w:lineRule="auto"/>
              <w:ind w:firstLine="420" w:firstLineChars="200"/>
              <w:rPr>
                <w:rFonts w:hint="default" w:ascii="Times New Roman" w:hAnsi="Times New Roman" w:cs="Times New Roman"/>
                <w:color w:val="auto"/>
                <w:sz w:val="21"/>
                <w:szCs w:val="21"/>
                <w:highlight w:val="none"/>
              </w:rPr>
            </w:pPr>
          </w:p>
          <w:p w14:paraId="103B85DD">
            <w:pPr>
              <w:pStyle w:val="10"/>
              <w:spacing w:line="360" w:lineRule="auto"/>
              <w:ind w:firstLine="420" w:firstLineChars="200"/>
              <w:rPr>
                <w:rFonts w:hint="default" w:ascii="Times New Roman" w:hAnsi="Times New Roman" w:cs="Times New Roman"/>
                <w:color w:val="auto"/>
                <w:sz w:val="21"/>
                <w:szCs w:val="21"/>
                <w:highlight w:val="none"/>
              </w:rPr>
            </w:pPr>
          </w:p>
          <w:p w14:paraId="33DE14C9">
            <w:pPr>
              <w:pStyle w:val="10"/>
              <w:spacing w:line="360" w:lineRule="auto"/>
              <w:rPr>
                <w:rFonts w:hint="default" w:ascii="Times New Roman" w:hAnsi="Times New Roman" w:cs="Times New Roman"/>
                <w:color w:val="auto"/>
                <w:sz w:val="21"/>
                <w:szCs w:val="21"/>
                <w:highlight w:val="none"/>
              </w:rPr>
            </w:pPr>
          </w:p>
        </w:tc>
      </w:tr>
    </w:tbl>
    <w:p w14:paraId="43B730F8">
      <w:pPr>
        <w:pStyle w:val="23"/>
        <w:jc w:val="center"/>
        <w:outlineLvl w:val="0"/>
        <w:rPr>
          <w:rFonts w:ascii="黑体" w:hAnsi="黑体" w:eastAsia="黑体"/>
          <w:snapToGrid w:val="0"/>
          <w:color w:val="auto"/>
          <w:sz w:val="30"/>
          <w:szCs w:val="30"/>
        </w:rPr>
      </w:pPr>
      <w:r>
        <w:rPr>
          <w:snapToGrid w:val="0"/>
          <w:color w:val="auto"/>
        </w:rPr>
        <w:br w:type="page"/>
      </w:r>
      <w:r>
        <w:rPr>
          <w:rFonts w:hint="eastAsia" w:ascii="黑体" w:hAnsi="黑体" w:eastAsia="黑体"/>
          <w:snapToGrid w:val="0"/>
          <w:color w:val="auto"/>
          <w:sz w:val="30"/>
          <w:szCs w:val="30"/>
        </w:rPr>
        <w:t>六、结论</w:t>
      </w:r>
    </w:p>
    <w:tbl>
      <w:tblPr>
        <w:tblStyle w:val="26"/>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3E29C3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top"/>
          </w:tcPr>
          <w:p w14:paraId="5D4D04CF">
            <w:pPr>
              <w:pStyle w:val="12"/>
              <w:spacing w:line="364" w:lineRule="auto"/>
              <w:ind w:left="97" w:right="96" w:firstLine="480"/>
              <w:jc w:val="left"/>
              <w:rPr>
                <w:rFonts w:ascii="宋体" w:cs="宋体"/>
                <w:color w:val="auto"/>
                <w:sz w:val="24"/>
              </w:rPr>
            </w:pPr>
            <w:r>
              <w:rPr>
                <w:color w:val="auto"/>
              </w:rPr>
              <w:t>综上所述，建设项目符合国家产业政策，选址合理。建设单位应严格落实环境影响报告表提出的环保对策及措施，排放污染物能得到合理处置，工程对区域环境空气，水环境，声环境均不会产生明显的影响，对区域环境质量影响较小，从环保角度考虑，本项目建设是可行的。</w:t>
            </w:r>
          </w:p>
        </w:tc>
      </w:tr>
    </w:tbl>
    <w:p w14:paraId="64BC1793">
      <w:pPr>
        <w:rPr>
          <w:rFonts w:ascii="宋体"/>
          <w:color w:val="auto"/>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1103BD8C">
      <w:pPr>
        <w:pStyle w:val="23"/>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textAlignment w:val="auto"/>
        <w:outlineLvl w:val="0"/>
        <w:rPr>
          <w:rFonts w:ascii="黑体" w:hAnsi="黑体" w:eastAsia="黑体"/>
          <w:snapToGrid w:val="0"/>
          <w:color w:val="auto"/>
          <w:sz w:val="32"/>
          <w:szCs w:val="32"/>
        </w:rPr>
      </w:pPr>
      <w:r>
        <w:rPr>
          <w:rFonts w:hint="eastAsia" w:ascii="黑体" w:hAnsi="黑体" w:eastAsia="黑体"/>
          <w:snapToGrid w:val="0"/>
          <w:color w:val="auto"/>
          <w:sz w:val="32"/>
          <w:szCs w:val="32"/>
        </w:rPr>
        <w:t>附表</w:t>
      </w:r>
    </w:p>
    <w:p w14:paraId="06D93AB9">
      <w:pPr>
        <w:pStyle w:val="23"/>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center"/>
        <w:textAlignment w:val="auto"/>
        <w:outlineLvl w:val="0"/>
        <w:rPr>
          <w:rFonts w:hint="eastAsia" w:ascii="方正小标宋_GBK" w:hAnsi="黑体" w:eastAsia="方正小标宋_GBK"/>
          <w:snapToGrid w:val="0"/>
          <w:color w:val="auto"/>
          <w:sz w:val="38"/>
          <w:szCs w:val="38"/>
        </w:rPr>
      </w:pPr>
      <w:r>
        <w:rPr>
          <w:rFonts w:hint="eastAsia" w:ascii="方正小标宋_GBK" w:hAnsi="黑体" w:eastAsia="方正小标宋_GBK"/>
          <w:snapToGrid w:val="0"/>
          <w:color w:val="auto"/>
          <w:sz w:val="38"/>
          <w:szCs w:val="38"/>
        </w:rPr>
        <w:t>建设项目污染物排放量汇总表</w:t>
      </w:r>
    </w:p>
    <w:tbl>
      <w:tblPr>
        <w:tblStyle w:val="26"/>
        <w:tblW w:w="494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1283"/>
        <w:gridCol w:w="1751"/>
        <w:gridCol w:w="1213"/>
        <w:gridCol w:w="1749"/>
        <w:gridCol w:w="1630"/>
        <w:gridCol w:w="1525"/>
        <w:gridCol w:w="1889"/>
        <w:gridCol w:w="1189"/>
      </w:tblGrid>
      <w:tr w14:paraId="5841AB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421" w:type="pct"/>
            <w:tcBorders>
              <w:tl2br w:val="single" w:color="auto" w:sz="4" w:space="0"/>
            </w:tcBorders>
            <w:noWrap w:val="0"/>
            <w:tcMar>
              <w:left w:w="28" w:type="dxa"/>
              <w:right w:w="28" w:type="dxa"/>
            </w:tcMar>
            <w:vAlign w:val="center"/>
          </w:tcPr>
          <w:p w14:paraId="28C412AC">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项目</w:t>
            </w:r>
          </w:p>
          <w:p w14:paraId="1F086A79">
            <w:pPr>
              <w:pStyle w:val="33"/>
              <w:keepNext w:val="0"/>
              <w:keepLines w:val="0"/>
              <w:pageBreakBefore w:val="0"/>
              <w:kinsoku/>
              <w:wordWrap/>
              <w:overflowPunct/>
              <w:topLinePunct w:val="0"/>
              <w:autoSpaceDE/>
              <w:autoSpaceDN/>
              <w:bidi w:val="0"/>
              <w:spacing w:beforeLines="0" w:afterLines="0" w:line="240" w:lineRule="auto"/>
              <w:ind w:firstLine="0" w:firstLineChars="0"/>
              <w:jc w:val="both"/>
              <w:textAlignment w:val="auto"/>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分类</w:t>
            </w:r>
          </w:p>
        </w:tc>
        <w:tc>
          <w:tcPr>
            <w:tcW w:w="479" w:type="pct"/>
            <w:noWrap w:val="0"/>
            <w:tcMar>
              <w:left w:w="28" w:type="dxa"/>
              <w:right w:w="28" w:type="dxa"/>
            </w:tcMar>
            <w:vAlign w:val="center"/>
          </w:tcPr>
          <w:p w14:paraId="0A9AC8E9">
            <w:pPr>
              <w:pStyle w:val="33"/>
              <w:keepNext w:val="0"/>
              <w:keepLines w:val="0"/>
              <w:pageBreakBefore w:val="0"/>
              <w:widowControl/>
              <w:kinsoku/>
              <w:wordWrap/>
              <w:overflowPunct/>
              <w:topLinePunct w:val="0"/>
              <w:autoSpaceDE/>
              <w:autoSpaceDN/>
              <w:bidi w:val="0"/>
              <w:adjustRightInd w:val="0"/>
              <w:snapToGrid w:val="0"/>
              <w:spacing w:beforeLines="0" w:beforeAutospacing="0" w:afterLines="0" w:afterAutospacing="0" w:line="240" w:lineRule="auto"/>
              <w:ind w:firstLine="0" w:firstLineChars="0"/>
              <w:jc w:val="center"/>
              <w:textAlignment w:val="auto"/>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污染物名称</w:t>
            </w:r>
          </w:p>
        </w:tc>
        <w:tc>
          <w:tcPr>
            <w:tcW w:w="655" w:type="pct"/>
            <w:noWrap w:val="0"/>
            <w:tcMar>
              <w:left w:w="28" w:type="dxa"/>
              <w:right w:w="28" w:type="dxa"/>
            </w:tcMar>
            <w:vAlign w:val="center"/>
          </w:tcPr>
          <w:p w14:paraId="77431863">
            <w:pPr>
              <w:pStyle w:val="33"/>
              <w:keepNext w:val="0"/>
              <w:keepLines w:val="0"/>
              <w:pageBreakBefore w:val="0"/>
              <w:widowControl/>
              <w:kinsoku/>
              <w:wordWrap/>
              <w:overflowPunct/>
              <w:topLinePunct w:val="0"/>
              <w:autoSpaceDE/>
              <w:autoSpaceDN/>
              <w:bidi w:val="0"/>
              <w:adjustRightInd w:val="0"/>
              <w:snapToGrid w:val="0"/>
              <w:spacing w:beforeLines="0" w:beforeAutospacing="0" w:afterLines="0" w:afterAutospacing="0" w:line="240" w:lineRule="auto"/>
              <w:ind w:firstLine="0" w:firstLineChars="0"/>
              <w:jc w:val="center"/>
              <w:textAlignment w:val="auto"/>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现有工程排放量</w:t>
            </w:r>
          </w:p>
          <w:p w14:paraId="60F0A734">
            <w:pPr>
              <w:pStyle w:val="33"/>
              <w:keepNext w:val="0"/>
              <w:keepLines w:val="0"/>
              <w:pageBreakBefore w:val="0"/>
              <w:widowControl/>
              <w:kinsoku/>
              <w:wordWrap/>
              <w:overflowPunct/>
              <w:topLinePunct w:val="0"/>
              <w:autoSpaceDE/>
              <w:autoSpaceDN/>
              <w:bidi w:val="0"/>
              <w:adjustRightInd w:val="0"/>
              <w:snapToGrid w:val="0"/>
              <w:spacing w:beforeLines="0" w:beforeAutospacing="0" w:afterLines="0" w:afterAutospacing="0" w:line="240" w:lineRule="auto"/>
              <w:ind w:firstLine="0" w:firstLineChars="0"/>
              <w:jc w:val="center"/>
              <w:textAlignment w:val="auto"/>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（固体废物产生量）</w:t>
            </w:r>
            <w:r>
              <w:rPr>
                <w:rFonts w:hint="default" w:ascii="Times New Roman" w:hAnsi="Times New Roman" w:eastAsia="黑体" w:cs="Times New Roman"/>
                <w:snapToGrid w:val="0"/>
                <w:color w:val="auto"/>
                <w:spacing w:val="-6"/>
                <w:kern w:val="21"/>
                <w:sz w:val="21"/>
                <w:szCs w:val="21"/>
              </w:rPr>
              <w:fldChar w:fldCharType="begin"/>
            </w:r>
            <w:r>
              <w:rPr>
                <w:rFonts w:hint="default" w:ascii="Times New Roman" w:hAnsi="Times New Roman" w:eastAsia="黑体" w:cs="Times New Roman"/>
                <w:snapToGrid w:val="0"/>
                <w:color w:val="auto"/>
                <w:spacing w:val="-6"/>
                <w:kern w:val="21"/>
                <w:sz w:val="21"/>
                <w:szCs w:val="21"/>
              </w:rPr>
              <w:instrText xml:space="preserve"> = 1 \* GB3 \* MERGEFORMAT </w:instrText>
            </w:r>
            <w:r>
              <w:rPr>
                <w:rFonts w:hint="default" w:ascii="Times New Roman" w:hAnsi="Times New Roman" w:eastAsia="黑体" w:cs="Times New Roman"/>
                <w:snapToGrid w:val="0"/>
                <w:color w:val="auto"/>
                <w:spacing w:val="-6"/>
                <w:kern w:val="21"/>
                <w:sz w:val="21"/>
                <w:szCs w:val="21"/>
              </w:rPr>
              <w:fldChar w:fldCharType="separate"/>
            </w:r>
            <w:r>
              <w:rPr>
                <w:rFonts w:hint="default" w:ascii="Times New Roman" w:hAnsi="Times New Roman" w:eastAsia="黑体" w:cs="Times New Roman"/>
                <w:color w:val="auto"/>
                <w:kern w:val="2"/>
                <w:sz w:val="21"/>
                <w:szCs w:val="21"/>
              </w:rPr>
              <w:t>①</w:t>
            </w:r>
            <w:r>
              <w:rPr>
                <w:rFonts w:hint="default" w:ascii="Times New Roman" w:hAnsi="Times New Roman" w:eastAsia="黑体" w:cs="Times New Roman"/>
                <w:snapToGrid w:val="0"/>
                <w:color w:val="auto"/>
                <w:spacing w:val="-6"/>
                <w:kern w:val="21"/>
                <w:sz w:val="21"/>
                <w:szCs w:val="21"/>
              </w:rPr>
              <w:fldChar w:fldCharType="end"/>
            </w:r>
          </w:p>
        </w:tc>
        <w:tc>
          <w:tcPr>
            <w:tcW w:w="454" w:type="pct"/>
            <w:noWrap w:val="0"/>
            <w:tcMar>
              <w:left w:w="28" w:type="dxa"/>
              <w:right w:w="28" w:type="dxa"/>
            </w:tcMar>
            <w:vAlign w:val="center"/>
          </w:tcPr>
          <w:p w14:paraId="6D7B2559">
            <w:pPr>
              <w:pStyle w:val="33"/>
              <w:keepNext w:val="0"/>
              <w:keepLines w:val="0"/>
              <w:pageBreakBefore w:val="0"/>
              <w:widowControl/>
              <w:kinsoku/>
              <w:wordWrap/>
              <w:overflowPunct/>
              <w:topLinePunct w:val="0"/>
              <w:autoSpaceDE/>
              <w:autoSpaceDN/>
              <w:bidi w:val="0"/>
              <w:adjustRightInd w:val="0"/>
              <w:snapToGrid w:val="0"/>
              <w:spacing w:beforeLines="0" w:beforeAutospacing="0" w:afterLines="0" w:afterAutospacing="0" w:line="240" w:lineRule="auto"/>
              <w:ind w:firstLine="0" w:firstLineChars="0"/>
              <w:jc w:val="center"/>
              <w:textAlignment w:val="auto"/>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现有工程许可排放量</w:t>
            </w:r>
            <w:r>
              <w:rPr>
                <w:rFonts w:hint="default" w:ascii="Times New Roman" w:hAnsi="Times New Roman" w:eastAsia="黑体" w:cs="Times New Roman"/>
                <w:snapToGrid w:val="0"/>
                <w:color w:val="auto"/>
                <w:spacing w:val="-6"/>
                <w:kern w:val="21"/>
                <w:sz w:val="21"/>
                <w:szCs w:val="21"/>
              </w:rPr>
              <w:fldChar w:fldCharType="begin"/>
            </w:r>
            <w:r>
              <w:rPr>
                <w:rFonts w:hint="default" w:ascii="Times New Roman" w:hAnsi="Times New Roman" w:eastAsia="黑体" w:cs="Times New Roman"/>
                <w:snapToGrid w:val="0"/>
                <w:color w:val="auto"/>
                <w:spacing w:val="-6"/>
                <w:kern w:val="21"/>
                <w:sz w:val="21"/>
                <w:szCs w:val="21"/>
              </w:rPr>
              <w:instrText xml:space="preserve"> = 2 \* GB3 \* MERGEFORMAT </w:instrText>
            </w:r>
            <w:r>
              <w:rPr>
                <w:rFonts w:hint="default" w:ascii="Times New Roman" w:hAnsi="Times New Roman" w:eastAsia="黑体" w:cs="Times New Roman"/>
                <w:snapToGrid w:val="0"/>
                <w:color w:val="auto"/>
                <w:spacing w:val="-6"/>
                <w:kern w:val="21"/>
                <w:sz w:val="21"/>
                <w:szCs w:val="21"/>
              </w:rPr>
              <w:fldChar w:fldCharType="separate"/>
            </w:r>
            <w:r>
              <w:rPr>
                <w:rFonts w:hint="default" w:ascii="Times New Roman" w:hAnsi="Times New Roman" w:eastAsia="黑体" w:cs="Times New Roman"/>
                <w:snapToGrid w:val="0"/>
                <w:color w:val="auto"/>
                <w:spacing w:val="-6"/>
                <w:kern w:val="21"/>
                <w:sz w:val="21"/>
                <w:szCs w:val="21"/>
              </w:rPr>
              <w:t>②</w:t>
            </w:r>
            <w:r>
              <w:rPr>
                <w:rFonts w:hint="default" w:ascii="Times New Roman" w:hAnsi="Times New Roman" w:eastAsia="黑体" w:cs="Times New Roman"/>
                <w:snapToGrid w:val="0"/>
                <w:color w:val="auto"/>
                <w:spacing w:val="-6"/>
                <w:kern w:val="21"/>
                <w:sz w:val="21"/>
                <w:szCs w:val="21"/>
              </w:rPr>
              <w:fldChar w:fldCharType="end"/>
            </w:r>
          </w:p>
        </w:tc>
        <w:tc>
          <w:tcPr>
            <w:tcW w:w="654" w:type="pct"/>
            <w:noWrap w:val="0"/>
            <w:tcMar>
              <w:left w:w="28" w:type="dxa"/>
              <w:right w:w="28" w:type="dxa"/>
            </w:tcMar>
            <w:vAlign w:val="center"/>
          </w:tcPr>
          <w:p w14:paraId="4FF65BDA">
            <w:pPr>
              <w:pStyle w:val="33"/>
              <w:keepNext w:val="0"/>
              <w:keepLines w:val="0"/>
              <w:pageBreakBefore w:val="0"/>
              <w:widowControl/>
              <w:kinsoku/>
              <w:wordWrap/>
              <w:overflowPunct/>
              <w:topLinePunct w:val="0"/>
              <w:autoSpaceDE/>
              <w:autoSpaceDN/>
              <w:bidi w:val="0"/>
              <w:adjustRightInd w:val="0"/>
              <w:snapToGrid w:val="0"/>
              <w:spacing w:beforeLines="0" w:beforeAutospacing="0" w:afterLines="0" w:afterAutospacing="0" w:line="240" w:lineRule="auto"/>
              <w:ind w:firstLine="0" w:firstLineChars="0"/>
              <w:jc w:val="center"/>
              <w:textAlignment w:val="auto"/>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在建工程排放量（固体废物产生量）</w:t>
            </w:r>
            <w:r>
              <w:rPr>
                <w:rFonts w:hint="default" w:ascii="Times New Roman" w:hAnsi="Times New Roman" w:eastAsia="黑体" w:cs="Times New Roman"/>
                <w:snapToGrid w:val="0"/>
                <w:color w:val="auto"/>
                <w:spacing w:val="-6"/>
                <w:kern w:val="21"/>
                <w:sz w:val="21"/>
                <w:szCs w:val="21"/>
              </w:rPr>
              <w:fldChar w:fldCharType="begin"/>
            </w:r>
            <w:r>
              <w:rPr>
                <w:rFonts w:hint="default" w:ascii="Times New Roman" w:hAnsi="Times New Roman" w:eastAsia="黑体" w:cs="Times New Roman"/>
                <w:snapToGrid w:val="0"/>
                <w:color w:val="auto"/>
                <w:spacing w:val="-6"/>
                <w:kern w:val="21"/>
                <w:sz w:val="21"/>
                <w:szCs w:val="21"/>
              </w:rPr>
              <w:instrText xml:space="preserve"> = 3 \* GB3 \* MERGEFORMAT </w:instrText>
            </w:r>
            <w:r>
              <w:rPr>
                <w:rFonts w:hint="default" w:ascii="Times New Roman" w:hAnsi="Times New Roman" w:eastAsia="黑体" w:cs="Times New Roman"/>
                <w:snapToGrid w:val="0"/>
                <w:color w:val="auto"/>
                <w:spacing w:val="-6"/>
                <w:kern w:val="21"/>
                <w:sz w:val="21"/>
                <w:szCs w:val="21"/>
              </w:rPr>
              <w:fldChar w:fldCharType="separate"/>
            </w:r>
            <w:r>
              <w:rPr>
                <w:rFonts w:hint="default" w:ascii="Times New Roman" w:hAnsi="Times New Roman" w:eastAsia="黑体" w:cs="Times New Roman"/>
                <w:color w:val="auto"/>
                <w:kern w:val="2"/>
                <w:sz w:val="21"/>
                <w:szCs w:val="21"/>
              </w:rPr>
              <w:t>③</w:t>
            </w:r>
            <w:r>
              <w:rPr>
                <w:rFonts w:hint="default" w:ascii="Times New Roman" w:hAnsi="Times New Roman" w:eastAsia="黑体" w:cs="Times New Roman"/>
                <w:snapToGrid w:val="0"/>
                <w:color w:val="auto"/>
                <w:spacing w:val="-6"/>
                <w:kern w:val="21"/>
                <w:sz w:val="21"/>
                <w:szCs w:val="21"/>
              </w:rPr>
              <w:fldChar w:fldCharType="end"/>
            </w:r>
          </w:p>
        </w:tc>
        <w:tc>
          <w:tcPr>
            <w:tcW w:w="609" w:type="pct"/>
            <w:noWrap w:val="0"/>
            <w:tcMar>
              <w:left w:w="28" w:type="dxa"/>
              <w:right w:w="28" w:type="dxa"/>
            </w:tcMar>
            <w:vAlign w:val="center"/>
          </w:tcPr>
          <w:p w14:paraId="20006A64">
            <w:pPr>
              <w:pStyle w:val="33"/>
              <w:keepNext w:val="0"/>
              <w:keepLines w:val="0"/>
              <w:pageBreakBefore w:val="0"/>
              <w:widowControl/>
              <w:kinsoku/>
              <w:wordWrap/>
              <w:overflowPunct/>
              <w:topLinePunct w:val="0"/>
              <w:autoSpaceDE/>
              <w:autoSpaceDN/>
              <w:bidi w:val="0"/>
              <w:adjustRightInd w:val="0"/>
              <w:snapToGrid w:val="0"/>
              <w:spacing w:beforeLines="0" w:beforeAutospacing="0" w:afterLines="0" w:afterAutospacing="0" w:line="240" w:lineRule="auto"/>
              <w:ind w:firstLine="0" w:firstLineChars="0"/>
              <w:jc w:val="center"/>
              <w:textAlignment w:val="auto"/>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本项目排放量（固体废物产生量）</w:t>
            </w:r>
            <w:r>
              <w:rPr>
                <w:rFonts w:hint="default" w:ascii="Times New Roman" w:hAnsi="Times New Roman" w:eastAsia="黑体" w:cs="Times New Roman"/>
                <w:snapToGrid w:val="0"/>
                <w:color w:val="auto"/>
                <w:spacing w:val="-6"/>
                <w:kern w:val="21"/>
                <w:sz w:val="21"/>
                <w:szCs w:val="21"/>
              </w:rPr>
              <w:fldChar w:fldCharType="begin"/>
            </w:r>
            <w:r>
              <w:rPr>
                <w:rFonts w:hint="default" w:ascii="Times New Roman" w:hAnsi="Times New Roman" w:eastAsia="黑体" w:cs="Times New Roman"/>
                <w:snapToGrid w:val="0"/>
                <w:color w:val="auto"/>
                <w:spacing w:val="-6"/>
                <w:kern w:val="21"/>
                <w:sz w:val="21"/>
                <w:szCs w:val="21"/>
              </w:rPr>
              <w:instrText xml:space="preserve"> = 4 \* GB3 \* MERGEFORMAT </w:instrText>
            </w:r>
            <w:r>
              <w:rPr>
                <w:rFonts w:hint="default" w:ascii="Times New Roman" w:hAnsi="Times New Roman" w:eastAsia="黑体" w:cs="Times New Roman"/>
                <w:snapToGrid w:val="0"/>
                <w:color w:val="auto"/>
                <w:spacing w:val="-6"/>
                <w:kern w:val="21"/>
                <w:sz w:val="21"/>
                <w:szCs w:val="21"/>
              </w:rPr>
              <w:fldChar w:fldCharType="separate"/>
            </w:r>
            <w:r>
              <w:rPr>
                <w:rFonts w:hint="default" w:ascii="Times New Roman" w:hAnsi="Times New Roman" w:eastAsia="黑体" w:cs="Times New Roman"/>
                <w:color w:val="auto"/>
                <w:kern w:val="2"/>
                <w:sz w:val="21"/>
                <w:szCs w:val="21"/>
              </w:rPr>
              <w:t>④</w:t>
            </w:r>
            <w:r>
              <w:rPr>
                <w:rFonts w:hint="default" w:ascii="Times New Roman" w:hAnsi="Times New Roman" w:eastAsia="黑体" w:cs="Times New Roman"/>
                <w:snapToGrid w:val="0"/>
                <w:color w:val="auto"/>
                <w:spacing w:val="-6"/>
                <w:kern w:val="21"/>
                <w:sz w:val="21"/>
                <w:szCs w:val="21"/>
              </w:rPr>
              <w:fldChar w:fldCharType="end"/>
            </w:r>
          </w:p>
        </w:tc>
        <w:tc>
          <w:tcPr>
            <w:tcW w:w="570" w:type="pct"/>
            <w:noWrap w:val="0"/>
            <w:tcMar>
              <w:left w:w="28" w:type="dxa"/>
              <w:right w:w="28" w:type="dxa"/>
            </w:tcMar>
            <w:vAlign w:val="center"/>
          </w:tcPr>
          <w:p w14:paraId="72E60A10">
            <w:pPr>
              <w:pStyle w:val="33"/>
              <w:keepNext w:val="0"/>
              <w:keepLines w:val="0"/>
              <w:pageBreakBefore w:val="0"/>
              <w:widowControl/>
              <w:kinsoku/>
              <w:wordWrap/>
              <w:overflowPunct/>
              <w:topLinePunct w:val="0"/>
              <w:autoSpaceDE/>
              <w:autoSpaceDN/>
              <w:bidi w:val="0"/>
              <w:adjustRightInd w:val="0"/>
              <w:snapToGrid w:val="0"/>
              <w:spacing w:beforeLines="0" w:beforeAutospacing="0" w:afterLines="0" w:afterAutospacing="0" w:line="240" w:lineRule="auto"/>
              <w:ind w:firstLine="0" w:firstLineChars="0"/>
              <w:jc w:val="center"/>
              <w:textAlignment w:val="auto"/>
              <w:rPr>
                <w:rFonts w:hint="default" w:ascii="Times New Roman" w:hAnsi="Times New Roman" w:eastAsia="黑体" w:cs="Times New Roman"/>
                <w:snapToGrid w:val="0"/>
                <w:color w:val="auto"/>
                <w:spacing w:val="-16"/>
                <w:kern w:val="21"/>
                <w:sz w:val="21"/>
                <w:szCs w:val="21"/>
              </w:rPr>
            </w:pPr>
            <w:r>
              <w:rPr>
                <w:rFonts w:hint="default" w:ascii="Times New Roman" w:hAnsi="Times New Roman" w:eastAsia="黑体" w:cs="Times New Roman"/>
                <w:snapToGrid w:val="0"/>
                <w:color w:val="auto"/>
                <w:spacing w:val="-16"/>
                <w:kern w:val="21"/>
                <w:sz w:val="21"/>
                <w:szCs w:val="21"/>
              </w:rPr>
              <w:t>以新带老削减量（新建项目不填）</w:t>
            </w:r>
            <w:r>
              <w:rPr>
                <w:rFonts w:hint="default" w:ascii="Times New Roman" w:hAnsi="Times New Roman" w:eastAsia="黑体" w:cs="Times New Roman"/>
                <w:snapToGrid w:val="0"/>
                <w:color w:val="auto"/>
                <w:spacing w:val="-16"/>
                <w:kern w:val="21"/>
                <w:sz w:val="21"/>
                <w:szCs w:val="21"/>
              </w:rPr>
              <w:fldChar w:fldCharType="begin"/>
            </w:r>
            <w:r>
              <w:rPr>
                <w:rFonts w:hint="default" w:ascii="Times New Roman" w:hAnsi="Times New Roman" w:eastAsia="黑体" w:cs="Times New Roman"/>
                <w:snapToGrid w:val="0"/>
                <w:color w:val="auto"/>
                <w:spacing w:val="-16"/>
                <w:kern w:val="21"/>
                <w:sz w:val="21"/>
                <w:szCs w:val="21"/>
              </w:rPr>
              <w:instrText xml:space="preserve"> = 5 \* GB3 \* MERGEFORMAT </w:instrText>
            </w:r>
            <w:r>
              <w:rPr>
                <w:rFonts w:hint="default" w:ascii="Times New Roman" w:hAnsi="Times New Roman" w:eastAsia="黑体" w:cs="Times New Roman"/>
                <w:snapToGrid w:val="0"/>
                <w:color w:val="auto"/>
                <w:spacing w:val="-16"/>
                <w:kern w:val="21"/>
                <w:sz w:val="21"/>
                <w:szCs w:val="21"/>
              </w:rPr>
              <w:fldChar w:fldCharType="separate"/>
            </w:r>
            <w:r>
              <w:rPr>
                <w:rFonts w:hint="default" w:ascii="Times New Roman" w:hAnsi="Times New Roman" w:eastAsia="黑体" w:cs="Times New Roman"/>
                <w:color w:val="auto"/>
                <w:kern w:val="2"/>
                <w:sz w:val="21"/>
                <w:szCs w:val="21"/>
              </w:rPr>
              <w:t>⑤</w:t>
            </w:r>
            <w:r>
              <w:rPr>
                <w:rFonts w:hint="default" w:ascii="Times New Roman" w:hAnsi="Times New Roman" w:eastAsia="黑体" w:cs="Times New Roman"/>
                <w:snapToGrid w:val="0"/>
                <w:color w:val="auto"/>
                <w:spacing w:val="-16"/>
                <w:kern w:val="21"/>
                <w:sz w:val="21"/>
                <w:szCs w:val="21"/>
              </w:rPr>
              <w:fldChar w:fldCharType="end"/>
            </w:r>
          </w:p>
        </w:tc>
        <w:tc>
          <w:tcPr>
            <w:tcW w:w="707" w:type="pct"/>
            <w:noWrap w:val="0"/>
            <w:tcMar>
              <w:left w:w="28" w:type="dxa"/>
              <w:right w:w="28" w:type="dxa"/>
            </w:tcMar>
            <w:vAlign w:val="center"/>
          </w:tcPr>
          <w:p w14:paraId="1ED95956">
            <w:pPr>
              <w:pStyle w:val="33"/>
              <w:keepNext w:val="0"/>
              <w:keepLines w:val="0"/>
              <w:pageBreakBefore w:val="0"/>
              <w:widowControl/>
              <w:kinsoku/>
              <w:wordWrap/>
              <w:overflowPunct/>
              <w:topLinePunct w:val="0"/>
              <w:autoSpaceDE/>
              <w:autoSpaceDN/>
              <w:bidi w:val="0"/>
              <w:adjustRightInd w:val="0"/>
              <w:snapToGrid w:val="0"/>
              <w:spacing w:beforeLines="0" w:beforeAutospacing="0" w:afterLines="0" w:afterAutospacing="0" w:line="240" w:lineRule="auto"/>
              <w:ind w:firstLine="0" w:firstLineChars="0"/>
              <w:jc w:val="center"/>
              <w:textAlignment w:val="auto"/>
              <w:rPr>
                <w:rFonts w:hint="default" w:ascii="Times New Roman" w:hAnsi="Times New Roman" w:eastAsia="黑体" w:cs="Times New Roman"/>
                <w:snapToGrid w:val="0"/>
                <w:color w:val="auto"/>
                <w:spacing w:val="-16"/>
                <w:kern w:val="21"/>
                <w:sz w:val="21"/>
                <w:szCs w:val="21"/>
              </w:rPr>
            </w:pPr>
            <w:r>
              <w:rPr>
                <w:rFonts w:hint="default" w:ascii="Times New Roman" w:hAnsi="Times New Roman" w:eastAsia="黑体" w:cs="Times New Roman"/>
                <w:snapToGrid w:val="0"/>
                <w:color w:val="auto"/>
                <w:spacing w:val="-16"/>
                <w:kern w:val="21"/>
                <w:sz w:val="21"/>
                <w:szCs w:val="21"/>
              </w:rPr>
              <w:t>本项目建成后全厂排放量（固体废物产生量）</w:t>
            </w:r>
            <w:r>
              <w:rPr>
                <w:rFonts w:hint="default" w:ascii="Times New Roman" w:hAnsi="Times New Roman" w:eastAsia="黑体" w:cs="Times New Roman"/>
                <w:snapToGrid w:val="0"/>
                <w:color w:val="auto"/>
                <w:spacing w:val="-16"/>
                <w:kern w:val="21"/>
                <w:sz w:val="21"/>
                <w:szCs w:val="21"/>
              </w:rPr>
              <w:fldChar w:fldCharType="begin"/>
            </w:r>
            <w:r>
              <w:rPr>
                <w:rFonts w:hint="default" w:ascii="Times New Roman" w:hAnsi="Times New Roman" w:eastAsia="黑体" w:cs="Times New Roman"/>
                <w:snapToGrid w:val="0"/>
                <w:color w:val="auto"/>
                <w:spacing w:val="-16"/>
                <w:kern w:val="21"/>
                <w:sz w:val="21"/>
                <w:szCs w:val="21"/>
              </w:rPr>
              <w:instrText xml:space="preserve"> = 6 \* GB3 \* MERGEFORMAT </w:instrText>
            </w:r>
            <w:r>
              <w:rPr>
                <w:rFonts w:hint="default" w:ascii="Times New Roman" w:hAnsi="Times New Roman" w:eastAsia="黑体" w:cs="Times New Roman"/>
                <w:snapToGrid w:val="0"/>
                <w:color w:val="auto"/>
                <w:spacing w:val="-16"/>
                <w:kern w:val="21"/>
                <w:sz w:val="21"/>
                <w:szCs w:val="21"/>
              </w:rPr>
              <w:fldChar w:fldCharType="separate"/>
            </w:r>
            <w:r>
              <w:rPr>
                <w:rFonts w:hint="default" w:ascii="Times New Roman" w:hAnsi="Times New Roman" w:eastAsia="黑体" w:cs="Times New Roman"/>
                <w:color w:val="auto"/>
                <w:kern w:val="2"/>
                <w:sz w:val="21"/>
                <w:szCs w:val="21"/>
              </w:rPr>
              <w:t>⑥</w:t>
            </w:r>
            <w:r>
              <w:rPr>
                <w:rFonts w:hint="default" w:ascii="Times New Roman" w:hAnsi="Times New Roman" w:eastAsia="黑体" w:cs="Times New Roman"/>
                <w:snapToGrid w:val="0"/>
                <w:color w:val="auto"/>
                <w:spacing w:val="-16"/>
                <w:kern w:val="21"/>
                <w:sz w:val="21"/>
                <w:szCs w:val="21"/>
              </w:rPr>
              <w:fldChar w:fldCharType="end"/>
            </w:r>
          </w:p>
        </w:tc>
        <w:tc>
          <w:tcPr>
            <w:tcW w:w="445" w:type="pct"/>
            <w:noWrap w:val="0"/>
            <w:tcMar>
              <w:left w:w="28" w:type="dxa"/>
              <w:right w:w="28" w:type="dxa"/>
            </w:tcMar>
            <w:vAlign w:val="center"/>
          </w:tcPr>
          <w:p w14:paraId="6DC7EE76">
            <w:pPr>
              <w:pStyle w:val="33"/>
              <w:keepNext w:val="0"/>
              <w:keepLines w:val="0"/>
              <w:pageBreakBefore w:val="0"/>
              <w:widowControl/>
              <w:kinsoku/>
              <w:wordWrap/>
              <w:overflowPunct/>
              <w:topLinePunct w:val="0"/>
              <w:autoSpaceDE/>
              <w:autoSpaceDN/>
              <w:bidi w:val="0"/>
              <w:adjustRightInd w:val="0"/>
              <w:snapToGrid w:val="0"/>
              <w:spacing w:beforeLines="0" w:beforeAutospacing="0" w:afterLines="0" w:afterAutospacing="0" w:line="240" w:lineRule="auto"/>
              <w:ind w:firstLine="0" w:firstLineChars="0"/>
              <w:jc w:val="center"/>
              <w:textAlignment w:val="auto"/>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变化量</w:t>
            </w:r>
          </w:p>
          <w:p w14:paraId="0308F041">
            <w:pPr>
              <w:pStyle w:val="33"/>
              <w:keepNext w:val="0"/>
              <w:keepLines w:val="0"/>
              <w:pageBreakBefore w:val="0"/>
              <w:widowControl/>
              <w:kinsoku/>
              <w:wordWrap/>
              <w:overflowPunct/>
              <w:topLinePunct w:val="0"/>
              <w:autoSpaceDE/>
              <w:autoSpaceDN/>
              <w:bidi w:val="0"/>
              <w:adjustRightInd w:val="0"/>
              <w:snapToGrid w:val="0"/>
              <w:spacing w:beforeLines="0" w:beforeAutospacing="0" w:afterLines="0" w:afterAutospacing="0" w:line="240" w:lineRule="auto"/>
              <w:ind w:firstLine="0" w:firstLineChars="0"/>
              <w:jc w:val="center"/>
              <w:textAlignment w:val="auto"/>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fldChar w:fldCharType="begin"/>
            </w:r>
            <w:r>
              <w:rPr>
                <w:rFonts w:hint="default" w:ascii="Times New Roman" w:hAnsi="Times New Roman" w:eastAsia="黑体" w:cs="Times New Roman"/>
                <w:snapToGrid w:val="0"/>
                <w:color w:val="auto"/>
                <w:spacing w:val="-6"/>
                <w:kern w:val="21"/>
                <w:sz w:val="21"/>
                <w:szCs w:val="21"/>
              </w:rPr>
              <w:instrText xml:space="preserve"> = 7 \* GB3 \* MERGEFORMAT </w:instrText>
            </w:r>
            <w:r>
              <w:rPr>
                <w:rFonts w:hint="default" w:ascii="Times New Roman" w:hAnsi="Times New Roman" w:eastAsia="黑体" w:cs="Times New Roman"/>
                <w:snapToGrid w:val="0"/>
                <w:color w:val="auto"/>
                <w:spacing w:val="-6"/>
                <w:kern w:val="21"/>
                <w:sz w:val="21"/>
                <w:szCs w:val="21"/>
              </w:rPr>
              <w:fldChar w:fldCharType="separate"/>
            </w:r>
            <w:r>
              <w:rPr>
                <w:rFonts w:hint="default" w:ascii="Times New Roman" w:hAnsi="Times New Roman" w:eastAsia="黑体" w:cs="Times New Roman"/>
                <w:color w:val="auto"/>
                <w:kern w:val="2"/>
                <w:sz w:val="21"/>
                <w:szCs w:val="21"/>
              </w:rPr>
              <w:t>⑦</w:t>
            </w:r>
            <w:r>
              <w:rPr>
                <w:rFonts w:hint="default" w:ascii="Times New Roman" w:hAnsi="Times New Roman" w:eastAsia="黑体" w:cs="Times New Roman"/>
                <w:snapToGrid w:val="0"/>
                <w:color w:val="auto"/>
                <w:spacing w:val="-6"/>
                <w:kern w:val="21"/>
                <w:sz w:val="21"/>
                <w:szCs w:val="21"/>
              </w:rPr>
              <w:fldChar w:fldCharType="end"/>
            </w:r>
          </w:p>
        </w:tc>
      </w:tr>
      <w:tr w14:paraId="1791E9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21" w:type="pct"/>
            <w:vMerge w:val="restart"/>
            <w:noWrap w:val="0"/>
            <w:vAlign w:val="center"/>
          </w:tcPr>
          <w:p w14:paraId="0DDA1172">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b w:val="0"/>
                <w:bCs/>
                <w:snapToGrid w:val="0"/>
                <w:color w:val="auto"/>
                <w:kern w:val="21"/>
                <w:sz w:val="21"/>
                <w:szCs w:val="21"/>
              </w:rPr>
            </w:pPr>
            <w:r>
              <w:rPr>
                <w:rFonts w:hint="default" w:ascii="Times New Roman" w:hAnsi="Times New Roman" w:cs="Times New Roman"/>
                <w:b w:val="0"/>
                <w:bCs/>
                <w:snapToGrid w:val="0"/>
                <w:color w:val="auto"/>
                <w:kern w:val="21"/>
                <w:sz w:val="21"/>
                <w:szCs w:val="21"/>
              </w:rPr>
              <w:t>废气</w:t>
            </w:r>
          </w:p>
        </w:tc>
        <w:tc>
          <w:tcPr>
            <w:tcW w:w="479" w:type="pct"/>
            <w:noWrap w:val="0"/>
            <w:vAlign w:val="center"/>
          </w:tcPr>
          <w:p w14:paraId="3E027CB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snapToGrid w:val="0"/>
                <w:color w:val="auto"/>
                <w:kern w:val="21"/>
                <w:sz w:val="21"/>
                <w:szCs w:val="21"/>
                <w:lang w:eastAsia="zh-CN"/>
              </w:rPr>
            </w:pPr>
            <w:r>
              <w:rPr>
                <w:rFonts w:hint="eastAsia" w:cs="Times New Roman"/>
                <w:b w:val="0"/>
                <w:bCs/>
                <w:color w:val="auto"/>
                <w:sz w:val="21"/>
                <w:szCs w:val="21"/>
                <w:lang w:val="en-US" w:eastAsia="zh-CN"/>
              </w:rPr>
              <w:t>颗粒物</w:t>
            </w:r>
          </w:p>
        </w:tc>
        <w:tc>
          <w:tcPr>
            <w:tcW w:w="655" w:type="pct"/>
            <w:noWrap w:val="0"/>
            <w:vAlign w:val="center"/>
          </w:tcPr>
          <w:p w14:paraId="50199DA4">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snapToGrid w:val="0"/>
                <w:color w:val="auto"/>
                <w:kern w:val="21"/>
                <w:sz w:val="21"/>
                <w:szCs w:val="21"/>
                <w:lang w:val="en-US" w:eastAsia="zh-CN" w:bidi="ar-SA"/>
              </w:rPr>
            </w:pPr>
            <w:r>
              <w:rPr>
                <w:rFonts w:hint="default" w:ascii="Times New Roman" w:hAnsi="Times New Roman" w:cs="Times New Roman"/>
                <w:snapToGrid w:val="0"/>
                <w:color w:val="auto"/>
                <w:kern w:val="21"/>
                <w:sz w:val="21"/>
                <w:szCs w:val="21"/>
              </w:rPr>
              <w:t>/</w:t>
            </w:r>
          </w:p>
        </w:tc>
        <w:tc>
          <w:tcPr>
            <w:tcW w:w="454" w:type="pct"/>
            <w:noWrap w:val="0"/>
            <w:vAlign w:val="center"/>
          </w:tcPr>
          <w:p w14:paraId="5B542ADD">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654" w:type="pct"/>
            <w:noWrap w:val="0"/>
            <w:vAlign w:val="center"/>
          </w:tcPr>
          <w:p w14:paraId="3904D20A">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609" w:type="pct"/>
            <w:noWrap w:val="0"/>
            <w:vAlign w:val="center"/>
          </w:tcPr>
          <w:p w14:paraId="1242AE29">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1.233t/a</w:t>
            </w:r>
          </w:p>
        </w:tc>
        <w:tc>
          <w:tcPr>
            <w:tcW w:w="570" w:type="pct"/>
            <w:noWrap w:val="0"/>
            <w:vAlign w:val="center"/>
          </w:tcPr>
          <w:p w14:paraId="1B12026E">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cs="Times New Roman"/>
                <w:b w:val="0"/>
                <w:bCs/>
                <w:color w:val="auto"/>
                <w:kern w:val="2"/>
                <w:sz w:val="21"/>
                <w:szCs w:val="21"/>
                <w:lang w:val="en-US" w:eastAsia="zh-CN" w:bidi="ar-SA"/>
              </w:rPr>
            </w:pPr>
            <w:r>
              <w:rPr>
                <w:rFonts w:hint="default" w:cs="Times New Roman"/>
                <w:b w:val="0"/>
                <w:bCs/>
                <w:color w:val="auto"/>
                <w:kern w:val="2"/>
                <w:sz w:val="21"/>
                <w:szCs w:val="21"/>
                <w:lang w:val="en-US" w:eastAsia="zh-CN" w:bidi="ar-SA"/>
              </w:rPr>
              <w:t>/</w:t>
            </w:r>
          </w:p>
        </w:tc>
        <w:tc>
          <w:tcPr>
            <w:tcW w:w="707" w:type="pct"/>
            <w:noWrap w:val="0"/>
            <w:vAlign w:val="center"/>
          </w:tcPr>
          <w:p w14:paraId="57B6923D">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1.233t/a</w:t>
            </w:r>
          </w:p>
        </w:tc>
        <w:tc>
          <w:tcPr>
            <w:tcW w:w="445" w:type="pct"/>
            <w:noWrap w:val="0"/>
            <w:vAlign w:val="center"/>
          </w:tcPr>
          <w:p w14:paraId="59BBC14C">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+1.233t/a</w:t>
            </w:r>
          </w:p>
        </w:tc>
      </w:tr>
      <w:tr w14:paraId="1F1CC7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21" w:type="pct"/>
            <w:vMerge w:val="continue"/>
            <w:noWrap w:val="0"/>
            <w:vAlign w:val="center"/>
          </w:tcPr>
          <w:p w14:paraId="77664279">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b w:val="0"/>
                <w:bCs/>
                <w:snapToGrid w:val="0"/>
                <w:color w:val="auto"/>
                <w:kern w:val="21"/>
                <w:sz w:val="21"/>
                <w:szCs w:val="21"/>
              </w:rPr>
            </w:pPr>
          </w:p>
        </w:tc>
        <w:tc>
          <w:tcPr>
            <w:tcW w:w="479" w:type="pct"/>
            <w:noWrap w:val="0"/>
            <w:vAlign w:val="center"/>
          </w:tcPr>
          <w:p w14:paraId="4B8369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bCs/>
                <w:color w:val="auto"/>
                <w:sz w:val="21"/>
                <w:szCs w:val="21"/>
                <w:lang w:val="en-US" w:eastAsia="zh-CN"/>
              </w:rPr>
            </w:pPr>
            <w:r>
              <w:rPr>
                <w:rFonts w:hint="eastAsia" w:cs="Times New Roman"/>
                <w:b w:val="0"/>
                <w:bCs/>
                <w:color w:val="auto"/>
                <w:sz w:val="21"/>
                <w:szCs w:val="21"/>
                <w:lang w:val="en-US" w:eastAsia="zh-CN"/>
              </w:rPr>
              <w:t>非甲烷总烃</w:t>
            </w:r>
          </w:p>
        </w:tc>
        <w:tc>
          <w:tcPr>
            <w:tcW w:w="655" w:type="pct"/>
            <w:noWrap w:val="0"/>
            <w:vAlign w:val="center"/>
          </w:tcPr>
          <w:p w14:paraId="29DDBD4E">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eastAsia" w:ascii="Times New Roman" w:hAnsi="Times New Roman" w:eastAsia="宋体" w:cs="Times New Roman"/>
                <w:snapToGrid w:val="0"/>
                <w:color w:val="auto"/>
                <w:kern w:val="21"/>
                <w:sz w:val="21"/>
                <w:szCs w:val="21"/>
                <w:lang w:val="en-US" w:eastAsia="zh-CN"/>
              </w:rPr>
            </w:pPr>
            <w:r>
              <w:rPr>
                <w:rFonts w:hint="eastAsia" w:ascii="Times New Roman" w:cs="Times New Roman"/>
                <w:snapToGrid w:val="0"/>
                <w:color w:val="auto"/>
                <w:kern w:val="21"/>
                <w:sz w:val="21"/>
                <w:szCs w:val="21"/>
                <w:lang w:val="en-US" w:eastAsia="zh-CN"/>
              </w:rPr>
              <w:t>/</w:t>
            </w:r>
          </w:p>
        </w:tc>
        <w:tc>
          <w:tcPr>
            <w:tcW w:w="454" w:type="pct"/>
            <w:noWrap w:val="0"/>
            <w:vAlign w:val="center"/>
          </w:tcPr>
          <w:p w14:paraId="6E99594F">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eastAsia" w:ascii="Times New Roman" w:hAnsi="Times New Roman" w:eastAsia="宋体" w:cs="Times New Roman"/>
                <w:snapToGrid w:val="0"/>
                <w:color w:val="auto"/>
                <w:kern w:val="21"/>
                <w:sz w:val="21"/>
                <w:szCs w:val="21"/>
                <w:lang w:val="en-US" w:eastAsia="zh-CN"/>
              </w:rPr>
            </w:pPr>
            <w:r>
              <w:rPr>
                <w:rFonts w:hint="eastAsia" w:ascii="Times New Roman" w:cs="Times New Roman"/>
                <w:snapToGrid w:val="0"/>
                <w:color w:val="auto"/>
                <w:kern w:val="21"/>
                <w:sz w:val="21"/>
                <w:szCs w:val="21"/>
                <w:lang w:val="en-US" w:eastAsia="zh-CN"/>
              </w:rPr>
              <w:t>/</w:t>
            </w:r>
          </w:p>
        </w:tc>
        <w:tc>
          <w:tcPr>
            <w:tcW w:w="654" w:type="pct"/>
            <w:noWrap w:val="0"/>
            <w:vAlign w:val="center"/>
          </w:tcPr>
          <w:p w14:paraId="726F1278">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eastAsia" w:ascii="Times New Roman" w:hAnsi="Times New Roman" w:eastAsia="宋体" w:cs="Times New Roman"/>
                <w:snapToGrid w:val="0"/>
                <w:color w:val="auto"/>
                <w:kern w:val="21"/>
                <w:sz w:val="21"/>
                <w:szCs w:val="21"/>
                <w:lang w:val="en-US" w:eastAsia="zh-CN"/>
              </w:rPr>
            </w:pPr>
            <w:r>
              <w:rPr>
                <w:rFonts w:hint="eastAsia" w:ascii="Times New Roman" w:cs="Times New Roman"/>
                <w:snapToGrid w:val="0"/>
                <w:color w:val="auto"/>
                <w:kern w:val="21"/>
                <w:sz w:val="21"/>
                <w:szCs w:val="21"/>
                <w:lang w:val="en-US" w:eastAsia="zh-CN"/>
              </w:rPr>
              <w:t>/</w:t>
            </w:r>
          </w:p>
        </w:tc>
        <w:tc>
          <w:tcPr>
            <w:tcW w:w="609" w:type="pct"/>
            <w:noWrap w:val="0"/>
            <w:vAlign w:val="center"/>
          </w:tcPr>
          <w:p w14:paraId="310BA4EC">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0.016t/a</w:t>
            </w:r>
          </w:p>
        </w:tc>
        <w:tc>
          <w:tcPr>
            <w:tcW w:w="570" w:type="pct"/>
            <w:noWrap w:val="0"/>
            <w:vAlign w:val="center"/>
          </w:tcPr>
          <w:p w14:paraId="5C38EBD1">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w:t>
            </w:r>
          </w:p>
        </w:tc>
        <w:tc>
          <w:tcPr>
            <w:tcW w:w="707" w:type="pct"/>
            <w:noWrap w:val="0"/>
            <w:vAlign w:val="center"/>
          </w:tcPr>
          <w:p w14:paraId="126A37EE">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0.016t/a</w:t>
            </w:r>
          </w:p>
        </w:tc>
        <w:tc>
          <w:tcPr>
            <w:tcW w:w="445" w:type="pct"/>
            <w:noWrap w:val="0"/>
            <w:vAlign w:val="center"/>
          </w:tcPr>
          <w:p w14:paraId="319A8BD0">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+0.016t/a</w:t>
            </w:r>
          </w:p>
        </w:tc>
      </w:tr>
      <w:tr w14:paraId="37A2AE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21" w:type="pct"/>
            <w:vMerge w:val="restart"/>
            <w:noWrap w:val="0"/>
            <w:vAlign w:val="center"/>
          </w:tcPr>
          <w:p w14:paraId="20053C71">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val="0"/>
                <w:bCs/>
                <w:snapToGrid w:val="0"/>
                <w:color w:val="auto"/>
                <w:kern w:val="21"/>
                <w:sz w:val="21"/>
                <w:szCs w:val="21"/>
              </w:rPr>
            </w:pPr>
            <w:r>
              <w:rPr>
                <w:rFonts w:hint="default" w:ascii="Times New Roman" w:hAnsi="Times New Roman" w:eastAsia="宋体" w:cs="Times New Roman"/>
                <w:b w:val="0"/>
                <w:bCs/>
                <w:snapToGrid w:val="0"/>
                <w:color w:val="auto"/>
                <w:kern w:val="21"/>
                <w:sz w:val="21"/>
                <w:szCs w:val="21"/>
              </w:rPr>
              <w:t>废水</w:t>
            </w:r>
          </w:p>
        </w:tc>
        <w:tc>
          <w:tcPr>
            <w:tcW w:w="479" w:type="pct"/>
            <w:noWrap w:val="0"/>
            <w:vAlign w:val="center"/>
          </w:tcPr>
          <w:p w14:paraId="2E6EE04F">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val="0"/>
                <w:bCs/>
                <w:snapToGrid w:val="0"/>
                <w:color w:val="auto"/>
                <w:kern w:val="21"/>
                <w:sz w:val="21"/>
                <w:szCs w:val="21"/>
                <w:lang w:val="en-US" w:eastAsia="zh-CN"/>
              </w:rPr>
            </w:pPr>
            <w:r>
              <w:rPr>
                <w:rFonts w:hint="default" w:ascii="Times New Roman" w:hAnsi="Times New Roman" w:eastAsia="宋体" w:cs="Times New Roman"/>
                <w:b w:val="0"/>
                <w:bCs/>
                <w:snapToGrid w:val="0"/>
                <w:color w:val="auto"/>
                <w:kern w:val="21"/>
                <w:sz w:val="21"/>
                <w:szCs w:val="21"/>
                <w:lang w:val="en-US" w:eastAsia="zh-CN"/>
              </w:rPr>
              <w:t>化学需氧量</w:t>
            </w:r>
          </w:p>
        </w:tc>
        <w:tc>
          <w:tcPr>
            <w:tcW w:w="655" w:type="pct"/>
            <w:noWrap w:val="0"/>
            <w:vAlign w:val="center"/>
          </w:tcPr>
          <w:p w14:paraId="52AD078E">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snapToGrid w:val="0"/>
                <w:color w:val="auto"/>
                <w:kern w:val="21"/>
                <w:sz w:val="21"/>
                <w:szCs w:val="21"/>
                <w:lang w:val="en-US" w:eastAsia="zh-CN" w:bidi="ar-SA"/>
              </w:rPr>
            </w:pPr>
            <w:r>
              <w:rPr>
                <w:rFonts w:hint="default" w:ascii="Times New Roman" w:hAnsi="Times New Roman" w:cs="Times New Roman"/>
                <w:snapToGrid w:val="0"/>
                <w:color w:val="auto"/>
                <w:kern w:val="21"/>
                <w:sz w:val="21"/>
                <w:szCs w:val="21"/>
              </w:rPr>
              <w:t>/</w:t>
            </w:r>
          </w:p>
        </w:tc>
        <w:tc>
          <w:tcPr>
            <w:tcW w:w="454" w:type="pct"/>
            <w:noWrap w:val="0"/>
            <w:vAlign w:val="center"/>
          </w:tcPr>
          <w:p w14:paraId="0E88E238">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654" w:type="pct"/>
            <w:noWrap w:val="0"/>
            <w:vAlign w:val="center"/>
          </w:tcPr>
          <w:p w14:paraId="1C2CDD44">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609" w:type="pct"/>
            <w:noWrap w:val="0"/>
            <w:vAlign w:val="center"/>
          </w:tcPr>
          <w:p w14:paraId="75C9EFC1">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0.63</w:t>
            </w:r>
            <w:r>
              <w:rPr>
                <w:rFonts w:hint="eastAsia" w:ascii="Times New Roman" w:hAnsi="Times New Roman" w:eastAsia="宋体" w:cs="Times New Roman"/>
                <w:b w:val="0"/>
                <w:bCs/>
                <w:color w:val="auto"/>
                <w:sz w:val="21"/>
                <w:szCs w:val="21"/>
                <w:lang w:val="en-US" w:eastAsia="zh-CN"/>
              </w:rPr>
              <w:t>t/a</w:t>
            </w:r>
          </w:p>
        </w:tc>
        <w:tc>
          <w:tcPr>
            <w:tcW w:w="570" w:type="pct"/>
            <w:noWrap w:val="0"/>
            <w:vAlign w:val="center"/>
          </w:tcPr>
          <w:p w14:paraId="0012D6F7">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707" w:type="pct"/>
            <w:noWrap w:val="0"/>
            <w:vAlign w:val="center"/>
          </w:tcPr>
          <w:p w14:paraId="7BBA81F8">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0.63</w:t>
            </w:r>
            <w:r>
              <w:rPr>
                <w:rFonts w:hint="eastAsia" w:ascii="Times New Roman" w:hAnsi="Times New Roman" w:eastAsia="宋体" w:cs="Times New Roman"/>
                <w:b w:val="0"/>
                <w:bCs/>
                <w:color w:val="auto"/>
                <w:sz w:val="21"/>
                <w:szCs w:val="21"/>
                <w:lang w:val="en-US" w:eastAsia="zh-CN"/>
              </w:rPr>
              <w:t>t/a</w:t>
            </w:r>
          </w:p>
        </w:tc>
        <w:tc>
          <w:tcPr>
            <w:tcW w:w="445" w:type="pct"/>
            <w:noWrap w:val="0"/>
            <w:vAlign w:val="center"/>
          </w:tcPr>
          <w:p w14:paraId="4D252334">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+0.63</w:t>
            </w:r>
            <w:r>
              <w:rPr>
                <w:rFonts w:hint="eastAsia" w:ascii="Times New Roman" w:hAnsi="Times New Roman" w:eastAsia="宋体" w:cs="Times New Roman"/>
                <w:b w:val="0"/>
                <w:bCs/>
                <w:color w:val="auto"/>
                <w:sz w:val="21"/>
                <w:szCs w:val="21"/>
                <w:lang w:val="en-US" w:eastAsia="zh-CN"/>
              </w:rPr>
              <w:t>t/a</w:t>
            </w:r>
          </w:p>
        </w:tc>
      </w:tr>
      <w:tr w14:paraId="1079B8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421" w:type="pct"/>
            <w:vMerge w:val="continue"/>
            <w:noWrap w:val="0"/>
            <w:vAlign w:val="center"/>
          </w:tcPr>
          <w:p w14:paraId="35E70EF4">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val="0"/>
                <w:bCs/>
                <w:snapToGrid w:val="0"/>
                <w:color w:val="auto"/>
                <w:kern w:val="21"/>
                <w:sz w:val="21"/>
                <w:szCs w:val="21"/>
              </w:rPr>
            </w:pPr>
          </w:p>
        </w:tc>
        <w:tc>
          <w:tcPr>
            <w:tcW w:w="479" w:type="pct"/>
            <w:noWrap w:val="0"/>
            <w:vAlign w:val="center"/>
          </w:tcPr>
          <w:p w14:paraId="2C8116EC">
            <w:pPr>
              <w:pStyle w:val="33"/>
              <w:keepNext w:val="0"/>
              <w:keepLines w:val="0"/>
              <w:pageBreakBefore w:val="0"/>
              <w:kinsoku/>
              <w:wordWrap/>
              <w:overflowPunct/>
              <w:topLinePunct w:val="0"/>
              <w:autoSpaceDE/>
              <w:autoSpaceDN/>
              <w:bidi w:val="0"/>
              <w:adjustRightInd w:val="0"/>
              <w:snapToGrid w:val="0"/>
              <w:spacing w:beforeLines="0" w:beforeAutospacing="0" w:afterLines="0" w:afterAutospacing="0" w:line="240" w:lineRule="auto"/>
              <w:ind w:firstLine="0" w:firstLineChars="0"/>
              <w:jc w:val="center"/>
              <w:textAlignment w:val="auto"/>
              <w:rPr>
                <w:rFonts w:hint="default" w:ascii="Times New Roman" w:hAnsi="Times New Roman" w:eastAsia="宋体" w:cs="Times New Roman"/>
                <w:b w:val="0"/>
                <w:bCs/>
                <w:snapToGrid w:val="0"/>
                <w:color w:val="auto"/>
                <w:kern w:val="21"/>
                <w:sz w:val="21"/>
                <w:szCs w:val="21"/>
                <w:lang w:val="en-US" w:eastAsia="zh-CN"/>
              </w:rPr>
            </w:pPr>
            <w:r>
              <w:rPr>
                <w:rFonts w:hint="default" w:ascii="Times New Roman" w:hAnsi="Times New Roman" w:eastAsia="宋体" w:cs="Times New Roman"/>
                <w:b w:val="0"/>
                <w:bCs/>
                <w:snapToGrid w:val="0"/>
                <w:color w:val="auto"/>
                <w:kern w:val="21"/>
                <w:sz w:val="21"/>
                <w:szCs w:val="21"/>
                <w:lang w:val="en-US" w:eastAsia="zh-CN"/>
              </w:rPr>
              <w:t>五日生化</w:t>
            </w:r>
          </w:p>
          <w:p w14:paraId="03EB35B4">
            <w:pPr>
              <w:pStyle w:val="33"/>
              <w:keepNext w:val="0"/>
              <w:keepLines w:val="0"/>
              <w:pageBreakBefore w:val="0"/>
              <w:kinsoku/>
              <w:wordWrap/>
              <w:overflowPunct/>
              <w:topLinePunct w:val="0"/>
              <w:autoSpaceDE/>
              <w:autoSpaceDN/>
              <w:bidi w:val="0"/>
              <w:adjustRightInd w:val="0"/>
              <w:snapToGrid w:val="0"/>
              <w:spacing w:beforeLines="0" w:beforeAutospacing="0" w:afterLines="0" w:afterAutospacing="0" w:line="240" w:lineRule="auto"/>
              <w:ind w:firstLine="0" w:firstLineChars="0"/>
              <w:jc w:val="center"/>
              <w:textAlignment w:val="auto"/>
              <w:rPr>
                <w:rFonts w:hint="default" w:ascii="Times New Roman" w:hAnsi="Times New Roman" w:eastAsia="宋体" w:cs="Times New Roman"/>
                <w:b w:val="0"/>
                <w:bCs/>
                <w:snapToGrid w:val="0"/>
                <w:color w:val="auto"/>
                <w:kern w:val="21"/>
                <w:sz w:val="21"/>
                <w:szCs w:val="21"/>
                <w:lang w:val="en-US" w:eastAsia="zh-CN"/>
              </w:rPr>
            </w:pPr>
            <w:r>
              <w:rPr>
                <w:rFonts w:hint="default" w:ascii="Times New Roman" w:hAnsi="Times New Roman" w:eastAsia="宋体" w:cs="Times New Roman"/>
                <w:b w:val="0"/>
                <w:bCs/>
                <w:snapToGrid w:val="0"/>
                <w:color w:val="auto"/>
                <w:kern w:val="21"/>
                <w:sz w:val="21"/>
                <w:szCs w:val="21"/>
                <w:lang w:val="en-US" w:eastAsia="zh-CN"/>
              </w:rPr>
              <w:t>需氧量</w:t>
            </w:r>
          </w:p>
        </w:tc>
        <w:tc>
          <w:tcPr>
            <w:tcW w:w="655" w:type="pct"/>
            <w:noWrap w:val="0"/>
            <w:vAlign w:val="center"/>
          </w:tcPr>
          <w:p w14:paraId="624F5810">
            <w:pPr>
              <w:pStyle w:val="33"/>
              <w:keepNext w:val="0"/>
              <w:keepLines w:val="0"/>
              <w:pageBreakBefore w:val="0"/>
              <w:kinsoku/>
              <w:wordWrap/>
              <w:overflowPunct/>
              <w:topLinePunct w:val="0"/>
              <w:autoSpaceDE/>
              <w:autoSpaceDN/>
              <w:bidi w:val="0"/>
              <w:adjustRightInd w:val="0"/>
              <w:snapToGrid w:val="0"/>
              <w:spacing w:beforeLines="0" w:beforeAutospacing="0" w:afterLines="0" w:afterAutospacing="0" w:line="240" w:lineRule="auto"/>
              <w:ind w:firstLine="0" w:firstLineChars="0"/>
              <w:jc w:val="center"/>
              <w:textAlignment w:val="auto"/>
              <w:rPr>
                <w:rFonts w:hint="default" w:ascii="Times New Roman" w:hAnsi="Times New Roman" w:eastAsia="宋体" w:cs="Times New Roman"/>
                <w:b/>
                <w:snapToGrid w:val="0"/>
                <w:color w:val="auto"/>
                <w:kern w:val="21"/>
                <w:sz w:val="21"/>
                <w:szCs w:val="21"/>
                <w:lang w:val="en-US" w:eastAsia="zh-CN" w:bidi="ar-SA"/>
              </w:rPr>
            </w:pPr>
            <w:r>
              <w:rPr>
                <w:rFonts w:hint="default" w:ascii="Times New Roman" w:hAnsi="Times New Roman" w:cs="Times New Roman"/>
                <w:snapToGrid w:val="0"/>
                <w:color w:val="auto"/>
                <w:kern w:val="21"/>
                <w:sz w:val="21"/>
                <w:szCs w:val="21"/>
              </w:rPr>
              <w:t>/</w:t>
            </w:r>
          </w:p>
        </w:tc>
        <w:tc>
          <w:tcPr>
            <w:tcW w:w="454" w:type="pct"/>
            <w:noWrap w:val="0"/>
            <w:vAlign w:val="center"/>
          </w:tcPr>
          <w:p w14:paraId="71EA856D">
            <w:pPr>
              <w:pStyle w:val="33"/>
              <w:keepNext w:val="0"/>
              <w:keepLines w:val="0"/>
              <w:pageBreakBefore w:val="0"/>
              <w:kinsoku/>
              <w:wordWrap/>
              <w:overflowPunct/>
              <w:topLinePunct w:val="0"/>
              <w:autoSpaceDE/>
              <w:autoSpaceDN/>
              <w:bidi w:val="0"/>
              <w:adjustRightInd w:val="0"/>
              <w:snapToGrid w:val="0"/>
              <w:spacing w:beforeLines="0" w:beforeAutospacing="0" w:afterLines="0" w:afterAutospacing="0"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654" w:type="pct"/>
            <w:noWrap w:val="0"/>
            <w:vAlign w:val="center"/>
          </w:tcPr>
          <w:p w14:paraId="2D5BF757">
            <w:pPr>
              <w:pStyle w:val="33"/>
              <w:keepNext w:val="0"/>
              <w:keepLines w:val="0"/>
              <w:pageBreakBefore w:val="0"/>
              <w:kinsoku/>
              <w:wordWrap/>
              <w:overflowPunct/>
              <w:topLinePunct w:val="0"/>
              <w:autoSpaceDE/>
              <w:autoSpaceDN/>
              <w:bidi w:val="0"/>
              <w:adjustRightInd w:val="0"/>
              <w:snapToGrid w:val="0"/>
              <w:spacing w:beforeLines="0" w:beforeAutospacing="0" w:afterLines="0" w:afterAutospacing="0"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609" w:type="pct"/>
            <w:noWrap w:val="0"/>
            <w:vAlign w:val="center"/>
          </w:tcPr>
          <w:p w14:paraId="04EAFF56">
            <w:pPr>
              <w:keepNext w:val="0"/>
              <w:keepLines w:val="0"/>
              <w:pageBreakBefore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0.45</w:t>
            </w:r>
            <w:r>
              <w:rPr>
                <w:rFonts w:hint="eastAsia" w:ascii="Times New Roman" w:hAnsi="Times New Roman" w:eastAsia="宋体" w:cs="Times New Roman"/>
                <w:b w:val="0"/>
                <w:bCs/>
                <w:color w:val="auto"/>
                <w:sz w:val="21"/>
                <w:szCs w:val="21"/>
                <w:lang w:val="en-US" w:eastAsia="zh-CN"/>
              </w:rPr>
              <w:t>t/a</w:t>
            </w:r>
          </w:p>
        </w:tc>
        <w:tc>
          <w:tcPr>
            <w:tcW w:w="570" w:type="pct"/>
            <w:noWrap w:val="0"/>
            <w:vAlign w:val="center"/>
          </w:tcPr>
          <w:p w14:paraId="400C8BFC">
            <w:pPr>
              <w:pStyle w:val="33"/>
              <w:keepNext w:val="0"/>
              <w:keepLines w:val="0"/>
              <w:pageBreakBefore w:val="0"/>
              <w:kinsoku/>
              <w:wordWrap/>
              <w:overflowPunct/>
              <w:topLinePunct w:val="0"/>
              <w:autoSpaceDE/>
              <w:autoSpaceDN/>
              <w:bidi w:val="0"/>
              <w:adjustRightInd w:val="0"/>
              <w:snapToGrid w:val="0"/>
              <w:spacing w:beforeLines="0" w:beforeAutospacing="0" w:afterLines="0" w:afterAutospacing="0"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707" w:type="pct"/>
            <w:noWrap w:val="0"/>
            <w:vAlign w:val="center"/>
          </w:tcPr>
          <w:p w14:paraId="43FE1459">
            <w:pPr>
              <w:keepNext w:val="0"/>
              <w:keepLines w:val="0"/>
              <w:pageBreakBefore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0.45</w:t>
            </w:r>
            <w:r>
              <w:rPr>
                <w:rFonts w:hint="eastAsia" w:ascii="Times New Roman" w:hAnsi="Times New Roman" w:eastAsia="宋体" w:cs="Times New Roman"/>
                <w:b w:val="0"/>
                <w:bCs/>
                <w:color w:val="auto"/>
                <w:sz w:val="21"/>
                <w:szCs w:val="21"/>
                <w:lang w:val="en-US" w:eastAsia="zh-CN"/>
              </w:rPr>
              <w:t>t/a</w:t>
            </w:r>
          </w:p>
        </w:tc>
        <w:tc>
          <w:tcPr>
            <w:tcW w:w="445" w:type="pct"/>
            <w:noWrap w:val="0"/>
            <w:vAlign w:val="center"/>
          </w:tcPr>
          <w:p w14:paraId="129572CB">
            <w:pPr>
              <w:keepNext w:val="0"/>
              <w:keepLines w:val="0"/>
              <w:pageBreakBefore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+0.45</w:t>
            </w:r>
            <w:r>
              <w:rPr>
                <w:rFonts w:hint="eastAsia" w:ascii="Times New Roman" w:hAnsi="Times New Roman" w:eastAsia="宋体" w:cs="Times New Roman"/>
                <w:b w:val="0"/>
                <w:bCs/>
                <w:color w:val="auto"/>
                <w:sz w:val="21"/>
                <w:szCs w:val="21"/>
                <w:lang w:val="en-US" w:eastAsia="zh-CN"/>
              </w:rPr>
              <w:t>t/a</w:t>
            </w:r>
          </w:p>
        </w:tc>
      </w:tr>
      <w:tr w14:paraId="494AF0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21" w:type="pct"/>
            <w:vMerge w:val="continue"/>
            <w:noWrap w:val="0"/>
            <w:vAlign w:val="center"/>
          </w:tcPr>
          <w:p w14:paraId="26E875B9">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val="0"/>
                <w:bCs/>
                <w:snapToGrid w:val="0"/>
                <w:color w:val="auto"/>
                <w:kern w:val="21"/>
                <w:sz w:val="21"/>
                <w:szCs w:val="21"/>
              </w:rPr>
            </w:pPr>
          </w:p>
        </w:tc>
        <w:tc>
          <w:tcPr>
            <w:tcW w:w="479" w:type="pct"/>
            <w:noWrap w:val="0"/>
            <w:vAlign w:val="center"/>
          </w:tcPr>
          <w:p w14:paraId="38E6501D">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val="0"/>
                <w:bCs/>
                <w:snapToGrid w:val="0"/>
                <w:color w:val="auto"/>
                <w:kern w:val="21"/>
                <w:sz w:val="21"/>
                <w:szCs w:val="21"/>
                <w:lang w:val="en-US" w:eastAsia="zh-CN"/>
              </w:rPr>
            </w:pPr>
            <w:r>
              <w:rPr>
                <w:rFonts w:hint="default" w:ascii="Times New Roman" w:hAnsi="Times New Roman" w:eastAsia="宋体" w:cs="Times New Roman"/>
                <w:b w:val="0"/>
                <w:bCs/>
                <w:snapToGrid w:val="0"/>
                <w:color w:val="auto"/>
                <w:kern w:val="21"/>
                <w:sz w:val="21"/>
                <w:szCs w:val="21"/>
                <w:lang w:val="en-US" w:eastAsia="zh-CN"/>
              </w:rPr>
              <w:t>悬浮物</w:t>
            </w:r>
          </w:p>
        </w:tc>
        <w:tc>
          <w:tcPr>
            <w:tcW w:w="655" w:type="pct"/>
            <w:noWrap w:val="0"/>
            <w:vAlign w:val="center"/>
          </w:tcPr>
          <w:p w14:paraId="125A5C3B">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snapToGrid w:val="0"/>
                <w:color w:val="auto"/>
                <w:kern w:val="21"/>
                <w:sz w:val="21"/>
                <w:szCs w:val="21"/>
                <w:lang w:val="en-US" w:eastAsia="zh-CN" w:bidi="ar-SA"/>
              </w:rPr>
            </w:pPr>
            <w:r>
              <w:rPr>
                <w:rFonts w:hint="default" w:ascii="Times New Roman" w:hAnsi="Times New Roman" w:cs="Times New Roman"/>
                <w:snapToGrid w:val="0"/>
                <w:color w:val="auto"/>
                <w:kern w:val="21"/>
                <w:sz w:val="21"/>
                <w:szCs w:val="21"/>
              </w:rPr>
              <w:t>/</w:t>
            </w:r>
          </w:p>
        </w:tc>
        <w:tc>
          <w:tcPr>
            <w:tcW w:w="454" w:type="pct"/>
            <w:noWrap w:val="0"/>
            <w:vAlign w:val="center"/>
          </w:tcPr>
          <w:p w14:paraId="7BF4C987">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654" w:type="pct"/>
            <w:noWrap w:val="0"/>
            <w:vAlign w:val="center"/>
          </w:tcPr>
          <w:p w14:paraId="1E7E5161">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609" w:type="pct"/>
            <w:noWrap w:val="0"/>
            <w:vAlign w:val="center"/>
          </w:tcPr>
          <w:p w14:paraId="644DAD2A">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0.36</w:t>
            </w:r>
            <w:r>
              <w:rPr>
                <w:rFonts w:hint="eastAsia" w:ascii="Times New Roman" w:hAnsi="Times New Roman" w:eastAsia="宋体" w:cs="Times New Roman"/>
                <w:b w:val="0"/>
                <w:bCs/>
                <w:color w:val="auto"/>
                <w:sz w:val="21"/>
                <w:szCs w:val="21"/>
                <w:lang w:val="en-US" w:eastAsia="zh-CN"/>
              </w:rPr>
              <w:t>t/a</w:t>
            </w:r>
          </w:p>
        </w:tc>
        <w:tc>
          <w:tcPr>
            <w:tcW w:w="570" w:type="pct"/>
            <w:noWrap w:val="0"/>
            <w:vAlign w:val="center"/>
          </w:tcPr>
          <w:p w14:paraId="45639951">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707" w:type="pct"/>
            <w:noWrap w:val="0"/>
            <w:vAlign w:val="center"/>
          </w:tcPr>
          <w:p w14:paraId="47CE1817">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0.36</w:t>
            </w:r>
            <w:r>
              <w:rPr>
                <w:rFonts w:hint="eastAsia" w:ascii="Times New Roman" w:hAnsi="Times New Roman" w:eastAsia="宋体" w:cs="Times New Roman"/>
                <w:b w:val="0"/>
                <w:bCs/>
                <w:color w:val="auto"/>
                <w:sz w:val="21"/>
                <w:szCs w:val="21"/>
                <w:lang w:val="en-US" w:eastAsia="zh-CN"/>
              </w:rPr>
              <w:t>t/a</w:t>
            </w:r>
          </w:p>
        </w:tc>
        <w:tc>
          <w:tcPr>
            <w:tcW w:w="445" w:type="pct"/>
            <w:noWrap w:val="0"/>
            <w:vAlign w:val="center"/>
          </w:tcPr>
          <w:p w14:paraId="55C14DA3">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+0.36</w:t>
            </w:r>
            <w:r>
              <w:rPr>
                <w:rFonts w:hint="eastAsia" w:ascii="Times New Roman" w:hAnsi="Times New Roman" w:eastAsia="宋体" w:cs="Times New Roman"/>
                <w:b w:val="0"/>
                <w:bCs/>
                <w:color w:val="auto"/>
                <w:sz w:val="21"/>
                <w:szCs w:val="21"/>
                <w:lang w:val="en-US" w:eastAsia="zh-CN"/>
              </w:rPr>
              <w:t>t/a</w:t>
            </w:r>
          </w:p>
        </w:tc>
      </w:tr>
      <w:tr w14:paraId="72EFD5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21" w:type="pct"/>
            <w:vMerge w:val="continue"/>
            <w:noWrap w:val="0"/>
            <w:vAlign w:val="center"/>
          </w:tcPr>
          <w:p w14:paraId="18AD8DDD">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val="0"/>
                <w:bCs/>
                <w:snapToGrid w:val="0"/>
                <w:color w:val="auto"/>
                <w:kern w:val="21"/>
                <w:sz w:val="21"/>
                <w:szCs w:val="21"/>
              </w:rPr>
            </w:pPr>
          </w:p>
        </w:tc>
        <w:tc>
          <w:tcPr>
            <w:tcW w:w="479" w:type="pct"/>
            <w:noWrap w:val="0"/>
            <w:vAlign w:val="center"/>
          </w:tcPr>
          <w:p w14:paraId="0A64C1DF">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val="0"/>
                <w:bCs/>
                <w:snapToGrid w:val="0"/>
                <w:color w:val="auto"/>
                <w:kern w:val="21"/>
                <w:sz w:val="21"/>
                <w:szCs w:val="21"/>
                <w:lang w:val="en-US" w:eastAsia="zh-CN"/>
              </w:rPr>
            </w:pPr>
            <w:r>
              <w:rPr>
                <w:rFonts w:hint="default" w:ascii="Times New Roman" w:hAnsi="Times New Roman" w:eastAsia="宋体" w:cs="Times New Roman"/>
                <w:b w:val="0"/>
                <w:bCs/>
                <w:snapToGrid w:val="0"/>
                <w:color w:val="auto"/>
                <w:kern w:val="21"/>
                <w:sz w:val="21"/>
                <w:szCs w:val="21"/>
                <w:lang w:val="en-US" w:eastAsia="zh-CN"/>
              </w:rPr>
              <w:t>氨氮</w:t>
            </w:r>
          </w:p>
        </w:tc>
        <w:tc>
          <w:tcPr>
            <w:tcW w:w="655" w:type="pct"/>
            <w:noWrap w:val="0"/>
            <w:vAlign w:val="center"/>
          </w:tcPr>
          <w:p w14:paraId="444F10C3">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snapToGrid w:val="0"/>
                <w:color w:val="auto"/>
                <w:kern w:val="21"/>
                <w:sz w:val="21"/>
                <w:szCs w:val="21"/>
                <w:lang w:val="en-US" w:eastAsia="zh-CN" w:bidi="ar-SA"/>
              </w:rPr>
            </w:pPr>
            <w:r>
              <w:rPr>
                <w:rFonts w:hint="default" w:ascii="Times New Roman" w:hAnsi="Times New Roman" w:cs="Times New Roman"/>
                <w:snapToGrid w:val="0"/>
                <w:color w:val="auto"/>
                <w:kern w:val="21"/>
                <w:sz w:val="21"/>
                <w:szCs w:val="21"/>
              </w:rPr>
              <w:t>/</w:t>
            </w:r>
          </w:p>
        </w:tc>
        <w:tc>
          <w:tcPr>
            <w:tcW w:w="454" w:type="pct"/>
            <w:noWrap w:val="0"/>
            <w:vAlign w:val="center"/>
          </w:tcPr>
          <w:p w14:paraId="26A80906">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654" w:type="pct"/>
            <w:noWrap w:val="0"/>
            <w:vAlign w:val="center"/>
          </w:tcPr>
          <w:p w14:paraId="72E97794">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609" w:type="pct"/>
            <w:noWrap w:val="0"/>
            <w:vAlign w:val="center"/>
          </w:tcPr>
          <w:p w14:paraId="4EDB6C9B">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0.072</w:t>
            </w:r>
            <w:r>
              <w:rPr>
                <w:rFonts w:hint="eastAsia" w:ascii="Times New Roman" w:hAnsi="Times New Roman" w:eastAsia="宋体" w:cs="Times New Roman"/>
                <w:b w:val="0"/>
                <w:bCs/>
                <w:color w:val="auto"/>
                <w:sz w:val="21"/>
                <w:szCs w:val="21"/>
                <w:lang w:val="en-US" w:eastAsia="zh-CN"/>
              </w:rPr>
              <w:t>t/a</w:t>
            </w:r>
          </w:p>
        </w:tc>
        <w:tc>
          <w:tcPr>
            <w:tcW w:w="570" w:type="pct"/>
            <w:noWrap w:val="0"/>
            <w:vAlign w:val="center"/>
          </w:tcPr>
          <w:p w14:paraId="06676B8D">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707" w:type="pct"/>
            <w:noWrap w:val="0"/>
            <w:vAlign w:val="center"/>
          </w:tcPr>
          <w:p w14:paraId="35FAC1A0">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0.072</w:t>
            </w:r>
            <w:r>
              <w:rPr>
                <w:rFonts w:hint="eastAsia" w:ascii="Times New Roman" w:hAnsi="Times New Roman" w:eastAsia="宋体" w:cs="Times New Roman"/>
                <w:b w:val="0"/>
                <w:bCs/>
                <w:color w:val="auto"/>
                <w:sz w:val="21"/>
                <w:szCs w:val="21"/>
                <w:lang w:val="en-US" w:eastAsia="zh-CN"/>
              </w:rPr>
              <w:t>t/a</w:t>
            </w:r>
          </w:p>
        </w:tc>
        <w:tc>
          <w:tcPr>
            <w:tcW w:w="445" w:type="pct"/>
            <w:noWrap w:val="0"/>
            <w:vAlign w:val="center"/>
          </w:tcPr>
          <w:p w14:paraId="3B271C9E">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+0.072</w:t>
            </w:r>
            <w:r>
              <w:rPr>
                <w:rFonts w:hint="eastAsia" w:ascii="Times New Roman" w:hAnsi="Times New Roman" w:eastAsia="宋体" w:cs="Times New Roman"/>
                <w:b w:val="0"/>
                <w:bCs/>
                <w:color w:val="auto"/>
                <w:sz w:val="21"/>
                <w:szCs w:val="21"/>
                <w:lang w:val="en-US" w:eastAsia="zh-CN"/>
              </w:rPr>
              <w:t>t/a</w:t>
            </w:r>
          </w:p>
        </w:tc>
      </w:tr>
      <w:tr w14:paraId="64E294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21" w:type="pct"/>
            <w:vMerge w:val="restart"/>
            <w:noWrap w:val="0"/>
            <w:vAlign w:val="center"/>
          </w:tcPr>
          <w:p w14:paraId="15C50A1C">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val="0"/>
                <w:bCs/>
                <w:snapToGrid w:val="0"/>
                <w:color w:val="auto"/>
                <w:kern w:val="21"/>
                <w:sz w:val="21"/>
                <w:szCs w:val="21"/>
              </w:rPr>
            </w:pPr>
            <w:r>
              <w:rPr>
                <w:rFonts w:hint="default" w:ascii="Times New Roman" w:hAnsi="Times New Roman" w:eastAsia="宋体" w:cs="Times New Roman"/>
                <w:b w:val="0"/>
                <w:bCs/>
                <w:snapToGrid w:val="0"/>
                <w:color w:val="auto"/>
                <w:kern w:val="21"/>
                <w:sz w:val="21"/>
                <w:szCs w:val="21"/>
              </w:rPr>
              <w:t>一般工业固体废物</w:t>
            </w:r>
          </w:p>
        </w:tc>
        <w:tc>
          <w:tcPr>
            <w:tcW w:w="479" w:type="pct"/>
            <w:noWrap w:val="0"/>
            <w:vAlign w:val="center"/>
          </w:tcPr>
          <w:p w14:paraId="1D0EF134">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val="0"/>
                <w:bCs/>
                <w:snapToGrid w:val="0"/>
                <w:color w:val="auto"/>
                <w:kern w:val="21"/>
                <w:sz w:val="21"/>
                <w:szCs w:val="21"/>
                <w:lang w:val="en-US" w:eastAsia="zh-CN"/>
              </w:rPr>
            </w:pPr>
            <w:r>
              <w:rPr>
                <w:rFonts w:hint="eastAsia" w:ascii="Times New Roman" w:hAnsi="Times New Roman" w:cs="Times New Roman"/>
                <w:b w:val="0"/>
                <w:bCs/>
                <w:snapToGrid w:val="0"/>
                <w:color w:val="auto"/>
                <w:kern w:val="21"/>
                <w:sz w:val="21"/>
                <w:szCs w:val="21"/>
                <w:lang w:val="en-US" w:eastAsia="zh-CN"/>
              </w:rPr>
              <w:t>除尘器粉尘</w:t>
            </w:r>
          </w:p>
        </w:tc>
        <w:tc>
          <w:tcPr>
            <w:tcW w:w="655" w:type="pct"/>
            <w:noWrap w:val="0"/>
            <w:vAlign w:val="center"/>
          </w:tcPr>
          <w:p w14:paraId="347A0A0A">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snapToGrid w:val="0"/>
                <w:color w:val="auto"/>
                <w:kern w:val="21"/>
                <w:sz w:val="21"/>
                <w:szCs w:val="21"/>
                <w:lang w:val="en-US" w:eastAsia="zh-CN" w:bidi="ar-SA"/>
              </w:rPr>
            </w:pPr>
            <w:r>
              <w:rPr>
                <w:rFonts w:hint="default" w:ascii="Times New Roman" w:hAnsi="Times New Roman" w:cs="Times New Roman"/>
                <w:snapToGrid w:val="0"/>
                <w:color w:val="auto"/>
                <w:kern w:val="21"/>
                <w:sz w:val="21"/>
                <w:szCs w:val="21"/>
              </w:rPr>
              <w:t>/</w:t>
            </w:r>
          </w:p>
        </w:tc>
        <w:tc>
          <w:tcPr>
            <w:tcW w:w="454" w:type="pct"/>
            <w:noWrap w:val="0"/>
            <w:vAlign w:val="center"/>
          </w:tcPr>
          <w:p w14:paraId="6074B884">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654" w:type="pct"/>
            <w:noWrap w:val="0"/>
            <w:vAlign w:val="center"/>
          </w:tcPr>
          <w:p w14:paraId="1099ADC0">
            <w:pPr>
              <w:pStyle w:val="12"/>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default" w:ascii="Times New Roman" w:hAnsi="Times New Roman" w:eastAsia="宋体" w:cs="Times New Roman"/>
                <w:snapToGrid w:val="0"/>
                <w:color w:val="auto"/>
                <w:kern w:val="21"/>
                <w:sz w:val="21"/>
                <w:szCs w:val="21"/>
                <w:lang w:eastAsia="zh-CN"/>
              </w:rPr>
            </w:pPr>
            <w:r>
              <w:rPr>
                <w:rFonts w:hint="default" w:ascii="Times New Roman" w:hAnsi="Times New Roman" w:cs="Times New Roman"/>
                <w:color w:val="auto"/>
                <w:sz w:val="21"/>
                <w:szCs w:val="21"/>
                <w:lang w:val="en-US" w:eastAsia="zh-CN"/>
              </w:rPr>
              <w:t>/</w:t>
            </w:r>
          </w:p>
        </w:tc>
        <w:tc>
          <w:tcPr>
            <w:tcW w:w="609" w:type="pct"/>
            <w:noWrap w:val="0"/>
            <w:vAlign w:val="center"/>
          </w:tcPr>
          <w:p w14:paraId="7C1EDEFB">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b w:val="0"/>
                <w:bCs/>
                <w:color w:val="auto"/>
                <w:sz w:val="21"/>
                <w:szCs w:val="21"/>
                <w:lang w:val="en-US" w:eastAsia="zh-CN"/>
              </w:rPr>
              <w:t>2.43</w:t>
            </w:r>
            <w:r>
              <w:rPr>
                <w:rFonts w:hint="eastAsia" w:ascii="Times New Roman" w:hAnsi="Times New Roman" w:eastAsia="宋体" w:cs="Times New Roman"/>
                <w:b w:val="0"/>
                <w:bCs/>
                <w:color w:val="auto"/>
                <w:sz w:val="21"/>
                <w:szCs w:val="21"/>
                <w:lang w:val="en-US" w:eastAsia="zh-CN"/>
              </w:rPr>
              <w:t>t/a</w:t>
            </w:r>
          </w:p>
        </w:tc>
        <w:tc>
          <w:tcPr>
            <w:tcW w:w="570" w:type="pct"/>
            <w:noWrap w:val="0"/>
            <w:vAlign w:val="center"/>
          </w:tcPr>
          <w:p w14:paraId="175E332B">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707" w:type="pct"/>
            <w:noWrap w:val="0"/>
            <w:vAlign w:val="center"/>
          </w:tcPr>
          <w:p w14:paraId="4A80112E">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color w:val="auto"/>
                <w:kern w:val="2"/>
                <w:sz w:val="21"/>
                <w:szCs w:val="21"/>
                <w:lang w:val="en-US" w:eastAsia="zh-CN" w:bidi="ar-SA"/>
              </w:rPr>
            </w:pPr>
            <w:r>
              <w:rPr>
                <w:rFonts w:hint="eastAsia" w:cs="Times New Roman"/>
                <w:b w:val="0"/>
                <w:bCs/>
                <w:color w:val="auto"/>
                <w:sz w:val="21"/>
                <w:szCs w:val="21"/>
                <w:lang w:val="en-US" w:eastAsia="zh-CN"/>
              </w:rPr>
              <w:t>2.43</w:t>
            </w:r>
            <w:r>
              <w:rPr>
                <w:rFonts w:hint="eastAsia" w:ascii="Times New Roman" w:hAnsi="Times New Roman" w:eastAsia="宋体" w:cs="Times New Roman"/>
                <w:b w:val="0"/>
                <w:bCs/>
                <w:color w:val="auto"/>
                <w:sz w:val="21"/>
                <w:szCs w:val="21"/>
                <w:lang w:val="en-US" w:eastAsia="zh-CN"/>
              </w:rPr>
              <w:t>t/a</w:t>
            </w:r>
          </w:p>
        </w:tc>
        <w:tc>
          <w:tcPr>
            <w:tcW w:w="445" w:type="pct"/>
            <w:noWrap w:val="0"/>
            <w:vAlign w:val="center"/>
          </w:tcPr>
          <w:p w14:paraId="420E92E3">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color w:val="auto"/>
                <w:kern w:val="2"/>
                <w:sz w:val="21"/>
                <w:szCs w:val="21"/>
                <w:lang w:val="en-US" w:eastAsia="zh-CN" w:bidi="ar-SA"/>
              </w:rPr>
            </w:pPr>
            <w:r>
              <w:rPr>
                <w:rFonts w:hint="eastAsia" w:cs="Times New Roman"/>
                <w:b w:val="0"/>
                <w:bCs/>
                <w:color w:val="auto"/>
                <w:sz w:val="21"/>
                <w:szCs w:val="21"/>
                <w:lang w:val="en-US" w:eastAsia="zh-CN"/>
              </w:rPr>
              <w:t>+2.43</w:t>
            </w:r>
            <w:r>
              <w:rPr>
                <w:rFonts w:hint="eastAsia" w:ascii="Times New Roman" w:hAnsi="Times New Roman" w:eastAsia="宋体" w:cs="Times New Roman"/>
                <w:b w:val="0"/>
                <w:bCs/>
                <w:color w:val="auto"/>
                <w:sz w:val="21"/>
                <w:szCs w:val="21"/>
                <w:lang w:val="en-US" w:eastAsia="zh-CN"/>
              </w:rPr>
              <w:t>t/a</w:t>
            </w:r>
          </w:p>
        </w:tc>
      </w:tr>
      <w:tr w14:paraId="2077D0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21" w:type="pct"/>
            <w:vMerge w:val="continue"/>
            <w:noWrap w:val="0"/>
            <w:vAlign w:val="center"/>
          </w:tcPr>
          <w:p w14:paraId="367CE238">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val="0"/>
                <w:bCs/>
                <w:snapToGrid w:val="0"/>
                <w:color w:val="auto"/>
                <w:kern w:val="21"/>
                <w:sz w:val="21"/>
                <w:szCs w:val="21"/>
              </w:rPr>
            </w:pPr>
          </w:p>
        </w:tc>
        <w:tc>
          <w:tcPr>
            <w:tcW w:w="479" w:type="pct"/>
            <w:noWrap w:val="0"/>
            <w:vAlign w:val="center"/>
          </w:tcPr>
          <w:p w14:paraId="09355A6C">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b w:val="0"/>
                <w:bCs/>
                <w:snapToGrid w:val="0"/>
                <w:color w:val="auto"/>
                <w:kern w:val="21"/>
                <w:sz w:val="21"/>
                <w:szCs w:val="21"/>
                <w:lang w:val="en-US" w:eastAsia="zh-CN"/>
              </w:rPr>
            </w:pPr>
            <w:r>
              <w:rPr>
                <w:rFonts w:hint="eastAsia" w:ascii="Times New Roman" w:cs="Times New Roman"/>
                <w:b w:val="0"/>
                <w:bCs/>
                <w:snapToGrid w:val="0"/>
                <w:color w:val="auto"/>
                <w:kern w:val="21"/>
                <w:sz w:val="21"/>
                <w:szCs w:val="21"/>
                <w:lang w:val="en-US" w:eastAsia="zh-CN"/>
              </w:rPr>
              <w:t>边角料</w:t>
            </w:r>
          </w:p>
        </w:tc>
        <w:tc>
          <w:tcPr>
            <w:tcW w:w="655" w:type="pct"/>
            <w:noWrap w:val="0"/>
            <w:vAlign w:val="center"/>
          </w:tcPr>
          <w:p w14:paraId="2118F145">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eastAsia" w:ascii="Times New Roman" w:hAnsi="Times New Roman" w:eastAsia="宋体" w:cs="Times New Roman"/>
                <w:snapToGrid w:val="0"/>
                <w:color w:val="auto"/>
                <w:kern w:val="21"/>
                <w:sz w:val="21"/>
                <w:szCs w:val="21"/>
                <w:lang w:val="en-US" w:eastAsia="zh-CN"/>
              </w:rPr>
            </w:pPr>
            <w:r>
              <w:rPr>
                <w:rFonts w:hint="eastAsia" w:ascii="Times New Roman" w:hAnsi="Times New Roman" w:cs="Times New Roman"/>
                <w:snapToGrid w:val="0"/>
                <w:color w:val="auto"/>
                <w:kern w:val="21"/>
                <w:sz w:val="21"/>
                <w:szCs w:val="21"/>
                <w:lang w:val="en-US" w:eastAsia="zh-CN"/>
              </w:rPr>
              <w:t>/</w:t>
            </w:r>
          </w:p>
        </w:tc>
        <w:tc>
          <w:tcPr>
            <w:tcW w:w="454" w:type="pct"/>
            <w:noWrap w:val="0"/>
            <w:vAlign w:val="center"/>
          </w:tcPr>
          <w:p w14:paraId="4CFDDE59">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eastAsia" w:ascii="Times New Roman" w:hAnsi="Times New Roman" w:eastAsia="宋体" w:cs="Times New Roman"/>
                <w:snapToGrid w:val="0"/>
                <w:color w:val="auto"/>
                <w:kern w:val="21"/>
                <w:sz w:val="21"/>
                <w:szCs w:val="21"/>
                <w:lang w:val="en-US" w:eastAsia="zh-CN"/>
              </w:rPr>
            </w:pPr>
            <w:r>
              <w:rPr>
                <w:rFonts w:hint="eastAsia" w:ascii="Times New Roman" w:hAnsi="Times New Roman" w:cs="Times New Roman"/>
                <w:snapToGrid w:val="0"/>
                <w:color w:val="auto"/>
                <w:kern w:val="21"/>
                <w:sz w:val="21"/>
                <w:szCs w:val="21"/>
                <w:lang w:val="en-US" w:eastAsia="zh-CN"/>
              </w:rPr>
              <w:t>/</w:t>
            </w:r>
          </w:p>
        </w:tc>
        <w:tc>
          <w:tcPr>
            <w:tcW w:w="654" w:type="pct"/>
            <w:noWrap w:val="0"/>
            <w:vAlign w:val="center"/>
          </w:tcPr>
          <w:p w14:paraId="1834A025">
            <w:pPr>
              <w:pStyle w:val="12"/>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609" w:type="pct"/>
            <w:noWrap w:val="0"/>
            <w:vAlign w:val="center"/>
          </w:tcPr>
          <w:p w14:paraId="13F3BB9B">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cs="Times New Roman"/>
                <w:b w:val="0"/>
                <w:bCs/>
                <w:color w:val="auto"/>
                <w:kern w:val="2"/>
                <w:sz w:val="21"/>
                <w:szCs w:val="21"/>
                <w:lang w:val="en-US" w:eastAsia="zh-CN" w:bidi="ar-SA"/>
              </w:rPr>
            </w:pPr>
            <w:r>
              <w:rPr>
                <w:rFonts w:hint="eastAsia" w:cs="Times New Roman"/>
                <w:b w:val="0"/>
                <w:bCs/>
                <w:color w:val="auto"/>
                <w:sz w:val="21"/>
                <w:szCs w:val="21"/>
                <w:lang w:val="en-US" w:eastAsia="zh-CN"/>
              </w:rPr>
              <w:t>2.17</w:t>
            </w:r>
            <w:r>
              <w:rPr>
                <w:rFonts w:hint="eastAsia" w:ascii="Times New Roman" w:hAnsi="Times New Roman" w:eastAsia="宋体" w:cs="Times New Roman"/>
                <w:b w:val="0"/>
                <w:bCs/>
                <w:color w:val="auto"/>
                <w:sz w:val="21"/>
                <w:szCs w:val="21"/>
                <w:lang w:val="en-US" w:eastAsia="zh-CN"/>
              </w:rPr>
              <w:t>t/a</w:t>
            </w:r>
          </w:p>
        </w:tc>
        <w:tc>
          <w:tcPr>
            <w:tcW w:w="570" w:type="pct"/>
            <w:noWrap w:val="0"/>
            <w:vAlign w:val="center"/>
          </w:tcPr>
          <w:p w14:paraId="0E8863AB">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eastAsia" w:ascii="Times New Roman" w:hAnsi="Times New Roman" w:eastAsia="宋体" w:cs="Times New Roman"/>
                <w:snapToGrid w:val="0"/>
                <w:color w:val="auto"/>
                <w:kern w:val="21"/>
                <w:sz w:val="21"/>
                <w:szCs w:val="21"/>
                <w:lang w:val="en-US" w:eastAsia="zh-CN"/>
              </w:rPr>
            </w:pPr>
            <w:r>
              <w:rPr>
                <w:rFonts w:hint="eastAsia" w:ascii="Times New Roman" w:hAnsi="Times New Roman" w:cs="Times New Roman"/>
                <w:snapToGrid w:val="0"/>
                <w:color w:val="auto"/>
                <w:kern w:val="21"/>
                <w:sz w:val="21"/>
                <w:szCs w:val="21"/>
                <w:lang w:val="en-US" w:eastAsia="zh-CN"/>
              </w:rPr>
              <w:t>/</w:t>
            </w:r>
          </w:p>
        </w:tc>
        <w:tc>
          <w:tcPr>
            <w:tcW w:w="707" w:type="pct"/>
            <w:noWrap w:val="0"/>
            <w:vAlign w:val="center"/>
          </w:tcPr>
          <w:p w14:paraId="2A9EB577">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cs="Times New Roman"/>
                <w:b w:val="0"/>
                <w:bCs/>
                <w:color w:val="auto"/>
                <w:kern w:val="2"/>
                <w:sz w:val="21"/>
                <w:szCs w:val="21"/>
                <w:lang w:val="en-US" w:eastAsia="zh-CN" w:bidi="ar-SA"/>
              </w:rPr>
            </w:pPr>
            <w:r>
              <w:rPr>
                <w:rFonts w:hint="eastAsia" w:cs="Times New Roman"/>
                <w:b w:val="0"/>
                <w:bCs/>
                <w:color w:val="auto"/>
                <w:sz w:val="21"/>
                <w:szCs w:val="21"/>
                <w:lang w:val="en-US" w:eastAsia="zh-CN"/>
              </w:rPr>
              <w:t>2.17</w:t>
            </w:r>
            <w:r>
              <w:rPr>
                <w:rFonts w:hint="eastAsia" w:ascii="Times New Roman" w:hAnsi="Times New Roman" w:eastAsia="宋体" w:cs="Times New Roman"/>
                <w:b w:val="0"/>
                <w:bCs/>
                <w:color w:val="auto"/>
                <w:sz w:val="21"/>
                <w:szCs w:val="21"/>
                <w:lang w:val="en-US" w:eastAsia="zh-CN"/>
              </w:rPr>
              <w:t>t/a</w:t>
            </w:r>
          </w:p>
        </w:tc>
        <w:tc>
          <w:tcPr>
            <w:tcW w:w="445" w:type="pct"/>
            <w:noWrap w:val="0"/>
            <w:vAlign w:val="center"/>
          </w:tcPr>
          <w:p w14:paraId="7165BBF1">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cs="Times New Roman"/>
                <w:b w:val="0"/>
                <w:bCs/>
                <w:color w:val="auto"/>
                <w:sz w:val="21"/>
                <w:szCs w:val="21"/>
                <w:lang w:val="en-US" w:eastAsia="zh-CN"/>
              </w:rPr>
            </w:pPr>
            <w:r>
              <w:rPr>
                <w:rFonts w:hint="eastAsia" w:cs="Times New Roman"/>
                <w:b w:val="0"/>
                <w:bCs/>
                <w:color w:val="auto"/>
                <w:sz w:val="21"/>
                <w:szCs w:val="21"/>
                <w:lang w:val="en-US" w:eastAsia="zh-CN"/>
              </w:rPr>
              <w:t>+2.17</w:t>
            </w:r>
            <w:r>
              <w:rPr>
                <w:rFonts w:hint="eastAsia" w:ascii="Times New Roman" w:hAnsi="Times New Roman" w:eastAsia="宋体" w:cs="Times New Roman"/>
                <w:b w:val="0"/>
                <w:bCs/>
                <w:color w:val="auto"/>
                <w:sz w:val="21"/>
                <w:szCs w:val="21"/>
                <w:lang w:val="en-US" w:eastAsia="zh-CN"/>
              </w:rPr>
              <w:t>t/a</w:t>
            </w:r>
          </w:p>
        </w:tc>
      </w:tr>
      <w:tr w14:paraId="698D5F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21" w:type="pct"/>
            <w:vMerge w:val="continue"/>
            <w:noWrap w:val="0"/>
            <w:vAlign w:val="center"/>
          </w:tcPr>
          <w:p w14:paraId="2CCB3AF0">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val="0"/>
                <w:bCs/>
                <w:snapToGrid w:val="0"/>
                <w:color w:val="auto"/>
                <w:kern w:val="21"/>
                <w:sz w:val="21"/>
                <w:szCs w:val="21"/>
              </w:rPr>
            </w:pPr>
          </w:p>
        </w:tc>
        <w:tc>
          <w:tcPr>
            <w:tcW w:w="479" w:type="pct"/>
            <w:noWrap w:val="0"/>
            <w:vAlign w:val="center"/>
          </w:tcPr>
          <w:p w14:paraId="17AC39DA">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b w:val="0"/>
                <w:bCs/>
                <w:snapToGrid w:val="0"/>
                <w:color w:val="auto"/>
                <w:kern w:val="21"/>
                <w:sz w:val="21"/>
                <w:szCs w:val="21"/>
                <w:lang w:val="en-US" w:eastAsia="zh-CN"/>
              </w:rPr>
            </w:pPr>
            <w:r>
              <w:rPr>
                <w:rFonts w:hint="eastAsia" w:ascii="Times New Roman" w:cs="Times New Roman"/>
                <w:b w:val="0"/>
                <w:bCs/>
                <w:snapToGrid w:val="0"/>
                <w:color w:val="auto"/>
                <w:kern w:val="21"/>
                <w:sz w:val="21"/>
                <w:szCs w:val="21"/>
                <w:lang w:val="en-US" w:eastAsia="zh-CN"/>
              </w:rPr>
              <w:t>废焊渣</w:t>
            </w:r>
          </w:p>
        </w:tc>
        <w:tc>
          <w:tcPr>
            <w:tcW w:w="655" w:type="pct"/>
            <w:noWrap w:val="0"/>
            <w:vAlign w:val="center"/>
          </w:tcPr>
          <w:p w14:paraId="2510D658">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snapToGrid w:val="0"/>
                <w:color w:val="auto"/>
                <w:kern w:val="21"/>
                <w:sz w:val="21"/>
                <w:szCs w:val="21"/>
                <w:lang w:val="en-US" w:eastAsia="zh-CN" w:bidi="ar-SA"/>
              </w:rPr>
            </w:pPr>
            <w:r>
              <w:rPr>
                <w:rFonts w:hint="default" w:ascii="Times New Roman" w:hAnsi="Times New Roman" w:cs="Times New Roman"/>
                <w:snapToGrid w:val="0"/>
                <w:color w:val="auto"/>
                <w:kern w:val="21"/>
                <w:sz w:val="21"/>
                <w:szCs w:val="21"/>
              </w:rPr>
              <w:t>/</w:t>
            </w:r>
          </w:p>
        </w:tc>
        <w:tc>
          <w:tcPr>
            <w:tcW w:w="454" w:type="pct"/>
            <w:noWrap w:val="0"/>
            <w:vAlign w:val="center"/>
          </w:tcPr>
          <w:p w14:paraId="3365A79F">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snapToGrid w:val="0"/>
                <w:color w:val="auto"/>
                <w:kern w:val="21"/>
                <w:sz w:val="21"/>
                <w:szCs w:val="21"/>
                <w:lang w:val="en-US" w:eastAsia="zh-CN" w:bidi="ar-SA"/>
              </w:rPr>
            </w:pPr>
            <w:r>
              <w:rPr>
                <w:rFonts w:hint="default" w:ascii="Times New Roman" w:hAnsi="Times New Roman" w:cs="Times New Roman"/>
                <w:snapToGrid w:val="0"/>
                <w:color w:val="auto"/>
                <w:kern w:val="21"/>
                <w:sz w:val="21"/>
                <w:szCs w:val="21"/>
              </w:rPr>
              <w:t>/</w:t>
            </w:r>
          </w:p>
        </w:tc>
        <w:tc>
          <w:tcPr>
            <w:tcW w:w="654" w:type="pct"/>
            <w:noWrap w:val="0"/>
            <w:vAlign w:val="center"/>
          </w:tcPr>
          <w:p w14:paraId="191DA91C">
            <w:pPr>
              <w:pStyle w:val="12"/>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default" w:ascii="Times New Roman" w:hAnsi="Times New Roman" w:eastAsia="宋体" w:cs="Times New Roman"/>
                <w:b/>
                <w:snapToGrid w:val="0"/>
                <w:color w:val="auto"/>
                <w:kern w:val="21"/>
                <w:sz w:val="21"/>
                <w:szCs w:val="21"/>
                <w:lang w:val="en-US" w:eastAsia="zh-CN" w:bidi="ar-SA"/>
              </w:rPr>
            </w:pPr>
            <w:r>
              <w:rPr>
                <w:rFonts w:hint="default" w:ascii="Times New Roman" w:hAnsi="Times New Roman" w:cs="Times New Roman"/>
                <w:color w:val="auto"/>
                <w:sz w:val="21"/>
                <w:szCs w:val="21"/>
                <w:lang w:val="en-US" w:eastAsia="zh-CN"/>
              </w:rPr>
              <w:t>/</w:t>
            </w:r>
          </w:p>
        </w:tc>
        <w:tc>
          <w:tcPr>
            <w:tcW w:w="609" w:type="pct"/>
            <w:noWrap w:val="0"/>
            <w:vAlign w:val="center"/>
          </w:tcPr>
          <w:p w14:paraId="7ECC1DC0">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cs="Times New Roman"/>
                <w:b w:val="0"/>
                <w:bCs/>
                <w:color w:val="auto"/>
                <w:kern w:val="2"/>
                <w:sz w:val="21"/>
                <w:szCs w:val="21"/>
                <w:lang w:val="en-US" w:eastAsia="zh-CN" w:bidi="ar-SA"/>
              </w:rPr>
            </w:pPr>
            <w:r>
              <w:rPr>
                <w:rFonts w:hint="eastAsia" w:cs="Times New Roman"/>
                <w:b w:val="0"/>
                <w:bCs/>
                <w:color w:val="auto"/>
                <w:sz w:val="21"/>
                <w:szCs w:val="21"/>
                <w:lang w:val="en-US" w:eastAsia="zh-CN"/>
              </w:rPr>
              <w:t>0.2</w:t>
            </w:r>
            <w:r>
              <w:rPr>
                <w:rFonts w:hint="eastAsia" w:ascii="Times New Roman" w:hAnsi="Times New Roman" w:eastAsia="宋体" w:cs="Times New Roman"/>
                <w:b w:val="0"/>
                <w:bCs/>
                <w:color w:val="auto"/>
                <w:sz w:val="21"/>
                <w:szCs w:val="21"/>
                <w:lang w:val="en-US" w:eastAsia="zh-CN"/>
              </w:rPr>
              <w:t>t/a</w:t>
            </w:r>
          </w:p>
        </w:tc>
        <w:tc>
          <w:tcPr>
            <w:tcW w:w="570" w:type="pct"/>
            <w:noWrap w:val="0"/>
            <w:vAlign w:val="center"/>
          </w:tcPr>
          <w:p w14:paraId="2C3789AB">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707" w:type="pct"/>
            <w:noWrap w:val="0"/>
            <w:vAlign w:val="center"/>
          </w:tcPr>
          <w:p w14:paraId="7CEBE66B">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cs="Times New Roman"/>
                <w:b w:val="0"/>
                <w:bCs/>
                <w:color w:val="auto"/>
                <w:kern w:val="2"/>
                <w:sz w:val="21"/>
                <w:szCs w:val="21"/>
                <w:lang w:val="en-US" w:eastAsia="zh-CN" w:bidi="ar-SA"/>
              </w:rPr>
            </w:pPr>
            <w:r>
              <w:rPr>
                <w:rFonts w:hint="eastAsia" w:cs="Times New Roman"/>
                <w:b w:val="0"/>
                <w:bCs/>
                <w:color w:val="auto"/>
                <w:sz w:val="21"/>
                <w:szCs w:val="21"/>
                <w:lang w:val="en-US" w:eastAsia="zh-CN"/>
              </w:rPr>
              <w:t>0.2</w:t>
            </w:r>
            <w:r>
              <w:rPr>
                <w:rFonts w:hint="eastAsia" w:ascii="Times New Roman" w:hAnsi="Times New Roman" w:eastAsia="宋体" w:cs="Times New Roman"/>
                <w:b w:val="0"/>
                <w:bCs/>
                <w:color w:val="auto"/>
                <w:sz w:val="21"/>
                <w:szCs w:val="21"/>
                <w:lang w:val="en-US" w:eastAsia="zh-CN"/>
              </w:rPr>
              <w:t>t/a</w:t>
            </w:r>
          </w:p>
        </w:tc>
        <w:tc>
          <w:tcPr>
            <w:tcW w:w="445" w:type="pct"/>
            <w:noWrap w:val="0"/>
            <w:vAlign w:val="center"/>
          </w:tcPr>
          <w:p w14:paraId="4FEACC78">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eastAsia" w:cs="Times New Roman"/>
                <w:b w:val="0"/>
                <w:bCs/>
                <w:color w:val="auto"/>
                <w:sz w:val="21"/>
                <w:szCs w:val="21"/>
                <w:lang w:val="en-US" w:eastAsia="zh-CN"/>
              </w:rPr>
              <w:t>+0.2</w:t>
            </w:r>
            <w:r>
              <w:rPr>
                <w:rFonts w:hint="eastAsia" w:ascii="Times New Roman" w:hAnsi="Times New Roman" w:eastAsia="宋体" w:cs="Times New Roman"/>
                <w:b w:val="0"/>
                <w:bCs/>
                <w:color w:val="auto"/>
                <w:sz w:val="21"/>
                <w:szCs w:val="21"/>
                <w:lang w:val="en-US" w:eastAsia="zh-CN"/>
              </w:rPr>
              <w:t>t/a</w:t>
            </w:r>
          </w:p>
        </w:tc>
      </w:tr>
      <w:tr w14:paraId="7D3E47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21" w:type="pct"/>
            <w:noWrap w:val="0"/>
            <w:vAlign w:val="center"/>
          </w:tcPr>
          <w:p w14:paraId="16D15188">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eastAsia" w:ascii="Times New Roman" w:hAnsi="Times New Roman" w:eastAsia="宋体" w:cs="Times New Roman"/>
                <w:b w:val="0"/>
                <w:bCs/>
                <w:snapToGrid w:val="0"/>
                <w:color w:val="auto"/>
                <w:kern w:val="21"/>
                <w:sz w:val="21"/>
                <w:szCs w:val="21"/>
                <w:lang w:val="en-US" w:eastAsia="zh-CN"/>
              </w:rPr>
            </w:pPr>
            <w:r>
              <w:rPr>
                <w:rFonts w:hint="eastAsia" w:ascii="Times New Roman" w:hAnsi="Times New Roman" w:cs="Times New Roman"/>
                <w:b w:val="0"/>
                <w:bCs/>
                <w:snapToGrid w:val="0"/>
                <w:color w:val="auto"/>
                <w:kern w:val="21"/>
                <w:sz w:val="21"/>
                <w:szCs w:val="21"/>
                <w:lang w:val="en-US" w:eastAsia="zh-CN"/>
              </w:rPr>
              <w:t>生活垃圾</w:t>
            </w:r>
          </w:p>
        </w:tc>
        <w:tc>
          <w:tcPr>
            <w:tcW w:w="479" w:type="pct"/>
            <w:noWrap w:val="0"/>
            <w:vAlign w:val="center"/>
          </w:tcPr>
          <w:p w14:paraId="35D9F648">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cs="Times New Roman"/>
                <w:b w:val="0"/>
                <w:bCs/>
                <w:snapToGrid w:val="0"/>
                <w:color w:val="auto"/>
                <w:kern w:val="21"/>
                <w:sz w:val="21"/>
                <w:szCs w:val="21"/>
                <w:lang w:val="en-US" w:eastAsia="zh-CN"/>
              </w:rPr>
            </w:pPr>
            <w:r>
              <w:rPr>
                <w:rFonts w:hint="eastAsia" w:ascii="Times New Roman" w:cs="Times New Roman"/>
                <w:b w:val="0"/>
                <w:bCs/>
                <w:snapToGrid w:val="0"/>
                <w:color w:val="auto"/>
                <w:kern w:val="21"/>
                <w:sz w:val="21"/>
                <w:szCs w:val="21"/>
                <w:lang w:val="en-US" w:eastAsia="zh-CN"/>
              </w:rPr>
              <w:t>生活垃圾</w:t>
            </w:r>
          </w:p>
        </w:tc>
        <w:tc>
          <w:tcPr>
            <w:tcW w:w="655" w:type="pct"/>
            <w:noWrap w:val="0"/>
            <w:vAlign w:val="center"/>
          </w:tcPr>
          <w:p w14:paraId="426C8743">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eastAsia="宋体" w:cs="Times New Roman"/>
                <w:b/>
                <w:snapToGrid w:val="0"/>
                <w:color w:val="auto"/>
                <w:kern w:val="21"/>
                <w:sz w:val="21"/>
                <w:szCs w:val="21"/>
                <w:lang w:val="en-US" w:eastAsia="zh-CN" w:bidi="ar-SA"/>
              </w:rPr>
            </w:pPr>
            <w:r>
              <w:rPr>
                <w:rFonts w:hint="default" w:ascii="Times New Roman" w:hAnsi="Times New Roman" w:cs="Times New Roman"/>
                <w:snapToGrid w:val="0"/>
                <w:color w:val="auto"/>
                <w:kern w:val="21"/>
                <w:sz w:val="21"/>
                <w:szCs w:val="21"/>
              </w:rPr>
              <w:t>/</w:t>
            </w:r>
          </w:p>
        </w:tc>
        <w:tc>
          <w:tcPr>
            <w:tcW w:w="454" w:type="pct"/>
            <w:noWrap w:val="0"/>
            <w:vAlign w:val="center"/>
          </w:tcPr>
          <w:p w14:paraId="44304E81">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654" w:type="pct"/>
            <w:noWrap w:val="0"/>
            <w:vAlign w:val="center"/>
          </w:tcPr>
          <w:p w14:paraId="2F72726C">
            <w:pPr>
              <w:pStyle w:val="12"/>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609" w:type="pct"/>
            <w:noWrap w:val="0"/>
            <w:vAlign w:val="center"/>
          </w:tcPr>
          <w:p w14:paraId="1FDAD0F0">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cs="Times New Roman"/>
                <w:b w:val="0"/>
                <w:bCs/>
                <w:color w:val="auto"/>
                <w:kern w:val="2"/>
                <w:sz w:val="21"/>
                <w:szCs w:val="21"/>
                <w:lang w:val="en-US" w:eastAsia="zh-CN" w:bidi="ar-SA"/>
              </w:rPr>
            </w:pPr>
            <w:r>
              <w:rPr>
                <w:rFonts w:hint="eastAsia" w:cs="Times New Roman"/>
                <w:b w:val="0"/>
                <w:bCs/>
                <w:color w:val="auto"/>
                <w:sz w:val="21"/>
                <w:szCs w:val="21"/>
                <w:lang w:val="en-US" w:eastAsia="zh-CN"/>
              </w:rPr>
              <w:t>22.5</w:t>
            </w:r>
            <w:r>
              <w:rPr>
                <w:rFonts w:hint="eastAsia" w:ascii="Times New Roman" w:hAnsi="Times New Roman" w:eastAsia="宋体" w:cs="Times New Roman"/>
                <w:b w:val="0"/>
                <w:bCs/>
                <w:color w:val="auto"/>
                <w:sz w:val="21"/>
                <w:szCs w:val="21"/>
                <w:lang w:val="en-US" w:eastAsia="zh-CN"/>
              </w:rPr>
              <w:t>t/a</w:t>
            </w:r>
          </w:p>
        </w:tc>
        <w:tc>
          <w:tcPr>
            <w:tcW w:w="570" w:type="pct"/>
            <w:noWrap w:val="0"/>
            <w:vAlign w:val="center"/>
          </w:tcPr>
          <w:p w14:paraId="35470987">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707" w:type="pct"/>
            <w:noWrap w:val="0"/>
            <w:vAlign w:val="center"/>
          </w:tcPr>
          <w:p w14:paraId="103BDFF8">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cs="Times New Roman"/>
                <w:b w:val="0"/>
                <w:bCs/>
                <w:color w:val="auto"/>
                <w:kern w:val="2"/>
                <w:sz w:val="21"/>
                <w:szCs w:val="21"/>
                <w:lang w:val="en-US" w:eastAsia="zh-CN" w:bidi="ar-SA"/>
              </w:rPr>
            </w:pPr>
            <w:r>
              <w:rPr>
                <w:rFonts w:hint="eastAsia" w:cs="Times New Roman"/>
                <w:b w:val="0"/>
                <w:bCs/>
                <w:color w:val="auto"/>
                <w:sz w:val="21"/>
                <w:szCs w:val="21"/>
                <w:lang w:val="en-US" w:eastAsia="zh-CN"/>
              </w:rPr>
              <w:t>22.5</w:t>
            </w:r>
            <w:r>
              <w:rPr>
                <w:rFonts w:hint="eastAsia" w:ascii="Times New Roman" w:hAnsi="Times New Roman" w:eastAsia="宋体" w:cs="Times New Roman"/>
                <w:b w:val="0"/>
                <w:bCs/>
                <w:color w:val="auto"/>
                <w:sz w:val="21"/>
                <w:szCs w:val="21"/>
                <w:lang w:val="en-US" w:eastAsia="zh-CN"/>
              </w:rPr>
              <w:t>t/a</w:t>
            </w:r>
          </w:p>
        </w:tc>
        <w:tc>
          <w:tcPr>
            <w:tcW w:w="445" w:type="pct"/>
            <w:noWrap w:val="0"/>
            <w:vAlign w:val="center"/>
          </w:tcPr>
          <w:p w14:paraId="7CE5EA9C">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cs="Times New Roman"/>
                <w:b w:val="0"/>
                <w:bCs/>
                <w:color w:val="auto"/>
                <w:sz w:val="21"/>
                <w:szCs w:val="21"/>
                <w:lang w:val="en-US" w:eastAsia="zh-CN"/>
              </w:rPr>
            </w:pPr>
            <w:r>
              <w:rPr>
                <w:rFonts w:hint="eastAsia" w:cs="Times New Roman"/>
                <w:b w:val="0"/>
                <w:bCs/>
                <w:color w:val="auto"/>
                <w:sz w:val="21"/>
                <w:szCs w:val="21"/>
                <w:lang w:val="en-US" w:eastAsia="zh-CN"/>
              </w:rPr>
              <w:t>+22.5</w:t>
            </w:r>
            <w:r>
              <w:rPr>
                <w:rFonts w:hint="eastAsia" w:ascii="Times New Roman" w:hAnsi="Times New Roman" w:eastAsia="宋体" w:cs="Times New Roman"/>
                <w:b w:val="0"/>
                <w:bCs/>
                <w:color w:val="auto"/>
                <w:sz w:val="21"/>
                <w:szCs w:val="21"/>
                <w:lang w:val="en-US" w:eastAsia="zh-CN"/>
              </w:rPr>
              <w:t>t/a</w:t>
            </w:r>
          </w:p>
        </w:tc>
      </w:tr>
      <w:tr w14:paraId="414041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21" w:type="pct"/>
            <w:vMerge w:val="restart"/>
            <w:noWrap w:val="0"/>
            <w:vAlign w:val="center"/>
          </w:tcPr>
          <w:p w14:paraId="53AAA136">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b w:val="0"/>
                <w:bCs/>
                <w:snapToGrid w:val="0"/>
                <w:color w:val="auto"/>
                <w:kern w:val="21"/>
                <w:sz w:val="21"/>
                <w:szCs w:val="21"/>
                <w:lang w:val="en-US" w:eastAsia="zh-CN"/>
              </w:rPr>
            </w:pPr>
            <w:r>
              <w:rPr>
                <w:rFonts w:hint="eastAsia" w:ascii="Times New Roman" w:hAnsi="Times New Roman" w:cs="Times New Roman"/>
                <w:b w:val="0"/>
                <w:bCs/>
                <w:snapToGrid w:val="0"/>
                <w:color w:val="auto"/>
                <w:kern w:val="21"/>
                <w:sz w:val="21"/>
                <w:szCs w:val="21"/>
                <w:lang w:val="en-US" w:eastAsia="zh-CN"/>
              </w:rPr>
              <w:t>危险废物</w:t>
            </w:r>
          </w:p>
        </w:tc>
        <w:tc>
          <w:tcPr>
            <w:tcW w:w="479" w:type="pct"/>
            <w:noWrap w:val="0"/>
            <w:vAlign w:val="center"/>
          </w:tcPr>
          <w:p w14:paraId="61415EBF">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cs="Times New Roman"/>
                <w:b w:val="0"/>
                <w:bCs/>
                <w:snapToGrid w:val="0"/>
                <w:color w:val="auto"/>
                <w:kern w:val="21"/>
                <w:sz w:val="21"/>
                <w:szCs w:val="21"/>
                <w:lang w:val="en-US" w:eastAsia="zh-CN"/>
              </w:rPr>
            </w:pPr>
            <w:r>
              <w:rPr>
                <w:rFonts w:hint="eastAsia" w:ascii="Times New Roman" w:cs="Times New Roman"/>
                <w:b w:val="0"/>
                <w:bCs/>
                <w:snapToGrid w:val="0"/>
                <w:color w:val="auto"/>
                <w:kern w:val="21"/>
                <w:sz w:val="21"/>
                <w:szCs w:val="21"/>
                <w:lang w:val="en-US" w:eastAsia="zh-CN"/>
              </w:rPr>
              <w:t>废活性炭</w:t>
            </w:r>
          </w:p>
        </w:tc>
        <w:tc>
          <w:tcPr>
            <w:tcW w:w="655" w:type="pct"/>
            <w:noWrap w:val="0"/>
            <w:vAlign w:val="center"/>
          </w:tcPr>
          <w:p w14:paraId="32A67497">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454" w:type="pct"/>
            <w:noWrap w:val="0"/>
            <w:vAlign w:val="center"/>
          </w:tcPr>
          <w:p w14:paraId="789148B2">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654" w:type="pct"/>
            <w:noWrap w:val="0"/>
            <w:vAlign w:val="center"/>
          </w:tcPr>
          <w:p w14:paraId="7F50FEC6">
            <w:pPr>
              <w:pStyle w:val="12"/>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609" w:type="pct"/>
            <w:noWrap w:val="0"/>
            <w:vAlign w:val="center"/>
          </w:tcPr>
          <w:p w14:paraId="1FAE59FA">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0.5</w:t>
            </w:r>
            <w:r>
              <w:rPr>
                <w:rFonts w:hint="eastAsia" w:ascii="Times New Roman" w:hAnsi="Times New Roman" w:eastAsia="宋体" w:cs="Times New Roman"/>
                <w:b w:val="0"/>
                <w:bCs/>
                <w:color w:val="auto"/>
                <w:sz w:val="21"/>
                <w:szCs w:val="21"/>
                <w:lang w:val="en-US" w:eastAsia="zh-CN"/>
              </w:rPr>
              <w:t>t/a</w:t>
            </w:r>
          </w:p>
        </w:tc>
        <w:tc>
          <w:tcPr>
            <w:tcW w:w="570" w:type="pct"/>
            <w:noWrap w:val="0"/>
            <w:vAlign w:val="center"/>
          </w:tcPr>
          <w:p w14:paraId="4CEDA4D3">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707" w:type="pct"/>
            <w:noWrap w:val="0"/>
            <w:vAlign w:val="center"/>
          </w:tcPr>
          <w:p w14:paraId="7F0511BF">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0.5</w:t>
            </w:r>
            <w:r>
              <w:rPr>
                <w:rFonts w:hint="eastAsia" w:ascii="Times New Roman" w:hAnsi="Times New Roman" w:eastAsia="宋体" w:cs="Times New Roman"/>
                <w:b w:val="0"/>
                <w:bCs/>
                <w:color w:val="auto"/>
                <w:sz w:val="21"/>
                <w:szCs w:val="21"/>
                <w:lang w:val="en-US" w:eastAsia="zh-CN"/>
              </w:rPr>
              <w:t>t/a</w:t>
            </w:r>
          </w:p>
        </w:tc>
        <w:tc>
          <w:tcPr>
            <w:tcW w:w="445" w:type="pct"/>
            <w:noWrap w:val="0"/>
            <w:vAlign w:val="center"/>
          </w:tcPr>
          <w:p w14:paraId="759ECD21">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cs="Times New Roman"/>
                <w:b w:val="0"/>
                <w:bCs/>
                <w:color w:val="auto"/>
                <w:sz w:val="21"/>
                <w:szCs w:val="21"/>
                <w:lang w:val="en-US" w:eastAsia="zh-CN"/>
              </w:rPr>
            </w:pPr>
            <w:r>
              <w:rPr>
                <w:rFonts w:hint="eastAsia" w:cs="Times New Roman"/>
                <w:b w:val="0"/>
                <w:bCs/>
                <w:color w:val="auto"/>
                <w:kern w:val="2"/>
                <w:sz w:val="21"/>
                <w:szCs w:val="21"/>
                <w:lang w:val="en-US" w:eastAsia="zh-CN" w:bidi="ar-SA"/>
              </w:rPr>
              <w:t>+0.5</w:t>
            </w:r>
            <w:r>
              <w:rPr>
                <w:rFonts w:hint="eastAsia" w:ascii="Times New Roman" w:hAnsi="Times New Roman" w:eastAsia="宋体" w:cs="Times New Roman"/>
                <w:b w:val="0"/>
                <w:bCs/>
                <w:color w:val="auto"/>
                <w:sz w:val="21"/>
                <w:szCs w:val="21"/>
                <w:lang w:val="en-US" w:eastAsia="zh-CN"/>
              </w:rPr>
              <w:t>t/a</w:t>
            </w:r>
          </w:p>
        </w:tc>
      </w:tr>
      <w:tr w14:paraId="63D558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21" w:type="pct"/>
            <w:vMerge w:val="continue"/>
            <w:noWrap w:val="0"/>
            <w:vAlign w:val="center"/>
          </w:tcPr>
          <w:p w14:paraId="7BB09D59">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eastAsia" w:ascii="Times New Roman" w:hAnsi="Times New Roman" w:cs="Times New Roman"/>
                <w:b w:val="0"/>
                <w:bCs/>
                <w:snapToGrid w:val="0"/>
                <w:color w:val="auto"/>
                <w:kern w:val="21"/>
                <w:sz w:val="21"/>
                <w:szCs w:val="21"/>
                <w:lang w:val="en-US" w:eastAsia="zh-CN"/>
              </w:rPr>
            </w:pPr>
          </w:p>
        </w:tc>
        <w:tc>
          <w:tcPr>
            <w:tcW w:w="479" w:type="pct"/>
            <w:noWrap w:val="0"/>
            <w:vAlign w:val="center"/>
          </w:tcPr>
          <w:p w14:paraId="1F0980AE">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cs="Times New Roman"/>
                <w:b w:val="0"/>
                <w:bCs/>
                <w:snapToGrid w:val="0"/>
                <w:color w:val="auto"/>
                <w:kern w:val="21"/>
                <w:sz w:val="21"/>
                <w:szCs w:val="21"/>
                <w:lang w:val="en-US" w:eastAsia="zh-CN"/>
              </w:rPr>
            </w:pPr>
            <w:r>
              <w:rPr>
                <w:rFonts w:hint="eastAsia" w:ascii="Times New Roman" w:cs="Times New Roman"/>
                <w:b w:val="0"/>
                <w:bCs/>
                <w:snapToGrid w:val="0"/>
                <w:color w:val="auto"/>
                <w:kern w:val="21"/>
                <w:sz w:val="21"/>
                <w:szCs w:val="21"/>
                <w:lang w:val="en-US" w:eastAsia="zh-CN"/>
              </w:rPr>
              <w:t>废润滑油桶</w:t>
            </w:r>
          </w:p>
        </w:tc>
        <w:tc>
          <w:tcPr>
            <w:tcW w:w="655" w:type="pct"/>
            <w:noWrap w:val="0"/>
            <w:vAlign w:val="center"/>
          </w:tcPr>
          <w:p w14:paraId="47164E0E">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宋体" w:cs="Times New Roman"/>
                <w:snapToGrid w:val="0"/>
                <w:color w:val="auto"/>
                <w:kern w:val="21"/>
                <w:sz w:val="21"/>
                <w:szCs w:val="21"/>
                <w:lang w:val="en-US" w:eastAsia="zh-CN"/>
              </w:rPr>
            </w:pPr>
            <w:r>
              <w:rPr>
                <w:rFonts w:hint="eastAsia" w:ascii="Times New Roman" w:cs="Times New Roman"/>
                <w:snapToGrid w:val="0"/>
                <w:color w:val="auto"/>
                <w:kern w:val="21"/>
                <w:sz w:val="21"/>
                <w:szCs w:val="21"/>
                <w:lang w:val="en-US" w:eastAsia="zh-CN"/>
              </w:rPr>
              <w:t>/</w:t>
            </w:r>
          </w:p>
        </w:tc>
        <w:tc>
          <w:tcPr>
            <w:tcW w:w="454" w:type="pct"/>
            <w:noWrap w:val="0"/>
            <w:vAlign w:val="center"/>
          </w:tcPr>
          <w:p w14:paraId="27D7A07B">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eastAsia" w:ascii="Times New Roman" w:cs="Times New Roman"/>
                <w:snapToGrid w:val="0"/>
                <w:color w:val="auto"/>
                <w:kern w:val="21"/>
                <w:sz w:val="21"/>
                <w:szCs w:val="21"/>
                <w:lang w:val="en-US" w:eastAsia="zh-CN"/>
              </w:rPr>
              <w:t>/</w:t>
            </w:r>
          </w:p>
        </w:tc>
        <w:tc>
          <w:tcPr>
            <w:tcW w:w="654" w:type="pct"/>
            <w:noWrap w:val="0"/>
            <w:vAlign w:val="center"/>
          </w:tcPr>
          <w:p w14:paraId="34D60FC5">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cs="Times New Roman"/>
                <w:snapToGrid w:val="0"/>
                <w:color w:val="auto"/>
                <w:kern w:val="21"/>
                <w:sz w:val="21"/>
                <w:szCs w:val="21"/>
                <w:lang w:val="en-US" w:eastAsia="zh-CN"/>
              </w:rPr>
              <w:t>/</w:t>
            </w:r>
          </w:p>
        </w:tc>
        <w:tc>
          <w:tcPr>
            <w:tcW w:w="609" w:type="pct"/>
            <w:noWrap w:val="0"/>
            <w:vAlign w:val="center"/>
          </w:tcPr>
          <w:p w14:paraId="03DAFA48">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0.1</w:t>
            </w:r>
            <w:r>
              <w:rPr>
                <w:rFonts w:hint="eastAsia" w:ascii="Times New Roman" w:hAnsi="Times New Roman" w:eastAsia="宋体" w:cs="Times New Roman"/>
                <w:b w:val="0"/>
                <w:bCs/>
                <w:color w:val="auto"/>
                <w:sz w:val="21"/>
                <w:szCs w:val="21"/>
                <w:lang w:val="en-US" w:eastAsia="zh-CN"/>
              </w:rPr>
              <w:t>t/a</w:t>
            </w:r>
          </w:p>
        </w:tc>
        <w:tc>
          <w:tcPr>
            <w:tcW w:w="570" w:type="pct"/>
            <w:noWrap w:val="0"/>
            <w:vAlign w:val="center"/>
          </w:tcPr>
          <w:p w14:paraId="078CFD43">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eastAsia" w:ascii="Times New Roman" w:cs="Times New Roman"/>
                <w:snapToGrid w:val="0"/>
                <w:color w:val="auto"/>
                <w:kern w:val="21"/>
                <w:sz w:val="21"/>
                <w:szCs w:val="21"/>
                <w:lang w:val="en-US" w:eastAsia="zh-CN"/>
              </w:rPr>
              <w:t>/</w:t>
            </w:r>
          </w:p>
        </w:tc>
        <w:tc>
          <w:tcPr>
            <w:tcW w:w="707" w:type="pct"/>
            <w:noWrap w:val="0"/>
            <w:vAlign w:val="center"/>
          </w:tcPr>
          <w:p w14:paraId="4F02DF73">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0.1</w:t>
            </w:r>
            <w:r>
              <w:rPr>
                <w:rFonts w:hint="eastAsia" w:ascii="Times New Roman" w:hAnsi="Times New Roman" w:eastAsia="宋体" w:cs="Times New Roman"/>
                <w:b w:val="0"/>
                <w:bCs/>
                <w:color w:val="auto"/>
                <w:sz w:val="21"/>
                <w:szCs w:val="21"/>
                <w:lang w:val="en-US" w:eastAsia="zh-CN"/>
              </w:rPr>
              <w:t>t/a</w:t>
            </w:r>
          </w:p>
        </w:tc>
        <w:tc>
          <w:tcPr>
            <w:tcW w:w="445" w:type="pct"/>
            <w:noWrap w:val="0"/>
            <w:vAlign w:val="center"/>
          </w:tcPr>
          <w:p w14:paraId="3E5DC5B7">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cs="Times New Roman"/>
                <w:b w:val="0"/>
                <w:bCs/>
                <w:color w:val="auto"/>
                <w:sz w:val="21"/>
                <w:szCs w:val="21"/>
                <w:lang w:val="en-US" w:eastAsia="zh-CN"/>
              </w:rPr>
            </w:pPr>
            <w:r>
              <w:rPr>
                <w:rFonts w:hint="eastAsia" w:cs="Times New Roman"/>
                <w:b w:val="0"/>
                <w:bCs/>
                <w:color w:val="auto"/>
                <w:kern w:val="2"/>
                <w:sz w:val="21"/>
                <w:szCs w:val="21"/>
                <w:lang w:val="en-US" w:eastAsia="zh-CN" w:bidi="ar-SA"/>
              </w:rPr>
              <w:t>+0.1</w:t>
            </w:r>
            <w:r>
              <w:rPr>
                <w:rFonts w:hint="eastAsia" w:ascii="Times New Roman" w:hAnsi="Times New Roman" w:eastAsia="宋体" w:cs="Times New Roman"/>
                <w:b w:val="0"/>
                <w:bCs/>
                <w:color w:val="auto"/>
                <w:sz w:val="21"/>
                <w:szCs w:val="21"/>
                <w:lang w:val="en-US" w:eastAsia="zh-CN"/>
              </w:rPr>
              <w:t>t/a</w:t>
            </w:r>
          </w:p>
        </w:tc>
      </w:tr>
      <w:tr w14:paraId="5233A9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21" w:type="pct"/>
            <w:vMerge w:val="continue"/>
            <w:noWrap w:val="0"/>
            <w:vAlign w:val="center"/>
          </w:tcPr>
          <w:p w14:paraId="4BD3B498">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eastAsia" w:ascii="Times New Roman" w:hAnsi="Times New Roman" w:cs="Times New Roman"/>
                <w:b w:val="0"/>
                <w:bCs/>
                <w:snapToGrid w:val="0"/>
                <w:color w:val="auto"/>
                <w:kern w:val="21"/>
                <w:sz w:val="21"/>
                <w:szCs w:val="21"/>
                <w:lang w:val="en-US" w:eastAsia="zh-CN"/>
              </w:rPr>
            </w:pPr>
          </w:p>
        </w:tc>
        <w:tc>
          <w:tcPr>
            <w:tcW w:w="479" w:type="pct"/>
            <w:noWrap w:val="0"/>
            <w:vAlign w:val="center"/>
          </w:tcPr>
          <w:p w14:paraId="6DB68184">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cs="Times New Roman"/>
                <w:b w:val="0"/>
                <w:bCs/>
                <w:snapToGrid w:val="0"/>
                <w:color w:val="auto"/>
                <w:kern w:val="21"/>
                <w:sz w:val="21"/>
                <w:szCs w:val="21"/>
                <w:lang w:val="en-US" w:eastAsia="zh-CN"/>
              </w:rPr>
            </w:pPr>
            <w:r>
              <w:rPr>
                <w:rFonts w:hint="eastAsia" w:ascii="Times New Roman" w:cs="Times New Roman"/>
                <w:b w:val="0"/>
                <w:bCs/>
                <w:snapToGrid w:val="0"/>
                <w:color w:val="auto"/>
                <w:kern w:val="21"/>
                <w:sz w:val="21"/>
                <w:szCs w:val="21"/>
                <w:lang w:val="en-US" w:eastAsia="zh-CN"/>
              </w:rPr>
              <w:t>废润滑油</w:t>
            </w:r>
          </w:p>
        </w:tc>
        <w:tc>
          <w:tcPr>
            <w:tcW w:w="655" w:type="pct"/>
            <w:noWrap w:val="0"/>
            <w:vAlign w:val="center"/>
          </w:tcPr>
          <w:p w14:paraId="517E9BEC">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eastAsia" w:ascii="Times New Roman" w:cs="Times New Roman"/>
                <w:snapToGrid w:val="0"/>
                <w:color w:val="auto"/>
                <w:kern w:val="21"/>
                <w:sz w:val="21"/>
                <w:szCs w:val="21"/>
                <w:lang w:val="en-US" w:eastAsia="zh-CN"/>
              </w:rPr>
              <w:t>/</w:t>
            </w:r>
          </w:p>
        </w:tc>
        <w:tc>
          <w:tcPr>
            <w:tcW w:w="454" w:type="pct"/>
            <w:noWrap w:val="0"/>
            <w:vAlign w:val="center"/>
          </w:tcPr>
          <w:p w14:paraId="12628899">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eastAsia" w:ascii="Times New Roman" w:cs="Times New Roman"/>
                <w:snapToGrid w:val="0"/>
                <w:color w:val="auto"/>
                <w:kern w:val="21"/>
                <w:sz w:val="21"/>
                <w:szCs w:val="21"/>
                <w:lang w:val="en-US" w:eastAsia="zh-CN"/>
              </w:rPr>
              <w:t>/</w:t>
            </w:r>
          </w:p>
        </w:tc>
        <w:tc>
          <w:tcPr>
            <w:tcW w:w="654" w:type="pct"/>
            <w:noWrap w:val="0"/>
            <w:vAlign w:val="center"/>
          </w:tcPr>
          <w:p w14:paraId="3F287374">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cs="Times New Roman"/>
                <w:snapToGrid w:val="0"/>
                <w:color w:val="auto"/>
                <w:kern w:val="21"/>
                <w:sz w:val="21"/>
                <w:szCs w:val="21"/>
                <w:lang w:val="en-US" w:eastAsia="zh-CN"/>
              </w:rPr>
              <w:t>/</w:t>
            </w:r>
          </w:p>
        </w:tc>
        <w:tc>
          <w:tcPr>
            <w:tcW w:w="609" w:type="pct"/>
            <w:noWrap w:val="0"/>
            <w:vAlign w:val="center"/>
          </w:tcPr>
          <w:p w14:paraId="52B93A3F">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0.4</w:t>
            </w:r>
            <w:r>
              <w:rPr>
                <w:rFonts w:hint="eastAsia" w:ascii="Times New Roman" w:hAnsi="Times New Roman" w:eastAsia="宋体" w:cs="Times New Roman"/>
                <w:b w:val="0"/>
                <w:bCs/>
                <w:color w:val="auto"/>
                <w:sz w:val="21"/>
                <w:szCs w:val="21"/>
                <w:lang w:val="en-US" w:eastAsia="zh-CN"/>
              </w:rPr>
              <w:t>t/a</w:t>
            </w:r>
          </w:p>
        </w:tc>
        <w:tc>
          <w:tcPr>
            <w:tcW w:w="570" w:type="pct"/>
            <w:noWrap w:val="0"/>
            <w:vAlign w:val="center"/>
          </w:tcPr>
          <w:p w14:paraId="3450C060">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eastAsia" w:ascii="Times New Roman" w:cs="Times New Roman"/>
                <w:snapToGrid w:val="0"/>
                <w:color w:val="auto"/>
                <w:kern w:val="21"/>
                <w:sz w:val="21"/>
                <w:szCs w:val="21"/>
                <w:lang w:val="en-US" w:eastAsia="zh-CN"/>
              </w:rPr>
              <w:t>/</w:t>
            </w:r>
          </w:p>
        </w:tc>
        <w:tc>
          <w:tcPr>
            <w:tcW w:w="707" w:type="pct"/>
            <w:noWrap w:val="0"/>
            <w:vAlign w:val="center"/>
          </w:tcPr>
          <w:p w14:paraId="6EFAEE64">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0.4</w:t>
            </w:r>
            <w:r>
              <w:rPr>
                <w:rFonts w:hint="eastAsia" w:ascii="Times New Roman" w:hAnsi="Times New Roman" w:eastAsia="宋体" w:cs="Times New Roman"/>
                <w:b w:val="0"/>
                <w:bCs/>
                <w:color w:val="auto"/>
                <w:sz w:val="21"/>
                <w:szCs w:val="21"/>
                <w:lang w:val="en-US" w:eastAsia="zh-CN"/>
              </w:rPr>
              <w:t>t/a</w:t>
            </w:r>
          </w:p>
        </w:tc>
        <w:tc>
          <w:tcPr>
            <w:tcW w:w="445" w:type="pct"/>
            <w:noWrap w:val="0"/>
            <w:vAlign w:val="center"/>
          </w:tcPr>
          <w:p w14:paraId="20D11E36">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cs="Times New Roman"/>
                <w:b w:val="0"/>
                <w:bCs/>
                <w:color w:val="auto"/>
                <w:sz w:val="21"/>
                <w:szCs w:val="21"/>
                <w:lang w:val="en-US" w:eastAsia="zh-CN"/>
              </w:rPr>
            </w:pPr>
            <w:r>
              <w:rPr>
                <w:rFonts w:hint="eastAsia" w:cs="Times New Roman"/>
                <w:b w:val="0"/>
                <w:bCs/>
                <w:color w:val="auto"/>
                <w:kern w:val="2"/>
                <w:sz w:val="21"/>
                <w:szCs w:val="21"/>
                <w:lang w:val="en-US" w:eastAsia="zh-CN" w:bidi="ar-SA"/>
              </w:rPr>
              <w:t>+0.4</w:t>
            </w:r>
            <w:r>
              <w:rPr>
                <w:rFonts w:hint="eastAsia" w:ascii="Times New Roman" w:hAnsi="Times New Roman" w:eastAsia="宋体" w:cs="Times New Roman"/>
                <w:b w:val="0"/>
                <w:bCs/>
                <w:color w:val="auto"/>
                <w:sz w:val="21"/>
                <w:szCs w:val="21"/>
                <w:lang w:val="en-US" w:eastAsia="zh-CN"/>
              </w:rPr>
              <w:t>t/a</w:t>
            </w:r>
          </w:p>
        </w:tc>
      </w:tr>
      <w:tr w14:paraId="358C41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21" w:type="pct"/>
            <w:vMerge w:val="continue"/>
            <w:noWrap w:val="0"/>
            <w:vAlign w:val="center"/>
          </w:tcPr>
          <w:p w14:paraId="36602A7E">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eastAsia" w:ascii="Times New Roman" w:hAnsi="Times New Roman" w:cs="Times New Roman"/>
                <w:b w:val="0"/>
                <w:bCs/>
                <w:snapToGrid w:val="0"/>
                <w:color w:val="auto"/>
                <w:kern w:val="21"/>
                <w:sz w:val="21"/>
                <w:szCs w:val="21"/>
                <w:lang w:val="en-US" w:eastAsia="zh-CN"/>
              </w:rPr>
            </w:pPr>
          </w:p>
        </w:tc>
        <w:tc>
          <w:tcPr>
            <w:tcW w:w="479" w:type="pct"/>
            <w:noWrap w:val="0"/>
            <w:vAlign w:val="center"/>
          </w:tcPr>
          <w:p w14:paraId="53B8AEC5">
            <w:pPr>
              <w:pStyle w:val="33"/>
              <w:keepNext w:val="0"/>
              <w:keepLines w:val="0"/>
              <w:pageBreakBefore w:val="0"/>
              <w:kinsoku/>
              <w:wordWrap/>
              <w:overflowPunct/>
              <w:topLinePunct w:val="0"/>
              <w:autoSpaceDE/>
              <w:autoSpaceDN/>
              <w:bidi w:val="0"/>
              <w:spacing w:beforeLines="0" w:afterLines="0" w:line="240" w:lineRule="auto"/>
              <w:ind w:firstLine="0" w:firstLineChars="0"/>
              <w:jc w:val="center"/>
              <w:textAlignment w:val="auto"/>
              <w:rPr>
                <w:rFonts w:hint="default" w:ascii="Times New Roman" w:cs="Times New Roman"/>
                <w:b w:val="0"/>
                <w:bCs/>
                <w:snapToGrid w:val="0"/>
                <w:color w:val="auto"/>
                <w:kern w:val="21"/>
                <w:sz w:val="21"/>
                <w:szCs w:val="21"/>
                <w:lang w:val="en-US" w:eastAsia="zh-CN"/>
              </w:rPr>
            </w:pPr>
            <w:r>
              <w:rPr>
                <w:rFonts w:hint="eastAsia" w:ascii="Times New Roman" w:cs="Times New Roman"/>
                <w:b w:val="0"/>
                <w:bCs/>
                <w:snapToGrid w:val="0"/>
                <w:color w:val="auto"/>
                <w:kern w:val="21"/>
                <w:sz w:val="21"/>
                <w:szCs w:val="21"/>
                <w:lang w:val="en-US" w:eastAsia="zh-CN"/>
              </w:rPr>
              <w:t>废催化剂</w:t>
            </w:r>
          </w:p>
        </w:tc>
        <w:tc>
          <w:tcPr>
            <w:tcW w:w="655" w:type="pct"/>
            <w:noWrap w:val="0"/>
            <w:vAlign w:val="center"/>
          </w:tcPr>
          <w:p w14:paraId="1F24324E">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eastAsia" w:ascii="Times New Roman" w:cs="Times New Roman"/>
                <w:snapToGrid w:val="0"/>
                <w:color w:val="auto"/>
                <w:kern w:val="21"/>
                <w:sz w:val="21"/>
                <w:szCs w:val="21"/>
                <w:lang w:val="en-US" w:eastAsia="zh-CN"/>
              </w:rPr>
              <w:t>/</w:t>
            </w:r>
          </w:p>
        </w:tc>
        <w:tc>
          <w:tcPr>
            <w:tcW w:w="454" w:type="pct"/>
            <w:noWrap w:val="0"/>
            <w:vAlign w:val="center"/>
          </w:tcPr>
          <w:p w14:paraId="405613BB">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eastAsia" w:ascii="Times New Roman" w:cs="Times New Roman"/>
                <w:snapToGrid w:val="0"/>
                <w:color w:val="auto"/>
                <w:kern w:val="21"/>
                <w:sz w:val="21"/>
                <w:szCs w:val="21"/>
                <w:lang w:val="en-US" w:eastAsia="zh-CN"/>
              </w:rPr>
              <w:t>/</w:t>
            </w:r>
          </w:p>
        </w:tc>
        <w:tc>
          <w:tcPr>
            <w:tcW w:w="654" w:type="pct"/>
            <w:noWrap w:val="0"/>
            <w:vAlign w:val="center"/>
          </w:tcPr>
          <w:p w14:paraId="71D23B20">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cs="Times New Roman"/>
                <w:snapToGrid w:val="0"/>
                <w:color w:val="auto"/>
                <w:kern w:val="21"/>
                <w:sz w:val="21"/>
                <w:szCs w:val="21"/>
                <w:lang w:val="en-US" w:eastAsia="zh-CN"/>
              </w:rPr>
              <w:t>/</w:t>
            </w:r>
          </w:p>
        </w:tc>
        <w:tc>
          <w:tcPr>
            <w:tcW w:w="609" w:type="pct"/>
            <w:noWrap w:val="0"/>
            <w:vAlign w:val="center"/>
          </w:tcPr>
          <w:p w14:paraId="36A77E11">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0.1</w:t>
            </w:r>
            <w:r>
              <w:rPr>
                <w:rFonts w:hint="eastAsia" w:ascii="Times New Roman" w:hAnsi="Times New Roman" w:eastAsia="宋体" w:cs="Times New Roman"/>
                <w:b w:val="0"/>
                <w:bCs/>
                <w:color w:val="auto"/>
                <w:sz w:val="21"/>
                <w:szCs w:val="21"/>
                <w:lang w:val="en-US" w:eastAsia="zh-CN"/>
              </w:rPr>
              <w:t>t/a</w:t>
            </w:r>
          </w:p>
        </w:tc>
        <w:tc>
          <w:tcPr>
            <w:tcW w:w="570" w:type="pct"/>
            <w:noWrap w:val="0"/>
            <w:vAlign w:val="center"/>
          </w:tcPr>
          <w:p w14:paraId="655CCD1C">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snapToGrid w:val="0"/>
                <w:color w:val="auto"/>
                <w:kern w:val="21"/>
                <w:sz w:val="21"/>
                <w:szCs w:val="21"/>
              </w:rPr>
            </w:pPr>
            <w:r>
              <w:rPr>
                <w:rFonts w:hint="eastAsia" w:ascii="Times New Roman" w:cs="Times New Roman"/>
                <w:snapToGrid w:val="0"/>
                <w:color w:val="auto"/>
                <w:kern w:val="21"/>
                <w:sz w:val="21"/>
                <w:szCs w:val="21"/>
                <w:lang w:val="en-US" w:eastAsia="zh-CN"/>
              </w:rPr>
              <w:t>/</w:t>
            </w:r>
          </w:p>
        </w:tc>
        <w:tc>
          <w:tcPr>
            <w:tcW w:w="707" w:type="pct"/>
            <w:noWrap w:val="0"/>
            <w:vAlign w:val="center"/>
          </w:tcPr>
          <w:p w14:paraId="7386E83F">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0.1</w:t>
            </w:r>
            <w:r>
              <w:rPr>
                <w:rFonts w:hint="eastAsia" w:ascii="Times New Roman" w:hAnsi="Times New Roman" w:eastAsia="宋体" w:cs="Times New Roman"/>
                <w:b w:val="0"/>
                <w:bCs/>
                <w:color w:val="auto"/>
                <w:sz w:val="21"/>
                <w:szCs w:val="21"/>
                <w:lang w:val="en-US" w:eastAsia="zh-CN"/>
              </w:rPr>
              <w:t>t/a</w:t>
            </w:r>
          </w:p>
        </w:tc>
        <w:tc>
          <w:tcPr>
            <w:tcW w:w="445" w:type="pct"/>
            <w:noWrap w:val="0"/>
            <w:vAlign w:val="center"/>
          </w:tcPr>
          <w:p w14:paraId="5C2C7F23">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cs="Times New Roman"/>
                <w:b w:val="0"/>
                <w:bCs/>
                <w:color w:val="auto"/>
                <w:sz w:val="21"/>
                <w:szCs w:val="21"/>
                <w:lang w:val="en-US" w:eastAsia="zh-CN"/>
              </w:rPr>
            </w:pPr>
            <w:r>
              <w:rPr>
                <w:rFonts w:hint="eastAsia" w:cs="Times New Roman"/>
                <w:b w:val="0"/>
                <w:bCs/>
                <w:color w:val="auto"/>
                <w:kern w:val="2"/>
                <w:sz w:val="21"/>
                <w:szCs w:val="21"/>
                <w:lang w:val="en-US" w:eastAsia="zh-CN" w:bidi="ar-SA"/>
              </w:rPr>
              <w:t>+0.1</w:t>
            </w:r>
            <w:r>
              <w:rPr>
                <w:rFonts w:hint="eastAsia" w:ascii="Times New Roman" w:hAnsi="Times New Roman" w:eastAsia="宋体" w:cs="Times New Roman"/>
                <w:b w:val="0"/>
                <w:bCs/>
                <w:color w:val="auto"/>
                <w:sz w:val="21"/>
                <w:szCs w:val="21"/>
                <w:lang w:val="en-US" w:eastAsia="zh-CN"/>
              </w:rPr>
              <w:t>t/a</w:t>
            </w:r>
          </w:p>
        </w:tc>
      </w:tr>
    </w:tbl>
    <w:p w14:paraId="164E6F61">
      <w:pPr>
        <w:pStyle w:val="33"/>
        <w:spacing w:before="192" w:beforeLines="80" w:after="24"/>
        <w:jc w:val="left"/>
        <w:rPr>
          <w:rFonts w:hAnsi="宋体"/>
          <w:snapToGrid w:val="0"/>
          <w:color w:val="auto"/>
          <w:spacing w:val="-6"/>
          <w:kern w:val="21"/>
          <w:szCs w:val="21"/>
        </w:rPr>
        <w:sectPr>
          <w:footerReference r:id="rId4" w:type="default"/>
          <w:pgSz w:w="16838" w:h="11906" w:orient="landscape"/>
          <w:pgMar w:top="1531" w:right="1701" w:bottom="1531" w:left="1701" w:header="851" w:footer="850" w:gutter="0"/>
          <w:pgBorders>
            <w:top w:val="none" w:sz="0" w:space="0"/>
            <w:left w:val="none" w:sz="0" w:space="0"/>
            <w:bottom w:val="none" w:sz="0" w:space="0"/>
            <w:right w:val="none" w:sz="0" w:space="0"/>
          </w:pgBorders>
          <w:pgNumType w:fmt="decimal"/>
          <w:cols w:space="0" w:num="1"/>
          <w:rtlGutter w:val="0"/>
          <w:docGrid w:linePitch="312" w:charSpace="0"/>
        </w:sectPr>
      </w:pPr>
      <w:r>
        <w:rPr>
          <w:rFonts w:hAnsi="宋体"/>
          <w:snapToGrid w:val="0"/>
          <w:color w:val="auto"/>
          <w:kern w:val="21"/>
          <w:szCs w:val="21"/>
        </w:rPr>
        <w:t>注：</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3 \* GB3 \* MERGEFORMAT </w:instrText>
      </w:r>
      <w:r>
        <w:rPr>
          <w:rFonts w:hAnsi="宋体"/>
          <w:snapToGrid w:val="0"/>
          <w:color w:val="auto"/>
          <w:spacing w:val="-6"/>
          <w:kern w:val="21"/>
          <w:szCs w:val="21"/>
        </w:rPr>
        <w:fldChar w:fldCharType="separate"/>
      </w:r>
      <w:r>
        <w:rPr>
          <w:rFonts w:hint="eastAsia" w:hAnsi="宋体"/>
          <w:color w:val="auto"/>
          <w:szCs w:val="21"/>
        </w:rPr>
        <w:t>③</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4 \* GB3 \* MERGEFORMAT </w:instrText>
      </w:r>
      <w:r>
        <w:rPr>
          <w:rFonts w:hAnsi="宋体"/>
          <w:snapToGrid w:val="0"/>
          <w:color w:val="auto"/>
          <w:spacing w:val="-6"/>
          <w:kern w:val="21"/>
          <w:szCs w:val="21"/>
        </w:rPr>
        <w:fldChar w:fldCharType="separate"/>
      </w:r>
      <w:r>
        <w:rPr>
          <w:rFonts w:hint="eastAsia" w:hAnsi="宋体"/>
          <w:color w:val="auto"/>
          <w:szCs w:val="21"/>
        </w:rPr>
        <w:t>④</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5 \* GB3 \* MERGEFORMAT </w:instrText>
      </w:r>
      <w:r>
        <w:rPr>
          <w:rFonts w:hAnsi="宋体"/>
          <w:snapToGrid w:val="0"/>
          <w:color w:val="auto"/>
          <w:spacing w:val="-16"/>
          <w:kern w:val="21"/>
          <w:szCs w:val="21"/>
        </w:rPr>
        <w:fldChar w:fldCharType="separate"/>
      </w:r>
      <w:r>
        <w:rPr>
          <w:rFonts w:hint="eastAsia" w:hAnsi="宋体"/>
          <w:color w:val="auto"/>
          <w:szCs w:val="21"/>
        </w:rPr>
        <w:t>⑤</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7 \* GB3 \* MERGEFORMAT </w:instrText>
      </w:r>
      <w:r>
        <w:rPr>
          <w:rFonts w:hAnsi="宋体"/>
          <w:snapToGrid w:val="0"/>
          <w:color w:val="auto"/>
          <w:spacing w:val="-6"/>
          <w:kern w:val="21"/>
          <w:szCs w:val="21"/>
        </w:rPr>
        <w:fldChar w:fldCharType="separate"/>
      </w:r>
      <w:r>
        <w:rPr>
          <w:rFonts w:hint="eastAsia" w:hAnsi="宋体"/>
          <w:color w:val="auto"/>
          <w:szCs w:val="21"/>
        </w:rPr>
        <w:t>⑦</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p>
    <w:p w14:paraId="259E5BE9">
      <w:pPr>
        <w:rPr>
          <w:rFonts w:hint="eastAsia"/>
          <w:lang w:val="en-US" w:eastAsia="zh-CN"/>
        </w:rPr>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704D4">
    <w:pPr>
      <w:spacing w:line="177" w:lineRule="auto"/>
      <w:ind w:left="4130"/>
      <w:rPr>
        <w:rFonts w:ascii="等线" w:hAnsi="等线" w:eastAsia="等线" w:cs="等线"/>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DB51A0">
                          <w:pPr>
                            <w:pStyle w:val="19"/>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79DB51A0">
                    <w:pPr>
                      <w:pStyle w:val="19"/>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66C3D">
    <w:pPr>
      <w:pStyle w:val="19"/>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989825">
                          <w:pPr>
                            <w:pStyle w:val="19"/>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2E989825">
                    <w:pPr>
                      <w:pStyle w:val="19"/>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6A93E">
    <w:pPr>
      <w:pStyle w:val="19"/>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AA6D8A">
                          <w:pPr>
                            <w:pStyle w:val="19"/>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5CAA6D8A">
                    <w:pPr>
                      <w:pStyle w:val="19"/>
                    </w:pPr>
                    <w:r>
                      <w:fldChar w:fldCharType="begin"/>
                    </w:r>
                    <w:r>
                      <w:instrText xml:space="preserve"> PAGE  \* MERGEFORMAT </w:instrText>
                    </w:r>
                    <w:r>
                      <w:fldChar w:fldCharType="separate"/>
                    </w:r>
                    <w:r>
                      <w:t>79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3CB67E"/>
    <w:multiLevelType w:val="singleLevel"/>
    <w:tmpl w:val="B83CB67E"/>
    <w:lvl w:ilvl="0" w:tentative="0">
      <w:start w:val="1"/>
      <w:numFmt w:val="bullet"/>
      <w:pStyle w:val="16"/>
      <w:lvlText w:val=""/>
      <w:lvlJc w:val="left"/>
      <w:pPr>
        <w:tabs>
          <w:tab w:val="left" w:pos="2040"/>
        </w:tabs>
        <w:ind w:left="2040" w:hanging="360"/>
      </w:pPr>
      <w:rPr>
        <w:rFonts w:hint="default" w:ascii="Wingdings" w:hAnsi="Wingdings"/>
      </w:rPr>
    </w:lvl>
  </w:abstractNum>
  <w:abstractNum w:abstractNumId="1">
    <w:nsid w:val="FFD80CC7"/>
    <w:multiLevelType w:val="singleLevel"/>
    <w:tmpl w:val="FFD80CC7"/>
    <w:lvl w:ilvl="0" w:tentative="0">
      <w:start w:val="1"/>
      <w:numFmt w:val="decimal"/>
      <w:suff w:val="nothing"/>
      <w:lvlText w:val="（%1）"/>
      <w:lvlJc w:val="left"/>
    </w:lvl>
  </w:abstractNum>
  <w:abstractNum w:abstractNumId="2">
    <w:nsid w:val="0B5E53F7"/>
    <w:multiLevelType w:val="multilevel"/>
    <w:tmpl w:val="0B5E53F7"/>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yOTAzODQ4MTBjOGI4NDVhMGU2NTFhNTU3YTI2NjIifQ=="/>
  </w:docVars>
  <w:rsids>
    <w:rsidRoot w:val="00172A27"/>
    <w:rsid w:val="003F3594"/>
    <w:rsid w:val="0073020E"/>
    <w:rsid w:val="00BA6208"/>
    <w:rsid w:val="01A22C15"/>
    <w:rsid w:val="01FB40D3"/>
    <w:rsid w:val="02721649"/>
    <w:rsid w:val="02DF39F5"/>
    <w:rsid w:val="03383A68"/>
    <w:rsid w:val="03443703"/>
    <w:rsid w:val="036E73AD"/>
    <w:rsid w:val="04094A8D"/>
    <w:rsid w:val="04503F23"/>
    <w:rsid w:val="049D76C3"/>
    <w:rsid w:val="04C42EA2"/>
    <w:rsid w:val="050D7898"/>
    <w:rsid w:val="0533251B"/>
    <w:rsid w:val="057E13B9"/>
    <w:rsid w:val="0588026A"/>
    <w:rsid w:val="05C45072"/>
    <w:rsid w:val="05C869C2"/>
    <w:rsid w:val="05D26C68"/>
    <w:rsid w:val="05DB1683"/>
    <w:rsid w:val="05E337FC"/>
    <w:rsid w:val="062D1CA5"/>
    <w:rsid w:val="06320A7F"/>
    <w:rsid w:val="066F2770"/>
    <w:rsid w:val="066F3F58"/>
    <w:rsid w:val="0677791C"/>
    <w:rsid w:val="06CB7A4B"/>
    <w:rsid w:val="0709363A"/>
    <w:rsid w:val="070D0835"/>
    <w:rsid w:val="079026A1"/>
    <w:rsid w:val="07DD04B4"/>
    <w:rsid w:val="0802639E"/>
    <w:rsid w:val="08103DEF"/>
    <w:rsid w:val="08253634"/>
    <w:rsid w:val="08DF3B1D"/>
    <w:rsid w:val="091F4B4B"/>
    <w:rsid w:val="093460A9"/>
    <w:rsid w:val="09513505"/>
    <w:rsid w:val="09736C45"/>
    <w:rsid w:val="0981001C"/>
    <w:rsid w:val="098B7457"/>
    <w:rsid w:val="0A20501F"/>
    <w:rsid w:val="0A387C29"/>
    <w:rsid w:val="0A441786"/>
    <w:rsid w:val="0A443F46"/>
    <w:rsid w:val="0A6F38B0"/>
    <w:rsid w:val="0ABF525A"/>
    <w:rsid w:val="0AE40E54"/>
    <w:rsid w:val="0B2D1E58"/>
    <w:rsid w:val="0B332B30"/>
    <w:rsid w:val="0B747F3B"/>
    <w:rsid w:val="0BAE4A33"/>
    <w:rsid w:val="0BC51F38"/>
    <w:rsid w:val="0BD75BB1"/>
    <w:rsid w:val="0C781AD8"/>
    <w:rsid w:val="0CAC109A"/>
    <w:rsid w:val="0CD43E9E"/>
    <w:rsid w:val="0CD657B7"/>
    <w:rsid w:val="0D0C381F"/>
    <w:rsid w:val="0D261478"/>
    <w:rsid w:val="0D3D5EE8"/>
    <w:rsid w:val="0D4234FE"/>
    <w:rsid w:val="0D450BB7"/>
    <w:rsid w:val="0D4E21C4"/>
    <w:rsid w:val="0D6C2329"/>
    <w:rsid w:val="0D80206D"/>
    <w:rsid w:val="0DE7373B"/>
    <w:rsid w:val="0EA13ADC"/>
    <w:rsid w:val="0EB03F8E"/>
    <w:rsid w:val="0EF77BB1"/>
    <w:rsid w:val="0F0A1DF9"/>
    <w:rsid w:val="0F2C59E9"/>
    <w:rsid w:val="0F6E00F9"/>
    <w:rsid w:val="0F786C55"/>
    <w:rsid w:val="0FF54858"/>
    <w:rsid w:val="100674FE"/>
    <w:rsid w:val="10612637"/>
    <w:rsid w:val="10B2701E"/>
    <w:rsid w:val="10BA18DC"/>
    <w:rsid w:val="10D04241"/>
    <w:rsid w:val="11287383"/>
    <w:rsid w:val="11300EBB"/>
    <w:rsid w:val="11524A46"/>
    <w:rsid w:val="11E62EB1"/>
    <w:rsid w:val="1237572B"/>
    <w:rsid w:val="1245667F"/>
    <w:rsid w:val="12BA4BDF"/>
    <w:rsid w:val="13A520F1"/>
    <w:rsid w:val="13C359BB"/>
    <w:rsid w:val="13D03611"/>
    <w:rsid w:val="13E904B5"/>
    <w:rsid w:val="13F35A2B"/>
    <w:rsid w:val="13F4009E"/>
    <w:rsid w:val="140B7CBC"/>
    <w:rsid w:val="145F2CB1"/>
    <w:rsid w:val="149D0BBC"/>
    <w:rsid w:val="15063657"/>
    <w:rsid w:val="15655750"/>
    <w:rsid w:val="156A0FBD"/>
    <w:rsid w:val="15C4372B"/>
    <w:rsid w:val="15D05B4B"/>
    <w:rsid w:val="15D803C0"/>
    <w:rsid w:val="15FC06AD"/>
    <w:rsid w:val="16160AFD"/>
    <w:rsid w:val="1651260D"/>
    <w:rsid w:val="17233A58"/>
    <w:rsid w:val="17742764"/>
    <w:rsid w:val="17AF353E"/>
    <w:rsid w:val="17C36763"/>
    <w:rsid w:val="17F154B8"/>
    <w:rsid w:val="17F54DC3"/>
    <w:rsid w:val="17F72AB1"/>
    <w:rsid w:val="1807337A"/>
    <w:rsid w:val="183226B5"/>
    <w:rsid w:val="18422670"/>
    <w:rsid w:val="187C2B7B"/>
    <w:rsid w:val="18A81147"/>
    <w:rsid w:val="18EB0C9B"/>
    <w:rsid w:val="190476C3"/>
    <w:rsid w:val="195D50B8"/>
    <w:rsid w:val="19895F1B"/>
    <w:rsid w:val="19DD5AEB"/>
    <w:rsid w:val="19E64779"/>
    <w:rsid w:val="19F456F9"/>
    <w:rsid w:val="1AB76D72"/>
    <w:rsid w:val="1ADE4B3C"/>
    <w:rsid w:val="1AE67528"/>
    <w:rsid w:val="1BBE4697"/>
    <w:rsid w:val="1BEA20AB"/>
    <w:rsid w:val="1CA86EEF"/>
    <w:rsid w:val="1CF01566"/>
    <w:rsid w:val="1D115171"/>
    <w:rsid w:val="1D2147FC"/>
    <w:rsid w:val="1DF95513"/>
    <w:rsid w:val="1E5C3EC6"/>
    <w:rsid w:val="1EA96371"/>
    <w:rsid w:val="1EBF3D51"/>
    <w:rsid w:val="1EEE7608"/>
    <w:rsid w:val="1F110004"/>
    <w:rsid w:val="1F1F284B"/>
    <w:rsid w:val="1F582465"/>
    <w:rsid w:val="1FC875A0"/>
    <w:rsid w:val="20270A5D"/>
    <w:rsid w:val="205B0707"/>
    <w:rsid w:val="208C71D9"/>
    <w:rsid w:val="20AE5F95"/>
    <w:rsid w:val="214A272C"/>
    <w:rsid w:val="215338E0"/>
    <w:rsid w:val="220C636F"/>
    <w:rsid w:val="22600256"/>
    <w:rsid w:val="22BE4F7D"/>
    <w:rsid w:val="231150AD"/>
    <w:rsid w:val="232D0B4C"/>
    <w:rsid w:val="233B037C"/>
    <w:rsid w:val="23474117"/>
    <w:rsid w:val="23936656"/>
    <w:rsid w:val="24432D66"/>
    <w:rsid w:val="248D61C7"/>
    <w:rsid w:val="24914719"/>
    <w:rsid w:val="2504605B"/>
    <w:rsid w:val="2572277A"/>
    <w:rsid w:val="257F6C45"/>
    <w:rsid w:val="25837821"/>
    <w:rsid w:val="263867EE"/>
    <w:rsid w:val="26BE7ADF"/>
    <w:rsid w:val="272C59BF"/>
    <w:rsid w:val="281713B7"/>
    <w:rsid w:val="28264304"/>
    <w:rsid w:val="28303834"/>
    <w:rsid w:val="284F35F9"/>
    <w:rsid w:val="28966844"/>
    <w:rsid w:val="296879F1"/>
    <w:rsid w:val="29C7023E"/>
    <w:rsid w:val="2A9C2048"/>
    <w:rsid w:val="2AA653AE"/>
    <w:rsid w:val="2B2D0EF2"/>
    <w:rsid w:val="2B3163EF"/>
    <w:rsid w:val="2B7D4776"/>
    <w:rsid w:val="2B924CB2"/>
    <w:rsid w:val="2C1F4C54"/>
    <w:rsid w:val="2C2248FC"/>
    <w:rsid w:val="2C784645"/>
    <w:rsid w:val="2CF908D7"/>
    <w:rsid w:val="2D4367AA"/>
    <w:rsid w:val="2D8079FF"/>
    <w:rsid w:val="2D8E02C6"/>
    <w:rsid w:val="2DE33AEA"/>
    <w:rsid w:val="2E597764"/>
    <w:rsid w:val="2E825C96"/>
    <w:rsid w:val="2F14517C"/>
    <w:rsid w:val="2F9C2948"/>
    <w:rsid w:val="300B2814"/>
    <w:rsid w:val="30662EDC"/>
    <w:rsid w:val="30704A03"/>
    <w:rsid w:val="314B6382"/>
    <w:rsid w:val="319D338A"/>
    <w:rsid w:val="320504D2"/>
    <w:rsid w:val="32494863"/>
    <w:rsid w:val="32507800"/>
    <w:rsid w:val="32690145"/>
    <w:rsid w:val="3284754E"/>
    <w:rsid w:val="32885473"/>
    <w:rsid w:val="33186906"/>
    <w:rsid w:val="334A79EF"/>
    <w:rsid w:val="335D7E9A"/>
    <w:rsid w:val="33920A53"/>
    <w:rsid w:val="342A37EA"/>
    <w:rsid w:val="3456407E"/>
    <w:rsid w:val="34881CA6"/>
    <w:rsid w:val="35170E99"/>
    <w:rsid w:val="355A3BA6"/>
    <w:rsid w:val="357A4CBA"/>
    <w:rsid w:val="35832E6E"/>
    <w:rsid w:val="36084F2D"/>
    <w:rsid w:val="361D3583"/>
    <w:rsid w:val="367855DC"/>
    <w:rsid w:val="369327C5"/>
    <w:rsid w:val="36DC757D"/>
    <w:rsid w:val="37397441"/>
    <w:rsid w:val="3747310D"/>
    <w:rsid w:val="37500442"/>
    <w:rsid w:val="37CA7F80"/>
    <w:rsid w:val="388C3BFC"/>
    <w:rsid w:val="3911775D"/>
    <w:rsid w:val="394418E0"/>
    <w:rsid w:val="394D3F1A"/>
    <w:rsid w:val="398919E9"/>
    <w:rsid w:val="398F14AF"/>
    <w:rsid w:val="39C90037"/>
    <w:rsid w:val="3A6A7C41"/>
    <w:rsid w:val="3A7C0B41"/>
    <w:rsid w:val="3ACF742A"/>
    <w:rsid w:val="3B2229C5"/>
    <w:rsid w:val="3B2C2F74"/>
    <w:rsid w:val="3B442FD1"/>
    <w:rsid w:val="3B595EA9"/>
    <w:rsid w:val="3B6B13F2"/>
    <w:rsid w:val="3BAA4209"/>
    <w:rsid w:val="3C17535D"/>
    <w:rsid w:val="3C295471"/>
    <w:rsid w:val="3C7F0E81"/>
    <w:rsid w:val="3C937D8C"/>
    <w:rsid w:val="3D15482F"/>
    <w:rsid w:val="3D271C06"/>
    <w:rsid w:val="3D986BF9"/>
    <w:rsid w:val="3DC13202"/>
    <w:rsid w:val="3DCC00F6"/>
    <w:rsid w:val="3DE84585"/>
    <w:rsid w:val="3DFC45AF"/>
    <w:rsid w:val="3E387372"/>
    <w:rsid w:val="3F125160"/>
    <w:rsid w:val="3F67225B"/>
    <w:rsid w:val="3F6C1B91"/>
    <w:rsid w:val="3F8F3AD1"/>
    <w:rsid w:val="3FBF37B5"/>
    <w:rsid w:val="3FC454DA"/>
    <w:rsid w:val="3FCB102A"/>
    <w:rsid w:val="3FFD2604"/>
    <w:rsid w:val="40C031CC"/>
    <w:rsid w:val="40F1259B"/>
    <w:rsid w:val="40FF07E3"/>
    <w:rsid w:val="41B251BB"/>
    <w:rsid w:val="41F36599"/>
    <w:rsid w:val="41F52311"/>
    <w:rsid w:val="42180C2B"/>
    <w:rsid w:val="422E137F"/>
    <w:rsid w:val="42647B9B"/>
    <w:rsid w:val="42743A9E"/>
    <w:rsid w:val="42832D40"/>
    <w:rsid w:val="42941C9B"/>
    <w:rsid w:val="43001BC9"/>
    <w:rsid w:val="4305039C"/>
    <w:rsid w:val="43057C08"/>
    <w:rsid w:val="43114CBE"/>
    <w:rsid w:val="431B3CEA"/>
    <w:rsid w:val="431C2010"/>
    <w:rsid w:val="4324474F"/>
    <w:rsid w:val="4366315A"/>
    <w:rsid w:val="43904147"/>
    <w:rsid w:val="43936597"/>
    <w:rsid w:val="43D94B88"/>
    <w:rsid w:val="44185E43"/>
    <w:rsid w:val="44250560"/>
    <w:rsid w:val="44C1472D"/>
    <w:rsid w:val="451B08E9"/>
    <w:rsid w:val="455949F6"/>
    <w:rsid w:val="4561381A"/>
    <w:rsid w:val="45743014"/>
    <w:rsid w:val="45ED3300"/>
    <w:rsid w:val="467852BF"/>
    <w:rsid w:val="46EB40C3"/>
    <w:rsid w:val="4703102D"/>
    <w:rsid w:val="47834623"/>
    <w:rsid w:val="47D04464"/>
    <w:rsid w:val="47D61E83"/>
    <w:rsid w:val="482118F4"/>
    <w:rsid w:val="488C71FA"/>
    <w:rsid w:val="48A46009"/>
    <w:rsid w:val="48E61254"/>
    <w:rsid w:val="48EF7461"/>
    <w:rsid w:val="490160F9"/>
    <w:rsid w:val="491F33FC"/>
    <w:rsid w:val="49307B69"/>
    <w:rsid w:val="494D3B8F"/>
    <w:rsid w:val="496B7101"/>
    <w:rsid w:val="498E6727"/>
    <w:rsid w:val="49CC2D15"/>
    <w:rsid w:val="49D722FD"/>
    <w:rsid w:val="4A527BD5"/>
    <w:rsid w:val="4B447E66"/>
    <w:rsid w:val="4B462B55"/>
    <w:rsid w:val="4B6D0801"/>
    <w:rsid w:val="4BC263A1"/>
    <w:rsid w:val="4BDB178F"/>
    <w:rsid w:val="4BE40055"/>
    <w:rsid w:val="4C8A7AFA"/>
    <w:rsid w:val="4CCC5A03"/>
    <w:rsid w:val="4CD97F69"/>
    <w:rsid w:val="4DC4528E"/>
    <w:rsid w:val="4DF75DD0"/>
    <w:rsid w:val="4EB646CD"/>
    <w:rsid w:val="4EC8715E"/>
    <w:rsid w:val="4EE75DC9"/>
    <w:rsid w:val="4EFB63B2"/>
    <w:rsid w:val="4F0E770D"/>
    <w:rsid w:val="50131DC8"/>
    <w:rsid w:val="50477D0B"/>
    <w:rsid w:val="50E97C1B"/>
    <w:rsid w:val="51812A8A"/>
    <w:rsid w:val="52121D8A"/>
    <w:rsid w:val="52A75420"/>
    <w:rsid w:val="52D27B05"/>
    <w:rsid w:val="52F0338A"/>
    <w:rsid w:val="53145CAE"/>
    <w:rsid w:val="534327B1"/>
    <w:rsid w:val="53842339"/>
    <w:rsid w:val="53D37FD9"/>
    <w:rsid w:val="53DE0E6E"/>
    <w:rsid w:val="548B0994"/>
    <w:rsid w:val="54D16BAD"/>
    <w:rsid w:val="557144CB"/>
    <w:rsid w:val="55872E29"/>
    <w:rsid w:val="55D85879"/>
    <w:rsid w:val="56020701"/>
    <w:rsid w:val="576F0018"/>
    <w:rsid w:val="589C4E3D"/>
    <w:rsid w:val="58D84569"/>
    <w:rsid w:val="58F702C5"/>
    <w:rsid w:val="59163903"/>
    <w:rsid w:val="5926676B"/>
    <w:rsid w:val="59694BE8"/>
    <w:rsid w:val="59C53F20"/>
    <w:rsid w:val="59C77C98"/>
    <w:rsid w:val="59D41B02"/>
    <w:rsid w:val="5A751DEA"/>
    <w:rsid w:val="5AEE394A"/>
    <w:rsid w:val="5AEE56F8"/>
    <w:rsid w:val="5B9E1E82"/>
    <w:rsid w:val="5C106817"/>
    <w:rsid w:val="5C594DF3"/>
    <w:rsid w:val="5C771039"/>
    <w:rsid w:val="5CDC1CAC"/>
    <w:rsid w:val="5D361DC4"/>
    <w:rsid w:val="5D3F048D"/>
    <w:rsid w:val="5D5E1EDE"/>
    <w:rsid w:val="5D92378F"/>
    <w:rsid w:val="5D9562FF"/>
    <w:rsid w:val="5DA53ABB"/>
    <w:rsid w:val="5DDC7DDE"/>
    <w:rsid w:val="5E1910B9"/>
    <w:rsid w:val="5E2B7504"/>
    <w:rsid w:val="5E781EA8"/>
    <w:rsid w:val="5EC501AE"/>
    <w:rsid w:val="5EF27472"/>
    <w:rsid w:val="5F065BDF"/>
    <w:rsid w:val="5F132590"/>
    <w:rsid w:val="5F85623E"/>
    <w:rsid w:val="5FA345E7"/>
    <w:rsid w:val="5FF3376C"/>
    <w:rsid w:val="602F2A3B"/>
    <w:rsid w:val="60311281"/>
    <w:rsid w:val="607355F5"/>
    <w:rsid w:val="60790275"/>
    <w:rsid w:val="60D235C8"/>
    <w:rsid w:val="60E05224"/>
    <w:rsid w:val="61021EFD"/>
    <w:rsid w:val="613A4CBF"/>
    <w:rsid w:val="618B1EF3"/>
    <w:rsid w:val="61A905CB"/>
    <w:rsid w:val="61B00D80"/>
    <w:rsid w:val="61C3343B"/>
    <w:rsid w:val="62214648"/>
    <w:rsid w:val="628F636C"/>
    <w:rsid w:val="62F45876"/>
    <w:rsid w:val="634B7E92"/>
    <w:rsid w:val="63A06D6E"/>
    <w:rsid w:val="63C463C4"/>
    <w:rsid w:val="64A32CD0"/>
    <w:rsid w:val="64D37E39"/>
    <w:rsid w:val="64F97173"/>
    <w:rsid w:val="65574DC9"/>
    <w:rsid w:val="65BC4C5A"/>
    <w:rsid w:val="65DE5410"/>
    <w:rsid w:val="66180F7D"/>
    <w:rsid w:val="66605976"/>
    <w:rsid w:val="667A2F4A"/>
    <w:rsid w:val="66805D9E"/>
    <w:rsid w:val="66B440C5"/>
    <w:rsid w:val="67204F0F"/>
    <w:rsid w:val="67C972D1"/>
    <w:rsid w:val="67E92921"/>
    <w:rsid w:val="67FB0775"/>
    <w:rsid w:val="687D1CB4"/>
    <w:rsid w:val="68A13DAA"/>
    <w:rsid w:val="690E7E58"/>
    <w:rsid w:val="693654E7"/>
    <w:rsid w:val="6944720B"/>
    <w:rsid w:val="69704060"/>
    <w:rsid w:val="69D61B6D"/>
    <w:rsid w:val="69D6280F"/>
    <w:rsid w:val="69F40017"/>
    <w:rsid w:val="6A250594"/>
    <w:rsid w:val="6A7C2DAB"/>
    <w:rsid w:val="6AA45378"/>
    <w:rsid w:val="6AAB6D55"/>
    <w:rsid w:val="6B4A0735"/>
    <w:rsid w:val="6B9E091B"/>
    <w:rsid w:val="6C0F004F"/>
    <w:rsid w:val="6C1F1BB5"/>
    <w:rsid w:val="6C4E68A7"/>
    <w:rsid w:val="6C6E50D6"/>
    <w:rsid w:val="6CB06B79"/>
    <w:rsid w:val="6D5477D8"/>
    <w:rsid w:val="6D58742A"/>
    <w:rsid w:val="6DC5076F"/>
    <w:rsid w:val="6DFC0B62"/>
    <w:rsid w:val="6E380A43"/>
    <w:rsid w:val="6E4903C6"/>
    <w:rsid w:val="6EA42846"/>
    <w:rsid w:val="6EB75B29"/>
    <w:rsid w:val="6EE64C0C"/>
    <w:rsid w:val="6F956912"/>
    <w:rsid w:val="6FAA5649"/>
    <w:rsid w:val="6FE915B1"/>
    <w:rsid w:val="70010EBB"/>
    <w:rsid w:val="70234E4F"/>
    <w:rsid w:val="703B18EF"/>
    <w:rsid w:val="707D50FC"/>
    <w:rsid w:val="70A145E2"/>
    <w:rsid w:val="70F862D3"/>
    <w:rsid w:val="71467BE4"/>
    <w:rsid w:val="71B2527A"/>
    <w:rsid w:val="7236678B"/>
    <w:rsid w:val="72C7059F"/>
    <w:rsid w:val="72E9309C"/>
    <w:rsid w:val="7304755E"/>
    <w:rsid w:val="7327134F"/>
    <w:rsid w:val="738462AD"/>
    <w:rsid w:val="739C7F8F"/>
    <w:rsid w:val="73DB22B7"/>
    <w:rsid w:val="74060BDA"/>
    <w:rsid w:val="744C72C0"/>
    <w:rsid w:val="745F3CCD"/>
    <w:rsid w:val="74986C76"/>
    <w:rsid w:val="74C031EC"/>
    <w:rsid w:val="74CF5638"/>
    <w:rsid w:val="74E5744F"/>
    <w:rsid w:val="74FC0CE6"/>
    <w:rsid w:val="753753AB"/>
    <w:rsid w:val="75710C82"/>
    <w:rsid w:val="75976A91"/>
    <w:rsid w:val="75B3168C"/>
    <w:rsid w:val="760E3167"/>
    <w:rsid w:val="763B7EA7"/>
    <w:rsid w:val="766547FB"/>
    <w:rsid w:val="76F428F0"/>
    <w:rsid w:val="7706242A"/>
    <w:rsid w:val="770E6AAE"/>
    <w:rsid w:val="77225052"/>
    <w:rsid w:val="77316AD2"/>
    <w:rsid w:val="7742052D"/>
    <w:rsid w:val="77D9530E"/>
    <w:rsid w:val="77E2380E"/>
    <w:rsid w:val="77F959B0"/>
    <w:rsid w:val="7819395D"/>
    <w:rsid w:val="786F17CF"/>
    <w:rsid w:val="787C3EEC"/>
    <w:rsid w:val="78CC66CC"/>
    <w:rsid w:val="792B3EFA"/>
    <w:rsid w:val="796A1E3F"/>
    <w:rsid w:val="79796DDF"/>
    <w:rsid w:val="79AA1D94"/>
    <w:rsid w:val="7A5D1C99"/>
    <w:rsid w:val="7A87102F"/>
    <w:rsid w:val="7AA224AF"/>
    <w:rsid w:val="7AA37E55"/>
    <w:rsid w:val="7B051E23"/>
    <w:rsid w:val="7B0F7299"/>
    <w:rsid w:val="7B510393"/>
    <w:rsid w:val="7B58479C"/>
    <w:rsid w:val="7B6E1436"/>
    <w:rsid w:val="7BF754E3"/>
    <w:rsid w:val="7BFC253B"/>
    <w:rsid w:val="7C0B5891"/>
    <w:rsid w:val="7C60707F"/>
    <w:rsid w:val="7CC257C1"/>
    <w:rsid w:val="7D586CD5"/>
    <w:rsid w:val="7D847ACA"/>
    <w:rsid w:val="7D99109C"/>
    <w:rsid w:val="7D9B46FD"/>
    <w:rsid w:val="7DD7081A"/>
    <w:rsid w:val="7DDF7C34"/>
    <w:rsid w:val="7DEB0AFA"/>
    <w:rsid w:val="7E37222F"/>
    <w:rsid w:val="7E3C14D7"/>
    <w:rsid w:val="7E611E5C"/>
    <w:rsid w:val="7EB939EE"/>
    <w:rsid w:val="7EF94E20"/>
    <w:rsid w:val="7F1821CD"/>
    <w:rsid w:val="7F19238E"/>
    <w:rsid w:val="7F341098"/>
    <w:rsid w:val="7F552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6">
    <w:name w:val="heading 2"/>
    <w:basedOn w:val="1"/>
    <w:next w:val="1"/>
    <w:unhideWhenUsed/>
    <w:qFormat/>
    <w:uiPriority w:val="0"/>
    <w:pPr>
      <w:keepNext/>
      <w:keepLines/>
      <w:spacing w:beforeLines="0" w:beforeAutospacing="0" w:afterLines="0" w:afterAutospacing="0" w:line="240" w:lineRule="auto"/>
      <w:jc w:val="left"/>
      <w:outlineLvl w:val="1"/>
    </w:pPr>
    <w:rPr>
      <w:rFonts w:ascii="Times New Roman" w:hAnsi="Times New Roman" w:eastAsia="宋体"/>
      <w:sz w:val="28"/>
    </w:rPr>
  </w:style>
  <w:style w:type="paragraph" w:styleId="7">
    <w:name w:val="heading 3"/>
    <w:basedOn w:val="1"/>
    <w:next w:val="1"/>
    <w:unhideWhenUsed/>
    <w:qFormat/>
    <w:uiPriority w:val="0"/>
    <w:pPr>
      <w:keepNext/>
      <w:keepLines/>
      <w:spacing w:beforeLines="0" w:beforeAutospacing="0" w:afterLines="0" w:afterAutospacing="0" w:line="360" w:lineRule="auto"/>
      <w:jc w:val="left"/>
      <w:outlineLvl w:val="2"/>
    </w:pPr>
    <w:rPr>
      <w:rFonts w:ascii="Times New Roman" w:hAnsi="Times New Roman"/>
    </w:rPr>
  </w:style>
  <w:style w:type="paragraph" w:styleId="8">
    <w:name w:val="heading 4"/>
    <w:basedOn w:val="1"/>
    <w:next w:val="1"/>
    <w:semiHidden/>
    <w:unhideWhenUsed/>
    <w:qFormat/>
    <w:uiPriority w:val="0"/>
    <w:pPr>
      <w:keepNext/>
      <w:keepLines/>
      <w:spacing w:before="280" w:after="290" w:line="376" w:lineRule="auto"/>
      <w:outlineLvl w:val="3"/>
    </w:pPr>
    <w:rPr>
      <w:rFonts w:ascii="Calibri Light" w:hAnsi="Calibri Light" w:eastAsia="宋体" w:cs="Times New Roman"/>
      <w:b/>
      <w:bCs/>
      <w:sz w:val="28"/>
      <w:szCs w:val="28"/>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customStyle="1" w:styleId="2">
    <w:name w:val="样式 正文缩进正文缩进2正文缩进 Char Char正文缩进 Char Char Char Char正文缩进 Char ..."/>
    <w:basedOn w:val="3"/>
    <w:autoRedefine/>
    <w:qFormat/>
    <w:uiPriority w:val="0"/>
    <w:pPr>
      <w:spacing w:line="400" w:lineRule="exact"/>
      <w:ind w:firstLine="0" w:firstLineChars="0"/>
      <w:jc w:val="center"/>
    </w:pPr>
  </w:style>
  <w:style w:type="paragraph" w:styleId="3">
    <w:name w:val="Normal Indent"/>
    <w:basedOn w:val="1"/>
    <w:next w:val="4"/>
    <w:qFormat/>
    <w:uiPriority w:val="0"/>
    <w:pPr>
      <w:ind w:firstLine="420" w:firstLineChars="200"/>
    </w:pPr>
    <w:rPr>
      <w:rFonts w:ascii="Calibri" w:hAnsi="Calibri"/>
    </w:rPr>
  </w:style>
  <w:style w:type="paragraph" w:customStyle="1" w:styleId="4">
    <w:name w:val="样式 正文文本 + 首行缩进:  2 字符"/>
    <w:autoRedefine/>
    <w:qFormat/>
    <w:uiPriority w:val="99"/>
    <w:pPr>
      <w:spacing w:after="200" w:line="480" w:lineRule="exact"/>
      <w:ind w:firstLine="480" w:firstLineChars="200"/>
      <w:jc w:val="center"/>
    </w:pPr>
    <w:rPr>
      <w:rFonts w:ascii="宋体" w:hAnsi="宋体" w:eastAsia="Calibri" w:cs="Times New Roman"/>
      <w:sz w:val="24"/>
      <w:szCs w:val="22"/>
      <w:lang w:val="en-US" w:eastAsia="zh-CN" w:bidi="ar-SA"/>
    </w:rPr>
  </w:style>
  <w:style w:type="paragraph" w:styleId="9">
    <w:name w:val="caption"/>
    <w:basedOn w:val="1"/>
    <w:next w:val="1"/>
    <w:qFormat/>
    <w:uiPriority w:val="0"/>
    <w:pPr>
      <w:spacing w:before="120" w:beforeLines="0" w:beforeAutospacing="0" w:after="120" w:afterLines="0" w:afterAutospacing="0" w:line="480" w:lineRule="exact"/>
      <w:jc w:val="center"/>
    </w:pPr>
    <w:rPr>
      <w:sz w:val="24"/>
    </w:rPr>
  </w:style>
  <w:style w:type="paragraph" w:styleId="10">
    <w:name w:val="annotation text"/>
    <w:basedOn w:val="1"/>
    <w:semiHidden/>
    <w:qFormat/>
    <w:uiPriority w:val="0"/>
    <w:pPr>
      <w:jc w:val="left"/>
    </w:pPr>
    <w:rPr>
      <w:kern w:val="0"/>
      <w:sz w:val="24"/>
      <w:szCs w:val="20"/>
    </w:rPr>
  </w:style>
  <w:style w:type="paragraph" w:styleId="11">
    <w:name w:val="index 6"/>
    <w:basedOn w:val="1"/>
    <w:next w:val="1"/>
    <w:qFormat/>
    <w:uiPriority w:val="0"/>
    <w:pPr>
      <w:spacing w:line="600" w:lineRule="exact"/>
      <w:ind w:left="2100" w:firstLine="480"/>
    </w:pPr>
    <w:rPr>
      <w:rFonts w:ascii="仿宋_GB2312" w:eastAsia="仿宋_GB2312"/>
      <w:sz w:val="28"/>
      <w:szCs w:val="20"/>
    </w:rPr>
  </w:style>
  <w:style w:type="paragraph" w:styleId="12">
    <w:name w:val="Body Text"/>
    <w:basedOn w:val="1"/>
    <w:qFormat/>
    <w:uiPriority w:val="1"/>
    <w:rPr>
      <w:rFonts w:ascii="宋体" w:hAnsi="宋体" w:eastAsia="宋体" w:cs="宋体"/>
      <w:sz w:val="24"/>
      <w:szCs w:val="24"/>
      <w:lang w:val="zh-CN" w:eastAsia="zh-CN" w:bidi="zh-CN"/>
    </w:rPr>
  </w:style>
  <w:style w:type="paragraph" w:styleId="13">
    <w:name w:val="Body Text Indent"/>
    <w:basedOn w:val="1"/>
    <w:next w:val="1"/>
    <w:qFormat/>
    <w:uiPriority w:val="0"/>
    <w:pPr>
      <w:spacing w:after="120"/>
      <w:ind w:left="420" w:leftChars="200"/>
    </w:pPr>
    <w:rPr>
      <w:kern w:val="0"/>
      <w:sz w:val="24"/>
      <w:szCs w:val="20"/>
    </w:rPr>
  </w:style>
  <w:style w:type="paragraph" w:styleId="14">
    <w:name w:val="Block Text"/>
    <w:basedOn w:val="1"/>
    <w:qFormat/>
    <w:uiPriority w:val="0"/>
    <w:pPr>
      <w:snapToGrid w:val="0"/>
      <w:spacing w:line="408" w:lineRule="auto"/>
      <w:ind w:left="-113" w:right="-510" w:firstLine="510"/>
    </w:pPr>
    <w:rPr>
      <w:sz w:val="24"/>
      <w:szCs w:val="20"/>
    </w:rPr>
  </w:style>
  <w:style w:type="paragraph" w:styleId="15">
    <w:name w:val="Plain Text"/>
    <w:basedOn w:val="1"/>
    <w:qFormat/>
    <w:uiPriority w:val="0"/>
    <w:pPr>
      <w:spacing w:line="360" w:lineRule="auto"/>
    </w:pPr>
    <w:rPr>
      <w:spacing w:val="8"/>
      <w:sz w:val="24"/>
    </w:rPr>
  </w:style>
  <w:style w:type="paragraph" w:styleId="16">
    <w:name w:val="List Bullet 5"/>
    <w:basedOn w:val="1"/>
    <w:qFormat/>
    <w:uiPriority w:val="0"/>
    <w:pPr>
      <w:numPr>
        <w:ilvl w:val="0"/>
        <w:numId w:val="1"/>
      </w:numPr>
    </w:pPr>
  </w:style>
  <w:style w:type="paragraph" w:styleId="17">
    <w:name w:val="Body Text Indent 2"/>
    <w:basedOn w:val="1"/>
    <w:next w:val="1"/>
    <w:qFormat/>
    <w:uiPriority w:val="0"/>
    <w:pPr>
      <w:ind w:firstLine="560"/>
    </w:pPr>
    <w:rPr>
      <w:rFonts w:ascii="宋体"/>
      <w:color w:val="FF0000"/>
      <w:kern w:val="0"/>
      <w:sz w:val="28"/>
      <w:szCs w:val="28"/>
    </w:rPr>
  </w:style>
  <w:style w:type="paragraph" w:styleId="18">
    <w:name w:val="Balloon Text"/>
    <w:basedOn w:val="1"/>
    <w:semiHidden/>
    <w:qFormat/>
    <w:uiPriority w:val="0"/>
    <w:rPr>
      <w:kern w:val="0"/>
      <w:sz w:val="18"/>
      <w:szCs w:val="20"/>
    </w:rPr>
  </w:style>
  <w:style w:type="paragraph" w:styleId="19">
    <w:name w:val="footer"/>
    <w:basedOn w:val="1"/>
    <w:qFormat/>
    <w:uiPriority w:val="99"/>
    <w:pPr>
      <w:tabs>
        <w:tab w:val="center" w:pos="4153"/>
        <w:tab w:val="right" w:pos="8306"/>
      </w:tabs>
      <w:snapToGrid w:val="0"/>
      <w:jc w:val="left"/>
    </w:pPr>
    <w:rPr>
      <w:kern w:val="0"/>
      <w:sz w:val="18"/>
      <w:szCs w:val="20"/>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List"/>
    <w:basedOn w:val="1"/>
    <w:next w:val="1"/>
    <w:qFormat/>
    <w:uiPriority w:val="0"/>
    <w:pPr>
      <w:adjustRightInd w:val="0"/>
      <w:snapToGrid w:val="0"/>
      <w:spacing w:line="240" w:lineRule="auto"/>
      <w:ind w:left="198" w:hanging="198" w:firstLineChars="0"/>
      <w:contextualSpacing/>
    </w:pPr>
    <w:rPr>
      <w:sz w:val="21"/>
    </w:rPr>
  </w:style>
  <w:style w:type="paragraph" w:styleId="22">
    <w:name w:val="Body Text 2"/>
    <w:basedOn w:val="1"/>
    <w:unhideWhenUsed/>
    <w:qFormat/>
    <w:uiPriority w:val="99"/>
    <w:pPr>
      <w:spacing w:line="360" w:lineRule="auto"/>
      <w:ind w:firstLine="602" w:firstLineChars="200"/>
      <w:jc w:val="left"/>
    </w:pPr>
    <w:rPr>
      <w:rFonts w:ascii="Times New Roman" w:hAnsi="Times New Roman" w:eastAsia="宋体"/>
      <w:sz w:val="24"/>
    </w:rPr>
  </w:style>
  <w:style w:type="paragraph" w:styleId="23">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24">
    <w:name w:val="Body Text First Indent"/>
    <w:basedOn w:val="12"/>
    <w:next w:val="13"/>
    <w:qFormat/>
    <w:uiPriority w:val="0"/>
    <w:pPr>
      <w:widowControl w:val="0"/>
      <w:spacing w:after="120"/>
      <w:ind w:firstLine="420" w:firstLineChars="100"/>
      <w:jc w:val="both"/>
    </w:pPr>
    <w:rPr>
      <w:kern w:val="2"/>
      <w:szCs w:val="24"/>
      <w:lang w:eastAsia="zh-CN" w:bidi="ar-SA"/>
    </w:rPr>
  </w:style>
  <w:style w:type="paragraph" w:styleId="25">
    <w:name w:val="Body Text First Indent 2"/>
    <w:basedOn w:val="13"/>
    <w:next w:val="1"/>
    <w:qFormat/>
    <w:uiPriority w:val="0"/>
    <w:pPr>
      <w:ind w:firstLine="420" w:firstLineChars="200"/>
    </w:pPr>
    <w:rPr>
      <w:kern w:val="2"/>
      <w:sz w:val="21"/>
      <w:szCs w:val="24"/>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rPr>
  </w:style>
  <w:style w:type="character" w:styleId="30">
    <w:name w:val="page number"/>
    <w:basedOn w:val="28"/>
    <w:qFormat/>
    <w:uiPriority w:val="0"/>
  </w:style>
  <w:style w:type="character" w:styleId="31">
    <w:name w:val="Emphasis"/>
    <w:qFormat/>
    <w:uiPriority w:val="0"/>
    <w:rPr>
      <w:i/>
    </w:rPr>
  </w:style>
  <w:style w:type="character" w:styleId="32">
    <w:name w:val="Hyperlink"/>
    <w:basedOn w:val="28"/>
    <w:qFormat/>
    <w:uiPriority w:val="0"/>
    <w:rPr>
      <w:color w:val="0000FF"/>
      <w:u w:val="single"/>
    </w:rPr>
  </w:style>
  <w:style w:type="paragraph" w:customStyle="1" w:styleId="33">
    <w:name w:val="表格"/>
    <w:basedOn w:val="3"/>
    <w:next w:val="22"/>
    <w:qFormat/>
    <w:uiPriority w:val="0"/>
    <w:pPr>
      <w:adjustRightInd w:val="0"/>
      <w:snapToGrid w:val="0"/>
      <w:spacing w:beforeLines="10" w:afterLines="10" w:line="259" w:lineRule="auto"/>
      <w:jc w:val="center"/>
    </w:pPr>
    <w:rPr>
      <w:rFonts w:ascii="宋体"/>
      <w:kern w:val="0"/>
      <w:szCs w:val="20"/>
    </w:rPr>
  </w:style>
  <w:style w:type="paragraph" w:customStyle="1" w:styleId="34">
    <w:name w:val="Default"/>
    <w:basedOn w:val="35"/>
    <w:next w:val="11"/>
    <w:qFormat/>
    <w:uiPriority w:val="0"/>
    <w:pPr>
      <w:widowControl w:val="0"/>
      <w:tabs>
        <w:tab w:val="left" w:pos="1845"/>
      </w:tabs>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纯文本1"/>
    <w:qFormat/>
    <w:uiPriority w:val="0"/>
    <w:pPr>
      <w:widowControl w:val="0"/>
      <w:tabs>
        <w:tab w:val="left" w:pos="1845"/>
      </w:tabs>
      <w:spacing w:line="240" w:lineRule="exact"/>
      <w:jc w:val="center"/>
    </w:pPr>
    <w:rPr>
      <w:rFonts w:asciiTheme="minorHAnsi" w:hAnsiTheme="minorHAnsi" w:eastAsiaTheme="minorEastAsia" w:cstheme="minorBidi"/>
      <w:kern w:val="2"/>
      <w:sz w:val="18"/>
      <w:szCs w:val="24"/>
      <w:lang w:val="en-US" w:eastAsia="zh-CN" w:bidi="ar-SA"/>
    </w:rPr>
  </w:style>
  <w:style w:type="paragraph" w:customStyle="1" w:styleId="36">
    <w:name w:val="表格文字"/>
    <w:basedOn w:val="1"/>
    <w:qFormat/>
    <w:uiPriority w:val="0"/>
    <w:pPr>
      <w:spacing w:line="300" w:lineRule="exact"/>
      <w:jc w:val="center"/>
    </w:pPr>
    <w:rPr>
      <w:rFonts w:ascii="宋体"/>
      <w:kern w:val="0"/>
      <w:szCs w:val="32"/>
    </w:rPr>
  </w:style>
  <w:style w:type="paragraph" w:customStyle="1" w:styleId="37">
    <w:name w:val="Table Paragraph"/>
    <w:basedOn w:val="1"/>
    <w:qFormat/>
    <w:uiPriority w:val="1"/>
    <w:rPr>
      <w:rFonts w:ascii="宋体" w:hAnsi="宋体" w:eastAsia="宋体" w:cs="宋体"/>
      <w:lang w:val="zh-CN" w:eastAsia="zh-CN" w:bidi="zh-CN"/>
    </w:rPr>
  </w:style>
  <w:style w:type="paragraph" w:customStyle="1" w:styleId="38">
    <w:name w:val="表头字体"/>
    <w:basedOn w:val="1"/>
    <w:qFormat/>
    <w:uiPriority w:val="0"/>
    <w:pPr>
      <w:spacing w:line="360" w:lineRule="auto"/>
      <w:jc w:val="center"/>
    </w:pPr>
  </w:style>
  <w:style w:type="paragraph" w:customStyle="1" w:styleId="39">
    <w:name w:val="表格内容"/>
    <w:basedOn w:val="40"/>
    <w:qFormat/>
    <w:uiPriority w:val="0"/>
    <w:pPr>
      <w:spacing w:line="240" w:lineRule="auto"/>
      <w:jc w:val="center"/>
    </w:pPr>
    <w:rPr>
      <w:rFonts w:ascii="Times New Roman" w:hAnsi="Times New Roman" w:eastAsia="宋体" w:cs="Times New Roman"/>
      <w:kern w:val="2"/>
      <w:sz w:val="21"/>
      <w:szCs w:val="24"/>
      <w:lang w:val="zh-TW" w:eastAsia="zh-TW" w:bidi="ar-SA"/>
    </w:rPr>
  </w:style>
  <w:style w:type="paragraph" w:customStyle="1" w:styleId="40">
    <w:name w:val="表格标题"/>
    <w:basedOn w:val="41"/>
    <w:qFormat/>
    <w:uiPriority w:val="0"/>
    <w:pPr>
      <w:ind w:firstLine="480"/>
    </w:pPr>
    <w:rPr>
      <w:rFonts w:hint="default"/>
    </w:rPr>
  </w:style>
  <w:style w:type="paragraph" w:customStyle="1" w:styleId="41">
    <w:name w:val="表头"/>
    <w:basedOn w:val="3"/>
    <w:qFormat/>
    <w:uiPriority w:val="0"/>
    <w:pPr>
      <w:jc w:val="center"/>
    </w:pPr>
    <w:rPr>
      <w:rFonts w:hint="eastAsia"/>
      <w:b/>
      <w:bCs/>
      <w:szCs w:val="21"/>
    </w:rPr>
  </w:style>
  <w:style w:type="paragraph" w:customStyle="1" w:styleId="42">
    <w:name w:val="文本正文"/>
    <w:basedOn w:val="1"/>
    <w:qFormat/>
    <w:uiPriority w:val="0"/>
    <w:pPr>
      <w:ind w:firstLine="480"/>
    </w:pPr>
  </w:style>
  <w:style w:type="paragraph" w:styleId="43">
    <w:name w:val="List Paragraph"/>
    <w:basedOn w:val="1"/>
    <w:qFormat/>
    <w:uiPriority w:val="1"/>
    <w:pPr>
      <w:ind w:left="1892" w:hanging="360"/>
    </w:pPr>
    <w:rPr>
      <w:rFonts w:ascii="宋体" w:hAnsi="宋体" w:eastAsia="宋体" w:cs="宋体"/>
      <w:lang w:val="zh-CN" w:eastAsia="zh-CN" w:bidi="zh-CN"/>
    </w:rPr>
  </w:style>
  <w:style w:type="paragraph" w:customStyle="1" w:styleId="44">
    <w:name w:val="xl27"/>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45">
    <w:name w:val="表格正文"/>
    <w:basedOn w:val="40"/>
    <w:qFormat/>
    <w:uiPriority w:val="0"/>
    <w:pPr>
      <w:wordWrap w:val="0"/>
      <w:ind w:firstLine="0"/>
    </w:pPr>
    <w:rPr>
      <w:b w:val="0"/>
    </w:rPr>
  </w:style>
  <w:style w:type="paragraph" w:customStyle="1" w:styleId="46">
    <w:name w:val="表格1"/>
    <w:basedOn w:val="1"/>
    <w:qFormat/>
    <w:uiPriority w:val="0"/>
    <w:pPr>
      <w:adjustRightInd w:val="0"/>
      <w:snapToGrid w:val="0"/>
      <w:jc w:val="center"/>
    </w:pPr>
    <w:rPr>
      <w:rFonts w:ascii="Times New Roman" w:hAnsi="Times New Roman" w:eastAsia="方正仿宋_GBK"/>
      <w:color w:val="000000"/>
      <w:kern w:val="0"/>
      <w:szCs w:val="24"/>
    </w:rPr>
  </w:style>
  <w:style w:type="paragraph" w:customStyle="1" w:styleId="47">
    <w:name w:val="表格字体"/>
    <w:basedOn w:val="1"/>
    <w:autoRedefine/>
    <w:qFormat/>
    <w:uiPriority w:val="0"/>
    <w:pPr>
      <w:spacing w:line="240" w:lineRule="auto"/>
      <w:jc w:val="center"/>
    </w:pPr>
    <w:rPr>
      <w:rFonts w:ascii="Times New Roman" w:hAnsi="Times New Roman"/>
      <w:sz w:val="21"/>
    </w:rPr>
  </w:style>
  <w:style w:type="paragraph" w:customStyle="1" w:styleId="48">
    <w:name w:val="表格内容1"/>
    <w:basedOn w:val="1"/>
    <w:qFormat/>
    <w:uiPriority w:val="0"/>
    <w:pPr>
      <w:widowControl/>
      <w:spacing w:line="240" w:lineRule="auto"/>
      <w:ind w:firstLine="0" w:firstLineChars="0"/>
      <w:jc w:val="center"/>
    </w:pPr>
    <w:rPr>
      <w:kern w:val="0"/>
      <w:sz w:val="21"/>
      <w:szCs w:val="21"/>
      <w:lang w:eastAsia="en-US" w:bidi="en-US"/>
    </w:rPr>
  </w:style>
  <w:style w:type="paragraph" w:customStyle="1" w:styleId="49">
    <w:name w:val="表头A"/>
    <w:basedOn w:val="41"/>
    <w:qFormat/>
    <w:uiPriority w:val="0"/>
    <w:pPr>
      <w:spacing w:line="400" w:lineRule="exact"/>
      <w:ind w:firstLine="0" w:firstLineChars="0"/>
    </w:pPr>
    <w:rPr>
      <w:rFonts w:ascii="Times New Roman" w:hAnsi="Times New Roman"/>
    </w:rPr>
  </w:style>
  <w:style w:type="paragraph" w:customStyle="1" w:styleId="50">
    <w:name w:val="表中文字"/>
    <w:basedOn w:val="1"/>
    <w:next w:val="1"/>
    <w:qFormat/>
    <w:uiPriority w:val="0"/>
    <w:pPr>
      <w:spacing w:line="300" w:lineRule="exact"/>
      <w:ind w:firstLine="0" w:firstLineChars="0"/>
      <w:jc w:val="center"/>
    </w:pPr>
    <w:rPr>
      <w:sz w:val="21"/>
    </w:rPr>
  </w:style>
  <w:style w:type="character" w:customStyle="1" w:styleId="51">
    <w:name w:val="font01"/>
    <w:basedOn w:val="28"/>
    <w:qFormat/>
    <w:uiPriority w:val="0"/>
    <w:rPr>
      <w:rFonts w:hint="eastAsia" w:ascii="等线" w:hAnsi="等线" w:eastAsia="等线" w:cs="等线"/>
      <w:color w:val="000000"/>
      <w:sz w:val="24"/>
      <w:szCs w:val="24"/>
      <w:u w:val="none"/>
    </w:rPr>
  </w:style>
  <w:style w:type="character" w:customStyle="1" w:styleId="52">
    <w:name w:val="font11"/>
    <w:basedOn w:val="28"/>
    <w:qFormat/>
    <w:uiPriority w:val="0"/>
    <w:rPr>
      <w:rFonts w:hint="default" w:ascii="Times New Roman" w:hAnsi="Times New Roman" w:cs="Times New Roman"/>
      <w:color w:val="000000"/>
      <w:sz w:val="24"/>
      <w:szCs w:val="24"/>
      <w:u w:val="none"/>
    </w:rPr>
  </w:style>
  <w:style w:type="character" w:customStyle="1" w:styleId="53">
    <w:name w:val="font21"/>
    <w:basedOn w:val="28"/>
    <w:qFormat/>
    <w:uiPriority w:val="0"/>
    <w:rPr>
      <w:rFonts w:hint="eastAsia" w:ascii="宋体" w:hAnsi="宋体" w:eastAsia="宋体" w:cs="宋体"/>
      <w:color w:val="000000"/>
      <w:sz w:val="24"/>
      <w:szCs w:val="24"/>
      <w:u w:val="none"/>
    </w:rPr>
  </w:style>
  <w:style w:type="paragraph" w:customStyle="1" w:styleId="54">
    <w:name w:val="文本"/>
    <w:basedOn w:val="1"/>
    <w:autoRedefine/>
    <w:qFormat/>
    <w:uiPriority w:val="0"/>
    <w:pPr>
      <w:adjustRightInd w:val="0"/>
      <w:snapToGrid w:val="0"/>
      <w:spacing w:line="360" w:lineRule="auto"/>
      <w:ind w:firstLine="480" w:firstLineChars="200"/>
      <w:jc w:val="left"/>
    </w:pPr>
    <w:rPr>
      <w:sz w:val="24"/>
    </w:rPr>
  </w:style>
  <w:style w:type="paragraph" w:customStyle="1" w:styleId="55">
    <w:name w:val="表格内"/>
    <w:basedOn w:val="1"/>
    <w:qFormat/>
    <w:uiPriority w:val="0"/>
    <w:pPr>
      <w:adjustRightInd w:val="0"/>
      <w:snapToGrid w:val="0"/>
      <w:spacing w:line="360" w:lineRule="exact"/>
      <w:jc w:val="center"/>
    </w:pPr>
    <w:rPr>
      <w:rFonts w:ascii="Times New Roman" w:hAnsi="Times New Roman" w:cs="Times New Roman"/>
      <w:snapToGrid w:val="0"/>
      <w:kern w:val="0"/>
      <w:szCs w:val="21"/>
    </w:rPr>
  </w:style>
  <w:style w:type="paragraph" w:customStyle="1" w:styleId="56">
    <w:name w:val="环评正文"/>
    <w:basedOn w:val="1"/>
    <w:qFormat/>
    <w:uiPriority w:val="0"/>
    <w:pPr>
      <w:autoSpaceDE w:val="0"/>
      <w:autoSpaceDN w:val="0"/>
      <w:adjustRightInd w:val="0"/>
      <w:snapToGrid w:val="0"/>
      <w:spacing w:line="360" w:lineRule="auto"/>
      <w:ind w:firstLine="200" w:firstLineChars="200"/>
      <w:jc w:val="left"/>
    </w:pPr>
    <w:rPr>
      <w:rFonts w:cs="宋体"/>
      <w:kern w:val="0"/>
      <w:sz w:val="24"/>
      <w:szCs w:val="21"/>
    </w:rPr>
  </w:style>
  <w:style w:type="paragraph" w:customStyle="1" w:styleId="57">
    <w:name w:val="表格文字邓"/>
    <w:basedOn w:val="1"/>
    <w:qFormat/>
    <w:uiPriority w:val="0"/>
    <w:pPr>
      <w:keepNext w:val="0"/>
      <w:keepLines w:val="0"/>
      <w:widowControl/>
      <w:suppressLineNumbers w:val="0"/>
      <w:snapToGrid w:val="0"/>
      <w:spacing w:before="0" w:beforeAutospacing="0" w:after="0" w:afterAutospacing="0" w:line="240" w:lineRule="exact"/>
      <w:ind w:left="0" w:right="0"/>
      <w:jc w:val="center"/>
    </w:pPr>
    <w:rPr>
      <w:rFonts w:hint="eastAsia" w:ascii="宋体" w:hAnsi="宋体" w:eastAsia="宋体" w:cs="Times New Roman"/>
      <w:color w:val="000000"/>
      <w:kern w:val="2"/>
      <w:sz w:val="18"/>
      <w:szCs w:val="18"/>
      <w:lang w:val="en-US" w:eastAsia="zh-CN" w:bidi="ar"/>
    </w:rPr>
  </w:style>
  <w:style w:type="paragraph" w:customStyle="1" w:styleId="58">
    <w:name w:val="农贸市场表格表头"/>
    <w:basedOn w:val="1"/>
    <w:qFormat/>
    <w:uiPriority w:val="0"/>
    <w:pPr>
      <w:keepNext w:val="0"/>
      <w:keepLines w:val="0"/>
      <w:widowControl w:val="0"/>
      <w:suppressLineNumbers w:val="0"/>
      <w:spacing w:before="0" w:beforeAutospacing="0" w:after="0" w:afterAutospacing="0"/>
      <w:ind w:left="0" w:right="0"/>
      <w:jc w:val="center"/>
    </w:pPr>
    <w:rPr>
      <w:rFonts w:hint="eastAsia" w:ascii="仿宋_GB2312" w:hAnsi="宋体" w:eastAsia="仿宋_GB2312" w:cs="仿宋_GB2312"/>
      <w:b/>
      <w:kern w:val="2"/>
      <w:sz w:val="21"/>
      <w:szCs w:val="21"/>
      <w:lang w:val="en-US" w:eastAsia="zh-CN" w:bidi="ar"/>
    </w:rPr>
  </w:style>
  <w:style w:type="paragraph" w:customStyle="1" w:styleId="59">
    <w:name w:val="正文首行缩进 21"/>
    <w:basedOn w:val="60"/>
    <w:next w:val="12"/>
    <w:autoRedefine/>
    <w:qFormat/>
    <w:uiPriority w:val="0"/>
    <w:pPr>
      <w:spacing w:after="120"/>
      <w:ind w:left="420" w:leftChars="200" w:firstLine="420" w:firstLineChars="200"/>
    </w:pPr>
    <w:rPr>
      <w:sz w:val="21"/>
    </w:rPr>
  </w:style>
  <w:style w:type="paragraph" w:customStyle="1" w:styleId="60">
    <w:name w:val="正文文本缩进1"/>
    <w:basedOn w:val="1"/>
    <w:autoRedefine/>
    <w:qFormat/>
    <w:uiPriority w:val="0"/>
    <w:pPr>
      <w:ind w:firstLine="538" w:firstLineChars="192"/>
    </w:pPr>
    <w:rPr>
      <w:kern w:val="0"/>
      <w:sz w:val="28"/>
    </w:rPr>
  </w:style>
  <w:style w:type="table" w:customStyle="1" w:styleId="61">
    <w:name w:val="Table Normal"/>
    <w:semiHidden/>
    <w:unhideWhenUsed/>
    <w:qFormat/>
    <w:uiPriority w:val="0"/>
    <w:tblPr>
      <w:tblCellMar>
        <w:top w:w="0" w:type="dxa"/>
        <w:left w:w="0" w:type="dxa"/>
        <w:bottom w:w="0" w:type="dxa"/>
        <w:right w:w="0" w:type="dxa"/>
      </w:tblCellMar>
    </w:tblPr>
  </w:style>
  <w:style w:type="paragraph" w:customStyle="1" w:styleId="62">
    <w:name w:val="Table Text"/>
    <w:basedOn w:val="1"/>
    <w:semiHidden/>
    <w:qFormat/>
    <w:uiPriority w:val="0"/>
    <w:rPr>
      <w:rFonts w:ascii="黑体" w:hAnsi="黑体" w:eastAsia="黑体" w:cs="黑体"/>
      <w:sz w:val="28"/>
      <w:szCs w:val="28"/>
      <w:lang w:val="en-US" w:eastAsia="en-US" w:bidi="ar-SA"/>
    </w:rPr>
  </w:style>
  <w:style w:type="paragraph" w:customStyle="1" w:styleId="63">
    <w:name w:val="正文新"/>
    <w:basedOn w:val="1"/>
    <w:autoRedefine/>
    <w:qFormat/>
    <w:uiPriority w:val="0"/>
    <w:pPr>
      <w:spacing w:line="460" w:lineRule="exact"/>
      <w:ind w:firstLine="48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extobjs>
    <extobj name="ECB019B1-382A-4266-B25C-5B523AA43C14-1">
      <extobjdata type="ECB019B1-382A-4266-B25C-5B523AA43C14" data="ewoJIkZpbGVJZCIgOiAiMzEwODU0MzMyNjI5IiwKCSJHcm91cElkIiA6ICIxNDk1MzM0NTkiLAoJIkltYWdlIiA6ICJpVkJPUncwS0dnb0FBQUFOU1VoRVVnQUFBRXNBQUFCTENBWUFBQUE0VG5ycUFBQUFBWE5TUjBJQXJzNGM2UUFBQUMxSlJFRlVlSnp0d1RFQkFBQUF3cUQxVDIwTUg2QUFBQUFBQUFBQUFBQUFBQUFBQUFBQUFBQUFBQUNBc3dGWUx3QUJjQlY5NkFBQUFBQkpSVTVFcmtKZ2dnPT0iLAoJIlRoZW1lIiA6ICIiLAoJIlR5cGUiIDogImZsb3ciLAoJIlVzZXJJZCIgOiAiIiwKCSJWZXJzaW9uIiA6ICI2NyIKfQo="/>
    </extobj>
    <extobj name="ECB019B1-382A-4266-B25C-5B523AA43C14-2">
      <extobjdata type="ECB019B1-382A-4266-B25C-5B523AA43C14" data="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13965</Words>
  <Characters>14793</Characters>
  <Lines>0</Lines>
  <Paragraphs>0</Paragraphs>
  <TotalTime>1</TotalTime>
  <ScaleCrop>false</ScaleCrop>
  <LinksUpToDate>false</LinksUpToDate>
  <CharactersWithSpaces>14852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小麦啾</cp:lastModifiedBy>
  <cp:lastPrinted>2025-03-28T03:54:00Z</cp:lastPrinted>
  <dcterms:modified xsi:type="dcterms:W3CDTF">2025-06-16T08:31:00Z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FAFC8F2B6F9C46F68DEE63C04915DA36_13</vt:lpwstr>
  </property>
  <property fmtid="{D5CDD505-2E9C-101B-9397-08002B2CF9AE}" pid="4" name="KSOTemplateDocerSaveRecord">
    <vt:lpwstr>eyJoZGlkIjoiMzcxN2Q5OGY0MzIxMzQ2YTVkNjkyNjY4OTc0MzQwMDIiLCJ1c2VySWQiOiIzMjQ5NjUzODcifQ==</vt:lpwstr>
  </property>
</Properties>
</file>